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93D7" w14:textId="004E6F23" w:rsidR="007B3A05" w:rsidRDefault="007B3A05" w:rsidP="00387EEA">
      <w:pPr>
        <w:spacing w:after="0" w:line="240" w:lineRule="auto"/>
        <w:jc w:val="center"/>
        <w:rPr>
          <w:rFonts w:eastAsia="Times New Roman" w:cs="Times New Roman"/>
          <w:b/>
          <w:sz w:val="28"/>
          <w:szCs w:val="28"/>
          <w:lang w:val="es-DO"/>
        </w:rPr>
      </w:pPr>
      <w:r w:rsidRPr="007B3A05">
        <w:rPr>
          <w:rFonts w:eastAsia="Times New Roman" w:cs="Times New Roman"/>
          <w:noProof/>
          <w:sz w:val="28"/>
          <w:szCs w:val="28"/>
          <w:lang w:val="es-DO"/>
        </w:rPr>
        <w:drawing>
          <wp:anchor distT="0" distB="0" distL="114300" distR="114300" simplePos="0" relativeHeight="251658240" behindDoc="0" locked="0" layoutInCell="1" allowOverlap="1" wp14:anchorId="477D5235" wp14:editId="64AC7ABC">
            <wp:simplePos x="0" y="0"/>
            <wp:positionH relativeFrom="margin">
              <wp:align>right</wp:align>
            </wp:positionH>
            <wp:positionV relativeFrom="paragraph">
              <wp:posOffset>-3810</wp:posOffset>
            </wp:positionV>
            <wp:extent cx="518160" cy="1217075"/>
            <wp:effectExtent l="0" t="0" r="0" b="2540"/>
            <wp:wrapNone/>
            <wp:docPr id="2" name="Picture 2" descr="A close up of a blu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UD_Logo-azul-tagline-azu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160" cy="1217075"/>
                    </a:xfrm>
                    <a:prstGeom prst="rect">
                      <a:avLst/>
                    </a:prstGeom>
                  </pic:spPr>
                </pic:pic>
              </a:graphicData>
            </a:graphic>
          </wp:anchor>
        </w:drawing>
      </w:r>
    </w:p>
    <w:p w14:paraId="7505A27B" w14:textId="2C4C25AF" w:rsidR="003C43FF" w:rsidRPr="007B3A05" w:rsidRDefault="00C878D8" w:rsidP="00387EEA">
      <w:pPr>
        <w:spacing w:after="0" w:line="240" w:lineRule="auto"/>
        <w:jc w:val="center"/>
        <w:rPr>
          <w:rFonts w:eastAsia="Times New Roman" w:cs="Times New Roman"/>
          <w:b/>
          <w:sz w:val="28"/>
          <w:szCs w:val="28"/>
          <w:lang w:val="es-DO"/>
        </w:rPr>
      </w:pPr>
      <w:r w:rsidRPr="007B3A05">
        <w:rPr>
          <w:rFonts w:eastAsia="Times New Roman" w:cs="Times New Roman"/>
          <w:b/>
          <w:sz w:val="28"/>
          <w:szCs w:val="28"/>
          <w:lang w:val="es-DO"/>
        </w:rPr>
        <w:t xml:space="preserve">Convocatoria de propuestas para </w:t>
      </w:r>
      <w:r w:rsidR="00162009" w:rsidRPr="007B3A05">
        <w:rPr>
          <w:rFonts w:eastAsia="Times New Roman" w:cs="Times New Roman"/>
          <w:b/>
          <w:sz w:val="28"/>
          <w:szCs w:val="28"/>
          <w:lang w:val="es-DO"/>
        </w:rPr>
        <w:t>subvención</w:t>
      </w:r>
    </w:p>
    <w:p w14:paraId="7C115764" w14:textId="40EA3BD1" w:rsidR="00C878D8" w:rsidRPr="007B3A05" w:rsidRDefault="00DE7372" w:rsidP="00387EEA">
      <w:pPr>
        <w:spacing w:after="0" w:line="240" w:lineRule="auto"/>
        <w:jc w:val="center"/>
        <w:rPr>
          <w:rFonts w:eastAsia="Times New Roman" w:cs="Times New Roman"/>
          <w:sz w:val="28"/>
          <w:szCs w:val="28"/>
          <w:lang w:val="es-DO"/>
        </w:rPr>
      </w:pPr>
      <w:r w:rsidRPr="007B3A05">
        <w:rPr>
          <w:b/>
          <w:bCs/>
          <w:sz w:val="28"/>
          <w:szCs w:val="28"/>
          <w:lang w:val="es-DO"/>
        </w:rPr>
        <w:t xml:space="preserve"> </w:t>
      </w:r>
      <w:r w:rsidRPr="007B3A05">
        <w:rPr>
          <w:sz w:val="28"/>
          <w:szCs w:val="28"/>
          <w:lang w:val="es-DO"/>
        </w:rPr>
        <w:t>Provisión de Servicios para personas TRANS</w:t>
      </w:r>
    </w:p>
    <w:p w14:paraId="2286285C" w14:textId="39E7B489" w:rsidR="00E356B9" w:rsidRPr="007B3A05" w:rsidRDefault="00000000" w:rsidP="0070409C">
      <w:pPr>
        <w:jc w:val="center"/>
        <w:rPr>
          <w:rFonts w:eastAsia="Times New Roman" w:cs="Arial"/>
          <w:sz w:val="28"/>
          <w:szCs w:val="28"/>
          <w:u w:val="single"/>
          <w:lang w:val="es-DO"/>
        </w:rPr>
      </w:pPr>
      <w:hyperlink r:id="rId12" w:anchor="page=2" w:tooltip="Page 2" w:history="1">
        <w:r w:rsidR="00387EEA" w:rsidRPr="007B3A05">
          <w:rPr>
            <w:sz w:val="28"/>
            <w:szCs w:val="28"/>
            <w:lang w:val="es-DO"/>
          </w:rPr>
          <w:t xml:space="preserve"> Programa S</w:t>
        </w:r>
        <w:r w:rsidR="00C878D8" w:rsidRPr="007B3A05">
          <w:rPr>
            <w:sz w:val="28"/>
            <w:szCs w:val="28"/>
            <w:lang w:val="es-DO"/>
          </w:rPr>
          <w:t>er LGBTI en El Caribe</w:t>
        </w:r>
      </w:hyperlink>
      <w:r w:rsidR="0070409C" w:rsidRPr="007B3A05">
        <w:rPr>
          <w:rFonts w:eastAsia="Times New Roman" w:cs="Times New Roman"/>
          <w:sz w:val="28"/>
          <w:szCs w:val="28"/>
          <w:u w:val="single"/>
          <w:lang w:val="es-DO"/>
        </w:rPr>
        <w:t xml:space="preserve"> </w:t>
      </w:r>
      <w:hyperlink r:id="rId13" w:anchor="page=4" w:tooltip="Page 4" w:history="1"/>
    </w:p>
    <w:p w14:paraId="0FC71323" w14:textId="77777777" w:rsidR="00E356B9" w:rsidRDefault="00E356B9" w:rsidP="00807DDE">
      <w:pPr>
        <w:spacing w:after="0" w:line="240" w:lineRule="auto"/>
        <w:jc w:val="both"/>
        <w:rPr>
          <w:rFonts w:eastAsia="Times New Roman" w:cs="Arial"/>
          <w:sz w:val="24"/>
          <w:szCs w:val="24"/>
          <w:vertAlign w:val="subscript"/>
          <w:lang w:val="es-DO"/>
        </w:rPr>
      </w:pPr>
    </w:p>
    <w:p w14:paraId="4CEDF434" w14:textId="77777777" w:rsidR="00C712B9" w:rsidRPr="00FF5490" w:rsidRDefault="00C712B9" w:rsidP="00807DDE">
      <w:pPr>
        <w:spacing w:after="0" w:line="240" w:lineRule="auto"/>
        <w:jc w:val="both"/>
        <w:rPr>
          <w:rFonts w:eastAsia="Times New Roman" w:cs="Arial"/>
          <w:sz w:val="24"/>
          <w:szCs w:val="24"/>
          <w:vertAlign w:val="subscript"/>
          <w:lang w:val="es-DO"/>
        </w:rPr>
      </w:pPr>
    </w:p>
    <w:p w14:paraId="6335E4A7" w14:textId="3E5E9880" w:rsidR="00E356B9" w:rsidRPr="00FF5490" w:rsidRDefault="00C878D8" w:rsidP="00807DDE">
      <w:pPr>
        <w:pStyle w:val="ListParagraph"/>
        <w:numPr>
          <w:ilvl w:val="0"/>
          <w:numId w:val="2"/>
        </w:numPr>
        <w:spacing w:after="0" w:line="240" w:lineRule="auto"/>
        <w:jc w:val="both"/>
        <w:rPr>
          <w:rFonts w:eastAsia="Times New Roman" w:cs="Arial"/>
          <w:b/>
          <w:sz w:val="24"/>
          <w:szCs w:val="24"/>
          <w:lang w:val="es-DO"/>
        </w:rPr>
      </w:pPr>
      <w:r w:rsidRPr="00FF5490">
        <w:rPr>
          <w:rFonts w:eastAsia="Times New Roman" w:cs="Arial"/>
          <w:b/>
          <w:sz w:val="24"/>
          <w:szCs w:val="24"/>
          <w:lang w:val="es-DO"/>
        </w:rPr>
        <w:t>Antecedentes</w:t>
      </w:r>
    </w:p>
    <w:p w14:paraId="448F6E47" w14:textId="4923DAA7" w:rsidR="0070409C" w:rsidRPr="00FF5490" w:rsidRDefault="0070409C" w:rsidP="0070409C">
      <w:pPr>
        <w:pStyle w:val="ListParagraph"/>
        <w:spacing w:after="0" w:line="240" w:lineRule="auto"/>
        <w:ind w:left="1080"/>
        <w:jc w:val="both"/>
        <w:rPr>
          <w:rFonts w:eastAsia="Times New Roman" w:cs="Arial"/>
          <w:b/>
          <w:sz w:val="24"/>
          <w:szCs w:val="24"/>
          <w:lang w:val="es-DO"/>
        </w:rPr>
      </w:pPr>
    </w:p>
    <w:p w14:paraId="775351A2" w14:textId="4590431D" w:rsidR="00C878D8" w:rsidRPr="00FF5490" w:rsidRDefault="00C878D8" w:rsidP="00C878D8">
      <w:pPr>
        <w:spacing w:after="0" w:line="240" w:lineRule="auto"/>
        <w:jc w:val="both"/>
        <w:rPr>
          <w:rFonts w:ascii="Calibri" w:hAnsi="Calibri" w:cs="Calibri"/>
          <w:lang w:val="es-DO"/>
        </w:rPr>
      </w:pPr>
      <w:r w:rsidRPr="00FF5490">
        <w:rPr>
          <w:rFonts w:ascii="Calibri" w:hAnsi="Calibri" w:cs="Calibri"/>
          <w:lang w:val="es-DO"/>
        </w:rPr>
        <w:t>Ser LGBTI en el Caribe es un programa regional que tiene como objetivo mejorar el conocimiento, las asociaciones y las capacidades de las comunidades LGBTI, la sociedad civil y los Estados para reducir las violaciones de los derechos humanos y las actitudes negativas hacia las personas LGBTI en el Caribe. E</w:t>
      </w:r>
      <w:r w:rsidR="00DD1A33">
        <w:rPr>
          <w:rFonts w:ascii="Calibri" w:hAnsi="Calibri" w:cs="Calibri"/>
          <w:lang w:val="es-DO"/>
        </w:rPr>
        <w:t>ste</w:t>
      </w:r>
      <w:r w:rsidRPr="00FF5490">
        <w:rPr>
          <w:rFonts w:ascii="Calibri" w:hAnsi="Calibri" w:cs="Calibri"/>
          <w:lang w:val="es-DO"/>
        </w:rPr>
        <w:t xml:space="preserve"> programa regional tiene un enfoque a nivel de país en Barbados, República Dominicana, Granada, Guyana, Haití, Jamaica y Santa Lucía, así como actividades regionales. Para lograr sus objetivos, es crucial que el proyecto responda a las experiencias y necesidades de la comunidad LGBTI en el Caribe.</w:t>
      </w:r>
    </w:p>
    <w:p w14:paraId="5C253CBE" w14:textId="77777777" w:rsidR="00C878D8" w:rsidRPr="00FF5490" w:rsidRDefault="00C878D8" w:rsidP="00C878D8">
      <w:pPr>
        <w:spacing w:after="0" w:line="240" w:lineRule="auto"/>
        <w:jc w:val="both"/>
        <w:rPr>
          <w:rFonts w:ascii="Calibri" w:hAnsi="Calibri" w:cs="Calibri"/>
          <w:lang w:val="es-DO"/>
        </w:rPr>
      </w:pPr>
    </w:p>
    <w:p w14:paraId="4D824F15" w14:textId="17D8A582" w:rsidR="003C4698" w:rsidRPr="00FF5490" w:rsidRDefault="00C878D8" w:rsidP="00C878D8">
      <w:pPr>
        <w:spacing w:after="0" w:line="240" w:lineRule="auto"/>
        <w:jc w:val="both"/>
        <w:rPr>
          <w:rFonts w:ascii="Calibri" w:hAnsi="Calibri" w:cs="Calibri"/>
          <w:lang w:val="es-DO"/>
        </w:rPr>
      </w:pPr>
      <w:r w:rsidRPr="00FF5490">
        <w:rPr>
          <w:rFonts w:ascii="Calibri" w:hAnsi="Calibri" w:cs="Calibri"/>
          <w:lang w:val="es-DO"/>
        </w:rPr>
        <w:t>El programa es una colaboración entre gobiernos, sociedad civil, instituciones regionales y otras partes interesadas para promover la inclusión social de las personas lesbianas, gays, bisexuales, transgénero e intersexuales</w:t>
      </w:r>
      <w:r w:rsidR="00DD1A33">
        <w:rPr>
          <w:rFonts w:ascii="Calibri" w:hAnsi="Calibri" w:cs="Calibri"/>
          <w:lang w:val="es-DO"/>
        </w:rPr>
        <w:t xml:space="preserve"> (LGBTI)</w:t>
      </w:r>
      <w:r w:rsidRPr="00FF5490">
        <w:rPr>
          <w:rFonts w:ascii="Calibri" w:hAnsi="Calibri" w:cs="Calibri"/>
          <w:lang w:val="es-DO"/>
        </w:rPr>
        <w:t>. El programa cuenta con el apoyo de la Agencia de los Estados Unidos para el Desarrollo Internacional (USAID).</w:t>
      </w:r>
    </w:p>
    <w:p w14:paraId="39AAAA81" w14:textId="77777777" w:rsidR="00C878D8" w:rsidRPr="00FF5490" w:rsidRDefault="00C878D8" w:rsidP="00C878D8">
      <w:pPr>
        <w:spacing w:after="0" w:line="240" w:lineRule="auto"/>
        <w:jc w:val="both"/>
        <w:rPr>
          <w:rFonts w:eastAsia="Times New Roman" w:cs="Arial"/>
          <w:b/>
          <w:sz w:val="24"/>
          <w:szCs w:val="24"/>
          <w:lang w:val="es-DO"/>
        </w:rPr>
      </w:pPr>
    </w:p>
    <w:p w14:paraId="1FE7B095" w14:textId="2549C9F8" w:rsidR="00E356B9" w:rsidRPr="00FF5490" w:rsidRDefault="006265AA" w:rsidP="00807DDE">
      <w:pPr>
        <w:pStyle w:val="ListParagraph"/>
        <w:numPr>
          <w:ilvl w:val="0"/>
          <w:numId w:val="2"/>
        </w:numPr>
        <w:spacing w:after="0" w:line="240" w:lineRule="auto"/>
        <w:jc w:val="both"/>
        <w:rPr>
          <w:rFonts w:eastAsia="Times New Roman" w:cs="Arial"/>
          <w:b/>
          <w:sz w:val="24"/>
          <w:szCs w:val="24"/>
          <w:lang w:val="es-DO"/>
        </w:rPr>
      </w:pPr>
      <w:r w:rsidRPr="00FF5490">
        <w:rPr>
          <w:rFonts w:eastAsia="Times New Roman" w:cs="Arial"/>
          <w:b/>
          <w:sz w:val="24"/>
          <w:szCs w:val="24"/>
          <w:lang w:val="es-DO"/>
        </w:rPr>
        <w:t>Propósito</w:t>
      </w:r>
      <w:r w:rsidR="00C878D8" w:rsidRPr="00FF5490">
        <w:rPr>
          <w:rFonts w:eastAsia="Times New Roman" w:cs="Arial"/>
          <w:b/>
          <w:sz w:val="24"/>
          <w:szCs w:val="24"/>
          <w:lang w:val="es-DO"/>
        </w:rPr>
        <w:t xml:space="preserve"> de las subvenciones </w:t>
      </w:r>
    </w:p>
    <w:p w14:paraId="22248EA5" w14:textId="77777777" w:rsidR="00296DB5" w:rsidRPr="00FF5490" w:rsidRDefault="00296DB5" w:rsidP="00807DDE">
      <w:pPr>
        <w:spacing w:after="0" w:line="240" w:lineRule="auto"/>
        <w:jc w:val="both"/>
        <w:rPr>
          <w:rFonts w:eastAsia="Times New Roman" w:cs="Arial"/>
          <w:sz w:val="24"/>
          <w:szCs w:val="24"/>
          <w:lang w:val="es-DO"/>
        </w:rPr>
      </w:pPr>
      <w:bookmarkStart w:id="0" w:name="_Hlk6922736"/>
    </w:p>
    <w:bookmarkEnd w:id="0"/>
    <w:p w14:paraId="12A39D6E" w14:textId="77777777" w:rsidR="009C6F92" w:rsidRDefault="009C6F92" w:rsidP="009C6F92">
      <w:pPr>
        <w:spacing w:line="240" w:lineRule="auto"/>
        <w:jc w:val="both"/>
        <w:rPr>
          <w:lang w:val="es"/>
        </w:rPr>
      </w:pPr>
      <w:r w:rsidRPr="00FB4768">
        <w:rPr>
          <w:lang w:val="es"/>
        </w:rPr>
        <w:t xml:space="preserve">Sobre la base del trabajo y los resultados logrados en el marco del actual proyecto Ser LGBTI en el Caribe (BLIC) apoyado por USAID (2017-2023), la nueva fase se centrará en el empoderamiento socioeconómico de las personas transgénero y de género diverso a través de políticas públicas inclusivas e intervenciones modelo. </w:t>
      </w:r>
    </w:p>
    <w:p w14:paraId="17113C66" w14:textId="77777777" w:rsidR="00C878D8" w:rsidRPr="009C6F92" w:rsidRDefault="00C878D8" w:rsidP="00C878D8">
      <w:pPr>
        <w:spacing w:after="0" w:line="240" w:lineRule="auto"/>
        <w:jc w:val="both"/>
        <w:rPr>
          <w:rFonts w:eastAsia="Times New Roman" w:cs="Arial"/>
          <w:sz w:val="24"/>
          <w:szCs w:val="24"/>
          <w:highlight w:val="yellow"/>
          <w:lang w:val="es"/>
        </w:rPr>
      </w:pPr>
    </w:p>
    <w:p w14:paraId="14AB14E0" w14:textId="648EE7CB" w:rsidR="00326581" w:rsidRPr="00122E89" w:rsidRDefault="008D7FD4" w:rsidP="00C878D8">
      <w:pPr>
        <w:pStyle w:val="ListParagraph"/>
        <w:numPr>
          <w:ilvl w:val="0"/>
          <w:numId w:val="2"/>
        </w:numPr>
        <w:spacing w:after="0" w:line="240" w:lineRule="auto"/>
        <w:jc w:val="both"/>
        <w:rPr>
          <w:rFonts w:eastAsia="Times New Roman" w:cs="Arial"/>
          <w:b/>
          <w:sz w:val="24"/>
          <w:szCs w:val="24"/>
          <w:lang w:val="es-DO"/>
        </w:rPr>
      </w:pPr>
      <w:r w:rsidRPr="00122E89">
        <w:rPr>
          <w:rFonts w:eastAsia="Times New Roman" w:cs="Arial"/>
          <w:b/>
          <w:sz w:val="24"/>
          <w:szCs w:val="24"/>
          <w:lang w:val="es-DO"/>
        </w:rPr>
        <w:t>Resultados esperados</w:t>
      </w:r>
    </w:p>
    <w:p w14:paraId="39E77BCC" w14:textId="77777777" w:rsidR="009C52ED" w:rsidRPr="00122E89" w:rsidRDefault="009C52ED" w:rsidP="009C52ED">
      <w:pPr>
        <w:pStyle w:val="ListParagraph"/>
        <w:spacing w:after="0" w:line="240" w:lineRule="auto"/>
        <w:ind w:left="1080"/>
        <w:jc w:val="both"/>
        <w:rPr>
          <w:rFonts w:eastAsia="Times New Roman" w:cs="Arial"/>
          <w:b/>
          <w:sz w:val="24"/>
          <w:szCs w:val="24"/>
          <w:lang w:val="es-DO"/>
        </w:rPr>
      </w:pPr>
    </w:p>
    <w:p w14:paraId="730BC1A7" w14:textId="2BCBFB80" w:rsidR="008D7FD4" w:rsidRPr="00122E89" w:rsidRDefault="008D7FD4" w:rsidP="008D7FD4">
      <w:pPr>
        <w:spacing w:after="200" w:line="276" w:lineRule="auto"/>
        <w:jc w:val="both"/>
        <w:rPr>
          <w:rFonts w:eastAsia="Times New Roman" w:cs="Arial"/>
          <w:lang w:val="es-DO"/>
        </w:rPr>
      </w:pPr>
      <w:r w:rsidRPr="00122E89">
        <w:rPr>
          <w:rFonts w:eastAsia="Times New Roman" w:cs="Arial"/>
          <w:lang w:val="es-DO"/>
        </w:rPr>
        <w:t>Se espera que los beneficiarios potenciales utilicen</w:t>
      </w:r>
      <w:r w:rsidR="006C3978" w:rsidRPr="00122E89">
        <w:rPr>
          <w:rFonts w:eastAsia="Times New Roman" w:cs="Arial"/>
          <w:lang w:val="es-DO"/>
        </w:rPr>
        <w:t xml:space="preserve"> los</w:t>
      </w:r>
      <w:r w:rsidRPr="00122E89">
        <w:rPr>
          <w:rFonts w:eastAsia="Times New Roman" w:cs="Arial"/>
          <w:lang w:val="es-DO"/>
        </w:rPr>
        <w:t xml:space="preserve"> fondos de la </w:t>
      </w:r>
      <w:r w:rsidR="00C623C5" w:rsidRPr="00122E89">
        <w:rPr>
          <w:rFonts w:eastAsia="Times New Roman" w:cs="Arial"/>
          <w:lang w:val="es-DO"/>
        </w:rPr>
        <w:t>subvención</w:t>
      </w:r>
      <w:r w:rsidRPr="00122E89">
        <w:rPr>
          <w:rFonts w:eastAsia="Times New Roman" w:cs="Arial"/>
          <w:lang w:val="es-DO"/>
        </w:rPr>
        <w:t xml:space="preserve"> para entregar resultados alineados con los objetivos del </w:t>
      </w:r>
      <w:r w:rsidR="00387EEA" w:rsidRPr="00122E89">
        <w:rPr>
          <w:rFonts w:eastAsia="Times New Roman" w:cs="Arial"/>
          <w:lang w:val="es-DO"/>
        </w:rPr>
        <w:t>programa</w:t>
      </w:r>
      <w:r w:rsidRPr="00122E89">
        <w:rPr>
          <w:rFonts w:eastAsia="Times New Roman" w:cs="Arial"/>
          <w:lang w:val="es-DO"/>
        </w:rPr>
        <w:t xml:space="preserve"> </w:t>
      </w:r>
      <w:r w:rsidR="00387EEA" w:rsidRPr="00122E89">
        <w:rPr>
          <w:rFonts w:eastAsia="Times New Roman" w:cs="Arial"/>
          <w:lang w:val="es-DO"/>
        </w:rPr>
        <w:t xml:space="preserve">Ser LGBTI en El </w:t>
      </w:r>
      <w:r w:rsidR="00CB599F" w:rsidRPr="00122E89">
        <w:rPr>
          <w:rFonts w:eastAsia="Times New Roman" w:cs="Arial"/>
          <w:lang w:val="es-DO"/>
        </w:rPr>
        <w:t>Caribe:</w:t>
      </w:r>
    </w:p>
    <w:p w14:paraId="0DCBB1C2" w14:textId="25E5515B" w:rsidR="00122E89" w:rsidRPr="001E33F6" w:rsidRDefault="005A2DFC" w:rsidP="00122E89">
      <w:pPr>
        <w:spacing w:line="240" w:lineRule="auto"/>
        <w:jc w:val="both"/>
        <w:rPr>
          <w:rFonts w:asciiTheme="majorBidi" w:hAnsiTheme="majorBidi" w:cstheme="majorBidi"/>
          <w:lang w:val="es-DO"/>
        </w:rPr>
      </w:pPr>
      <w:r>
        <w:rPr>
          <w:lang w:val="es-DO"/>
        </w:rPr>
        <w:t xml:space="preserve">       I. </w:t>
      </w:r>
      <w:r w:rsidR="00122E89" w:rsidRPr="00FB4768">
        <w:rPr>
          <w:lang w:val="es"/>
        </w:rPr>
        <w:t xml:space="preserve"> Apoyar a los gobiernos de Barbados, República Dominicana, Guyana y Jamaica en la revisión de políticas para la inclusión social, económica y laboral de personas transgénero y género diverso.</w:t>
      </w:r>
    </w:p>
    <w:p w14:paraId="5A6F1E6A" w14:textId="2E616124" w:rsidR="00122E89" w:rsidRPr="001E33F6" w:rsidRDefault="005A2DFC" w:rsidP="00122E89">
      <w:pPr>
        <w:spacing w:line="240" w:lineRule="auto"/>
        <w:jc w:val="both"/>
        <w:rPr>
          <w:rFonts w:asciiTheme="majorBidi" w:hAnsiTheme="majorBidi" w:cstheme="majorBidi"/>
          <w:lang w:val="es-DO"/>
        </w:rPr>
      </w:pPr>
      <w:r>
        <w:rPr>
          <w:lang w:val="es"/>
        </w:rPr>
        <w:t xml:space="preserve">      II</w:t>
      </w:r>
      <w:r w:rsidR="00122E89" w:rsidRPr="00FB4768">
        <w:rPr>
          <w:lang w:val="es"/>
        </w:rPr>
        <w:t>. Fortalecer las capacidades de los grupos de la sociedad civil y las organizaciones comunitarias de personas transgénero para abogar por la revisión de las políticas para la inclusión económica y laboral de las personas transgénero y de género diverso.</w:t>
      </w:r>
    </w:p>
    <w:p w14:paraId="73EEB886" w14:textId="4417108E" w:rsidR="00122E89" w:rsidRPr="001E33F6" w:rsidRDefault="005A2DFC" w:rsidP="00122E89">
      <w:pPr>
        <w:spacing w:line="240" w:lineRule="auto"/>
        <w:jc w:val="both"/>
        <w:rPr>
          <w:rFonts w:asciiTheme="majorBidi" w:hAnsiTheme="majorBidi" w:cstheme="majorBidi"/>
          <w:lang w:val="es-DO"/>
        </w:rPr>
      </w:pPr>
      <w:r>
        <w:rPr>
          <w:lang w:val="es"/>
        </w:rPr>
        <w:t xml:space="preserve">      III</w:t>
      </w:r>
      <w:r w:rsidR="00122E89" w:rsidRPr="00FB4768">
        <w:rPr>
          <w:lang w:val="es"/>
        </w:rPr>
        <w:t xml:space="preserve">. Promover la inclusión económica y laboral individual de las </w:t>
      </w:r>
      <w:r w:rsidR="00C623C5">
        <w:rPr>
          <w:lang w:val="es"/>
        </w:rPr>
        <w:t>personas</w:t>
      </w:r>
      <w:r w:rsidR="00122E89" w:rsidRPr="00FB4768">
        <w:rPr>
          <w:lang w:val="es"/>
        </w:rPr>
        <w:t xml:space="preserve"> transgénero en Barbados, República Dominicana, Guyana y Jamaica. </w:t>
      </w:r>
    </w:p>
    <w:p w14:paraId="6DBB6D2C" w14:textId="3924A0CD" w:rsidR="008D7FD4" w:rsidRPr="00CB599F" w:rsidRDefault="00122E89" w:rsidP="00CB599F">
      <w:pPr>
        <w:spacing w:line="240" w:lineRule="auto"/>
        <w:rPr>
          <w:lang w:val="es"/>
        </w:rPr>
      </w:pPr>
      <w:r w:rsidRPr="00FB4768">
        <w:rPr>
          <w:lang w:val="es"/>
        </w:rPr>
        <w:t xml:space="preserve">Esta nueva fase del proyecto se implementará en colaboración con los gobiernos, la sociedad civil, las instituciones regionales y otras partes interesadas para avanzar en la inclusión socioeconómica de las </w:t>
      </w:r>
      <w:r w:rsidR="00C623C5">
        <w:rPr>
          <w:lang w:val="es"/>
        </w:rPr>
        <w:t>personas</w:t>
      </w:r>
      <w:r w:rsidRPr="00FB4768">
        <w:rPr>
          <w:lang w:val="es"/>
        </w:rPr>
        <w:t xml:space="preserve"> transgénero.</w:t>
      </w:r>
    </w:p>
    <w:p w14:paraId="079C1F72" w14:textId="77777777" w:rsidR="008D7FD4" w:rsidRDefault="008D7FD4" w:rsidP="008D7FD4">
      <w:pPr>
        <w:pStyle w:val="ListParagraph"/>
        <w:spacing w:after="200" w:line="276" w:lineRule="auto"/>
        <w:jc w:val="both"/>
        <w:rPr>
          <w:lang w:val="es-DO"/>
        </w:rPr>
      </w:pPr>
    </w:p>
    <w:p w14:paraId="7F120080" w14:textId="77777777" w:rsidR="00C712B9" w:rsidRDefault="00C712B9" w:rsidP="008D7FD4">
      <w:pPr>
        <w:pStyle w:val="ListParagraph"/>
        <w:spacing w:after="200" w:line="276" w:lineRule="auto"/>
        <w:jc w:val="both"/>
        <w:rPr>
          <w:lang w:val="es-DO"/>
        </w:rPr>
      </w:pPr>
    </w:p>
    <w:p w14:paraId="6682ECA6" w14:textId="77777777" w:rsidR="004B1FF5" w:rsidRDefault="004B1FF5" w:rsidP="008D7FD4">
      <w:pPr>
        <w:pStyle w:val="ListParagraph"/>
        <w:spacing w:after="200" w:line="276" w:lineRule="auto"/>
        <w:jc w:val="both"/>
        <w:rPr>
          <w:lang w:val="es-DO"/>
        </w:rPr>
      </w:pPr>
    </w:p>
    <w:p w14:paraId="4F526299" w14:textId="77777777" w:rsidR="004B1FF5" w:rsidRPr="00FF5490" w:rsidRDefault="004B1FF5" w:rsidP="008D7FD4">
      <w:pPr>
        <w:pStyle w:val="ListParagraph"/>
        <w:spacing w:after="200" w:line="276" w:lineRule="auto"/>
        <w:jc w:val="both"/>
        <w:rPr>
          <w:lang w:val="es-DO"/>
        </w:rPr>
      </w:pPr>
    </w:p>
    <w:p w14:paraId="78DB5605" w14:textId="4FA999B6" w:rsidR="005111A4" w:rsidRPr="00FF5490" w:rsidRDefault="00C70A05" w:rsidP="008D7FD4">
      <w:pPr>
        <w:pStyle w:val="ListParagraph"/>
        <w:numPr>
          <w:ilvl w:val="0"/>
          <w:numId w:val="2"/>
        </w:numPr>
        <w:spacing w:after="0" w:line="240" w:lineRule="auto"/>
        <w:jc w:val="both"/>
        <w:rPr>
          <w:rFonts w:eastAsia="Times New Roman" w:cs="Arial"/>
          <w:b/>
          <w:sz w:val="24"/>
          <w:szCs w:val="24"/>
          <w:lang w:val="es-DO"/>
        </w:rPr>
      </w:pPr>
      <w:r w:rsidRPr="00FF5490">
        <w:rPr>
          <w:rFonts w:eastAsia="Times New Roman" w:cs="Arial"/>
          <w:b/>
          <w:sz w:val="24"/>
          <w:szCs w:val="24"/>
          <w:lang w:val="es-DO"/>
        </w:rPr>
        <w:t>Actividades</w:t>
      </w:r>
    </w:p>
    <w:p w14:paraId="3CC791A0" w14:textId="77777777" w:rsidR="00D52248" w:rsidRPr="00FF5490" w:rsidRDefault="00D52248" w:rsidP="00C70A05">
      <w:pPr>
        <w:spacing w:after="0" w:line="240" w:lineRule="auto"/>
        <w:jc w:val="both"/>
        <w:rPr>
          <w:lang w:val="es-DO"/>
        </w:rPr>
      </w:pPr>
    </w:p>
    <w:p w14:paraId="7B1FD21E" w14:textId="768C7488" w:rsidR="00D52248" w:rsidRDefault="00D52248" w:rsidP="00D52248">
      <w:pPr>
        <w:pStyle w:val="ListParagraph"/>
        <w:numPr>
          <w:ilvl w:val="0"/>
          <w:numId w:val="27"/>
        </w:numPr>
        <w:spacing w:line="240" w:lineRule="auto"/>
        <w:jc w:val="both"/>
        <w:rPr>
          <w:rFonts w:cstheme="minorHAnsi"/>
          <w:lang w:val="es-DO"/>
        </w:rPr>
      </w:pPr>
      <w:r w:rsidRPr="009B7097">
        <w:rPr>
          <w:rFonts w:cstheme="minorHAnsi"/>
          <w:b/>
          <w:bCs/>
          <w:lang w:val="es-DO"/>
        </w:rPr>
        <w:t xml:space="preserve">Diseño del </w:t>
      </w:r>
      <w:r w:rsidR="00DE7372" w:rsidRPr="009B7097">
        <w:rPr>
          <w:rFonts w:cstheme="minorHAnsi"/>
          <w:b/>
          <w:bCs/>
          <w:lang w:val="es-DO"/>
        </w:rPr>
        <w:t xml:space="preserve">programa </w:t>
      </w:r>
      <w:r w:rsidRPr="009B7097">
        <w:rPr>
          <w:rFonts w:cstheme="minorHAnsi"/>
          <w:b/>
          <w:bCs/>
          <w:lang w:val="es-DO"/>
        </w:rPr>
        <w:t>TransFormXD</w:t>
      </w:r>
      <w:r w:rsidRPr="00633711">
        <w:rPr>
          <w:rFonts w:cstheme="minorHAnsi"/>
          <w:lang w:val="es-DO"/>
        </w:rPr>
        <w:t>. El programa estará diseñado para vincular a las mujeres trans con las oportunidades de educación y capacitación existentes en el sector público y privado, para permitir que las mujeres transgénero desarrollen las capacidades para acceder al mercado laboral. El programa incluirá apoyo financiero y psicosocial personalizado para garantizar la finalización del programa.</w:t>
      </w:r>
    </w:p>
    <w:p w14:paraId="55891320" w14:textId="77777777" w:rsidR="00D7513F" w:rsidRPr="00633711" w:rsidRDefault="00D7513F" w:rsidP="00B4278D">
      <w:pPr>
        <w:pStyle w:val="ListParagraph"/>
        <w:spacing w:line="240" w:lineRule="auto"/>
        <w:jc w:val="both"/>
        <w:rPr>
          <w:rFonts w:cstheme="minorHAnsi"/>
          <w:lang w:val="es-DO"/>
        </w:rPr>
      </w:pPr>
    </w:p>
    <w:p w14:paraId="0ECCCF66" w14:textId="77777777" w:rsidR="00D52248" w:rsidRPr="00633711" w:rsidRDefault="00D52248" w:rsidP="00D52248">
      <w:pPr>
        <w:pStyle w:val="ListParagraph"/>
        <w:numPr>
          <w:ilvl w:val="0"/>
          <w:numId w:val="27"/>
        </w:numPr>
        <w:spacing w:line="240" w:lineRule="auto"/>
        <w:jc w:val="both"/>
        <w:rPr>
          <w:rFonts w:cstheme="minorHAnsi"/>
          <w:lang w:val="es-DO"/>
        </w:rPr>
      </w:pPr>
      <w:r w:rsidRPr="00633711">
        <w:rPr>
          <w:rFonts w:cstheme="minorHAnsi"/>
          <w:lang w:val="es-DO"/>
        </w:rPr>
        <w:t>El programa facilitará el acceso a la educación permanente, programas oficiales y del sector privado (para completar la escolaridad o acceder a la universidad) o formación profesional, cursos de idiomas, registro de empresas y cursos de alfabetización digital, entre otros. Las actividades incluirán: La selección de la organización de mujeres trans en cada país para implementar el programa Transform</w:t>
      </w:r>
      <w:r>
        <w:rPr>
          <w:rFonts w:cstheme="minorHAnsi"/>
          <w:lang w:val="es-DO"/>
        </w:rPr>
        <w:t>X</w:t>
      </w:r>
      <w:r w:rsidRPr="00633711">
        <w:rPr>
          <w:rFonts w:cstheme="minorHAnsi"/>
          <w:lang w:val="es-DO"/>
        </w:rPr>
        <w:t>D.</w:t>
      </w:r>
    </w:p>
    <w:p w14:paraId="609A42F9" w14:textId="3E320E4C" w:rsidR="00D52248" w:rsidRPr="00C722ED" w:rsidRDefault="00D52248" w:rsidP="00D52248">
      <w:pPr>
        <w:pStyle w:val="ListParagraph"/>
        <w:numPr>
          <w:ilvl w:val="0"/>
          <w:numId w:val="25"/>
        </w:numPr>
        <w:spacing w:line="240" w:lineRule="auto"/>
        <w:jc w:val="both"/>
        <w:rPr>
          <w:rFonts w:cstheme="minorHAnsi"/>
          <w:lang w:val="es-DO"/>
        </w:rPr>
      </w:pPr>
      <w:r w:rsidRPr="00633711">
        <w:rPr>
          <w:rFonts w:cstheme="minorHAnsi"/>
          <w:lang w:val="es-DO"/>
        </w:rPr>
        <w:t>Diseñar un programa de mentoría. En cada una de las organizaciones de mujeres trans seleccionadas, se seleccionarán mujeres trans para un programa de tutoría anual. El programa apoyará a las mujeres trans en el desarrollo de capacidades de gestión de proyectos, bajo la supervisión del Punto Focal del programa en cada organización.</w:t>
      </w:r>
    </w:p>
    <w:p w14:paraId="19083409" w14:textId="215B55EC" w:rsidR="00D52248" w:rsidRPr="00633711" w:rsidRDefault="00D52248" w:rsidP="00D52248">
      <w:pPr>
        <w:pStyle w:val="ListParagraph"/>
        <w:numPr>
          <w:ilvl w:val="0"/>
          <w:numId w:val="25"/>
        </w:numPr>
        <w:spacing w:line="240" w:lineRule="auto"/>
        <w:jc w:val="both"/>
        <w:rPr>
          <w:rFonts w:cstheme="minorHAnsi"/>
          <w:lang w:val="es-DO"/>
        </w:rPr>
      </w:pPr>
      <w:r w:rsidRPr="00633711">
        <w:rPr>
          <w:rFonts w:cstheme="minorHAnsi"/>
          <w:lang w:val="es-DO"/>
        </w:rPr>
        <w:t>Identificar oportunidades públicas y privadas de educación y formación para mujeres trans.</w:t>
      </w:r>
    </w:p>
    <w:p w14:paraId="6AC0EE1F" w14:textId="47FC102E" w:rsidR="00D52248" w:rsidRPr="00633711" w:rsidRDefault="00D52248" w:rsidP="00D52248">
      <w:pPr>
        <w:pStyle w:val="ListParagraph"/>
        <w:numPr>
          <w:ilvl w:val="0"/>
          <w:numId w:val="25"/>
        </w:numPr>
        <w:spacing w:line="240" w:lineRule="auto"/>
        <w:jc w:val="both"/>
        <w:rPr>
          <w:rFonts w:cstheme="minorHAnsi"/>
          <w:lang w:val="es-DO"/>
        </w:rPr>
      </w:pPr>
      <w:r w:rsidRPr="00633711">
        <w:rPr>
          <w:rFonts w:cstheme="minorHAnsi"/>
          <w:lang w:val="es-DO"/>
        </w:rPr>
        <w:t>Desarrollar un sistema para la identificación y selección de potenciales beneficiarios del apoyo económico y psicosocial personalizado, junto con grupos comunitarios trans.</w:t>
      </w:r>
    </w:p>
    <w:p w14:paraId="067C0597" w14:textId="2D16AA7D" w:rsidR="00D52248" w:rsidRPr="00633711" w:rsidRDefault="00D52248" w:rsidP="00D52248">
      <w:pPr>
        <w:pStyle w:val="ListParagraph"/>
        <w:numPr>
          <w:ilvl w:val="0"/>
          <w:numId w:val="25"/>
        </w:numPr>
        <w:spacing w:line="240" w:lineRule="auto"/>
        <w:jc w:val="both"/>
        <w:rPr>
          <w:rFonts w:cstheme="minorHAnsi"/>
          <w:lang w:val="es-DO"/>
        </w:rPr>
      </w:pPr>
      <w:r w:rsidRPr="00633711">
        <w:rPr>
          <w:rFonts w:cstheme="minorHAnsi"/>
          <w:lang w:val="es-DO"/>
        </w:rPr>
        <w:t>Desarrollar una estrategia de comunicación para llegar a las mujeres trans y ofrecer enlaces a las oportunidades educativas y de capacitación existentes.</w:t>
      </w:r>
    </w:p>
    <w:p w14:paraId="5EEF1BAA" w14:textId="59974185" w:rsidR="00D52248" w:rsidRPr="00633711" w:rsidRDefault="00D52248" w:rsidP="00D52248">
      <w:pPr>
        <w:pStyle w:val="ListParagraph"/>
        <w:numPr>
          <w:ilvl w:val="0"/>
          <w:numId w:val="25"/>
        </w:numPr>
        <w:spacing w:line="240" w:lineRule="auto"/>
        <w:jc w:val="both"/>
        <w:rPr>
          <w:rFonts w:cstheme="minorHAnsi"/>
          <w:lang w:val="es-DO"/>
        </w:rPr>
      </w:pPr>
      <w:r w:rsidRPr="00633711">
        <w:rPr>
          <w:rFonts w:cstheme="minorHAnsi"/>
          <w:lang w:val="es-DO"/>
        </w:rPr>
        <w:t>Dar apoyo personalizado a las mujeres trans para acceder a las oportunidades educativas y de capacitación existentes.</w:t>
      </w:r>
    </w:p>
    <w:p w14:paraId="1605303D" w14:textId="77777777" w:rsidR="00D52248" w:rsidRPr="00633711" w:rsidRDefault="00D52248" w:rsidP="00D52248">
      <w:pPr>
        <w:pStyle w:val="ListParagraph"/>
        <w:numPr>
          <w:ilvl w:val="0"/>
          <w:numId w:val="24"/>
        </w:numPr>
        <w:spacing w:line="240" w:lineRule="auto"/>
        <w:jc w:val="both"/>
        <w:rPr>
          <w:rFonts w:cstheme="minorHAnsi"/>
          <w:lang w:val="es-DO"/>
        </w:rPr>
      </w:pPr>
      <w:r w:rsidRPr="00633711">
        <w:rPr>
          <w:rFonts w:cstheme="minorHAnsi"/>
          <w:lang w:val="es-DO"/>
        </w:rPr>
        <w:t>El programa podrá a disposición de la organización implementadora una persona especialista en salud mental y una persona trabajadora social que brindarán servicios a las mujeres trans con los siguientes propósitos:</w:t>
      </w:r>
    </w:p>
    <w:p w14:paraId="601841B7" w14:textId="77777777" w:rsidR="00D52248" w:rsidRPr="00633711" w:rsidRDefault="00D52248" w:rsidP="00D52248">
      <w:pPr>
        <w:pStyle w:val="ListParagraph"/>
        <w:numPr>
          <w:ilvl w:val="0"/>
          <w:numId w:val="26"/>
        </w:numPr>
        <w:spacing w:line="240" w:lineRule="auto"/>
        <w:jc w:val="both"/>
        <w:rPr>
          <w:rFonts w:cstheme="minorHAnsi"/>
          <w:lang w:val="es-DO"/>
        </w:rPr>
      </w:pPr>
      <w:r w:rsidRPr="00633711">
        <w:rPr>
          <w:rFonts w:cstheme="minorHAnsi"/>
          <w:lang w:val="es-DO"/>
        </w:rPr>
        <w:t>Evaluar la situación de las usuarias.</w:t>
      </w:r>
    </w:p>
    <w:p w14:paraId="1D9DF41B" w14:textId="77777777" w:rsidR="00D52248" w:rsidRPr="00633711" w:rsidRDefault="00D52248" w:rsidP="00D52248">
      <w:pPr>
        <w:pStyle w:val="ListParagraph"/>
        <w:numPr>
          <w:ilvl w:val="0"/>
          <w:numId w:val="26"/>
        </w:numPr>
        <w:spacing w:line="240" w:lineRule="auto"/>
        <w:jc w:val="both"/>
        <w:rPr>
          <w:rFonts w:cstheme="minorHAnsi"/>
          <w:lang w:val="es-DO"/>
        </w:rPr>
      </w:pPr>
      <w:r w:rsidRPr="00633711">
        <w:rPr>
          <w:rFonts w:cstheme="minorHAnsi"/>
          <w:lang w:val="es-DO"/>
        </w:rPr>
        <w:t>Planificar, junto con la usuaria, un itinerario a través de los servicios sociales existentes</w:t>
      </w:r>
    </w:p>
    <w:p w14:paraId="4FAA757E" w14:textId="77777777" w:rsidR="00D52248" w:rsidRPr="00633711" w:rsidRDefault="00D52248" w:rsidP="00D52248">
      <w:pPr>
        <w:pStyle w:val="ListParagraph"/>
        <w:numPr>
          <w:ilvl w:val="0"/>
          <w:numId w:val="26"/>
        </w:numPr>
        <w:spacing w:line="240" w:lineRule="auto"/>
        <w:jc w:val="both"/>
        <w:rPr>
          <w:rFonts w:cstheme="minorHAnsi"/>
          <w:lang w:val="es-DO"/>
        </w:rPr>
      </w:pPr>
      <w:r w:rsidRPr="00633711">
        <w:rPr>
          <w:rFonts w:cstheme="minorHAnsi"/>
          <w:lang w:val="es-DO"/>
        </w:rPr>
        <w:t>Remitir a las usuarias a iniciativas gubernamentales, de la sociedad civil y regionales LGBTQI+ sobre salud, banca, capital semilla, educación, esquemas de reducción de la pobreza y cursos en línea.</w:t>
      </w:r>
    </w:p>
    <w:p w14:paraId="596A39C4" w14:textId="77777777" w:rsidR="00D52248" w:rsidRPr="00633711" w:rsidRDefault="00D52248" w:rsidP="00D52248">
      <w:pPr>
        <w:pStyle w:val="ListParagraph"/>
        <w:numPr>
          <w:ilvl w:val="0"/>
          <w:numId w:val="26"/>
        </w:numPr>
        <w:spacing w:line="240" w:lineRule="auto"/>
        <w:jc w:val="both"/>
        <w:rPr>
          <w:rFonts w:cstheme="minorHAnsi"/>
          <w:lang w:val="es-DO"/>
        </w:rPr>
      </w:pPr>
      <w:r w:rsidRPr="00633711">
        <w:rPr>
          <w:rFonts w:cstheme="minorHAnsi"/>
          <w:lang w:val="es-DO"/>
        </w:rPr>
        <w:t>Identificar los servicios locales de salud mental para la atención sensible a la diversidad de género.</w:t>
      </w:r>
    </w:p>
    <w:p w14:paraId="5B36E99F" w14:textId="77777777" w:rsidR="00D52248" w:rsidRPr="00633711" w:rsidRDefault="00D52248" w:rsidP="00D52248">
      <w:pPr>
        <w:pStyle w:val="ListParagraph"/>
        <w:numPr>
          <w:ilvl w:val="0"/>
          <w:numId w:val="26"/>
        </w:numPr>
        <w:spacing w:line="240" w:lineRule="auto"/>
        <w:jc w:val="both"/>
        <w:rPr>
          <w:rFonts w:cstheme="minorHAnsi"/>
          <w:lang w:val="es-DO"/>
        </w:rPr>
      </w:pPr>
      <w:r w:rsidRPr="00633711">
        <w:rPr>
          <w:rFonts w:cstheme="minorHAnsi"/>
          <w:lang w:val="es-DO"/>
        </w:rPr>
        <w:t>Evaluar a las mujeres trans en la organización para acceder a servicios de salud mental.</w:t>
      </w:r>
    </w:p>
    <w:p w14:paraId="64AD554C" w14:textId="77777777" w:rsidR="00D52248" w:rsidRPr="00633711" w:rsidRDefault="00D52248" w:rsidP="00D52248">
      <w:pPr>
        <w:pStyle w:val="ListParagraph"/>
        <w:numPr>
          <w:ilvl w:val="0"/>
          <w:numId w:val="26"/>
        </w:numPr>
        <w:spacing w:line="240" w:lineRule="auto"/>
        <w:jc w:val="both"/>
        <w:rPr>
          <w:rFonts w:cstheme="minorHAnsi"/>
          <w:lang w:val="es-DO"/>
        </w:rPr>
      </w:pPr>
      <w:r w:rsidRPr="00633711">
        <w:rPr>
          <w:rFonts w:cstheme="minorHAnsi"/>
          <w:lang w:val="es-DO"/>
        </w:rPr>
        <w:t>Derivar a las mujeres trans a los servicios locales de salud mental y garantizar el seguimiento.</w:t>
      </w:r>
    </w:p>
    <w:p w14:paraId="68AE2AF6" w14:textId="77777777" w:rsidR="00D52248" w:rsidRPr="00633711" w:rsidRDefault="00D52248" w:rsidP="00D52248">
      <w:pPr>
        <w:pStyle w:val="ListParagraph"/>
        <w:numPr>
          <w:ilvl w:val="0"/>
          <w:numId w:val="26"/>
        </w:numPr>
        <w:spacing w:line="240" w:lineRule="auto"/>
        <w:jc w:val="both"/>
        <w:rPr>
          <w:rFonts w:cstheme="minorHAnsi"/>
          <w:lang w:val="es-DO"/>
        </w:rPr>
      </w:pPr>
      <w:r w:rsidRPr="00633711">
        <w:rPr>
          <w:rFonts w:cstheme="minorHAnsi"/>
          <w:lang w:val="es-DO"/>
        </w:rPr>
        <w:t>Sensibilizar al personal de los servicios locales de salud mental sobre la necesidad de respetar la identidad de género</w:t>
      </w:r>
    </w:p>
    <w:p w14:paraId="7CB2FDD9" w14:textId="1AB9696E" w:rsidR="00D52248" w:rsidRPr="00633711" w:rsidRDefault="00D52248" w:rsidP="00D52248">
      <w:pPr>
        <w:pStyle w:val="ListParagraph"/>
        <w:numPr>
          <w:ilvl w:val="0"/>
          <w:numId w:val="25"/>
        </w:numPr>
        <w:spacing w:line="240" w:lineRule="auto"/>
        <w:jc w:val="both"/>
        <w:rPr>
          <w:rFonts w:cstheme="minorHAnsi"/>
          <w:lang w:val="es-DO"/>
        </w:rPr>
      </w:pPr>
      <w:r w:rsidRPr="00633711">
        <w:rPr>
          <w:rFonts w:cstheme="minorHAnsi"/>
          <w:lang w:val="es-DO"/>
        </w:rPr>
        <w:t>Institucionalizar una feria nacional anual de trabajo trans para presentar a las mujeres trans que buscan trabajo a instituciones empleadoras que valoran la inclusión y la diversidad.</w:t>
      </w:r>
    </w:p>
    <w:p w14:paraId="79C16FE8" w14:textId="560E59D5" w:rsidR="00D52248" w:rsidRPr="00633711" w:rsidRDefault="00D52248" w:rsidP="00D52248">
      <w:pPr>
        <w:pStyle w:val="ListParagraph"/>
        <w:numPr>
          <w:ilvl w:val="0"/>
          <w:numId w:val="25"/>
        </w:numPr>
        <w:spacing w:line="240" w:lineRule="auto"/>
        <w:jc w:val="both"/>
        <w:rPr>
          <w:rFonts w:cstheme="minorHAnsi"/>
          <w:lang w:val="es-DO"/>
        </w:rPr>
      </w:pPr>
      <w:r w:rsidRPr="00633711">
        <w:rPr>
          <w:rFonts w:cstheme="minorHAnsi"/>
          <w:lang w:val="es-DO"/>
        </w:rPr>
        <w:t>Establecer una Bolsa de Trabajo inclusiva Trans, tanto en el sector público como en el privado, en coordinación con el programa TransForm</w:t>
      </w:r>
      <w:r>
        <w:rPr>
          <w:rFonts w:cstheme="minorHAnsi"/>
          <w:lang w:val="es-DO"/>
        </w:rPr>
        <w:t>x</w:t>
      </w:r>
      <w:r w:rsidRPr="00633711">
        <w:rPr>
          <w:rFonts w:cstheme="minorHAnsi"/>
          <w:lang w:val="es-DO"/>
        </w:rPr>
        <w:t>D.</w:t>
      </w:r>
    </w:p>
    <w:p w14:paraId="0E847CBE" w14:textId="77777777" w:rsidR="00C70A05" w:rsidRPr="00FF5490" w:rsidRDefault="00C70A05" w:rsidP="00C70A05">
      <w:pPr>
        <w:spacing w:after="0" w:line="240" w:lineRule="auto"/>
        <w:jc w:val="both"/>
        <w:rPr>
          <w:lang w:val="es-DO"/>
        </w:rPr>
      </w:pPr>
    </w:p>
    <w:p w14:paraId="35F1A695" w14:textId="155EA2DB" w:rsidR="00DA5FFB" w:rsidRDefault="00C70A05" w:rsidP="00C70A05">
      <w:pPr>
        <w:spacing w:after="0" w:line="240" w:lineRule="auto"/>
        <w:jc w:val="both"/>
        <w:rPr>
          <w:lang w:val="es-DO"/>
        </w:rPr>
      </w:pPr>
      <w:r w:rsidRPr="00FF5490">
        <w:rPr>
          <w:lang w:val="es-DO"/>
        </w:rPr>
        <w:t>Las actividades deben estar en línea con los esfuerzos</w:t>
      </w:r>
      <w:r w:rsidR="002A6D2D">
        <w:rPr>
          <w:lang w:val="es-DO"/>
        </w:rPr>
        <w:t xml:space="preserve"> que</w:t>
      </w:r>
      <w:r w:rsidRPr="00FF5490">
        <w:rPr>
          <w:lang w:val="es-DO"/>
        </w:rPr>
        <w:t xml:space="preserve"> internacionalmente </w:t>
      </w:r>
      <w:r w:rsidR="002A6D2D">
        <w:rPr>
          <w:lang w:val="es-DO"/>
        </w:rPr>
        <w:t xml:space="preserve">han sido </w:t>
      </w:r>
      <w:r w:rsidRPr="00FF5490">
        <w:rPr>
          <w:lang w:val="es-DO"/>
        </w:rPr>
        <w:t>aceptados</w:t>
      </w:r>
      <w:r w:rsidR="002A6D2D">
        <w:rPr>
          <w:lang w:val="es-DO"/>
        </w:rPr>
        <w:t xml:space="preserve"> como aptos</w:t>
      </w:r>
      <w:r w:rsidRPr="00FF5490">
        <w:rPr>
          <w:lang w:val="es-DO"/>
        </w:rPr>
        <w:t xml:space="preserve"> para promover los derechos humanos y / o reducir el estigma y la discriminación y / o desarrollar la capacidad de las OSC / ONG / OBC para abordar los desafíos clave</w:t>
      </w:r>
      <w:r w:rsidR="008A2FF3" w:rsidRPr="00FF5490">
        <w:rPr>
          <w:lang w:val="es-DO"/>
        </w:rPr>
        <w:t>s</w:t>
      </w:r>
      <w:r w:rsidRPr="00FF5490">
        <w:rPr>
          <w:lang w:val="es-DO"/>
        </w:rPr>
        <w:t xml:space="preserve"> relacionados con las </w:t>
      </w:r>
      <w:r w:rsidR="008A2FF3" w:rsidRPr="00FF5490">
        <w:rPr>
          <w:lang w:val="es-DO"/>
        </w:rPr>
        <w:t>personas LGBTI</w:t>
      </w:r>
      <w:r w:rsidRPr="00FF5490">
        <w:rPr>
          <w:lang w:val="es-DO"/>
        </w:rPr>
        <w:t>.</w:t>
      </w:r>
    </w:p>
    <w:p w14:paraId="7422546A" w14:textId="77777777" w:rsidR="00B4278D" w:rsidRDefault="00B4278D" w:rsidP="00C70A05">
      <w:pPr>
        <w:spacing w:after="0" w:line="240" w:lineRule="auto"/>
        <w:jc w:val="both"/>
        <w:rPr>
          <w:lang w:val="es-DO"/>
        </w:rPr>
      </w:pPr>
    </w:p>
    <w:p w14:paraId="701BF205" w14:textId="77777777" w:rsidR="00B4278D" w:rsidRDefault="00B4278D" w:rsidP="00C70A05">
      <w:pPr>
        <w:spacing w:after="0" w:line="240" w:lineRule="auto"/>
        <w:jc w:val="both"/>
        <w:rPr>
          <w:lang w:val="es-DO"/>
        </w:rPr>
      </w:pPr>
    </w:p>
    <w:p w14:paraId="2AF163FD" w14:textId="77777777" w:rsidR="00B4278D" w:rsidRDefault="00B4278D" w:rsidP="00C70A05">
      <w:pPr>
        <w:spacing w:after="0" w:line="240" w:lineRule="auto"/>
        <w:jc w:val="both"/>
        <w:rPr>
          <w:lang w:val="es-DO"/>
        </w:rPr>
      </w:pPr>
    </w:p>
    <w:p w14:paraId="4BFCD988" w14:textId="77777777" w:rsidR="00B4278D" w:rsidRPr="00FF5490" w:rsidRDefault="00B4278D" w:rsidP="00C70A05">
      <w:pPr>
        <w:spacing w:after="0" w:line="240" w:lineRule="auto"/>
        <w:jc w:val="both"/>
        <w:rPr>
          <w:lang w:val="es-DO"/>
        </w:rPr>
      </w:pPr>
    </w:p>
    <w:p w14:paraId="50B266B6" w14:textId="77777777" w:rsidR="00C70A05" w:rsidRPr="00FF5490" w:rsidRDefault="00C70A05" w:rsidP="00C70A05">
      <w:pPr>
        <w:spacing w:after="0" w:line="240" w:lineRule="auto"/>
        <w:jc w:val="both"/>
        <w:rPr>
          <w:rFonts w:eastAsia="Times New Roman" w:cs="Arial"/>
          <w:sz w:val="24"/>
          <w:szCs w:val="24"/>
          <w:lang w:val="es-DO"/>
        </w:rPr>
      </w:pPr>
    </w:p>
    <w:p w14:paraId="75075631" w14:textId="6939EEB8" w:rsidR="009C52ED" w:rsidRPr="00FF5490" w:rsidRDefault="008A2FF3" w:rsidP="008A2FF3">
      <w:pPr>
        <w:pStyle w:val="ListParagraph"/>
        <w:numPr>
          <w:ilvl w:val="0"/>
          <w:numId w:val="2"/>
        </w:numPr>
        <w:spacing w:after="0" w:line="240" w:lineRule="auto"/>
        <w:jc w:val="both"/>
        <w:rPr>
          <w:rFonts w:eastAsia="Times New Roman" w:cs="Arial"/>
          <w:b/>
          <w:sz w:val="24"/>
          <w:szCs w:val="24"/>
          <w:lang w:val="es-DO"/>
        </w:rPr>
      </w:pPr>
      <w:r w:rsidRPr="00FF5490">
        <w:rPr>
          <w:rFonts w:eastAsia="Times New Roman" w:cs="Arial"/>
          <w:b/>
          <w:sz w:val="24"/>
          <w:szCs w:val="24"/>
          <w:lang w:val="es-DO"/>
        </w:rPr>
        <w:t>Criterios de elegibilidad</w:t>
      </w:r>
    </w:p>
    <w:p w14:paraId="1CF4D766" w14:textId="77777777" w:rsidR="008A2FF3" w:rsidRPr="00FF5490" w:rsidRDefault="008A2FF3" w:rsidP="00807DDE">
      <w:pPr>
        <w:spacing w:after="0" w:line="240" w:lineRule="auto"/>
        <w:jc w:val="both"/>
        <w:rPr>
          <w:rFonts w:eastAsia="Times New Roman" w:cs="Arial"/>
          <w:lang w:val="es-DO"/>
        </w:rPr>
      </w:pPr>
      <w:bookmarkStart w:id="1" w:name="_Hlk6923274"/>
    </w:p>
    <w:p w14:paraId="38E846B5" w14:textId="77777777" w:rsidR="008A2FF3" w:rsidRPr="00FF5490" w:rsidRDefault="008A2FF3" w:rsidP="008A2FF3">
      <w:pPr>
        <w:spacing w:after="0" w:line="240" w:lineRule="auto"/>
        <w:jc w:val="both"/>
        <w:rPr>
          <w:rFonts w:eastAsia="Times New Roman" w:cs="Arial"/>
          <w:lang w:val="es-DO"/>
        </w:rPr>
      </w:pPr>
      <w:r w:rsidRPr="00FF5490">
        <w:rPr>
          <w:rFonts w:eastAsia="Times New Roman" w:cs="Arial"/>
          <w:lang w:val="es-DO"/>
        </w:rPr>
        <w:t>Las OSC / ONG / CBO interesadas deben cumplir con los siguientes criterios para ser elegibles para la selección.</w:t>
      </w:r>
    </w:p>
    <w:p w14:paraId="41ED4DAB" w14:textId="77777777" w:rsidR="008A2FF3" w:rsidRPr="00FF5490" w:rsidRDefault="008A2FF3" w:rsidP="008A2FF3">
      <w:pPr>
        <w:spacing w:after="0" w:line="240" w:lineRule="auto"/>
        <w:jc w:val="both"/>
        <w:rPr>
          <w:rFonts w:eastAsia="Times New Roman" w:cs="Arial"/>
          <w:lang w:val="es-DO"/>
        </w:rPr>
      </w:pPr>
    </w:p>
    <w:p w14:paraId="47C970A3" w14:textId="2D3C9AB3" w:rsidR="008A2FF3" w:rsidRPr="00FF5490" w:rsidRDefault="008A2FF3" w:rsidP="008A2FF3">
      <w:pPr>
        <w:pStyle w:val="ListParagraph"/>
        <w:numPr>
          <w:ilvl w:val="0"/>
          <w:numId w:val="19"/>
        </w:numPr>
        <w:spacing w:after="0" w:line="240" w:lineRule="auto"/>
        <w:jc w:val="both"/>
        <w:rPr>
          <w:rFonts w:eastAsia="Times New Roman" w:cs="Arial"/>
          <w:lang w:val="es-DO"/>
        </w:rPr>
      </w:pPr>
      <w:r w:rsidRPr="00FF5490">
        <w:rPr>
          <w:rFonts w:eastAsia="Times New Roman" w:cs="Arial"/>
          <w:lang w:val="es-DO"/>
        </w:rPr>
        <w:t>Experiencia comprobada en el trabajo en temas LGBTI.</w:t>
      </w:r>
    </w:p>
    <w:p w14:paraId="15F2FD0D" w14:textId="239763B6" w:rsidR="008A2FF3" w:rsidRPr="00FF5490" w:rsidRDefault="008A2FF3" w:rsidP="008A2FF3">
      <w:pPr>
        <w:pStyle w:val="ListParagraph"/>
        <w:numPr>
          <w:ilvl w:val="0"/>
          <w:numId w:val="19"/>
        </w:numPr>
        <w:spacing w:after="0" w:line="240" w:lineRule="auto"/>
        <w:jc w:val="both"/>
        <w:rPr>
          <w:rFonts w:eastAsia="Times New Roman" w:cs="Arial"/>
          <w:lang w:val="es-DO"/>
        </w:rPr>
      </w:pPr>
      <w:r w:rsidRPr="00FF5490">
        <w:rPr>
          <w:rFonts w:eastAsia="Times New Roman" w:cs="Arial"/>
          <w:lang w:val="es-DO"/>
        </w:rPr>
        <w:t>Las propuestas deben centrarse en los temas (salud, empleo, educación, seguridad ciudadana, acceso a la justicia, legislación inclusiva y</w:t>
      </w:r>
      <w:r w:rsidR="002A6D2D">
        <w:rPr>
          <w:rFonts w:eastAsia="Times New Roman" w:cs="Arial"/>
          <w:lang w:val="es-DO"/>
        </w:rPr>
        <w:t>/o</w:t>
      </w:r>
      <w:r w:rsidRPr="00FF5490">
        <w:rPr>
          <w:rFonts w:eastAsia="Times New Roman" w:cs="Arial"/>
          <w:lang w:val="es-DO"/>
        </w:rPr>
        <w:t xml:space="preserve"> participación política) identificados en la Sección </w:t>
      </w:r>
      <w:r w:rsidR="00502C21" w:rsidRPr="00FF5490">
        <w:rPr>
          <w:rFonts w:eastAsia="Times New Roman" w:cs="Arial"/>
          <w:lang w:val="es-DO"/>
        </w:rPr>
        <w:t>2.</w:t>
      </w:r>
    </w:p>
    <w:p w14:paraId="25E29B6A" w14:textId="04409ACD" w:rsidR="008A2FF3" w:rsidRPr="00FF5490" w:rsidRDefault="008A2FF3" w:rsidP="008A2FF3">
      <w:pPr>
        <w:pStyle w:val="ListParagraph"/>
        <w:numPr>
          <w:ilvl w:val="0"/>
          <w:numId w:val="19"/>
        </w:numPr>
        <w:spacing w:after="0" w:line="240" w:lineRule="auto"/>
        <w:jc w:val="both"/>
        <w:rPr>
          <w:rFonts w:eastAsia="Times New Roman" w:cs="Arial"/>
          <w:lang w:val="es-DO"/>
        </w:rPr>
      </w:pPr>
      <w:r w:rsidRPr="00FF5490">
        <w:rPr>
          <w:rFonts w:eastAsia="Times New Roman" w:cs="Arial"/>
          <w:lang w:val="es-DO"/>
        </w:rPr>
        <w:t xml:space="preserve">Las OSC / ONG / OBC deben tener experiencia establecida en la implementación de actividades similares </w:t>
      </w:r>
      <w:r w:rsidR="00502C21" w:rsidRPr="00FF5490">
        <w:rPr>
          <w:rFonts w:eastAsia="Times New Roman" w:cs="Arial"/>
          <w:lang w:val="es-DO"/>
        </w:rPr>
        <w:t>o</w:t>
      </w:r>
      <w:r w:rsidRPr="00FF5490">
        <w:rPr>
          <w:rFonts w:eastAsia="Times New Roman" w:cs="Arial"/>
          <w:lang w:val="es-DO"/>
        </w:rPr>
        <w:t xml:space="preserve"> relacionadas.</w:t>
      </w:r>
    </w:p>
    <w:p w14:paraId="0170F420" w14:textId="5EC5E06F" w:rsidR="008A2FF3" w:rsidRPr="00FF5490" w:rsidRDefault="008A2FF3" w:rsidP="008A2FF3">
      <w:pPr>
        <w:pStyle w:val="ListParagraph"/>
        <w:numPr>
          <w:ilvl w:val="0"/>
          <w:numId w:val="19"/>
        </w:numPr>
        <w:spacing w:after="0" w:line="240" w:lineRule="auto"/>
        <w:jc w:val="both"/>
        <w:rPr>
          <w:rFonts w:eastAsia="Times New Roman" w:cs="Arial"/>
          <w:lang w:val="es-DO"/>
        </w:rPr>
      </w:pPr>
      <w:r w:rsidRPr="00FF5490">
        <w:rPr>
          <w:rFonts w:eastAsia="Times New Roman" w:cs="Arial"/>
          <w:lang w:val="es-DO"/>
        </w:rPr>
        <w:t>Las OSC / ONG / OBC deben estar legalmente registradas</w:t>
      </w:r>
      <w:r w:rsidR="006265AA">
        <w:rPr>
          <w:rFonts w:eastAsia="Times New Roman" w:cs="Arial"/>
          <w:lang w:val="es-DO"/>
        </w:rPr>
        <w:t xml:space="preserve"> en República Dominicana</w:t>
      </w:r>
      <w:r w:rsidRPr="00FF5490">
        <w:rPr>
          <w:rFonts w:eastAsia="Times New Roman" w:cs="Arial"/>
          <w:lang w:val="es-DO"/>
        </w:rPr>
        <w:t>, las organizaciones que no están legalmente registradas pueden presentar propuestas junto con otras organizaciones como coalición.</w:t>
      </w:r>
      <w:r w:rsidR="000F72CF">
        <w:rPr>
          <w:rFonts w:eastAsia="Times New Roman" w:cs="Arial"/>
          <w:lang w:val="es-DO"/>
        </w:rPr>
        <w:t xml:space="preserve"> En el caso de tratarse de coalición, la organización principal que presente la propuesta deberá cumplir con todos los requisitos de elegibilidad; </w:t>
      </w:r>
    </w:p>
    <w:p w14:paraId="65520F18" w14:textId="3F8420E8" w:rsidR="008A2FF3" w:rsidRPr="00FF5490" w:rsidRDefault="008A2FF3" w:rsidP="008A2FF3">
      <w:pPr>
        <w:pStyle w:val="ListParagraph"/>
        <w:numPr>
          <w:ilvl w:val="0"/>
          <w:numId w:val="19"/>
        </w:numPr>
        <w:spacing w:after="0" w:line="240" w:lineRule="auto"/>
        <w:jc w:val="both"/>
        <w:rPr>
          <w:rFonts w:eastAsia="Times New Roman" w:cs="Arial"/>
          <w:lang w:val="es-DO"/>
        </w:rPr>
      </w:pPr>
      <w:r w:rsidRPr="00FF5490">
        <w:rPr>
          <w:rFonts w:eastAsia="Times New Roman" w:cs="Arial"/>
          <w:lang w:val="es-DO"/>
        </w:rPr>
        <w:t>Las OSC / ONG / OBC deben tener una cuenta bancaria a su nombre.</w:t>
      </w:r>
    </w:p>
    <w:p w14:paraId="1819F0A7" w14:textId="078EC269" w:rsidR="008A2FF3" w:rsidRPr="00FF5490" w:rsidRDefault="008A2FF3" w:rsidP="008A2FF3">
      <w:pPr>
        <w:pStyle w:val="ListParagraph"/>
        <w:numPr>
          <w:ilvl w:val="0"/>
          <w:numId w:val="19"/>
        </w:numPr>
        <w:spacing w:after="0" w:line="240" w:lineRule="auto"/>
        <w:jc w:val="both"/>
        <w:rPr>
          <w:rFonts w:eastAsia="Times New Roman" w:cs="Arial"/>
          <w:lang w:val="es-DO"/>
        </w:rPr>
      </w:pPr>
      <w:r w:rsidRPr="00FF5490">
        <w:rPr>
          <w:rFonts w:eastAsia="Times New Roman" w:cs="Arial"/>
          <w:lang w:val="es-DO"/>
        </w:rPr>
        <w:t>Al colaborar con una institución pública o privada, se adjuntará una carta de la institución correspondiente que acepte la colaboración.</w:t>
      </w:r>
    </w:p>
    <w:p w14:paraId="3631E8F2" w14:textId="674430EA" w:rsidR="008A2FF3" w:rsidRDefault="008A2FF3" w:rsidP="008A2FF3">
      <w:pPr>
        <w:pStyle w:val="ListParagraph"/>
        <w:numPr>
          <w:ilvl w:val="0"/>
          <w:numId w:val="19"/>
        </w:numPr>
        <w:spacing w:after="0" w:line="240" w:lineRule="auto"/>
        <w:jc w:val="both"/>
        <w:rPr>
          <w:rFonts w:eastAsia="Times New Roman" w:cs="Arial"/>
          <w:lang w:val="es-DO"/>
        </w:rPr>
      </w:pPr>
      <w:r w:rsidRPr="00FF5490">
        <w:rPr>
          <w:rFonts w:eastAsia="Times New Roman" w:cs="Arial"/>
          <w:lang w:val="es-DO"/>
        </w:rPr>
        <w:t>Se debe incluir una copia de los documentos fundacionales y la certificación del registro legal en la propuesta.</w:t>
      </w:r>
    </w:p>
    <w:p w14:paraId="3E1569FC" w14:textId="4290472B" w:rsidR="006265AA" w:rsidRPr="00FF5490" w:rsidRDefault="006265AA" w:rsidP="008A2FF3">
      <w:pPr>
        <w:pStyle w:val="ListParagraph"/>
        <w:numPr>
          <w:ilvl w:val="0"/>
          <w:numId w:val="19"/>
        </w:numPr>
        <w:spacing w:after="0" w:line="240" w:lineRule="auto"/>
        <w:jc w:val="both"/>
        <w:rPr>
          <w:rFonts w:eastAsia="Times New Roman" w:cs="Arial"/>
          <w:lang w:val="es-DO"/>
        </w:rPr>
      </w:pPr>
      <w:r w:rsidRPr="006265AA">
        <w:rPr>
          <w:rFonts w:eastAsia="Times New Roman" w:cs="Arial"/>
          <w:lang w:val="es-DO"/>
        </w:rPr>
        <w:t xml:space="preserve">Solo serán elegibles organizaciones LGBTI*. </w:t>
      </w:r>
    </w:p>
    <w:p w14:paraId="33C2612F" w14:textId="77777777" w:rsidR="008A2FF3" w:rsidRPr="00FF5490" w:rsidRDefault="008A2FF3" w:rsidP="008A2FF3">
      <w:pPr>
        <w:spacing w:after="0" w:line="240" w:lineRule="auto"/>
        <w:jc w:val="both"/>
        <w:rPr>
          <w:rFonts w:eastAsia="Times New Roman" w:cs="Arial"/>
          <w:lang w:val="es-DO"/>
        </w:rPr>
      </w:pPr>
    </w:p>
    <w:p w14:paraId="11B89177" w14:textId="37E7E951" w:rsidR="00E356B9" w:rsidRDefault="008A2FF3" w:rsidP="008A2FF3">
      <w:pPr>
        <w:spacing w:after="0" w:line="240" w:lineRule="auto"/>
        <w:jc w:val="both"/>
        <w:rPr>
          <w:rFonts w:eastAsia="Times New Roman" w:cs="Arial"/>
          <w:sz w:val="24"/>
          <w:szCs w:val="24"/>
          <w:lang w:val="es-DO"/>
        </w:rPr>
      </w:pPr>
      <w:r w:rsidRPr="00FF5490">
        <w:rPr>
          <w:rFonts w:eastAsia="Times New Roman" w:cs="Arial"/>
          <w:lang w:val="es-DO"/>
        </w:rPr>
        <w:t>Será posible que una coalición de OSC / ONG / OBC presente propuestas. En tal caso, debe adjuntarse a la propuesta una carta firmada por cada parte de la organización de la propuesta conjunta que indique la voluntad de participar en dicha coalición. En el caso de las coaliciones, la OSC / ONG / CBO líder/responsable debe ser una organización LGBTI.</w:t>
      </w:r>
      <w:r w:rsidR="00DA5FFB" w:rsidRPr="00FF5490">
        <w:rPr>
          <w:rFonts w:eastAsia="Times New Roman" w:cs="Arial"/>
          <w:sz w:val="24"/>
          <w:szCs w:val="24"/>
          <w:lang w:val="es-DO"/>
        </w:rPr>
        <w:t xml:space="preserve">  </w:t>
      </w:r>
      <w:bookmarkEnd w:id="1"/>
    </w:p>
    <w:p w14:paraId="56EEAAA8" w14:textId="1D15CDE5" w:rsidR="00387EEA" w:rsidRDefault="00387EEA" w:rsidP="008A2FF3">
      <w:pPr>
        <w:spacing w:after="0" w:line="240" w:lineRule="auto"/>
        <w:jc w:val="both"/>
        <w:rPr>
          <w:rFonts w:eastAsia="Times New Roman" w:cs="Arial"/>
          <w:sz w:val="24"/>
          <w:szCs w:val="24"/>
          <w:lang w:val="es-DO"/>
        </w:rPr>
      </w:pPr>
    </w:p>
    <w:p w14:paraId="68887C04" w14:textId="165CC893" w:rsidR="00387EEA" w:rsidRPr="00ED1C4B" w:rsidRDefault="00387EEA" w:rsidP="008A2FF3">
      <w:pPr>
        <w:spacing w:after="0" w:line="240" w:lineRule="auto"/>
        <w:jc w:val="both"/>
        <w:rPr>
          <w:rFonts w:eastAsia="Times New Roman" w:cs="Arial"/>
          <w:i/>
          <w:iCs/>
          <w:sz w:val="24"/>
          <w:szCs w:val="24"/>
          <w:lang w:val="es-DO"/>
        </w:rPr>
      </w:pPr>
      <w:r w:rsidRPr="00ED1C4B">
        <w:rPr>
          <w:rFonts w:eastAsia="Times New Roman" w:cs="Arial"/>
          <w:i/>
          <w:iCs/>
          <w:sz w:val="24"/>
          <w:szCs w:val="24"/>
          <w:lang w:val="es-DO"/>
        </w:rPr>
        <w:t>*Las organizaciones son LGBTI si más de la mitad de su personal y la junta directiva son personas que se identifican como miembros de la comunidad LGBTI y/o los objetivos y la misión principal de la organización establecen claramente un enfoque LGBTI.</w:t>
      </w:r>
    </w:p>
    <w:p w14:paraId="00875F23" w14:textId="645969E0" w:rsidR="00387EEA" w:rsidRDefault="00387EEA" w:rsidP="008A2FF3">
      <w:pPr>
        <w:spacing w:after="0" w:line="240" w:lineRule="auto"/>
        <w:jc w:val="both"/>
        <w:rPr>
          <w:rFonts w:eastAsia="Times New Roman" w:cs="Arial"/>
          <w:sz w:val="24"/>
          <w:szCs w:val="24"/>
          <w:lang w:val="es-DO"/>
        </w:rPr>
      </w:pPr>
    </w:p>
    <w:p w14:paraId="7D0CE0ED" w14:textId="77777777" w:rsidR="008A2FF3" w:rsidRPr="00FF5490" w:rsidRDefault="008A2FF3" w:rsidP="008A2FF3">
      <w:pPr>
        <w:spacing w:after="0" w:line="240" w:lineRule="auto"/>
        <w:jc w:val="both"/>
        <w:rPr>
          <w:rFonts w:eastAsia="Times New Roman" w:cs="Times New Roman"/>
          <w:sz w:val="24"/>
          <w:szCs w:val="24"/>
          <w:lang w:val="es-DO"/>
        </w:rPr>
      </w:pPr>
    </w:p>
    <w:p w14:paraId="2A951082" w14:textId="4B65ABFD" w:rsidR="00D51844" w:rsidRPr="00FF5490" w:rsidRDefault="00502C21" w:rsidP="00502C21">
      <w:pPr>
        <w:pStyle w:val="ListParagraph"/>
        <w:numPr>
          <w:ilvl w:val="0"/>
          <w:numId w:val="2"/>
        </w:numPr>
        <w:spacing w:after="0" w:line="240" w:lineRule="auto"/>
        <w:jc w:val="both"/>
        <w:rPr>
          <w:rFonts w:eastAsia="Times New Roman" w:cs="Arial"/>
          <w:b/>
          <w:sz w:val="24"/>
          <w:szCs w:val="24"/>
          <w:lang w:val="es-DO"/>
        </w:rPr>
      </w:pPr>
      <w:r w:rsidRPr="00FF5490">
        <w:rPr>
          <w:rFonts w:eastAsia="Times New Roman" w:cs="Arial"/>
          <w:b/>
          <w:sz w:val="24"/>
          <w:szCs w:val="24"/>
          <w:lang w:val="es-DO"/>
        </w:rPr>
        <w:t>Metodología propuesta, enfoque y plan de implementación</w:t>
      </w:r>
    </w:p>
    <w:p w14:paraId="42270AEB" w14:textId="475BE8C9" w:rsidR="00276175" w:rsidRDefault="007C3B51" w:rsidP="00807DDE">
      <w:pPr>
        <w:spacing w:after="0" w:line="240" w:lineRule="auto"/>
        <w:jc w:val="both"/>
        <w:rPr>
          <w:rFonts w:eastAsia="Times New Roman" w:cs="Arial"/>
          <w:lang w:val="es-DO"/>
        </w:rPr>
      </w:pPr>
      <w:r w:rsidRPr="00ED1C4B">
        <w:rPr>
          <w:rFonts w:eastAsia="Times New Roman" w:cs="Arial"/>
          <w:b/>
          <w:bCs/>
          <w:lang w:val="es-DO"/>
        </w:rPr>
        <w:t>Todas las propuestas deben ser sometidas a través del formulario de aplicación anexo</w:t>
      </w:r>
      <w:r w:rsidRPr="00FF5490">
        <w:rPr>
          <w:rFonts w:eastAsia="Times New Roman" w:cs="Arial"/>
          <w:lang w:val="es-DO"/>
        </w:rPr>
        <w:t>.</w:t>
      </w:r>
      <w:r w:rsidR="004477D3" w:rsidRPr="00FF5490">
        <w:rPr>
          <w:rFonts w:eastAsia="Times New Roman" w:cs="Arial"/>
          <w:lang w:val="es-DO"/>
        </w:rPr>
        <w:t xml:space="preserve"> </w:t>
      </w:r>
      <w:r w:rsidRPr="00FF5490">
        <w:rPr>
          <w:rFonts w:eastAsia="Times New Roman" w:cs="Arial"/>
          <w:lang w:val="es-DO"/>
        </w:rPr>
        <w:t xml:space="preserve">Esta </w:t>
      </w:r>
      <w:r w:rsidR="000B594E" w:rsidRPr="00FF5490">
        <w:rPr>
          <w:rFonts w:eastAsia="Times New Roman" w:cs="Arial"/>
          <w:lang w:val="es-DO"/>
        </w:rPr>
        <w:t>sección</w:t>
      </w:r>
      <w:r w:rsidRPr="00FF5490">
        <w:rPr>
          <w:rFonts w:eastAsia="Times New Roman" w:cs="Arial"/>
          <w:lang w:val="es-DO"/>
        </w:rPr>
        <w:t xml:space="preserve"> </w:t>
      </w:r>
      <w:r w:rsidR="000B594E" w:rsidRPr="00FF5490">
        <w:rPr>
          <w:rFonts w:eastAsia="Times New Roman" w:cs="Arial"/>
          <w:lang w:val="es-DO"/>
        </w:rPr>
        <w:t>debería</w:t>
      </w:r>
      <w:r w:rsidRPr="00FF5490">
        <w:rPr>
          <w:rFonts w:eastAsia="Times New Roman" w:cs="Arial"/>
          <w:lang w:val="es-DO"/>
        </w:rPr>
        <w:t xml:space="preserve"> demostrar que la OSC/ONG/OBC abordara los </w:t>
      </w:r>
      <w:r w:rsidR="000B594E" w:rsidRPr="00FF5490">
        <w:rPr>
          <w:rFonts w:eastAsia="Times New Roman" w:cs="Arial"/>
          <w:lang w:val="es-DO"/>
        </w:rPr>
        <w:t>desafíos</w:t>
      </w:r>
      <w:r w:rsidRPr="00FF5490">
        <w:rPr>
          <w:rFonts w:eastAsia="Times New Roman" w:cs="Arial"/>
          <w:lang w:val="es-DO"/>
        </w:rPr>
        <w:t xml:space="preserve"> particulares por los cuales está requiriendo fondos</w:t>
      </w:r>
      <w:r w:rsidR="003A7338" w:rsidRPr="00FF5490">
        <w:rPr>
          <w:rFonts w:eastAsia="Times New Roman" w:cs="Arial"/>
          <w:lang w:val="es-DO"/>
        </w:rPr>
        <w:t>,</w:t>
      </w:r>
      <w:r w:rsidR="00E356B9" w:rsidRPr="00FF5490">
        <w:rPr>
          <w:rFonts w:eastAsia="Times New Roman" w:cs="Arial"/>
          <w:lang w:val="es-DO"/>
        </w:rPr>
        <w:t xml:space="preserve"> </w:t>
      </w:r>
      <w:r w:rsidRPr="00FF5490">
        <w:rPr>
          <w:rFonts w:eastAsia="Times New Roman" w:cs="Arial"/>
          <w:lang w:val="es-DO"/>
        </w:rPr>
        <w:t xml:space="preserve">al identificar los componentes específicos </w:t>
      </w:r>
      <w:r w:rsidR="000B594E" w:rsidRPr="00FF5490">
        <w:rPr>
          <w:rFonts w:eastAsia="Times New Roman" w:cs="Arial"/>
          <w:lang w:val="es-DO"/>
        </w:rPr>
        <w:t>y proveyendo una descripción detallada del rendimiento propuesto.</w:t>
      </w:r>
      <w:r w:rsidR="00E356B9" w:rsidRPr="00FF5490">
        <w:rPr>
          <w:rFonts w:eastAsia="Times New Roman" w:cs="Arial"/>
          <w:lang w:val="es-DO"/>
        </w:rPr>
        <w:t xml:space="preserve"> </w:t>
      </w:r>
      <w:r w:rsidR="000B594E" w:rsidRPr="00FF5490">
        <w:rPr>
          <w:rFonts w:eastAsia="Times New Roman" w:cs="Arial"/>
          <w:lang w:val="es-DO"/>
        </w:rPr>
        <w:t>Se deberá considerar las condiciones locales y el ambiente operativo en el cual la propuesta de proyecto será implementada</w:t>
      </w:r>
      <w:r w:rsidR="00E356B9" w:rsidRPr="00FF5490">
        <w:rPr>
          <w:rFonts w:eastAsia="Times New Roman" w:cs="Arial"/>
          <w:lang w:val="es-DO"/>
        </w:rPr>
        <w:t xml:space="preserve">. </w:t>
      </w:r>
    </w:p>
    <w:p w14:paraId="14A2686C" w14:textId="77777777" w:rsidR="00AF4FF7" w:rsidRPr="00FF5490" w:rsidRDefault="00AF4FF7" w:rsidP="00807DDE">
      <w:pPr>
        <w:spacing w:after="0" w:line="240" w:lineRule="auto"/>
        <w:jc w:val="both"/>
        <w:rPr>
          <w:rFonts w:eastAsia="Times New Roman" w:cs="Arial"/>
          <w:lang w:val="es-DO"/>
        </w:rPr>
      </w:pPr>
    </w:p>
    <w:p w14:paraId="55DADEA5" w14:textId="0B38BA0D" w:rsidR="006B6A44" w:rsidRPr="00FF5490" w:rsidRDefault="000B594E" w:rsidP="00C70A05">
      <w:pPr>
        <w:pStyle w:val="ListParagraph"/>
        <w:numPr>
          <w:ilvl w:val="0"/>
          <w:numId w:val="2"/>
        </w:numPr>
        <w:spacing w:after="0" w:line="240" w:lineRule="auto"/>
        <w:jc w:val="both"/>
        <w:rPr>
          <w:rFonts w:eastAsia="Times New Roman" w:cs="Arial"/>
          <w:b/>
          <w:sz w:val="24"/>
          <w:szCs w:val="24"/>
          <w:lang w:val="es-DO"/>
        </w:rPr>
      </w:pPr>
      <w:r w:rsidRPr="00FF5490">
        <w:rPr>
          <w:rFonts w:eastAsia="Times New Roman" w:cs="Arial"/>
          <w:b/>
          <w:sz w:val="24"/>
          <w:szCs w:val="24"/>
          <w:lang w:val="es-DO"/>
        </w:rPr>
        <w:t xml:space="preserve">Duración y Presupuesto </w:t>
      </w:r>
    </w:p>
    <w:p w14:paraId="020CD4F8" w14:textId="77777777" w:rsidR="003A7338" w:rsidRPr="00FF5490" w:rsidRDefault="003A7338" w:rsidP="00807DDE">
      <w:pPr>
        <w:spacing w:after="0" w:line="240" w:lineRule="auto"/>
        <w:jc w:val="both"/>
        <w:rPr>
          <w:rFonts w:eastAsia="Times New Roman" w:cs="Arial"/>
          <w:lang w:val="es-DO"/>
        </w:rPr>
      </w:pPr>
    </w:p>
    <w:p w14:paraId="2BE30505" w14:textId="278FB785" w:rsidR="002B1AFA" w:rsidRPr="00C9521B" w:rsidRDefault="000B594E" w:rsidP="00C9521B">
      <w:pPr>
        <w:jc w:val="both"/>
        <w:rPr>
          <w:rFonts w:ascii="Calibri" w:eastAsia="Times New Roman" w:hAnsi="Calibri" w:cs="Calibri"/>
          <w:color w:val="000000"/>
        </w:rPr>
      </w:pPr>
      <w:r w:rsidRPr="00FF5490">
        <w:rPr>
          <w:rFonts w:eastAsia="Times New Roman" w:cs="Arial"/>
          <w:lang w:val="es-DO"/>
        </w:rPr>
        <w:t xml:space="preserve">Un total de </w:t>
      </w:r>
      <w:r w:rsidR="00101C5B" w:rsidRPr="00FF5490">
        <w:rPr>
          <w:rFonts w:eastAsia="Times New Roman" w:cs="Arial"/>
          <w:lang w:val="es-DO"/>
        </w:rPr>
        <w:t>US</w:t>
      </w:r>
      <w:r w:rsidRPr="00FF5490">
        <w:rPr>
          <w:rFonts w:eastAsia="Times New Roman" w:cs="Arial"/>
          <w:lang w:val="es-DO"/>
        </w:rPr>
        <w:t>D</w:t>
      </w:r>
      <w:r w:rsidR="00942816" w:rsidRPr="00AF4FF7">
        <w:rPr>
          <w:rFonts w:ascii="Calibri" w:eastAsia="Times New Roman" w:hAnsi="Calibri" w:cs="Calibri"/>
          <w:color w:val="000000"/>
          <w:lang w:val="es-DO"/>
        </w:rPr>
        <w:t xml:space="preserve"> 92,664.00 </w:t>
      </w:r>
      <w:r w:rsidRPr="00FF5490">
        <w:rPr>
          <w:rFonts w:eastAsia="Times New Roman" w:cs="Arial"/>
          <w:lang w:val="es-DO"/>
        </w:rPr>
        <w:t>está disponible</w:t>
      </w:r>
      <w:r w:rsidR="00C9521B">
        <w:rPr>
          <w:rFonts w:eastAsia="Times New Roman" w:cs="Arial"/>
          <w:lang w:val="es-DO"/>
        </w:rPr>
        <w:t xml:space="preserve"> para esta subvención.</w:t>
      </w:r>
      <w:r w:rsidR="003C4B98" w:rsidRPr="00FF5490">
        <w:rPr>
          <w:rFonts w:eastAsia="Times New Roman" w:cs="Arial"/>
          <w:lang w:val="es-DO"/>
        </w:rPr>
        <w:t xml:space="preserve"> </w:t>
      </w:r>
      <w:r w:rsidRPr="00FF5490">
        <w:rPr>
          <w:rFonts w:eastAsia="Times New Roman" w:cs="Arial"/>
          <w:lang w:val="es-DO"/>
        </w:rPr>
        <w:t xml:space="preserve">El periodo de tiempo para la implementación de la </w:t>
      </w:r>
      <w:r w:rsidR="00C9521B" w:rsidRPr="00FF5490">
        <w:rPr>
          <w:rFonts w:eastAsia="Times New Roman" w:cs="Arial"/>
          <w:lang w:val="es-DO"/>
        </w:rPr>
        <w:t>subvenció</w:t>
      </w:r>
      <w:r w:rsidR="00C9521B">
        <w:rPr>
          <w:rFonts w:eastAsia="Times New Roman" w:cs="Arial"/>
          <w:lang w:val="es-DO"/>
        </w:rPr>
        <w:t>n</w:t>
      </w:r>
      <w:r w:rsidRPr="00FF5490">
        <w:rPr>
          <w:rFonts w:eastAsia="Times New Roman" w:cs="Arial"/>
          <w:lang w:val="es-DO"/>
        </w:rPr>
        <w:t xml:space="preserve"> </w:t>
      </w:r>
      <w:r w:rsidR="00627936" w:rsidRPr="00FF5490">
        <w:rPr>
          <w:rFonts w:eastAsia="Times New Roman" w:cs="Arial"/>
          <w:lang w:val="es-DO"/>
        </w:rPr>
        <w:t>es de un máximo de</w:t>
      </w:r>
      <w:r w:rsidR="002B1AFA" w:rsidRPr="00FF5490">
        <w:rPr>
          <w:rFonts w:eastAsia="Times New Roman" w:cs="Arial"/>
          <w:lang w:val="es-DO"/>
        </w:rPr>
        <w:t xml:space="preserve"> </w:t>
      </w:r>
      <w:r w:rsidR="00C9521B">
        <w:rPr>
          <w:rFonts w:eastAsia="Times New Roman" w:cs="Arial"/>
          <w:lang w:val="es-DO"/>
        </w:rPr>
        <w:t>doce</w:t>
      </w:r>
      <w:r w:rsidR="001E2539" w:rsidRPr="00FF5490">
        <w:rPr>
          <w:rFonts w:eastAsia="Times New Roman" w:cs="Arial"/>
          <w:lang w:val="es-DO"/>
        </w:rPr>
        <w:t xml:space="preserve"> </w:t>
      </w:r>
      <w:r w:rsidR="00807DDE" w:rsidRPr="00FF5490">
        <w:rPr>
          <w:rFonts w:eastAsia="Times New Roman" w:cs="Arial"/>
          <w:lang w:val="es-DO"/>
        </w:rPr>
        <w:t>(</w:t>
      </w:r>
      <w:r w:rsidR="00627936" w:rsidRPr="00FF5490">
        <w:rPr>
          <w:rFonts w:eastAsia="Times New Roman" w:cs="Arial"/>
          <w:lang w:val="es-DO"/>
        </w:rPr>
        <w:t>1</w:t>
      </w:r>
      <w:r w:rsidR="00D23D6C">
        <w:rPr>
          <w:rFonts w:eastAsia="Times New Roman" w:cs="Arial"/>
          <w:lang w:val="es-DO"/>
        </w:rPr>
        <w:t>2</w:t>
      </w:r>
      <w:r w:rsidR="00807DDE" w:rsidRPr="00FF5490">
        <w:rPr>
          <w:rFonts w:eastAsia="Times New Roman" w:cs="Arial"/>
          <w:lang w:val="es-DO"/>
        </w:rPr>
        <w:t>) m</w:t>
      </w:r>
      <w:r w:rsidR="00627936" w:rsidRPr="00FF5490">
        <w:rPr>
          <w:rFonts w:eastAsia="Times New Roman" w:cs="Arial"/>
          <w:lang w:val="es-DO"/>
        </w:rPr>
        <w:t>e</w:t>
      </w:r>
      <w:r w:rsidR="00807DDE" w:rsidRPr="00FF5490">
        <w:rPr>
          <w:rFonts w:eastAsia="Times New Roman" w:cs="Arial"/>
          <w:lang w:val="es-DO"/>
        </w:rPr>
        <w:t>s</w:t>
      </w:r>
      <w:r w:rsidR="00627936" w:rsidRPr="00FF5490">
        <w:rPr>
          <w:rFonts w:eastAsia="Times New Roman" w:cs="Arial"/>
          <w:lang w:val="es-DO"/>
        </w:rPr>
        <w:t>es</w:t>
      </w:r>
      <w:r w:rsidR="002B1AFA" w:rsidRPr="00FF5490">
        <w:rPr>
          <w:rFonts w:eastAsia="Times New Roman" w:cs="Arial"/>
          <w:lang w:val="es-DO"/>
        </w:rPr>
        <w:t xml:space="preserve">, </w:t>
      </w:r>
      <w:r w:rsidR="00627936" w:rsidRPr="00FF5490">
        <w:rPr>
          <w:rFonts w:eastAsia="Times New Roman" w:cs="Arial"/>
          <w:lang w:val="es-DO"/>
        </w:rPr>
        <w:t xml:space="preserve">iniciando </w:t>
      </w:r>
      <w:r w:rsidR="00C9521B">
        <w:rPr>
          <w:rFonts w:eastAsia="Times New Roman" w:cs="Arial"/>
          <w:lang w:val="es-DO"/>
        </w:rPr>
        <w:t>con la firma del contrato</w:t>
      </w:r>
      <w:r w:rsidR="00807DDE" w:rsidRPr="00FF5490">
        <w:rPr>
          <w:rFonts w:eastAsia="Times New Roman" w:cs="Arial"/>
          <w:lang w:val="es-DO"/>
        </w:rPr>
        <w:t xml:space="preserve">. </w:t>
      </w:r>
      <w:r w:rsidR="00627936" w:rsidRPr="00FF5490">
        <w:rPr>
          <w:rFonts w:eastAsia="Times New Roman" w:cs="Arial"/>
          <w:lang w:val="es-DO"/>
        </w:rPr>
        <w:t>Los costos administrativos no deberían superar el 10% del total del presupuesto.</w:t>
      </w:r>
      <w:r w:rsidR="004373C5" w:rsidRPr="00FF5490">
        <w:rPr>
          <w:rFonts w:eastAsia="Times New Roman" w:cs="Arial"/>
          <w:lang w:val="es-DO"/>
        </w:rPr>
        <w:t xml:space="preserve"> </w:t>
      </w:r>
      <w:r w:rsidR="00627936" w:rsidRPr="00FF5490">
        <w:rPr>
          <w:rFonts w:eastAsia="Times New Roman" w:cs="Arial"/>
          <w:lang w:val="es-DO"/>
        </w:rPr>
        <w:t xml:space="preserve">Los fondos serán desembolsados en </w:t>
      </w:r>
      <w:r w:rsidR="00C9521B">
        <w:rPr>
          <w:rFonts w:eastAsia="Times New Roman" w:cs="Arial"/>
          <w:lang w:val="es-DO"/>
        </w:rPr>
        <w:t>dos</w:t>
      </w:r>
      <w:r w:rsidR="00627936" w:rsidRPr="00FF5490">
        <w:rPr>
          <w:rFonts w:eastAsia="Times New Roman" w:cs="Arial"/>
          <w:lang w:val="es-DO"/>
        </w:rPr>
        <w:t xml:space="preserve"> </w:t>
      </w:r>
      <w:r w:rsidR="00C9521B">
        <w:rPr>
          <w:rFonts w:eastAsia="Times New Roman" w:cs="Arial"/>
          <w:lang w:val="es-DO"/>
        </w:rPr>
        <w:t>partidas.</w:t>
      </w:r>
    </w:p>
    <w:p w14:paraId="3F445FB7" w14:textId="228F82B4" w:rsidR="00326581" w:rsidRPr="00FF5490" w:rsidRDefault="00627936" w:rsidP="00C70A05">
      <w:pPr>
        <w:pStyle w:val="ListParagraph"/>
        <w:numPr>
          <w:ilvl w:val="0"/>
          <w:numId w:val="2"/>
        </w:numPr>
        <w:spacing w:after="0" w:line="240" w:lineRule="auto"/>
        <w:jc w:val="both"/>
        <w:rPr>
          <w:rFonts w:eastAsia="Times New Roman" w:cs="Arial"/>
          <w:b/>
          <w:sz w:val="24"/>
          <w:szCs w:val="24"/>
          <w:lang w:val="es-DO"/>
        </w:rPr>
      </w:pPr>
      <w:r w:rsidRPr="00FF5490">
        <w:rPr>
          <w:rFonts w:eastAsia="Times New Roman" w:cs="Arial"/>
          <w:b/>
          <w:sz w:val="24"/>
          <w:szCs w:val="24"/>
          <w:lang w:val="es-DO"/>
        </w:rPr>
        <w:t>Estructura de gestión y recursos (personal clave</w:t>
      </w:r>
      <w:r w:rsidR="00E356B9" w:rsidRPr="00FF5490">
        <w:rPr>
          <w:rFonts w:eastAsia="Times New Roman" w:cs="Arial"/>
          <w:b/>
          <w:sz w:val="24"/>
          <w:szCs w:val="24"/>
          <w:lang w:val="es-DO"/>
        </w:rPr>
        <w:t>)</w:t>
      </w:r>
      <w:r w:rsidRPr="00FF5490">
        <w:rPr>
          <w:rFonts w:eastAsia="Times New Roman" w:cs="Arial"/>
          <w:b/>
          <w:sz w:val="24"/>
          <w:szCs w:val="24"/>
          <w:lang w:val="es-DO"/>
        </w:rPr>
        <w:t xml:space="preserve"> </w:t>
      </w:r>
    </w:p>
    <w:p w14:paraId="6DA10C03" w14:textId="77777777" w:rsidR="003A7338" w:rsidRPr="00FF5490" w:rsidRDefault="003A7338" w:rsidP="00807DDE">
      <w:pPr>
        <w:spacing w:after="0" w:line="240" w:lineRule="auto"/>
        <w:jc w:val="both"/>
        <w:rPr>
          <w:rFonts w:eastAsia="Times New Roman" w:cs="Arial"/>
          <w:lang w:val="es-DO"/>
        </w:rPr>
      </w:pPr>
    </w:p>
    <w:p w14:paraId="7C79EEBD" w14:textId="6E5E757B" w:rsidR="00276175" w:rsidRPr="00FF5490" w:rsidRDefault="00627936" w:rsidP="00807DDE">
      <w:pPr>
        <w:spacing w:after="0" w:line="240" w:lineRule="auto"/>
        <w:jc w:val="both"/>
        <w:rPr>
          <w:rFonts w:eastAsia="Times New Roman" w:cs="Arial"/>
          <w:lang w:val="es-DO"/>
        </w:rPr>
      </w:pPr>
      <w:r w:rsidRPr="00FF5490">
        <w:rPr>
          <w:rFonts w:eastAsia="Times New Roman" w:cs="Arial"/>
          <w:lang w:val="es-DO"/>
        </w:rPr>
        <w:t>Esta sección debe incluir una descripción completa de la estructura de gestión e información sobre el personal clave (incluid</w:t>
      </w:r>
      <w:r w:rsidR="00195962" w:rsidRPr="00FF5490">
        <w:rPr>
          <w:rFonts w:eastAsia="Times New Roman" w:cs="Arial"/>
          <w:lang w:val="es-DO"/>
        </w:rPr>
        <w:t>a</w:t>
      </w:r>
      <w:r w:rsidRPr="00FF5490">
        <w:rPr>
          <w:rFonts w:eastAsia="Times New Roman" w:cs="Arial"/>
          <w:lang w:val="es-DO"/>
        </w:rPr>
        <w:t xml:space="preserve"> </w:t>
      </w:r>
      <w:r w:rsidR="00195962" w:rsidRPr="00FF5490">
        <w:rPr>
          <w:rFonts w:eastAsia="Times New Roman" w:cs="Arial"/>
          <w:lang w:val="es-DO"/>
        </w:rPr>
        <w:t>la</w:t>
      </w:r>
      <w:r w:rsidR="00C61DA1" w:rsidRPr="00FF5490">
        <w:rPr>
          <w:rFonts w:eastAsia="Times New Roman" w:cs="Arial"/>
          <w:lang w:val="es-DO"/>
        </w:rPr>
        <w:t>s</w:t>
      </w:r>
      <w:r w:rsidR="00195962" w:rsidRPr="00FF5490">
        <w:rPr>
          <w:rFonts w:eastAsia="Times New Roman" w:cs="Arial"/>
          <w:lang w:val="es-DO"/>
        </w:rPr>
        <w:t xml:space="preserve"> hoja</w:t>
      </w:r>
      <w:r w:rsidR="00C61DA1" w:rsidRPr="00FF5490">
        <w:rPr>
          <w:rFonts w:eastAsia="Times New Roman" w:cs="Arial"/>
          <w:lang w:val="es-DO"/>
        </w:rPr>
        <w:t>s</w:t>
      </w:r>
      <w:r w:rsidR="00195962" w:rsidRPr="00FF5490">
        <w:rPr>
          <w:rFonts w:eastAsia="Times New Roman" w:cs="Arial"/>
          <w:lang w:val="es-DO"/>
        </w:rPr>
        <w:t xml:space="preserve"> de vida</w:t>
      </w:r>
      <w:r w:rsidRPr="00FF5490">
        <w:rPr>
          <w:rFonts w:eastAsia="Times New Roman" w:cs="Arial"/>
          <w:lang w:val="es-DO"/>
        </w:rPr>
        <w:t xml:space="preserve">) que se asignará para respaldar la implementación de la metodología propuesta, definiendo claramente las funciones y responsabilidades con respecto a la propuesta </w:t>
      </w:r>
      <w:r w:rsidR="00195962" w:rsidRPr="00FF5490">
        <w:rPr>
          <w:rFonts w:eastAsia="Times New Roman" w:cs="Arial"/>
          <w:lang w:val="es-DO"/>
        </w:rPr>
        <w:t>metodológica</w:t>
      </w:r>
      <w:r w:rsidRPr="00FF5490">
        <w:rPr>
          <w:rFonts w:eastAsia="Times New Roman" w:cs="Arial"/>
          <w:lang w:val="es-DO"/>
        </w:rPr>
        <w:t>. L</w:t>
      </w:r>
      <w:r w:rsidR="00195962" w:rsidRPr="00FF5490">
        <w:rPr>
          <w:rFonts w:eastAsia="Times New Roman" w:cs="Arial"/>
          <w:lang w:val="es-DO"/>
        </w:rPr>
        <w:t>a</w:t>
      </w:r>
      <w:r w:rsidRPr="00FF5490">
        <w:rPr>
          <w:rFonts w:eastAsia="Times New Roman" w:cs="Arial"/>
          <w:lang w:val="es-DO"/>
        </w:rPr>
        <w:t xml:space="preserve">s </w:t>
      </w:r>
      <w:r w:rsidR="00195962" w:rsidRPr="00FF5490">
        <w:rPr>
          <w:rFonts w:eastAsia="Times New Roman" w:cs="Arial"/>
          <w:lang w:val="es-DO"/>
        </w:rPr>
        <w:t xml:space="preserve">hojas </w:t>
      </w:r>
      <w:r w:rsidR="00195962" w:rsidRPr="00FF5490">
        <w:rPr>
          <w:rFonts w:eastAsia="Times New Roman" w:cs="Arial"/>
          <w:lang w:val="es-DO"/>
        </w:rPr>
        <w:lastRenderedPageBreak/>
        <w:t>de vida</w:t>
      </w:r>
      <w:r w:rsidRPr="00FF5490">
        <w:rPr>
          <w:rFonts w:eastAsia="Times New Roman" w:cs="Arial"/>
          <w:lang w:val="es-DO"/>
        </w:rPr>
        <w:t xml:space="preserve"> deben establecer competencia y demostrar calificaciones en áreas relevantes para la propuesta de proyecto.</w:t>
      </w:r>
    </w:p>
    <w:p w14:paraId="1261F284" w14:textId="77777777" w:rsidR="00627936" w:rsidRDefault="00627936" w:rsidP="00807DDE">
      <w:pPr>
        <w:spacing w:after="0" w:line="240" w:lineRule="auto"/>
        <w:jc w:val="both"/>
        <w:rPr>
          <w:rFonts w:eastAsia="Times New Roman" w:cs="Arial"/>
          <w:sz w:val="24"/>
          <w:szCs w:val="24"/>
          <w:lang w:val="es-DO"/>
        </w:rPr>
      </w:pPr>
    </w:p>
    <w:p w14:paraId="3DA5C065" w14:textId="77777777" w:rsidR="00936FAC" w:rsidRDefault="00936FAC" w:rsidP="00807DDE">
      <w:pPr>
        <w:spacing w:after="0" w:line="240" w:lineRule="auto"/>
        <w:jc w:val="both"/>
        <w:rPr>
          <w:rFonts w:eastAsia="Times New Roman" w:cs="Arial"/>
          <w:sz w:val="24"/>
          <w:szCs w:val="24"/>
          <w:lang w:val="es-DO"/>
        </w:rPr>
      </w:pPr>
    </w:p>
    <w:p w14:paraId="5A4E5C6E" w14:textId="77777777" w:rsidR="00936FAC" w:rsidRPr="00FF5490" w:rsidRDefault="00936FAC" w:rsidP="00807DDE">
      <w:pPr>
        <w:spacing w:after="0" w:line="240" w:lineRule="auto"/>
        <w:jc w:val="both"/>
        <w:rPr>
          <w:rFonts w:eastAsia="Times New Roman" w:cs="Arial"/>
          <w:sz w:val="24"/>
          <w:szCs w:val="24"/>
          <w:lang w:val="es-DO"/>
        </w:rPr>
      </w:pPr>
    </w:p>
    <w:p w14:paraId="6CC8D346" w14:textId="131410B7" w:rsidR="00E26935" w:rsidRPr="00FF5490" w:rsidRDefault="00627936" w:rsidP="00C70A05">
      <w:pPr>
        <w:pStyle w:val="ListParagraph"/>
        <w:numPr>
          <w:ilvl w:val="0"/>
          <w:numId w:val="2"/>
        </w:numPr>
        <w:spacing w:after="0" w:line="240" w:lineRule="auto"/>
        <w:jc w:val="both"/>
        <w:rPr>
          <w:rFonts w:eastAsia="Times New Roman" w:cs="Arial"/>
          <w:b/>
          <w:sz w:val="24"/>
          <w:szCs w:val="24"/>
          <w:lang w:val="es-DO"/>
        </w:rPr>
      </w:pPr>
      <w:r w:rsidRPr="00FF5490">
        <w:rPr>
          <w:rFonts w:eastAsia="Times New Roman" w:cs="Arial"/>
          <w:b/>
          <w:sz w:val="24"/>
          <w:szCs w:val="24"/>
          <w:lang w:val="es-DO"/>
        </w:rPr>
        <w:t xml:space="preserve">Criterios de Evaluación y Metodología </w:t>
      </w:r>
    </w:p>
    <w:p w14:paraId="34259039" w14:textId="77777777" w:rsidR="003A7338" w:rsidRPr="00FF5490" w:rsidRDefault="003A7338" w:rsidP="00807DDE">
      <w:pPr>
        <w:spacing w:after="0" w:line="240" w:lineRule="auto"/>
        <w:jc w:val="both"/>
        <w:rPr>
          <w:rFonts w:eastAsia="Times New Roman" w:cs="Arial"/>
          <w:lang w:val="es-DO"/>
        </w:rPr>
      </w:pPr>
    </w:p>
    <w:p w14:paraId="6F5E2621" w14:textId="796DF870" w:rsidR="00E26935" w:rsidRPr="00FF5490" w:rsidRDefault="00627936" w:rsidP="00807DDE">
      <w:pPr>
        <w:spacing w:after="0" w:line="240" w:lineRule="auto"/>
        <w:jc w:val="both"/>
        <w:rPr>
          <w:rFonts w:eastAsia="Times New Roman" w:cs="Arial"/>
          <w:lang w:val="es-DO"/>
        </w:rPr>
      </w:pPr>
      <w:r w:rsidRPr="00FF5490">
        <w:rPr>
          <w:rFonts w:eastAsia="Times New Roman" w:cs="Arial"/>
          <w:lang w:val="es-DO"/>
        </w:rPr>
        <w:t>Las aplicaciones serán evaluadas por un comité basado en los siguientes criterios</w:t>
      </w:r>
      <w:r w:rsidR="00E356B9" w:rsidRPr="00FF5490">
        <w:rPr>
          <w:rFonts w:eastAsia="Times New Roman" w:cs="Arial"/>
          <w:lang w:val="es-DO"/>
        </w:rPr>
        <w:t>:</w:t>
      </w:r>
    </w:p>
    <w:p w14:paraId="7D42DD98" w14:textId="77777777" w:rsidR="003A7338" w:rsidRPr="00FF5490" w:rsidRDefault="003A7338" w:rsidP="00807DDE">
      <w:pPr>
        <w:spacing w:after="0" w:line="240" w:lineRule="auto"/>
        <w:jc w:val="both"/>
        <w:rPr>
          <w:rFonts w:eastAsia="Times New Roman" w:cs="Arial"/>
          <w:lang w:val="es-DO"/>
        </w:rPr>
      </w:pPr>
    </w:p>
    <w:p w14:paraId="02CD3443" w14:textId="647EE66F" w:rsidR="00C61DA1" w:rsidRPr="00FF5490" w:rsidRDefault="00C61DA1" w:rsidP="00C61DA1">
      <w:pPr>
        <w:pStyle w:val="ListParagraph"/>
        <w:numPr>
          <w:ilvl w:val="1"/>
          <w:numId w:val="2"/>
        </w:numPr>
        <w:jc w:val="both"/>
        <w:rPr>
          <w:rFonts w:eastAsia="Times New Roman" w:cs="Arial"/>
          <w:u w:val="single"/>
          <w:lang w:val="es-DO"/>
        </w:rPr>
      </w:pPr>
      <w:r w:rsidRPr="00FF5490">
        <w:rPr>
          <w:rFonts w:eastAsia="Times New Roman" w:cs="Arial"/>
          <w:u w:val="single"/>
          <w:lang w:val="es-DO"/>
        </w:rPr>
        <w:t>Coherencia con los objetivos de la subvención:</w:t>
      </w:r>
      <w:r w:rsidRPr="00FF5490">
        <w:rPr>
          <w:rFonts w:eastAsia="Times New Roman" w:cs="Arial"/>
          <w:lang w:val="es-DO"/>
        </w:rPr>
        <w:t xml:space="preserve"> la propuesta debe demostrar la comprensión de las tareas a realizar, el conocimiento de las poblaciones LGBTI y la experiencia en abordar cuestiones relacionadas con la orientación sexual, la identidad de género y / o el </w:t>
      </w:r>
      <w:r w:rsidR="00982FE3">
        <w:rPr>
          <w:rFonts w:eastAsia="Times New Roman" w:cs="Arial"/>
          <w:lang w:val="es-DO"/>
        </w:rPr>
        <w:t xml:space="preserve">estatus </w:t>
      </w:r>
      <w:r w:rsidRPr="00FF5490">
        <w:rPr>
          <w:rFonts w:eastAsia="Times New Roman" w:cs="Arial"/>
          <w:lang w:val="es-DO"/>
        </w:rPr>
        <w:t>intersexual.</w:t>
      </w:r>
    </w:p>
    <w:p w14:paraId="155A9E5F" w14:textId="59743255" w:rsidR="00C61DA1" w:rsidRPr="00FF5490" w:rsidRDefault="00C61DA1" w:rsidP="00C61DA1">
      <w:pPr>
        <w:pStyle w:val="ListParagraph"/>
        <w:numPr>
          <w:ilvl w:val="1"/>
          <w:numId w:val="2"/>
        </w:numPr>
        <w:jc w:val="both"/>
        <w:rPr>
          <w:rFonts w:eastAsia="Times New Roman" w:cs="Arial"/>
          <w:u w:val="single"/>
          <w:lang w:val="es-DO"/>
        </w:rPr>
      </w:pPr>
      <w:r w:rsidRPr="00FF5490">
        <w:rPr>
          <w:rFonts w:eastAsia="Times New Roman" w:cs="Arial"/>
          <w:u w:val="single"/>
          <w:lang w:val="es-DO"/>
        </w:rPr>
        <w:t>Capacidad de la organización:</w:t>
      </w:r>
      <w:r w:rsidRPr="00FF5490">
        <w:rPr>
          <w:rFonts w:eastAsia="Times New Roman" w:cs="Arial"/>
          <w:lang w:val="es-DO"/>
        </w:rPr>
        <w:t xml:space="preserve"> las OSC / ONG / OBC deben demostrar la capacidad de gestionar eficazmente los fondos de subvención, así como la capacidad institucional necesaria para la implementación del proyecto. Adjunte acuerdos de subvención relevantes o evaluaciones de proyectos anteriores implementados por la organización.</w:t>
      </w:r>
    </w:p>
    <w:p w14:paraId="507A668C" w14:textId="28062831" w:rsidR="00C61DA1" w:rsidRPr="00FF5490" w:rsidRDefault="00C61DA1" w:rsidP="00C61DA1">
      <w:pPr>
        <w:pStyle w:val="ListParagraph"/>
        <w:numPr>
          <w:ilvl w:val="1"/>
          <w:numId w:val="2"/>
        </w:numPr>
        <w:jc w:val="both"/>
        <w:rPr>
          <w:rFonts w:eastAsia="Times New Roman" w:cs="Arial"/>
          <w:u w:val="single"/>
          <w:lang w:val="es-DO"/>
        </w:rPr>
      </w:pPr>
      <w:r w:rsidRPr="00FF5490">
        <w:rPr>
          <w:rFonts w:eastAsia="Times New Roman" w:cs="Arial"/>
          <w:u w:val="single"/>
          <w:lang w:val="es-DO"/>
        </w:rPr>
        <w:t>Propuesta técnica sólida:</w:t>
      </w:r>
      <w:r w:rsidRPr="00FF5490">
        <w:rPr>
          <w:rFonts w:eastAsia="Times New Roman" w:cs="Arial"/>
          <w:lang w:val="es-DO"/>
        </w:rPr>
        <w:t xml:space="preserve"> la propuesta debe definir claramente su estrategia de implementación detallando un plan de proyecto paso a paso y un presupuesto detallado, grupos objetivo y plazos claros para la duración de la actividad.</w:t>
      </w:r>
    </w:p>
    <w:p w14:paraId="1698596F" w14:textId="2D3CA603" w:rsidR="00E356B9" w:rsidRPr="00FF5490" w:rsidRDefault="00C61DA1" w:rsidP="00C61DA1">
      <w:pPr>
        <w:pStyle w:val="ListParagraph"/>
        <w:numPr>
          <w:ilvl w:val="1"/>
          <w:numId w:val="2"/>
        </w:numPr>
        <w:jc w:val="both"/>
        <w:rPr>
          <w:sz w:val="24"/>
          <w:szCs w:val="24"/>
          <w:lang w:val="es-DO"/>
        </w:rPr>
      </w:pPr>
      <w:r w:rsidRPr="00FF5490">
        <w:rPr>
          <w:rFonts w:eastAsia="Times New Roman" w:cs="Arial"/>
          <w:u w:val="single"/>
          <w:lang w:val="es-DO"/>
        </w:rPr>
        <w:t xml:space="preserve">Experiencia y </w:t>
      </w:r>
      <w:r w:rsidR="00BF19C2" w:rsidRPr="00FF5490">
        <w:rPr>
          <w:rFonts w:eastAsia="Times New Roman" w:cs="Arial"/>
          <w:u w:val="single"/>
          <w:lang w:val="es-DO"/>
        </w:rPr>
        <w:t>experticia</w:t>
      </w:r>
      <w:r w:rsidRPr="00FF5490">
        <w:rPr>
          <w:rFonts w:eastAsia="Times New Roman" w:cs="Arial"/>
          <w:u w:val="single"/>
          <w:lang w:val="es-DO"/>
        </w:rPr>
        <w:t>:</w:t>
      </w:r>
      <w:r w:rsidRPr="00FF5490">
        <w:rPr>
          <w:rFonts w:eastAsia="Times New Roman" w:cs="Arial"/>
          <w:lang w:val="es-DO"/>
        </w:rPr>
        <w:t xml:space="preserve"> Las OSC / ONG / OBC deben demostrar que el personal de la organización tiene experiencia previa en campos relacionados, habilidades y capacitación necesarias para implementar las actividades.</w:t>
      </w:r>
    </w:p>
    <w:p w14:paraId="61E39B69" w14:textId="77777777" w:rsidR="00C61DA1" w:rsidRPr="00FF5490" w:rsidRDefault="00C61DA1" w:rsidP="00C61DA1">
      <w:pPr>
        <w:pStyle w:val="ListParagraph"/>
        <w:ind w:left="1440"/>
        <w:jc w:val="both"/>
        <w:rPr>
          <w:sz w:val="24"/>
          <w:szCs w:val="24"/>
          <w:lang w:val="es-DO"/>
        </w:rPr>
      </w:pPr>
    </w:p>
    <w:p w14:paraId="6A3FBF18" w14:textId="31B42CF5" w:rsidR="001C6295" w:rsidRPr="00FF5490" w:rsidRDefault="00FF5490" w:rsidP="00FF5490">
      <w:pPr>
        <w:pStyle w:val="ListParagraph"/>
        <w:numPr>
          <w:ilvl w:val="0"/>
          <w:numId w:val="2"/>
        </w:numPr>
        <w:spacing w:after="0" w:line="240" w:lineRule="auto"/>
        <w:jc w:val="both"/>
        <w:rPr>
          <w:rFonts w:eastAsia="Times New Roman" w:cs="Arial"/>
          <w:b/>
          <w:sz w:val="24"/>
          <w:szCs w:val="24"/>
          <w:lang w:val="es-DO"/>
        </w:rPr>
      </w:pPr>
      <w:r w:rsidRPr="00FF5490">
        <w:rPr>
          <w:rFonts w:eastAsia="Times New Roman" w:cs="Arial"/>
          <w:b/>
          <w:sz w:val="24"/>
          <w:szCs w:val="24"/>
          <w:lang w:val="es-DO"/>
        </w:rPr>
        <w:t>Presentación del paquete de solicitud</w:t>
      </w:r>
    </w:p>
    <w:p w14:paraId="0DDD2059" w14:textId="77777777" w:rsidR="00FF5490" w:rsidRPr="00FF5490" w:rsidRDefault="00FF5490" w:rsidP="00FF5490">
      <w:pPr>
        <w:spacing w:after="0" w:line="240" w:lineRule="auto"/>
        <w:rPr>
          <w:sz w:val="24"/>
          <w:szCs w:val="24"/>
          <w:lang w:val="es-DO"/>
        </w:rPr>
      </w:pPr>
    </w:p>
    <w:p w14:paraId="43E4F415" w14:textId="65DCE6E7" w:rsidR="00B070A8" w:rsidRPr="00FF5490" w:rsidRDefault="00FF5490" w:rsidP="00387EEA">
      <w:pPr>
        <w:spacing w:after="0" w:line="240" w:lineRule="auto"/>
        <w:jc w:val="both"/>
        <w:rPr>
          <w:sz w:val="24"/>
          <w:szCs w:val="24"/>
          <w:lang w:val="es-DO"/>
        </w:rPr>
      </w:pPr>
      <w:r w:rsidRPr="00FF5490">
        <w:rPr>
          <w:sz w:val="24"/>
          <w:szCs w:val="24"/>
          <w:lang w:val="es-DO"/>
        </w:rPr>
        <w:t xml:space="preserve">La propuesta y los documentos de respaldo deben enviarse por correo electrónico a </w:t>
      </w:r>
      <w:bookmarkStart w:id="2" w:name="_Hlk148450742"/>
      <w:r w:rsidR="00710806">
        <w:rPr>
          <w:sz w:val="24"/>
          <w:szCs w:val="24"/>
          <w:lang w:val="es-DO"/>
        </w:rPr>
        <w:fldChar w:fldCharType="begin"/>
      </w:r>
      <w:r w:rsidR="00710806">
        <w:rPr>
          <w:sz w:val="24"/>
          <w:szCs w:val="24"/>
          <w:lang w:val="es-DO"/>
        </w:rPr>
        <w:instrText>HYPERLINK "mailto:</w:instrText>
      </w:r>
      <w:r w:rsidR="00710806" w:rsidRPr="00710806">
        <w:rPr>
          <w:sz w:val="24"/>
          <w:szCs w:val="24"/>
          <w:lang w:val="es-DO"/>
        </w:rPr>
        <w:instrText>engels.guzman.candelario@undp.org</w:instrText>
      </w:r>
      <w:r w:rsidR="00710806">
        <w:rPr>
          <w:sz w:val="24"/>
          <w:szCs w:val="24"/>
          <w:lang w:val="es-DO"/>
        </w:rPr>
        <w:instrText>"</w:instrText>
      </w:r>
      <w:r w:rsidR="00710806">
        <w:rPr>
          <w:sz w:val="24"/>
          <w:szCs w:val="24"/>
          <w:lang w:val="es-DO"/>
        </w:rPr>
      </w:r>
      <w:r w:rsidR="00710806">
        <w:rPr>
          <w:sz w:val="24"/>
          <w:szCs w:val="24"/>
          <w:lang w:val="es-DO"/>
        </w:rPr>
        <w:fldChar w:fldCharType="separate"/>
      </w:r>
      <w:r w:rsidR="00710806" w:rsidRPr="005C0D1B">
        <w:rPr>
          <w:rStyle w:val="Hyperlink"/>
          <w:sz w:val="24"/>
          <w:szCs w:val="24"/>
          <w:lang w:val="es-DO"/>
        </w:rPr>
        <w:t>engels.guzman.candelario@undp.org</w:t>
      </w:r>
      <w:r w:rsidR="00710806">
        <w:rPr>
          <w:sz w:val="24"/>
          <w:szCs w:val="24"/>
          <w:lang w:val="es-DO"/>
        </w:rPr>
        <w:fldChar w:fldCharType="end"/>
      </w:r>
      <w:bookmarkEnd w:id="2"/>
      <w:r w:rsidRPr="00FF5490">
        <w:rPr>
          <w:sz w:val="24"/>
          <w:szCs w:val="24"/>
          <w:lang w:val="es-DO"/>
        </w:rPr>
        <w:t xml:space="preserve">. Las preguntas sobre esta convocatoria de propuestas también deben dirigirse a </w:t>
      </w:r>
      <w:hyperlink r:id="rId14" w:history="1">
        <w:r w:rsidR="00710806" w:rsidRPr="005C0D1B">
          <w:rPr>
            <w:rStyle w:val="Hyperlink"/>
            <w:sz w:val="24"/>
            <w:szCs w:val="24"/>
            <w:lang w:val="es-DO"/>
          </w:rPr>
          <w:t>engels.guzman.candelario@undp.org</w:t>
        </w:r>
      </w:hyperlink>
    </w:p>
    <w:p w14:paraId="13DB02F3" w14:textId="77777777" w:rsidR="00FF5490" w:rsidRPr="00FF5490" w:rsidRDefault="00FF5490" w:rsidP="00B070A8">
      <w:pPr>
        <w:spacing w:after="0" w:line="240" w:lineRule="auto"/>
        <w:jc w:val="center"/>
        <w:rPr>
          <w:b/>
          <w:bCs/>
          <w:sz w:val="24"/>
          <w:szCs w:val="24"/>
          <w:lang w:val="es-DO"/>
        </w:rPr>
      </w:pPr>
    </w:p>
    <w:p w14:paraId="275BA1A0" w14:textId="5B427323" w:rsidR="008A2FF3" w:rsidRPr="00FF5490" w:rsidRDefault="008A2FF3" w:rsidP="00B070A8">
      <w:pPr>
        <w:spacing w:after="0" w:line="240" w:lineRule="auto"/>
        <w:jc w:val="center"/>
        <w:rPr>
          <w:b/>
          <w:bCs/>
          <w:sz w:val="24"/>
          <w:szCs w:val="24"/>
          <w:lang w:val="es-DO"/>
        </w:rPr>
      </w:pPr>
      <w:r w:rsidRPr="00FF5490">
        <w:rPr>
          <w:b/>
          <w:bCs/>
          <w:sz w:val="24"/>
          <w:szCs w:val="24"/>
          <w:lang w:val="es-DO"/>
        </w:rPr>
        <w:t>Asunto: Propuesta subvención</w:t>
      </w:r>
      <w:r w:rsidR="007D1359">
        <w:rPr>
          <w:b/>
          <w:bCs/>
          <w:sz w:val="24"/>
          <w:szCs w:val="24"/>
          <w:lang w:val="es-DO"/>
        </w:rPr>
        <w:t>-Provisión de</w:t>
      </w:r>
      <w:r w:rsidR="00277DF9">
        <w:rPr>
          <w:b/>
          <w:bCs/>
          <w:sz w:val="24"/>
          <w:szCs w:val="24"/>
          <w:lang w:val="es-DO"/>
        </w:rPr>
        <w:t xml:space="preserve"> Servicios para personas TRANS</w:t>
      </w:r>
      <w:r w:rsidR="00CE2BA3">
        <w:rPr>
          <w:b/>
          <w:bCs/>
          <w:sz w:val="24"/>
          <w:szCs w:val="24"/>
          <w:lang w:val="es-DO"/>
        </w:rPr>
        <w:t xml:space="preserve">- </w:t>
      </w:r>
      <w:r w:rsidR="00CE2BA3" w:rsidRPr="00FF5490">
        <w:rPr>
          <w:b/>
          <w:bCs/>
          <w:sz w:val="24"/>
          <w:szCs w:val="24"/>
          <w:lang w:val="es-DO"/>
        </w:rPr>
        <w:t>Proyecto</w:t>
      </w:r>
      <w:r w:rsidRPr="00FF5490">
        <w:rPr>
          <w:b/>
          <w:bCs/>
          <w:sz w:val="24"/>
          <w:szCs w:val="24"/>
          <w:lang w:val="es-DO"/>
        </w:rPr>
        <w:t xml:space="preserve"> Ser LGBTI en El Caribe</w:t>
      </w:r>
    </w:p>
    <w:p w14:paraId="5D7BFAA1" w14:textId="58229AE7" w:rsidR="008A2FF3" w:rsidRPr="00FF5490" w:rsidRDefault="00C70A05" w:rsidP="008A2FF3">
      <w:pPr>
        <w:spacing w:after="0" w:line="240" w:lineRule="auto"/>
        <w:jc w:val="center"/>
        <w:rPr>
          <w:b/>
          <w:sz w:val="24"/>
          <w:szCs w:val="24"/>
          <w:lang w:val="es-DO"/>
        </w:rPr>
      </w:pPr>
      <w:r w:rsidRPr="00FF5490">
        <w:rPr>
          <w:b/>
          <w:sz w:val="24"/>
          <w:szCs w:val="24"/>
          <w:lang w:val="es-DO"/>
        </w:rPr>
        <w:t>Atención a</w:t>
      </w:r>
      <w:r w:rsidR="00CA743D" w:rsidRPr="00FF5490">
        <w:rPr>
          <w:b/>
          <w:sz w:val="24"/>
          <w:szCs w:val="24"/>
          <w:lang w:val="es-DO"/>
        </w:rPr>
        <w:t xml:space="preserve">: </w:t>
      </w:r>
      <w:r w:rsidR="00277DF9">
        <w:rPr>
          <w:b/>
          <w:sz w:val="24"/>
          <w:szCs w:val="24"/>
          <w:lang w:val="es-DO"/>
        </w:rPr>
        <w:t>En</w:t>
      </w:r>
      <w:r w:rsidR="00C62111">
        <w:rPr>
          <w:b/>
          <w:sz w:val="24"/>
          <w:szCs w:val="24"/>
          <w:lang w:val="es-DO"/>
        </w:rPr>
        <w:t>gels Guzmán</w:t>
      </w:r>
      <w:r w:rsidR="008A2FF3" w:rsidRPr="00FF5490">
        <w:rPr>
          <w:b/>
          <w:sz w:val="24"/>
          <w:szCs w:val="24"/>
          <w:lang w:val="es-DO"/>
        </w:rPr>
        <w:t>, As</w:t>
      </w:r>
      <w:r w:rsidR="00C62111">
        <w:rPr>
          <w:b/>
          <w:sz w:val="24"/>
          <w:szCs w:val="24"/>
          <w:lang w:val="es-DO"/>
        </w:rPr>
        <w:t>ociado de Proyecto</w:t>
      </w:r>
      <w:r w:rsidR="008A2FF3" w:rsidRPr="00FF5490">
        <w:rPr>
          <w:b/>
          <w:sz w:val="24"/>
          <w:szCs w:val="24"/>
          <w:lang w:val="es-DO"/>
        </w:rPr>
        <w:t xml:space="preserve">, PNUD República Dominicana </w:t>
      </w:r>
    </w:p>
    <w:p w14:paraId="17D1BD22" w14:textId="61A7D713" w:rsidR="00CA743D" w:rsidRPr="00FF5490" w:rsidRDefault="00CA743D" w:rsidP="00B070A8">
      <w:pPr>
        <w:spacing w:after="0" w:line="240" w:lineRule="auto"/>
        <w:jc w:val="center"/>
        <w:rPr>
          <w:b/>
          <w:sz w:val="24"/>
          <w:szCs w:val="24"/>
          <w:lang w:val="es-DO"/>
        </w:rPr>
      </w:pPr>
    </w:p>
    <w:p w14:paraId="5264A3D2" w14:textId="15B1E50A" w:rsidR="00DA1EB6" w:rsidRDefault="00CA743D" w:rsidP="00807DDE">
      <w:pPr>
        <w:jc w:val="both"/>
        <w:rPr>
          <w:sz w:val="24"/>
          <w:szCs w:val="24"/>
          <w:lang w:val="es-DO"/>
        </w:rPr>
      </w:pPr>
      <w:r w:rsidRPr="00FF5490">
        <w:rPr>
          <w:b/>
          <w:sz w:val="24"/>
          <w:szCs w:val="24"/>
          <w:lang w:val="es-DO"/>
        </w:rPr>
        <w:t xml:space="preserve"> </w:t>
      </w:r>
      <w:r w:rsidRPr="00FF5490">
        <w:rPr>
          <w:sz w:val="24"/>
          <w:szCs w:val="24"/>
          <w:lang w:val="es-DO"/>
        </w:rPr>
        <w:t xml:space="preserve"> </w:t>
      </w:r>
      <w:r w:rsidR="006265AA" w:rsidRPr="006265AA">
        <w:rPr>
          <w:b/>
          <w:sz w:val="24"/>
          <w:szCs w:val="24"/>
          <w:u w:val="single"/>
          <w:lang w:val="es-DO"/>
        </w:rPr>
        <w:t>Plazo de presentación de</w:t>
      </w:r>
      <w:r w:rsidR="006265AA">
        <w:rPr>
          <w:b/>
          <w:sz w:val="24"/>
          <w:szCs w:val="24"/>
          <w:u w:val="single"/>
          <w:lang w:val="es-DO"/>
        </w:rPr>
        <w:t xml:space="preserve"> las propuestas</w:t>
      </w:r>
      <w:r w:rsidR="006265AA" w:rsidRPr="006265AA">
        <w:rPr>
          <w:b/>
          <w:sz w:val="24"/>
          <w:szCs w:val="24"/>
          <w:u w:val="single"/>
          <w:lang w:val="es-DO"/>
        </w:rPr>
        <w:t>:</w:t>
      </w:r>
      <w:r w:rsidR="006265AA" w:rsidRPr="006265AA">
        <w:rPr>
          <w:sz w:val="24"/>
          <w:szCs w:val="24"/>
          <w:lang w:val="es-DO"/>
        </w:rPr>
        <w:t xml:space="preserve"> </w:t>
      </w:r>
      <w:r w:rsidR="002E6DBD">
        <w:rPr>
          <w:sz w:val="24"/>
          <w:szCs w:val="24"/>
          <w:lang w:val="es-DO"/>
        </w:rPr>
        <w:t>31</w:t>
      </w:r>
      <w:r w:rsidR="006265AA" w:rsidRPr="006265AA">
        <w:rPr>
          <w:sz w:val="24"/>
          <w:szCs w:val="24"/>
          <w:lang w:val="es-DO"/>
        </w:rPr>
        <w:t>/</w:t>
      </w:r>
      <w:r w:rsidR="002E6DBD">
        <w:rPr>
          <w:sz w:val="24"/>
          <w:szCs w:val="24"/>
          <w:lang w:val="es-DO"/>
        </w:rPr>
        <w:t>0</w:t>
      </w:r>
      <w:r w:rsidR="00B16049">
        <w:rPr>
          <w:sz w:val="24"/>
          <w:szCs w:val="24"/>
          <w:lang w:val="es-DO"/>
        </w:rPr>
        <w:t>1</w:t>
      </w:r>
      <w:r w:rsidR="006265AA" w:rsidRPr="006265AA">
        <w:rPr>
          <w:sz w:val="24"/>
          <w:szCs w:val="24"/>
          <w:lang w:val="es-DO"/>
        </w:rPr>
        <w:t>/20</w:t>
      </w:r>
      <w:r w:rsidR="00846C9D">
        <w:rPr>
          <w:sz w:val="24"/>
          <w:szCs w:val="24"/>
          <w:lang w:val="es-DO"/>
        </w:rPr>
        <w:t>2</w:t>
      </w:r>
      <w:r w:rsidR="002E6DBD">
        <w:rPr>
          <w:sz w:val="24"/>
          <w:szCs w:val="24"/>
          <w:lang w:val="es-DO"/>
        </w:rPr>
        <w:t>4</w:t>
      </w:r>
      <w:r w:rsidR="006265AA" w:rsidRPr="006265AA">
        <w:rPr>
          <w:sz w:val="24"/>
          <w:szCs w:val="24"/>
          <w:lang w:val="es-DO"/>
        </w:rPr>
        <w:t xml:space="preserve"> a las </w:t>
      </w:r>
      <w:r w:rsidR="006265AA">
        <w:rPr>
          <w:sz w:val="24"/>
          <w:szCs w:val="24"/>
          <w:lang w:val="es-DO"/>
        </w:rPr>
        <w:t>05</w:t>
      </w:r>
      <w:r w:rsidR="006265AA" w:rsidRPr="006265AA">
        <w:rPr>
          <w:sz w:val="24"/>
          <w:szCs w:val="24"/>
          <w:lang w:val="es-DO"/>
        </w:rPr>
        <w:t>:00</w:t>
      </w:r>
      <w:r w:rsidR="006265AA">
        <w:rPr>
          <w:sz w:val="24"/>
          <w:szCs w:val="24"/>
          <w:lang w:val="es-DO"/>
        </w:rPr>
        <w:t>PM</w:t>
      </w:r>
      <w:r w:rsidR="006265AA" w:rsidRPr="006265AA">
        <w:rPr>
          <w:sz w:val="24"/>
          <w:szCs w:val="24"/>
          <w:lang w:val="es-DO"/>
        </w:rPr>
        <w:t xml:space="preserve"> (fecha y hora de </w:t>
      </w:r>
      <w:r w:rsidR="006265AA">
        <w:rPr>
          <w:sz w:val="24"/>
          <w:szCs w:val="24"/>
          <w:lang w:val="es-DO"/>
        </w:rPr>
        <w:t>Santo Domingo, República Dominicana</w:t>
      </w:r>
      <w:r w:rsidR="006265AA" w:rsidRPr="006265AA">
        <w:rPr>
          <w:sz w:val="24"/>
          <w:szCs w:val="24"/>
          <w:lang w:val="es-DO"/>
        </w:rPr>
        <w:t>)</w:t>
      </w:r>
    </w:p>
    <w:p w14:paraId="0505A29D" w14:textId="77777777" w:rsidR="00387EEA" w:rsidRDefault="00387EEA" w:rsidP="00807DDE">
      <w:pPr>
        <w:jc w:val="both"/>
        <w:rPr>
          <w:lang w:val="es-DO"/>
        </w:rPr>
      </w:pPr>
    </w:p>
    <w:p w14:paraId="3503B272" w14:textId="4BE8D475" w:rsidR="00267268" w:rsidRPr="008A2FF3" w:rsidRDefault="00267268" w:rsidP="00057143">
      <w:pPr>
        <w:rPr>
          <w:b/>
          <w:sz w:val="28"/>
          <w:szCs w:val="28"/>
          <w:lang w:val="es-DO"/>
        </w:rPr>
      </w:pPr>
    </w:p>
    <w:tbl>
      <w:tblPr>
        <w:tblStyle w:val="TableGrid"/>
        <w:tblpPr w:leftFromText="180" w:rightFromText="180" w:vertAnchor="page" w:horzAnchor="margin" w:tblpY="2601"/>
        <w:tblW w:w="9985" w:type="dxa"/>
        <w:tblLayout w:type="fixed"/>
        <w:tblLook w:val="04A0" w:firstRow="1" w:lastRow="0" w:firstColumn="1" w:lastColumn="0" w:noHBand="0" w:noVBand="1"/>
      </w:tblPr>
      <w:tblGrid>
        <w:gridCol w:w="496"/>
        <w:gridCol w:w="4809"/>
        <w:gridCol w:w="1440"/>
        <w:gridCol w:w="540"/>
        <w:gridCol w:w="540"/>
        <w:gridCol w:w="720"/>
        <w:gridCol w:w="720"/>
        <w:gridCol w:w="720"/>
      </w:tblGrid>
      <w:tr w:rsidR="00627936" w14:paraId="466DEA1E" w14:textId="77777777" w:rsidTr="00627936">
        <w:trPr>
          <w:trHeight w:val="50"/>
        </w:trPr>
        <w:tc>
          <w:tcPr>
            <w:tcW w:w="496" w:type="dxa"/>
          </w:tcPr>
          <w:p w14:paraId="3A5531CC" w14:textId="77777777" w:rsidR="00627936" w:rsidRPr="008A2FF3" w:rsidRDefault="00627936" w:rsidP="00627936">
            <w:pPr>
              <w:rPr>
                <w:lang w:val="es-DO"/>
              </w:rPr>
            </w:pPr>
          </w:p>
        </w:tc>
        <w:tc>
          <w:tcPr>
            <w:tcW w:w="4809" w:type="dxa"/>
          </w:tcPr>
          <w:p w14:paraId="716430C7" w14:textId="77777777" w:rsidR="00627936" w:rsidRPr="008A2FF3" w:rsidRDefault="00627936" w:rsidP="00627936">
            <w:pPr>
              <w:rPr>
                <w:lang w:val="es-DO"/>
              </w:rPr>
            </w:pPr>
          </w:p>
        </w:tc>
        <w:tc>
          <w:tcPr>
            <w:tcW w:w="1440" w:type="dxa"/>
          </w:tcPr>
          <w:p w14:paraId="2BB0420C" w14:textId="202A4961" w:rsidR="00627936" w:rsidRPr="00FA30E8" w:rsidRDefault="00C37596" w:rsidP="00627936">
            <w:pPr>
              <w:jc w:val="center"/>
              <w:rPr>
                <w:b/>
              </w:rPr>
            </w:pPr>
            <w:r w:rsidRPr="00C37596">
              <w:rPr>
                <w:b/>
              </w:rPr>
              <w:t>Puntaje Obtenible</w:t>
            </w:r>
          </w:p>
        </w:tc>
        <w:tc>
          <w:tcPr>
            <w:tcW w:w="3240" w:type="dxa"/>
            <w:gridSpan w:val="5"/>
          </w:tcPr>
          <w:p w14:paraId="23E294A9" w14:textId="5A996A76" w:rsidR="00627936" w:rsidRPr="00FA30E8" w:rsidRDefault="00C37596" w:rsidP="00627936">
            <w:pPr>
              <w:jc w:val="center"/>
              <w:rPr>
                <w:b/>
              </w:rPr>
            </w:pPr>
            <w:r w:rsidRPr="00C37596">
              <w:rPr>
                <w:b/>
              </w:rPr>
              <w:t>Solicitante</w:t>
            </w:r>
          </w:p>
        </w:tc>
      </w:tr>
      <w:tr w:rsidR="00627936" w14:paraId="2B0ADBC0" w14:textId="77777777" w:rsidTr="00627936">
        <w:tc>
          <w:tcPr>
            <w:tcW w:w="496" w:type="dxa"/>
            <w:shd w:val="clear" w:color="auto" w:fill="D9D9D9" w:themeFill="background1" w:themeFillShade="D9"/>
          </w:tcPr>
          <w:p w14:paraId="01BB48C2" w14:textId="77777777" w:rsidR="00627936" w:rsidRPr="003303AC" w:rsidRDefault="00627936" w:rsidP="00627936">
            <w:pPr>
              <w:rPr>
                <w:b/>
              </w:rPr>
            </w:pPr>
            <w:r w:rsidRPr="003303AC">
              <w:rPr>
                <w:b/>
              </w:rPr>
              <w:t>1</w:t>
            </w:r>
          </w:p>
        </w:tc>
        <w:tc>
          <w:tcPr>
            <w:tcW w:w="4809" w:type="dxa"/>
            <w:shd w:val="clear" w:color="auto" w:fill="D9D9D9" w:themeFill="background1" w:themeFillShade="D9"/>
          </w:tcPr>
          <w:p w14:paraId="08E2F560" w14:textId="1C0DD54F" w:rsidR="00627936" w:rsidRPr="00C37596" w:rsidRDefault="00C37596" w:rsidP="00627936">
            <w:pPr>
              <w:jc w:val="center"/>
              <w:rPr>
                <w:b/>
                <w:lang w:val="es-DO"/>
              </w:rPr>
            </w:pPr>
            <w:r w:rsidRPr="00C37596">
              <w:rPr>
                <w:b/>
                <w:lang w:val="es-DO"/>
              </w:rPr>
              <w:t>Coherencia con los objetivos de la subvención.</w:t>
            </w:r>
          </w:p>
        </w:tc>
        <w:tc>
          <w:tcPr>
            <w:tcW w:w="1440" w:type="dxa"/>
            <w:shd w:val="clear" w:color="auto" w:fill="D9D9D9" w:themeFill="background1" w:themeFillShade="D9"/>
          </w:tcPr>
          <w:p w14:paraId="05EC0E84" w14:textId="77777777" w:rsidR="00627936" w:rsidRPr="00FA30E8" w:rsidRDefault="00627936" w:rsidP="00627936">
            <w:pPr>
              <w:jc w:val="center"/>
              <w:rPr>
                <w:b/>
              </w:rPr>
            </w:pPr>
            <w:r w:rsidRPr="00FA30E8">
              <w:rPr>
                <w:b/>
              </w:rPr>
              <w:t>30</w:t>
            </w:r>
          </w:p>
        </w:tc>
        <w:tc>
          <w:tcPr>
            <w:tcW w:w="540" w:type="dxa"/>
            <w:shd w:val="clear" w:color="auto" w:fill="D9D9D9" w:themeFill="background1" w:themeFillShade="D9"/>
          </w:tcPr>
          <w:p w14:paraId="4BF58F9F" w14:textId="77777777" w:rsidR="00627936" w:rsidRPr="00FA30E8" w:rsidRDefault="00627936" w:rsidP="00627936">
            <w:pPr>
              <w:jc w:val="center"/>
              <w:rPr>
                <w:b/>
              </w:rPr>
            </w:pPr>
            <w:r w:rsidRPr="00FA30E8">
              <w:rPr>
                <w:b/>
              </w:rPr>
              <w:t>A</w:t>
            </w:r>
          </w:p>
        </w:tc>
        <w:tc>
          <w:tcPr>
            <w:tcW w:w="540" w:type="dxa"/>
            <w:shd w:val="clear" w:color="auto" w:fill="D9D9D9" w:themeFill="background1" w:themeFillShade="D9"/>
          </w:tcPr>
          <w:p w14:paraId="2693A1C1" w14:textId="77777777" w:rsidR="00627936" w:rsidRPr="00FA30E8" w:rsidRDefault="00627936" w:rsidP="00627936">
            <w:pPr>
              <w:jc w:val="center"/>
              <w:rPr>
                <w:b/>
              </w:rPr>
            </w:pPr>
            <w:r w:rsidRPr="00FA30E8">
              <w:rPr>
                <w:b/>
              </w:rPr>
              <w:t>B</w:t>
            </w:r>
          </w:p>
        </w:tc>
        <w:tc>
          <w:tcPr>
            <w:tcW w:w="720" w:type="dxa"/>
            <w:shd w:val="clear" w:color="auto" w:fill="D9D9D9" w:themeFill="background1" w:themeFillShade="D9"/>
          </w:tcPr>
          <w:p w14:paraId="08B137A4" w14:textId="77777777" w:rsidR="00627936" w:rsidRPr="00FA30E8" w:rsidRDefault="00627936" w:rsidP="00627936">
            <w:pPr>
              <w:jc w:val="center"/>
              <w:rPr>
                <w:b/>
              </w:rPr>
            </w:pPr>
            <w:r w:rsidRPr="00FA30E8">
              <w:rPr>
                <w:b/>
              </w:rPr>
              <w:t>C</w:t>
            </w:r>
          </w:p>
        </w:tc>
        <w:tc>
          <w:tcPr>
            <w:tcW w:w="720" w:type="dxa"/>
            <w:shd w:val="clear" w:color="auto" w:fill="D9D9D9" w:themeFill="background1" w:themeFillShade="D9"/>
          </w:tcPr>
          <w:p w14:paraId="11B04FD8" w14:textId="77777777" w:rsidR="00627936" w:rsidRPr="00FA30E8" w:rsidRDefault="00627936" w:rsidP="00627936">
            <w:pPr>
              <w:jc w:val="center"/>
              <w:rPr>
                <w:b/>
              </w:rPr>
            </w:pPr>
            <w:r w:rsidRPr="00FA30E8">
              <w:rPr>
                <w:b/>
              </w:rPr>
              <w:t>D</w:t>
            </w:r>
          </w:p>
        </w:tc>
        <w:tc>
          <w:tcPr>
            <w:tcW w:w="720" w:type="dxa"/>
            <w:shd w:val="clear" w:color="auto" w:fill="D9D9D9" w:themeFill="background1" w:themeFillShade="D9"/>
          </w:tcPr>
          <w:p w14:paraId="33F3CCF6" w14:textId="77777777" w:rsidR="00627936" w:rsidRPr="00FA30E8" w:rsidRDefault="00627936" w:rsidP="00627936">
            <w:pPr>
              <w:jc w:val="center"/>
              <w:rPr>
                <w:b/>
              </w:rPr>
            </w:pPr>
            <w:r w:rsidRPr="00FA30E8">
              <w:rPr>
                <w:b/>
              </w:rPr>
              <w:t>E</w:t>
            </w:r>
          </w:p>
        </w:tc>
      </w:tr>
      <w:tr w:rsidR="00627936" w14:paraId="5FBCBB7E" w14:textId="77777777" w:rsidTr="00627936">
        <w:tc>
          <w:tcPr>
            <w:tcW w:w="496" w:type="dxa"/>
          </w:tcPr>
          <w:p w14:paraId="5A9D1B2E" w14:textId="77777777" w:rsidR="00627936" w:rsidRDefault="00627936" w:rsidP="00627936">
            <w:r>
              <w:t>1.1</w:t>
            </w:r>
          </w:p>
        </w:tc>
        <w:tc>
          <w:tcPr>
            <w:tcW w:w="4809" w:type="dxa"/>
          </w:tcPr>
          <w:p w14:paraId="5828AA06" w14:textId="50515EF6" w:rsidR="00627936" w:rsidRPr="00C37596" w:rsidRDefault="00C37596" w:rsidP="00627936">
            <w:pPr>
              <w:rPr>
                <w:lang w:val="es-DO"/>
              </w:rPr>
            </w:pPr>
            <w:r w:rsidRPr="00C37596">
              <w:rPr>
                <w:lang w:val="es-DO"/>
              </w:rPr>
              <w:t>¿Responde la propuesta a las siete áreas prioritarias nacionales acordadas durante el Diálogo Nacional</w:t>
            </w:r>
            <w:r>
              <w:rPr>
                <w:lang w:val="es-DO"/>
              </w:rPr>
              <w:t xml:space="preserve"> </w:t>
            </w:r>
            <w:r w:rsidRPr="00C37596">
              <w:rPr>
                <w:lang w:val="es-DO"/>
              </w:rPr>
              <w:t>LGBTI (Salud, Empleo, Educación, Seguridad Ciudadana, Acceso a la Justicia, Legislación Inclusiva, ¿Participación Política)?</w:t>
            </w:r>
          </w:p>
        </w:tc>
        <w:tc>
          <w:tcPr>
            <w:tcW w:w="1440" w:type="dxa"/>
          </w:tcPr>
          <w:p w14:paraId="2B0F7AC1" w14:textId="77777777" w:rsidR="00627936" w:rsidRDefault="00627936" w:rsidP="00627936">
            <w:pPr>
              <w:jc w:val="center"/>
            </w:pPr>
            <w:r>
              <w:t>15</w:t>
            </w:r>
          </w:p>
        </w:tc>
        <w:tc>
          <w:tcPr>
            <w:tcW w:w="540" w:type="dxa"/>
          </w:tcPr>
          <w:p w14:paraId="0BE4F809" w14:textId="77777777" w:rsidR="00627936" w:rsidRDefault="00627936" w:rsidP="00627936">
            <w:pPr>
              <w:jc w:val="center"/>
            </w:pPr>
          </w:p>
        </w:tc>
        <w:tc>
          <w:tcPr>
            <w:tcW w:w="540" w:type="dxa"/>
          </w:tcPr>
          <w:p w14:paraId="6A0C3467" w14:textId="77777777" w:rsidR="00627936" w:rsidRDefault="00627936" w:rsidP="00627936">
            <w:pPr>
              <w:jc w:val="center"/>
            </w:pPr>
          </w:p>
        </w:tc>
        <w:tc>
          <w:tcPr>
            <w:tcW w:w="720" w:type="dxa"/>
          </w:tcPr>
          <w:p w14:paraId="71434A07" w14:textId="77777777" w:rsidR="00627936" w:rsidRDefault="00627936" w:rsidP="00627936">
            <w:pPr>
              <w:jc w:val="center"/>
            </w:pPr>
          </w:p>
        </w:tc>
        <w:tc>
          <w:tcPr>
            <w:tcW w:w="720" w:type="dxa"/>
          </w:tcPr>
          <w:p w14:paraId="3D7BDCFD" w14:textId="77777777" w:rsidR="00627936" w:rsidRDefault="00627936" w:rsidP="00627936">
            <w:pPr>
              <w:jc w:val="center"/>
            </w:pPr>
          </w:p>
        </w:tc>
        <w:tc>
          <w:tcPr>
            <w:tcW w:w="720" w:type="dxa"/>
          </w:tcPr>
          <w:p w14:paraId="53D9A5DC" w14:textId="77777777" w:rsidR="00627936" w:rsidRDefault="00627936" w:rsidP="00627936">
            <w:pPr>
              <w:jc w:val="center"/>
            </w:pPr>
          </w:p>
        </w:tc>
      </w:tr>
      <w:tr w:rsidR="00627936" w14:paraId="4645BBC7" w14:textId="77777777" w:rsidTr="00627936">
        <w:tc>
          <w:tcPr>
            <w:tcW w:w="496" w:type="dxa"/>
          </w:tcPr>
          <w:p w14:paraId="6671B10E" w14:textId="77777777" w:rsidR="00627936" w:rsidRDefault="00627936" w:rsidP="00627936">
            <w:r>
              <w:t>1.2</w:t>
            </w:r>
          </w:p>
        </w:tc>
        <w:tc>
          <w:tcPr>
            <w:tcW w:w="4809" w:type="dxa"/>
          </w:tcPr>
          <w:p w14:paraId="32A24F96" w14:textId="56C5E3EF" w:rsidR="00627936" w:rsidRPr="00C37596" w:rsidRDefault="00C37596" w:rsidP="00627936">
            <w:pPr>
              <w:rPr>
                <w:lang w:val="es-DO"/>
              </w:rPr>
            </w:pPr>
            <w:r>
              <w:rPr>
                <w:lang w:val="es-DO"/>
              </w:rPr>
              <w:t xml:space="preserve">Las </w:t>
            </w:r>
            <w:r w:rsidRPr="00C37596">
              <w:rPr>
                <w:lang w:val="es-DO"/>
              </w:rPr>
              <w:t>Intervenciones de alto impacto respo</w:t>
            </w:r>
            <w:r>
              <w:rPr>
                <w:lang w:val="es-DO"/>
              </w:rPr>
              <w:t>nden</w:t>
            </w:r>
            <w:r w:rsidRPr="00C37596">
              <w:rPr>
                <w:lang w:val="es-DO"/>
              </w:rPr>
              <w:t xml:space="preserve"> a las necesidades establecidas en la convocatoria de propuestas.</w:t>
            </w:r>
          </w:p>
        </w:tc>
        <w:tc>
          <w:tcPr>
            <w:tcW w:w="1440" w:type="dxa"/>
          </w:tcPr>
          <w:p w14:paraId="17D3FDBE" w14:textId="77777777" w:rsidR="00627936" w:rsidRDefault="00627936" w:rsidP="00627936">
            <w:pPr>
              <w:jc w:val="center"/>
            </w:pPr>
            <w:r>
              <w:t>15</w:t>
            </w:r>
          </w:p>
        </w:tc>
        <w:tc>
          <w:tcPr>
            <w:tcW w:w="540" w:type="dxa"/>
          </w:tcPr>
          <w:p w14:paraId="3ABA2A1B" w14:textId="77777777" w:rsidR="00627936" w:rsidRDefault="00627936" w:rsidP="00627936">
            <w:pPr>
              <w:jc w:val="center"/>
            </w:pPr>
          </w:p>
        </w:tc>
        <w:tc>
          <w:tcPr>
            <w:tcW w:w="540" w:type="dxa"/>
          </w:tcPr>
          <w:p w14:paraId="12EE1D9C" w14:textId="77777777" w:rsidR="00627936" w:rsidRDefault="00627936" w:rsidP="00627936">
            <w:pPr>
              <w:jc w:val="center"/>
            </w:pPr>
          </w:p>
        </w:tc>
        <w:tc>
          <w:tcPr>
            <w:tcW w:w="720" w:type="dxa"/>
          </w:tcPr>
          <w:p w14:paraId="53F2AE4E" w14:textId="77777777" w:rsidR="00627936" w:rsidRDefault="00627936" w:rsidP="00627936">
            <w:pPr>
              <w:jc w:val="center"/>
            </w:pPr>
          </w:p>
        </w:tc>
        <w:tc>
          <w:tcPr>
            <w:tcW w:w="720" w:type="dxa"/>
          </w:tcPr>
          <w:p w14:paraId="2015CEDD" w14:textId="77777777" w:rsidR="00627936" w:rsidRDefault="00627936" w:rsidP="00627936">
            <w:pPr>
              <w:jc w:val="center"/>
            </w:pPr>
          </w:p>
        </w:tc>
        <w:tc>
          <w:tcPr>
            <w:tcW w:w="720" w:type="dxa"/>
          </w:tcPr>
          <w:p w14:paraId="7FADB6AB" w14:textId="77777777" w:rsidR="00627936" w:rsidRDefault="00627936" w:rsidP="00627936">
            <w:pPr>
              <w:jc w:val="center"/>
            </w:pPr>
          </w:p>
        </w:tc>
      </w:tr>
      <w:tr w:rsidR="00627936" w14:paraId="63C41D34" w14:textId="77777777" w:rsidTr="00627936">
        <w:tc>
          <w:tcPr>
            <w:tcW w:w="496" w:type="dxa"/>
            <w:shd w:val="clear" w:color="auto" w:fill="D9D9D9" w:themeFill="background1" w:themeFillShade="D9"/>
          </w:tcPr>
          <w:p w14:paraId="7C418C4B" w14:textId="77777777" w:rsidR="00627936" w:rsidRPr="003303AC" w:rsidRDefault="00627936" w:rsidP="00627936">
            <w:pPr>
              <w:rPr>
                <w:b/>
              </w:rPr>
            </w:pPr>
            <w:r w:rsidRPr="003303AC">
              <w:rPr>
                <w:b/>
              </w:rPr>
              <w:t>2</w:t>
            </w:r>
          </w:p>
        </w:tc>
        <w:tc>
          <w:tcPr>
            <w:tcW w:w="4809" w:type="dxa"/>
            <w:shd w:val="clear" w:color="auto" w:fill="D9D9D9" w:themeFill="background1" w:themeFillShade="D9"/>
          </w:tcPr>
          <w:p w14:paraId="79B012A0" w14:textId="6A2CE959" w:rsidR="00627936" w:rsidRPr="00F31E20" w:rsidRDefault="00C37596" w:rsidP="00627936">
            <w:pPr>
              <w:jc w:val="center"/>
              <w:rPr>
                <w:b/>
              </w:rPr>
            </w:pPr>
            <w:r w:rsidRPr="00C37596">
              <w:rPr>
                <w:b/>
              </w:rPr>
              <w:t>Propuesta técnica sólida</w:t>
            </w:r>
          </w:p>
        </w:tc>
        <w:tc>
          <w:tcPr>
            <w:tcW w:w="1440" w:type="dxa"/>
            <w:shd w:val="clear" w:color="auto" w:fill="D9D9D9" w:themeFill="background1" w:themeFillShade="D9"/>
          </w:tcPr>
          <w:p w14:paraId="72C78E37" w14:textId="77777777" w:rsidR="00627936" w:rsidRPr="00FA30E8" w:rsidRDefault="00627936" w:rsidP="00627936">
            <w:pPr>
              <w:jc w:val="center"/>
              <w:rPr>
                <w:b/>
              </w:rPr>
            </w:pPr>
            <w:r>
              <w:rPr>
                <w:b/>
              </w:rPr>
              <w:t>4</w:t>
            </w:r>
            <w:r w:rsidRPr="00FA30E8">
              <w:rPr>
                <w:b/>
              </w:rPr>
              <w:t>5</w:t>
            </w:r>
          </w:p>
        </w:tc>
        <w:tc>
          <w:tcPr>
            <w:tcW w:w="540" w:type="dxa"/>
            <w:shd w:val="clear" w:color="auto" w:fill="D9D9D9" w:themeFill="background1" w:themeFillShade="D9"/>
          </w:tcPr>
          <w:p w14:paraId="6CA7CB30" w14:textId="77777777" w:rsidR="00627936" w:rsidRPr="00FA30E8" w:rsidRDefault="00627936" w:rsidP="00627936">
            <w:pPr>
              <w:jc w:val="center"/>
              <w:rPr>
                <w:b/>
              </w:rPr>
            </w:pPr>
            <w:r w:rsidRPr="00FA30E8">
              <w:rPr>
                <w:b/>
              </w:rPr>
              <w:t>A</w:t>
            </w:r>
          </w:p>
        </w:tc>
        <w:tc>
          <w:tcPr>
            <w:tcW w:w="540" w:type="dxa"/>
            <w:shd w:val="clear" w:color="auto" w:fill="D9D9D9" w:themeFill="background1" w:themeFillShade="D9"/>
          </w:tcPr>
          <w:p w14:paraId="7C2AF056" w14:textId="77777777" w:rsidR="00627936" w:rsidRPr="00FA30E8" w:rsidRDefault="00627936" w:rsidP="00627936">
            <w:pPr>
              <w:jc w:val="center"/>
              <w:rPr>
                <w:b/>
              </w:rPr>
            </w:pPr>
            <w:r w:rsidRPr="00FA30E8">
              <w:rPr>
                <w:b/>
              </w:rPr>
              <w:t>B</w:t>
            </w:r>
          </w:p>
        </w:tc>
        <w:tc>
          <w:tcPr>
            <w:tcW w:w="720" w:type="dxa"/>
            <w:shd w:val="clear" w:color="auto" w:fill="D9D9D9" w:themeFill="background1" w:themeFillShade="D9"/>
          </w:tcPr>
          <w:p w14:paraId="165315D8" w14:textId="77777777" w:rsidR="00627936" w:rsidRPr="00FA30E8" w:rsidRDefault="00627936" w:rsidP="00627936">
            <w:pPr>
              <w:jc w:val="center"/>
              <w:rPr>
                <w:b/>
              </w:rPr>
            </w:pPr>
            <w:r w:rsidRPr="00FA30E8">
              <w:rPr>
                <w:b/>
              </w:rPr>
              <w:t>C</w:t>
            </w:r>
          </w:p>
        </w:tc>
        <w:tc>
          <w:tcPr>
            <w:tcW w:w="720" w:type="dxa"/>
            <w:shd w:val="clear" w:color="auto" w:fill="D9D9D9" w:themeFill="background1" w:themeFillShade="D9"/>
          </w:tcPr>
          <w:p w14:paraId="0C79CA07" w14:textId="77777777" w:rsidR="00627936" w:rsidRPr="00FA30E8" w:rsidRDefault="00627936" w:rsidP="00627936">
            <w:pPr>
              <w:jc w:val="center"/>
              <w:rPr>
                <w:b/>
              </w:rPr>
            </w:pPr>
            <w:r w:rsidRPr="00FA30E8">
              <w:rPr>
                <w:b/>
              </w:rPr>
              <w:t>D</w:t>
            </w:r>
          </w:p>
        </w:tc>
        <w:tc>
          <w:tcPr>
            <w:tcW w:w="720" w:type="dxa"/>
            <w:shd w:val="clear" w:color="auto" w:fill="D9D9D9" w:themeFill="background1" w:themeFillShade="D9"/>
          </w:tcPr>
          <w:p w14:paraId="374817C1" w14:textId="77777777" w:rsidR="00627936" w:rsidRPr="00FA30E8" w:rsidRDefault="00627936" w:rsidP="00627936">
            <w:pPr>
              <w:jc w:val="center"/>
              <w:rPr>
                <w:b/>
              </w:rPr>
            </w:pPr>
            <w:r w:rsidRPr="00FA30E8">
              <w:rPr>
                <w:b/>
              </w:rPr>
              <w:t>E</w:t>
            </w:r>
          </w:p>
        </w:tc>
      </w:tr>
      <w:tr w:rsidR="00627936" w14:paraId="5557CAF0" w14:textId="77777777" w:rsidTr="00627936">
        <w:tc>
          <w:tcPr>
            <w:tcW w:w="496" w:type="dxa"/>
          </w:tcPr>
          <w:p w14:paraId="75A148C7" w14:textId="77777777" w:rsidR="00627936" w:rsidRDefault="00627936" w:rsidP="00627936">
            <w:r>
              <w:t>2.1</w:t>
            </w:r>
          </w:p>
        </w:tc>
        <w:tc>
          <w:tcPr>
            <w:tcW w:w="4809" w:type="dxa"/>
          </w:tcPr>
          <w:p w14:paraId="4771E1EB" w14:textId="645DFC9A" w:rsidR="00627936" w:rsidRPr="00C37596" w:rsidRDefault="00C37596" w:rsidP="00627936">
            <w:pPr>
              <w:rPr>
                <w:lang w:val="es-DO"/>
              </w:rPr>
            </w:pPr>
            <w:r w:rsidRPr="00C37596">
              <w:rPr>
                <w:lang w:val="es-DO"/>
              </w:rPr>
              <w:t>¿La propuesta identifica claramente una estrategia para la implementación, incluyendo un cronograma detallado?</w:t>
            </w:r>
          </w:p>
        </w:tc>
        <w:tc>
          <w:tcPr>
            <w:tcW w:w="1440" w:type="dxa"/>
          </w:tcPr>
          <w:p w14:paraId="76F4D64D" w14:textId="77777777" w:rsidR="00627936" w:rsidRDefault="00627936" w:rsidP="00627936">
            <w:pPr>
              <w:jc w:val="center"/>
            </w:pPr>
            <w:r>
              <w:t>20</w:t>
            </w:r>
          </w:p>
        </w:tc>
        <w:tc>
          <w:tcPr>
            <w:tcW w:w="540" w:type="dxa"/>
          </w:tcPr>
          <w:p w14:paraId="29CE3153" w14:textId="77777777" w:rsidR="00627936" w:rsidRDefault="00627936" w:rsidP="00627936">
            <w:pPr>
              <w:jc w:val="center"/>
            </w:pPr>
          </w:p>
        </w:tc>
        <w:tc>
          <w:tcPr>
            <w:tcW w:w="540" w:type="dxa"/>
          </w:tcPr>
          <w:p w14:paraId="6646FF9D" w14:textId="77777777" w:rsidR="00627936" w:rsidRDefault="00627936" w:rsidP="00627936">
            <w:pPr>
              <w:jc w:val="center"/>
            </w:pPr>
          </w:p>
        </w:tc>
        <w:tc>
          <w:tcPr>
            <w:tcW w:w="720" w:type="dxa"/>
          </w:tcPr>
          <w:p w14:paraId="4CC9084B" w14:textId="77777777" w:rsidR="00627936" w:rsidRDefault="00627936" w:rsidP="00627936">
            <w:pPr>
              <w:jc w:val="center"/>
            </w:pPr>
          </w:p>
        </w:tc>
        <w:tc>
          <w:tcPr>
            <w:tcW w:w="720" w:type="dxa"/>
          </w:tcPr>
          <w:p w14:paraId="5750126A" w14:textId="77777777" w:rsidR="00627936" w:rsidRDefault="00627936" w:rsidP="00627936">
            <w:pPr>
              <w:jc w:val="center"/>
            </w:pPr>
          </w:p>
        </w:tc>
        <w:tc>
          <w:tcPr>
            <w:tcW w:w="720" w:type="dxa"/>
          </w:tcPr>
          <w:p w14:paraId="35DF5F4D" w14:textId="77777777" w:rsidR="00627936" w:rsidRDefault="00627936" w:rsidP="00627936">
            <w:pPr>
              <w:jc w:val="center"/>
            </w:pPr>
          </w:p>
        </w:tc>
      </w:tr>
      <w:tr w:rsidR="00627936" w14:paraId="46A06763" w14:textId="77777777" w:rsidTr="00627936">
        <w:tc>
          <w:tcPr>
            <w:tcW w:w="496" w:type="dxa"/>
          </w:tcPr>
          <w:p w14:paraId="24113B58" w14:textId="77777777" w:rsidR="00627936" w:rsidRDefault="00627936" w:rsidP="00627936">
            <w:r>
              <w:t>2.2</w:t>
            </w:r>
          </w:p>
        </w:tc>
        <w:tc>
          <w:tcPr>
            <w:tcW w:w="4809" w:type="dxa"/>
          </w:tcPr>
          <w:p w14:paraId="441E76DC" w14:textId="673437E6" w:rsidR="00627936" w:rsidRPr="00C37596" w:rsidRDefault="00C37596" w:rsidP="00627936">
            <w:pPr>
              <w:rPr>
                <w:lang w:val="es-DO"/>
              </w:rPr>
            </w:pPr>
            <w:r w:rsidRPr="00C37596">
              <w:rPr>
                <w:lang w:val="es-DO"/>
              </w:rPr>
              <w:t>¿El presupuesto detallado refleja las actividades propuestas y los objetivos generales de la propuesta?</w:t>
            </w:r>
          </w:p>
        </w:tc>
        <w:tc>
          <w:tcPr>
            <w:tcW w:w="1440" w:type="dxa"/>
          </w:tcPr>
          <w:p w14:paraId="5FC2B23B" w14:textId="77777777" w:rsidR="00627936" w:rsidRDefault="00627936" w:rsidP="00627936">
            <w:pPr>
              <w:jc w:val="center"/>
            </w:pPr>
            <w:r>
              <w:t>15</w:t>
            </w:r>
          </w:p>
        </w:tc>
        <w:tc>
          <w:tcPr>
            <w:tcW w:w="540" w:type="dxa"/>
          </w:tcPr>
          <w:p w14:paraId="4B3C793E" w14:textId="77777777" w:rsidR="00627936" w:rsidRDefault="00627936" w:rsidP="00627936">
            <w:pPr>
              <w:jc w:val="center"/>
            </w:pPr>
          </w:p>
        </w:tc>
        <w:tc>
          <w:tcPr>
            <w:tcW w:w="540" w:type="dxa"/>
          </w:tcPr>
          <w:p w14:paraId="6A042A5E" w14:textId="77777777" w:rsidR="00627936" w:rsidRDefault="00627936" w:rsidP="00627936">
            <w:pPr>
              <w:jc w:val="center"/>
            </w:pPr>
          </w:p>
        </w:tc>
        <w:tc>
          <w:tcPr>
            <w:tcW w:w="720" w:type="dxa"/>
          </w:tcPr>
          <w:p w14:paraId="3CDA591A" w14:textId="77777777" w:rsidR="00627936" w:rsidRDefault="00627936" w:rsidP="00627936">
            <w:pPr>
              <w:jc w:val="center"/>
            </w:pPr>
          </w:p>
        </w:tc>
        <w:tc>
          <w:tcPr>
            <w:tcW w:w="720" w:type="dxa"/>
          </w:tcPr>
          <w:p w14:paraId="1F990514" w14:textId="77777777" w:rsidR="00627936" w:rsidRDefault="00627936" w:rsidP="00627936">
            <w:pPr>
              <w:jc w:val="center"/>
            </w:pPr>
          </w:p>
        </w:tc>
        <w:tc>
          <w:tcPr>
            <w:tcW w:w="720" w:type="dxa"/>
          </w:tcPr>
          <w:p w14:paraId="4C648072" w14:textId="77777777" w:rsidR="00627936" w:rsidRDefault="00627936" w:rsidP="00627936">
            <w:pPr>
              <w:jc w:val="center"/>
            </w:pPr>
          </w:p>
        </w:tc>
      </w:tr>
      <w:tr w:rsidR="00627936" w14:paraId="52B5E404" w14:textId="77777777" w:rsidTr="00627936">
        <w:tc>
          <w:tcPr>
            <w:tcW w:w="496" w:type="dxa"/>
          </w:tcPr>
          <w:p w14:paraId="12AB0FDE" w14:textId="77777777" w:rsidR="00627936" w:rsidRDefault="00627936" w:rsidP="00627936">
            <w:r>
              <w:t>2.3</w:t>
            </w:r>
          </w:p>
        </w:tc>
        <w:tc>
          <w:tcPr>
            <w:tcW w:w="4809" w:type="dxa"/>
          </w:tcPr>
          <w:p w14:paraId="478C7564" w14:textId="4BE70D8B" w:rsidR="00627936" w:rsidRPr="00C37596" w:rsidRDefault="00C37596" w:rsidP="00627936">
            <w:pPr>
              <w:rPr>
                <w:lang w:val="es-DO"/>
              </w:rPr>
            </w:pPr>
            <w:r w:rsidRPr="00C37596">
              <w:rPr>
                <w:lang w:val="es-DO"/>
              </w:rPr>
              <w:t>¿El plan de monitoreo y evaluación está en línea con las actividades propuestas?</w:t>
            </w:r>
          </w:p>
        </w:tc>
        <w:tc>
          <w:tcPr>
            <w:tcW w:w="1440" w:type="dxa"/>
          </w:tcPr>
          <w:p w14:paraId="72804A94" w14:textId="77777777" w:rsidR="00627936" w:rsidRDefault="00627936" w:rsidP="00627936">
            <w:pPr>
              <w:jc w:val="center"/>
            </w:pPr>
            <w:r>
              <w:t>10</w:t>
            </w:r>
          </w:p>
        </w:tc>
        <w:tc>
          <w:tcPr>
            <w:tcW w:w="540" w:type="dxa"/>
          </w:tcPr>
          <w:p w14:paraId="3EB9F405" w14:textId="77777777" w:rsidR="00627936" w:rsidRDefault="00627936" w:rsidP="00627936">
            <w:pPr>
              <w:jc w:val="center"/>
            </w:pPr>
          </w:p>
        </w:tc>
        <w:tc>
          <w:tcPr>
            <w:tcW w:w="540" w:type="dxa"/>
          </w:tcPr>
          <w:p w14:paraId="7ED33F27" w14:textId="77777777" w:rsidR="00627936" w:rsidRDefault="00627936" w:rsidP="00627936">
            <w:pPr>
              <w:jc w:val="center"/>
            </w:pPr>
          </w:p>
        </w:tc>
        <w:tc>
          <w:tcPr>
            <w:tcW w:w="720" w:type="dxa"/>
          </w:tcPr>
          <w:p w14:paraId="092AA51F" w14:textId="77777777" w:rsidR="00627936" w:rsidRDefault="00627936" w:rsidP="00627936">
            <w:pPr>
              <w:jc w:val="center"/>
            </w:pPr>
          </w:p>
        </w:tc>
        <w:tc>
          <w:tcPr>
            <w:tcW w:w="720" w:type="dxa"/>
          </w:tcPr>
          <w:p w14:paraId="440D43BE" w14:textId="77777777" w:rsidR="00627936" w:rsidRDefault="00627936" w:rsidP="00627936">
            <w:pPr>
              <w:jc w:val="center"/>
            </w:pPr>
          </w:p>
        </w:tc>
        <w:tc>
          <w:tcPr>
            <w:tcW w:w="720" w:type="dxa"/>
          </w:tcPr>
          <w:p w14:paraId="4BECB3AD" w14:textId="77777777" w:rsidR="00627936" w:rsidRDefault="00627936" w:rsidP="00627936">
            <w:pPr>
              <w:jc w:val="center"/>
            </w:pPr>
          </w:p>
        </w:tc>
      </w:tr>
      <w:tr w:rsidR="00627936" w14:paraId="0B70494A" w14:textId="77777777" w:rsidTr="00627936">
        <w:trPr>
          <w:trHeight w:val="486"/>
        </w:trPr>
        <w:tc>
          <w:tcPr>
            <w:tcW w:w="496" w:type="dxa"/>
            <w:shd w:val="clear" w:color="auto" w:fill="D9D9D9" w:themeFill="background1" w:themeFillShade="D9"/>
          </w:tcPr>
          <w:p w14:paraId="26F94412" w14:textId="77777777" w:rsidR="00627936" w:rsidRPr="003303AC" w:rsidRDefault="00627936" w:rsidP="00627936">
            <w:pPr>
              <w:rPr>
                <w:b/>
              </w:rPr>
            </w:pPr>
            <w:r w:rsidRPr="003303AC">
              <w:rPr>
                <w:b/>
              </w:rPr>
              <w:t>3</w:t>
            </w:r>
          </w:p>
        </w:tc>
        <w:tc>
          <w:tcPr>
            <w:tcW w:w="4809" w:type="dxa"/>
            <w:shd w:val="clear" w:color="auto" w:fill="D9D9D9" w:themeFill="background1" w:themeFillShade="D9"/>
          </w:tcPr>
          <w:p w14:paraId="43B53F7B" w14:textId="596DA2B2" w:rsidR="00627936" w:rsidRPr="00FA30E8" w:rsidRDefault="00C37596" w:rsidP="00627936">
            <w:pPr>
              <w:jc w:val="center"/>
              <w:rPr>
                <w:b/>
              </w:rPr>
            </w:pPr>
            <w:r w:rsidRPr="00C37596">
              <w:rPr>
                <w:b/>
              </w:rPr>
              <w:t>Capacidad de la organización</w:t>
            </w:r>
          </w:p>
        </w:tc>
        <w:tc>
          <w:tcPr>
            <w:tcW w:w="1440" w:type="dxa"/>
            <w:shd w:val="clear" w:color="auto" w:fill="D9D9D9" w:themeFill="background1" w:themeFillShade="D9"/>
          </w:tcPr>
          <w:p w14:paraId="1B511C77" w14:textId="77777777" w:rsidR="00627936" w:rsidRPr="00FA30E8" w:rsidRDefault="00627936" w:rsidP="00627936">
            <w:pPr>
              <w:jc w:val="center"/>
              <w:rPr>
                <w:b/>
              </w:rPr>
            </w:pPr>
            <w:r>
              <w:rPr>
                <w:b/>
              </w:rPr>
              <w:t>2</w:t>
            </w:r>
            <w:r w:rsidRPr="00FA30E8">
              <w:rPr>
                <w:b/>
              </w:rPr>
              <w:t>5</w:t>
            </w:r>
          </w:p>
        </w:tc>
        <w:tc>
          <w:tcPr>
            <w:tcW w:w="540" w:type="dxa"/>
            <w:shd w:val="clear" w:color="auto" w:fill="D9D9D9" w:themeFill="background1" w:themeFillShade="D9"/>
          </w:tcPr>
          <w:p w14:paraId="11BDBF59" w14:textId="77777777" w:rsidR="00627936" w:rsidRPr="00FA30E8" w:rsidRDefault="00627936" w:rsidP="00627936">
            <w:pPr>
              <w:jc w:val="center"/>
              <w:rPr>
                <w:b/>
              </w:rPr>
            </w:pPr>
            <w:r w:rsidRPr="00FA30E8">
              <w:rPr>
                <w:b/>
              </w:rPr>
              <w:t>A</w:t>
            </w:r>
          </w:p>
        </w:tc>
        <w:tc>
          <w:tcPr>
            <w:tcW w:w="540" w:type="dxa"/>
            <w:shd w:val="clear" w:color="auto" w:fill="D9D9D9" w:themeFill="background1" w:themeFillShade="D9"/>
          </w:tcPr>
          <w:p w14:paraId="37628310" w14:textId="77777777" w:rsidR="00627936" w:rsidRPr="00FA30E8" w:rsidRDefault="00627936" w:rsidP="00627936">
            <w:pPr>
              <w:jc w:val="center"/>
              <w:rPr>
                <w:b/>
              </w:rPr>
            </w:pPr>
            <w:r w:rsidRPr="00FA30E8">
              <w:rPr>
                <w:b/>
              </w:rPr>
              <w:t>B</w:t>
            </w:r>
          </w:p>
        </w:tc>
        <w:tc>
          <w:tcPr>
            <w:tcW w:w="720" w:type="dxa"/>
            <w:shd w:val="clear" w:color="auto" w:fill="D9D9D9" w:themeFill="background1" w:themeFillShade="D9"/>
          </w:tcPr>
          <w:p w14:paraId="594ACC76" w14:textId="77777777" w:rsidR="00627936" w:rsidRPr="00FA30E8" w:rsidRDefault="00627936" w:rsidP="00627936">
            <w:pPr>
              <w:jc w:val="center"/>
              <w:rPr>
                <w:b/>
              </w:rPr>
            </w:pPr>
            <w:r w:rsidRPr="00FA30E8">
              <w:rPr>
                <w:b/>
              </w:rPr>
              <w:t>C</w:t>
            </w:r>
          </w:p>
        </w:tc>
        <w:tc>
          <w:tcPr>
            <w:tcW w:w="720" w:type="dxa"/>
            <w:shd w:val="clear" w:color="auto" w:fill="D9D9D9" w:themeFill="background1" w:themeFillShade="D9"/>
          </w:tcPr>
          <w:p w14:paraId="2592A7EE" w14:textId="77777777" w:rsidR="00627936" w:rsidRPr="00FA30E8" w:rsidRDefault="00627936" w:rsidP="00627936">
            <w:pPr>
              <w:jc w:val="center"/>
              <w:rPr>
                <w:b/>
              </w:rPr>
            </w:pPr>
            <w:r w:rsidRPr="00FA30E8">
              <w:rPr>
                <w:b/>
              </w:rPr>
              <w:t>D</w:t>
            </w:r>
          </w:p>
        </w:tc>
        <w:tc>
          <w:tcPr>
            <w:tcW w:w="720" w:type="dxa"/>
            <w:shd w:val="clear" w:color="auto" w:fill="D9D9D9" w:themeFill="background1" w:themeFillShade="D9"/>
          </w:tcPr>
          <w:p w14:paraId="06411FDE" w14:textId="77777777" w:rsidR="00627936" w:rsidRPr="00FA30E8" w:rsidRDefault="00627936" w:rsidP="00627936">
            <w:pPr>
              <w:jc w:val="center"/>
              <w:rPr>
                <w:b/>
              </w:rPr>
            </w:pPr>
            <w:r w:rsidRPr="00FA30E8">
              <w:rPr>
                <w:b/>
              </w:rPr>
              <w:t>E</w:t>
            </w:r>
          </w:p>
        </w:tc>
      </w:tr>
      <w:tr w:rsidR="00627936" w:rsidRPr="002E6DBD" w14:paraId="4A68638E" w14:textId="77777777" w:rsidTr="00627936">
        <w:tc>
          <w:tcPr>
            <w:tcW w:w="496" w:type="dxa"/>
          </w:tcPr>
          <w:p w14:paraId="6DB853DA" w14:textId="77777777" w:rsidR="00627936" w:rsidRDefault="00627936" w:rsidP="00627936">
            <w:r>
              <w:t>3.1</w:t>
            </w:r>
          </w:p>
        </w:tc>
        <w:tc>
          <w:tcPr>
            <w:tcW w:w="4809" w:type="dxa"/>
          </w:tcPr>
          <w:p w14:paraId="5375C655" w14:textId="3194D34D" w:rsidR="00627936" w:rsidRPr="00C37596" w:rsidRDefault="00C37596" w:rsidP="00627936">
            <w:pPr>
              <w:rPr>
                <w:lang w:val="es-DO"/>
              </w:rPr>
            </w:pPr>
            <w:r w:rsidRPr="00C37596">
              <w:rPr>
                <w:lang w:val="es-DO"/>
              </w:rPr>
              <w:t>¿El personal de la organización tiene</w:t>
            </w:r>
          </w:p>
        </w:tc>
        <w:tc>
          <w:tcPr>
            <w:tcW w:w="1440" w:type="dxa"/>
          </w:tcPr>
          <w:p w14:paraId="684699B2" w14:textId="77777777" w:rsidR="00627936" w:rsidRPr="00C37596" w:rsidRDefault="00627936" w:rsidP="00627936">
            <w:pPr>
              <w:rPr>
                <w:lang w:val="es-DO"/>
              </w:rPr>
            </w:pPr>
          </w:p>
        </w:tc>
        <w:tc>
          <w:tcPr>
            <w:tcW w:w="540" w:type="dxa"/>
          </w:tcPr>
          <w:p w14:paraId="7783344D" w14:textId="77777777" w:rsidR="00627936" w:rsidRPr="00C37596" w:rsidRDefault="00627936" w:rsidP="00627936">
            <w:pPr>
              <w:jc w:val="center"/>
              <w:rPr>
                <w:lang w:val="es-DO"/>
              </w:rPr>
            </w:pPr>
          </w:p>
        </w:tc>
        <w:tc>
          <w:tcPr>
            <w:tcW w:w="540" w:type="dxa"/>
          </w:tcPr>
          <w:p w14:paraId="7F7A6ABA" w14:textId="77777777" w:rsidR="00627936" w:rsidRPr="00C37596" w:rsidRDefault="00627936" w:rsidP="00627936">
            <w:pPr>
              <w:jc w:val="center"/>
              <w:rPr>
                <w:lang w:val="es-DO"/>
              </w:rPr>
            </w:pPr>
          </w:p>
        </w:tc>
        <w:tc>
          <w:tcPr>
            <w:tcW w:w="720" w:type="dxa"/>
          </w:tcPr>
          <w:p w14:paraId="165D4C0C" w14:textId="77777777" w:rsidR="00627936" w:rsidRPr="00C37596" w:rsidRDefault="00627936" w:rsidP="00627936">
            <w:pPr>
              <w:jc w:val="center"/>
              <w:rPr>
                <w:lang w:val="es-DO"/>
              </w:rPr>
            </w:pPr>
          </w:p>
        </w:tc>
        <w:tc>
          <w:tcPr>
            <w:tcW w:w="720" w:type="dxa"/>
          </w:tcPr>
          <w:p w14:paraId="143B202F" w14:textId="77777777" w:rsidR="00627936" w:rsidRPr="00C37596" w:rsidRDefault="00627936" w:rsidP="00627936">
            <w:pPr>
              <w:jc w:val="center"/>
              <w:rPr>
                <w:lang w:val="es-DO"/>
              </w:rPr>
            </w:pPr>
          </w:p>
        </w:tc>
        <w:tc>
          <w:tcPr>
            <w:tcW w:w="720" w:type="dxa"/>
          </w:tcPr>
          <w:p w14:paraId="3B4E6AEA" w14:textId="77777777" w:rsidR="00627936" w:rsidRPr="00C37596" w:rsidRDefault="00627936" w:rsidP="00627936">
            <w:pPr>
              <w:jc w:val="center"/>
              <w:rPr>
                <w:lang w:val="es-DO"/>
              </w:rPr>
            </w:pPr>
          </w:p>
        </w:tc>
      </w:tr>
      <w:tr w:rsidR="00627936" w14:paraId="349EB193" w14:textId="77777777" w:rsidTr="00627936">
        <w:tc>
          <w:tcPr>
            <w:tcW w:w="496" w:type="dxa"/>
          </w:tcPr>
          <w:p w14:paraId="21C0228B" w14:textId="77777777" w:rsidR="00627936" w:rsidRPr="00C37596" w:rsidRDefault="00627936" w:rsidP="00627936">
            <w:pPr>
              <w:rPr>
                <w:lang w:val="es-DO"/>
              </w:rPr>
            </w:pPr>
          </w:p>
        </w:tc>
        <w:tc>
          <w:tcPr>
            <w:tcW w:w="4809" w:type="dxa"/>
          </w:tcPr>
          <w:p w14:paraId="62F9EDCF" w14:textId="64CF0480" w:rsidR="00627936" w:rsidRPr="00AA7113" w:rsidRDefault="00C37596" w:rsidP="00627936">
            <w:pPr>
              <w:pStyle w:val="ListParagraph"/>
              <w:numPr>
                <w:ilvl w:val="0"/>
                <w:numId w:val="14"/>
              </w:numPr>
            </w:pPr>
            <w:r>
              <w:t xml:space="preserve">Experiencia relevante </w:t>
            </w:r>
          </w:p>
        </w:tc>
        <w:tc>
          <w:tcPr>
            <w:tcW w:w="1440" w:type="dxa"/>
          </w:tcPr>
          <w:p w14:paraId="29250AB2" w14:textId="77777777" w:rsidR="00627936" w:rsidRDefault="00627936" w:rsidP="00627936">
            <w:pPr>
              <w:jc w:val="center"/>
            </w:pPr>
            <w:r>
              <w:t>5</w:t>
            </w:r>
          </w:p>
        </w:tc>
        <w:tc>
          <w:tcPr>
            <w:tcW w:w="540" w:type="dxa"/>
          </w:tcPr>
          <w:p w14:paraId="0D18291B" w14:textId="77777777" w:rsidR="00627936" w:rsidRDefault="00627936" w:rsidP="00627936">
            <w:pPr>
              <w:jc w:val="center"/>
            </w:pPr>
          </w:p>
        </w:tc>
        <w:tc>
          <w:tcPr>
            <w:tcW w:w="540" w:type="dxa"/>
          </w:tcPr>
          <w:p w14:paraId="72EDAD7F" w14:textId="77777777" w:rsidR="00627936" w:rsidRDefault="00627936" w:rsidP="00627936">
            <w:pPr>
              <w:jc w:val="center"/>
            </w:pPr>
          </w:p>
        </w:tc>
        <w:tc>
          <w:tcPr>
            <w:tcW w:w="720" w:type="dxa"/>
          </w:tcPr>
          <w:p w14:paraId="2325E649" w14:textId="77777777" w:rsidR="00627936" w:rsidRDefault="00627936" w:rsidP="00627936">
            <w:pPr>
              <w:jc w:val="center"/>
            </w:pPr>
          </w:p>
        </w:tc>
        <w:tc>
          <w:tcPr>
            <w:tcW w:w="720" w:type="dxa"/>
          </w:tcPr>
          <w:p w14:paraId="00004FD2" w14:textId="77777777" w:rsidR="00627936" w:rsidRDefault="00627936" w:rsidP="00627936">
            <w:pPr>
              <w:jc w:val="center"/>
            </w:pPr>
          </w:p>
        </w:tc>
        <w:tc>
          <w:tcPr>
            <w:tcW w:w="720" w:type="dxa"/>
          </w:tcPr>
          <w:p w14:paraId="2702E1D7" w14:textId="77777777" w:rsidR="00627936" w:rsidRDefault="00627936" w:rsidP="00627936">
            <w:pPr>
              <w:jc w:val="center"/>
            </w:pPr>
          </w:p>
        </w:tc>
      </w:tr>
      <w:tr w:rsidR="00627936" w14:paraId="40A3215B" w14:textId="77777777" w:rsidTr="00627936">
        <w:tc>
          <w:tcPr>
            <w:tcW w:w="496" w:type="dxa"/>
          </w:tcPr>
          <w:p w14:paraId="470F2C11" w14:textId="77777777" w:rsidR="00627936" w:rsidRDefault="00627936" w:rsidP="00627936"/>
        </w:tc>
        <w:tc>
          <w:tcPr>
            <w:tcW w:w="4809" w:type="dxa"/>
          </w:tcPr>
          <w:p w14:paraId="2C1A75F3" w14:textId="65467785" w:rsidR="00627936" w:rsidRPr="00C37596" w:rsidRDefault="00C37596" w:rsidP="00627936">
            <w:pPr>
              <w:pStyle w:val="ListParagraph"/>
              <w:numPr>
                <w:ilvl w:val="0"/>
                <w:numId w:val="14"/>
              </w:numPr>
              <w:rPr>
                <w:lang w:val="es-DO"/>
              </w:rPr>
            </w:pPr>
            <w:r w:rsidRPr="00C37596">
              <w:rPr>
                <w:lang w:val="es-DO"/>
              </w:rPr>
              <w:t>Capacitación necesaria para implementar actividades</w:t>
            </w:r>
          </w:p>
        </w:tc>
        <w:tc>
          <w:tcPr>
            <w:tcW w:w="1440" w:type="dxa"/>
          </w:tcPr>
          <w:p w14:paraId="0E2BA2BA" w14:textId="77777777" w:rsidR="00627936" w:rsidRDefault="00627936" w:rsidP="00627936">
            <w:pPr>
              <w:jc w:val="center"/>
            </w:pPr>
            <w:r>
              <w:t>5</w:t>
            </w:r>
          </w:p>
        </w:tc>
        <w:tc>
          <w:tcPr>
            <w:tcW w:w="540" w:type="dxa"/>
          </w:tcPr>
          <w:p w14:paraId="3B0E7CEE" w14:textId="77777777" w:rsidR="00627936" w:rsidRDefault="00627936" w:rsidP="00627936">
            <w:pPr>
              <w:jc w:val="center"/>
            </w:pPr>
          </w:p>
        </w:tc>
        <w:tc>
          <w:tcPr>
            <w:tcW w:w="540" w:type="dxa"/>
          </w:tcPr>
          <w:p w14:paraId="35DB9B9D" w14:textId="77777777" w:rsidR="00627936" w:rsidRDefault="00627936" w:rsidP="00627936">
            <w:pPr>
              <w:jc w:val="center"/>
            </w:pPr>
          </w:p>
        </w:tc>
        <w:tc>
          <w:tcPr>
            <w:tcW w:w="720" w:type="dxa"/>
          </w:tcPr>
          <w:p w14:paraId="44EDB81E" w14:textId="77777777" w:rsidR="00627936" w:rsidRDefault="00627936" w:rsidP="00627936">
            <w:pPr>
              <w:jc w:val="center"/>
            </w:pPr>
          </w:p>
        </w:tc>
        <w:tc>
          <w:tcPr>
            <w:tcW w:w="720" w:type="dxa"/>
          </w:tcPr>
          <w:p w14:paraId="6EBD27D2" w14:textId="77777777" w:rsidR="00627936" w:rsidRDefault="00627936" w:rsidP="00627936">
            <w:pPr>
              <w:jc w:val="center"/>
            </w:pPr>
          </w:p>
        </w:tc>
        <w:tc>
          <w:tcPr>
            <w:tcW w:w="720" w:type="dxa"/>
          </w:tcPr>
          <w:p w14:paraId="69AD83B8" w14:textId="77777777" w:rsidR="00627936" w:rsidRDefault="00627936" w:rsidP="00627936">
            <w:pPr>
              <w:jc w:val="center"/>
            </w:pPr>
          </w:p>
        </w:tc>
      </w:tr>
      <w:tr w:rsidR="00627936" w14:paraId="6944F5DE" w14:textId="77777777" w:rsidTr="00627936">
        <w:tc>
          <w:tcPr>
            <w:tcW w:w="496" w:type="dxa"/>
          </w:tcPr>
          <w:p w14:paraId="4D436F08" w14:textId="77777777" w:rsidR="00627936" w:rsidRDefault="00627936" w:rsidP="00627936"/>
        </w:tc>
        <w:tc>
          <w:tcPr>
            <w:tcW w:w="4809" w:type="dxa"/>
          </w:tcPr>
          <w:p w14:paraId="2F0770FB" w14:textId="4C9185DC" w:rsidR="00627936" w:rsidRDefault="00C37596" w:rsidP="00627936">
            <w:pPr>
              <w:pStyle w:val="ListParagraph"/>
              <w:numPr>
                <w:ilvl w:val="0"/>
                <w:numId w:val="14"/>
              </w:numPr>
            </w:pPr>
            <w:r w:rsidRPr="00C37596">
              <w:t>Conocimiento del contexto nacional.</w:t>
            </w:r>
          </w:p>
        </w:tc>
        <w:tc>
          <w:tcPr>
            <w:tcW w:w="1440" w:type="dxa"/>
          </w:tcPr>
          <w:p w14:paraId="4B861650" w14:textId="77777777" w:rsidR="00627936" w:rsidRDefault="00627936" w:rsidP="00627936">
            <w:pPr>
              <w:jc w:val="center"/>
            </w:pPr>
            <w:r>
              <w:t>5</w:t>
            </w:r>
          </w:p>
        </w:tc>
        <w:tc>
          <w:tcPr>
            <w:tcW w:w="540" w:type="dxa"/>
          </w:tcPr>
          <w:p w14:paraId="7212DFB0" w14:textId="77777777" w:rsidR="00627936" w:rsidRDefault="00627936" w:rsidP="00627936">
            <w:pPr>
              <w:jc w:val="center"/>
            </w:pPr>
          </w:p>
        </w:tc>
        <w:tc>
          <w:tcPr>
            <w:tcW w:w="540" w:type="dxa"/>
          </w:tcPr>
          <w:p w14:paraId="591C60F7" w14:textId="77777777" w:rsidR="00627936" w:rsidRDefault="00627936" w:rsidP="00627936">
            <w:pPr>
              <w:jc w:val="center"/>
            </w:pPr>
          </w:p>
        </w:tc>
        <w:tc>
          <w:tcPr>
            <w:tcW w:w="720" w:type="dxa"/>
          </w:tcPr>
          <w:p w14:paraId="30C0D1A7" w14:textId="77777777" w:rsidR="00627936" w:rsidRDefault="00627936" w:rsidP="00627936">
            <w:pPr>
              <w:jc w:val="center"/>
            </w:pPr>
          </w:p>
        </w:tc>
        <w:tc>
          <w:tcPr>
            <w:tcW w:w="720" w:type="dxa"/>
          </w:tcPr>
          <w:p w14:paraId="7037B90D" w14:textId="77777777" w:rsidR="00627936" w:rsidRDefault="00627936" w:rsidP="00627936">
            <w:pPr>
              <w:jc w:val="center"/>
            </w:pPr>
          </w:p>
        </w:tc>
        <w:tc>
          <w:tcPr>
            <w:tcW w:w="720" w:type="dxa"/>
          </w:tcPr>
          <w:p w14:paraId="24C30935" w14:textId="77777777" w:rsidR="00627936" w:rsidRDefault="00627936" w:rsidP="00627936">
            <w:pPr>
              <w:jc w:val="center"/>
            </w:pPr>
          </w:p>
        </w:tc>
      </w:tr>
      <w:tr w:rsidR="00627936" w14:paraId="2AEBE201" w14:textId="77777777" w:rsidTr="00627936">
        <w:tc>
          <w:tcPr>
            <w:tcW w:w="496" w:type="dxa"/>
          </w:tcPr>
          <w:p w14:paraId="159927A8" w14:textId="77777777" w:rsidR="00627936" w:rsidRDefault="00627936" w:rsidP="00627936">
            <w:r>
              <w:t>3.2</w:t>
            </w:r>
          </w:p>
        </w:tc>
        <w:tc>
          <w:tcPr>
            <w:tcW w:w="4809" w:type="dxa"/>
          </w:tcPr>
          <w:p w14:paraId="2F9321FD" w14:textId="2392B37A" w:rsidR="00627936" w:rsidRPr="00C37596" w:rsidRDefault="00C37596" w:rsidP="00627936">
            <w:pPr>
              <w:rPr>
                <w:lang w:val="es-DO"/>
              </w:rPr>
            </w:pPr>
            <w:r w:rsidRPr="00C37596">
              <w:rPr>
                <w:lang w:val="es-DO"/>
              </w:rPr>
              <w:t>¿Ha demostrado la organización la capacidad de administrar fondos de subvenciones?</w:t>
            </w:r>
          </w:p>
        </w:tc>
        <w:tc>
          <w:tcPr>
            <w:tcW w:w="1440" w:type="dxa"/>
          </w:tcPr>
          <w:p w14:paraId="3A8BA51A" w14:textId="77777777" w:rsidR="00627936" w:rsidRDefault="00627936" w:rsidP="00627936">
            <w:pPr>
              <w:jc w:val="center"/>
            </w:pPr>
            <w:r>
              <w:t>10</w:t>
            </w:r>
          </w:p>
        </w:tc>
        <w:tc>
          <w:tcPr>
            <w:tcW w:w="540" w:type="dxa"/>
          </w:tcPr>
          <w:p w14:paraId="1A49A725" w14:textId="77777777" w:rsidR="00627936" w:rsidRDefault="00627936" w:rsidP="00627936">
            <w:pPr>
              <w:jc w:val="center"/>
            </w:pPr>
          </w:p>
        </w:tc>
        <w:tc>
          <w:tcPr>
            <w:tcW w:w="540" w:type="dxa"/>
          </w:tcPr>
          <w:p w14:paraId="169E01F9" w14:textId="77777777" w:rsidR="00627936" w:rsidRDefault="00627936" w:rsidP="00627936">
            <w:pPr>
              <w:jc w:val="center"/>
            </w:pPr>
          </w:p>
        </w:tc>
        <w:tc>
          <w:tcPr>
            <w:tcW w:w="720" w:type="dxa"/>
          </w:tcPr>
          <w:p w14:paraId="46BE6487" w14:textId="77777777" w:rsidR="00627936" w:rsidRDefault="00627936" w:rsidP="00627936">
            <w:pPr>
              <w:jc w:val="center"/>
            </w:pPr>
          </w:p>
        </w:tc>
        <w:tc>
          <w:tcPr>
            <w:tcW w:w="720" w:type="dxa"/>
          </w:tcPr>
          <w:p w14:paraId="11237C4B" w14:textId="77777777" w:rsidR="00627936" w:rsidRDefault="00627936" w:rsidP="00627936">
            <w:pPr>
              <w:jc w:val="center"/>
            </w:pPr>
          </w:p>
        </w:tc>
        <w:tc>
          <w:tcPr>
            <w:tcW w:w="720" w:type="dxa"/>
          </w:tcPr>
          <w:p w14:paraId="1963F648" w14:textId="77777777" w:rsidR="00627936" w:rsidRDefault="00627936" w:rsidP="00627936">
            <w:pPr>
              <w:jc w:val="center"/>
            </w:pPr>
          </w:p>
        </w:tc>
      </w:tr>
      <w:tr w:rsidR="00627936" w14:paraId="5121A730" w14:textId="77777777" w:rsidTr="00627936">
        <w:tc>
          <w:tcPr>
            <w:tcW w:w="496" w:type="dxa"/>
          </w:tcPr>
          <w:p w14:paraId="3649FC88" w14:textId="77777777" w:rsidR="00627936" w:rsidRDefault="00627936" w:rsidP="00627936"/>
        </w:tc>
        <w:tc>
          <w:tcPr>
            <w:tcW w:w="4809" w:type="dxa"/>
          </w:tcPr>
          <w:p w14:paraId="4F69C1C6" w14:textId="77777777" w:rsidR="00627936" w:rsidRPr="00AC4756" w:rsidRDefault="00627936" w:rsidP="00627936"/>
        </w:tc>
        <w:tc>
          <w:tcPr>
            <w:tcW w:w="1440" w:type="dxa"/>
          </w:tcPr>
          <w:p w14:paraId="273BB700" w14:textId="77777777" w:rsidR="00627936" w:rsidRDefault="00627936" w:rsidP="00627936">
            <w:pPr>
              <w:jc w:val="center"/>
            </w:pPr>
          </w:p>
        </w:tc>
        <w:tc>
          <w:tcPr>
            <w:tcW w:w="540" w:type="dxa"/>
          </w:tcPr>
          <w:p w14:paraId="38E84E52" w14:textId="77777777" w:rsidR="00627936" w:rsidRDefault="00627936" w:rsidP="00627936">
            <w:pPr>
              <w:jc w:val="center"/>
            </w:pPr>
          </w:p>
        </w:tc>
        <w:tc>
          <w:tcPr>
            <w:tcW w:w="540" w:type="dxa"/>
          </w:tcPr>
          <w:p w14:paraId="43117907" w14:textId="77777777" w:rsidR="00627936" w:rsidRDefault="00627936" w:rsidP="00627936">
            <w:pPr>
              <w:jc w:val="center"/>
            </w:pPr>
          </w:p>
        </w:tc>
        <w:tc>
          <w:tcPr>
            <w:tcW w:w="720" w:type="dxa"/>
          </w:tcPr>
          <w:p w14:paraId="105CE833" w14:textId="77777777" w:rsidR="00627936" w:rsidRDefault="00627936" w:rsidP="00627936">
            <w:pPr>
              <w:jc w:val="center"/>
            </w:pPr>
          </w:p>
        </w:tc>
        <w:tc>
          <w:tcPr>
            <w:tcW w:w="720" w:type="dxa"/>
          </w:tcPr>
          <w:p w14:paraId="57449A28" w14:textId="77777777" w:rsidR="00627936" w:rsidRDefault="00627936" w:rsidP="00627936">
            <w:pPr>
              <w:jc w:val="center"/>
            </w:pPr>
          </w:p>
        </w:tc>
        <w:tc>
          <w:tcPr>
            <w:tcW w:w="720" w:type="dxa"/>
          </w:tcPr>
          <w:p w14:paraId="7DDAE21E" w14:textId="77777777" w:rsidR="00627936" w:rsidRDefault="00627936" w:rsidP="00627936">
            <w:pPr>
              <w:jc w:val="center"/>
            </w:pPr>
          </w:p>
        </w:tc>
      </w:tr>
      <w:tr w:rsidR="00627936" w14:paraId="5F8A61C2" w14:textId="77777777" w:rsidTr="00627936">
        <w:tc>
          <w:tcPr>
            <w:tcW w:w="496" w:type="dxa"/>
          </w:tcPr>
          <w:p w14:paraId="1317B3E2" w14:textId="77777777" w:rsidR="00627936" w:rsidRDefault="00627936" w:rsidP="00627936"/>
        </w:tc>
        <w:tc>
          <w:tcPr>
            <w:tcW w:w="4809" w:type="dxa"/>
          </w:tcPr>
          <w:p w14:paraId="0F5C979B" w14:textId="77777777" w:rsidR="00627936" w:rsidRPr="00FA30E8" w:rsidRDefault="00627936" w:rsidP="00627936">
            <w:pPr>
              <w:pStyle w:val="ListParagraph"/>
              <w:rPr>
                <w:b/>
              </w:rPr>
            </w:pPr>
            <w:r w:rsidRPr="00FA30E8">
              <w:rPr>
                <w:b/>
              </w:rPr>
              <w:t>TOTAL</w:t>
            </w:r>
          </w:p>
        </w:tc>
        <w:tc>
          <w:tcPr>
            <w:tcW w:w="1440" w:type="dxa"/>
          </w:tcPr>
          <w:p w14:paraId="6E30D91E" w14:textId="77777777" w:rsidR="00627936" w:rsidRPr="00FA30E8" w:rsidRDefault="00627936" w:rsidP="00627936">
            <w:pPr>
              <w:jc w:val="center"/>
              <w:rPr>
                <w:b/>
              </w:rPr>
            </w:pPr>
            <w:r w:rsidRPr="00FA30E8">
              <w:rPr>
                <w:b/>
              </w:rPr>
              <w:t>100</w:t>
            </w:r>
          </w:p>
        </w:tc>
        <w:tc>
          <w:tcPr>
            <w:tcW w:w="540" w:type="dxa"/>
          </w:tcPr>
          <w:p w14:paraId="63063C7F" w14:textId="77777777" w:rsidR="00627936" w:rsidRDefault="00627936" w:rsidP="00627936">
            <w:pPr>
              <w:jc w:val="center"/>
            </w:pPr>
          </w:p>
        </w:tc>
        <w:tc>
          <w:tcPr>
            <w:tcW w:w="540" w:type="dxa"/>
          </w:tcPr>
          <w:p w14:paraId="014BC3DC" w14:textId="77777777" w:rsidR="00627936" w:rsidRDefault="00627936" w:rsidP="00627936">
            <w:pPr>
              <w:jc w:val="center"/>
            </w:pPr>
          </w:p>
        </w:tc>
        <w:tc>
          <w:tcPr>
            <w:tcW w:w="720" w:type="dxa"/>
          </w:tcPr>
          <w:p w14:paraId="52A57BBA" w14:textId="77777777" w:rsidR="00627936" w:rsidRDefault="00627936" w:rsidP="00627936">
            <w:pPr>
              <w:jc w:val="center"/>
            </w:pPr>
          </w:p>
        </w:tc>
        <w:tc>
          <w:tcPr>
            <w:tcW w:w="720" w:type="dxa"/>
          </w:tcPr>
          <w:p w14:paraId="3188803D" w14:textId="77777777" w:rsidR="00627936" w:rsidRDefault="00627936" w:rsidP="00627936">
            <w:pPr>
              <w:jc w:val="center"/>
            </w:pPr>
          </w:p>
        </w:tc>
        <w:tc>
          <w:tcPr>
            <w:tcW w:w="720" w:type="dxa"/>
          </w:tcPr>
          <w:p w14:paraId="5CAC7827" w14:textId="77777777" w:rsidR="00627936" w:rsidRDefault="00627936" w:rsidP="00627936">
            <w:pPr>
              <w:jc w:val="center"/>
            </w:pPr>
          </w:p>
        </w:tc>
      </w:tr>
    </w:tbl>
    <w:p w14:paraId="52670F7E" w14:textId="06794E43" w:rsidR="00267268" w:rsidRDefault="00267268" w:rsidP="00807DDE">
      <w:pPr>
        <w:jc w:val="both"/>
      </w:pPr>
    </w:p>
    <w:p w14:paraId="711373C1" w14:textId="3D573D10" w:rsidR="00057143" w:rsidRPr="00057143" w:rsidRDefault="00057143" w:rsidP="00057143">
      <w:pPr>
        <w:jc w:val="right"/>
        <w:rPr>
          <w:b/>
          <w:lang w:val="es-DO"/>
        </w:rPr>
      </w:pPr>
      <w:r w:rsidRPr="008A2FF3">
        <w:rPr>
          <w:b/>
          <w:lang w:val="es-DO"/>
        </w:rPr>
        <w:t>Anexo 1</w:t>
      </w:r>
    </w:p>
    <w:p w14:paraId="18EF263B" w14:textId="1D4B694D" w:rsidR="00057143" w:rsidRPr="00057143" w:rsidRDefault="00057143" w:rsidP="00057143">
      <w:pPr>
        <w:jc w:val="both"/>
        <w:rPr>
          <w:lang w:val="es-DO"/>
        </w:rPr>
      </w:pPr>
      <w:r w:rsidRPr="008A2FF3">
        <w:rPr>
          <w:b/>
          <w:sz w:val="28"/>
          <w:szCs w:val="28"/>
          <w:lang w:val="es-DO"/>
        </w:rPr>
        <w:t>Evaluación de Expresión de Interés</w:t>
      </w:r>
    </w:p>
    <w:p w14:paraId="04EE2A95" w14:textId="3FE444E2" w:rsidR="00170C8B" w:rsidRPr="00057143" w:rsidRDefault="00170C8B" w:rsidP="00807DDE">
      <w:pPr>
        <w:jc w:val="both"/>
        <w:rPr>
          <w:lang w:val="es-DO"/>
        </w:rPr>
      </w:pPr>
    </w:p>
    <w:p w14:paraId="33337921" w14:textId="58BAB776" w:rsidR="00170C8B" w:rsidRPr="00057143" w:rsidRDefault="00170C8B" w:rsidP="00807DDE">
      <w:pPr>
        <w:jc w:val="both"/>
        <w:rPr>
          <w:lang w:val="es-DO"/>
        </w:rPr>
      </w:pPr>
    </w:p>
    <w:p w14:paraId="0E1D06DB" w14:textId="0A9CC2FF" w:rsidR="00170C8B" w:rsidRPr="00057143" w:rsidRDefault="00170C8B" w:rsidP="00807DDE">
      <w:pPr>
        <w:jc w:val="both"/>
        <w:rPr>
          <w:lang w:val="es-DO"/>
        </w:rPr>
      </w:pPr>
    </w:p>
    <w:p w14:paraId="3AF17665" w14:textId="5C57DEA6" w:rsidR="00170C8B" w:rsidRPr="00057143" w:rsidRDefault="00170C8B" w:rsidP="00807DDE">
      <w:pPr>
        <w:jc w:val="both"/>
        <w:rPr>
          <w:lang w:val="es-DO"/>
        </w:rPr>
      </w:pPr>
    </w:p>
    <w:p w14:paraId="32057DF7" w14:textId="17BE49A5" w:rsidR="00170C8B" w:rsidRPr="00057143" w:rsidRDefault="00170C8B" w:rsidP="00807DDE">
      <w:pPr>
        <w:jc w:val="both"/>
        <w:rPr>
          <w:lang w:val="es-DO"/>
        </w:rPr>
      </w:pPr>
    </w:p>
    <w:p w14:paraId="7A1BFB68" w14:textId="1E88B507" w:rsidR="00170C8B" w:rsidRPr="00057143" w:rsidRDefault="00170C8B" w:rsidP="00807DDE">
      <w:pPr>
        <w:jc w:val="both"/>
        <w:rPr>
          <w:lang w:val="es-DO"/>
        </w:rPr>
      </w:pPr>
    </w:p>
    <w:sectPr w:rsidR="00170C8B" w:rsidRPr="00057143" w:rsidSect="00B070A8">
      <w:pgSz w:w="12240" w:h="15840"/>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910E" w14:textId="77777777" w:rsidR="00762574" w:rsidRDefault="00762574" w:rsidP="00C05964">
      <w:pPr>
        <w:spacing w:after="0" w:line="240" w:lineRule="auto"/>
      </w:pPr>
      <w:r>
        <w:separator/>
      </w:r>
    </w:p>
  </w:endnote>
  <w:endnote w:type="continuationSeparator" w:id="0">
    <w:p w14:paraId="137CDCA7" w14:textId="77777777" w:rsidR="00762574" w:rsidRDefault="00762574" w:rsidP="00C0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8119" w14:textId="77777777" w:rsidR="00762574" w:rsidRDefault="00762574" w:rsidP="00C05964">
      <w:pPr>
        <w:spacing w:after="0" w:line="240" w:lineRule="auto"/>
      </w:pPr>
      <w:r>
        <w:separator/>
      </w:r>
    </w:p>
  </w:footnote>
  <w:footnote w:type="continuationSeparator" w:id="0">
    <w:p w14:paraId="2B9A747A" w14:textId="77777777" w:rsidR="00762574" w:rsidRDefault="00762574" w:rsidP="00C05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EC6"/>
    <w:multiLevelType w:val="hybridMultilevel"/>
    <w:tmpl w:val="71F09DC0"/>
    <w:lvl w:ilvl="0" w:tplc="840C6600">
      <w:start w:val="1"/>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1" w15:restartNumberingAfterBreak="0">
    <w:nsid w:val="09077F57"/>
    <w:multiLevelType w:val="hybridMultilevel"/>
    <w:tmpl w:val="0900AAFA"/>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A7D0619"/>
    <w:multiLevelType w:val="hybridMultilevel"/>
    <w:tmpl w:val="749845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50934"/>
    <w:multiLevelType w:val="hybridMultilevel"/>
    <w:tmpl w:val="5FA49C4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0E741875"/>
    <w:multiLevelType w:val="hybridMultilevel"/>
    <w:tmpl w:val="FF3891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C35AB2"/>
    <w:multiLevelType w:val="multilevel"/>
    <w:tmpl w:val="340E5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8129DF"/>
    <w:multiLevelType w:val="multilevel"/>
    <w:tmpl w:val="FC784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76BF1"/>
    <w:multiLevelType w:val="hybridMultilevel"/>
    <w:tmpl w:val="403CA0E6"/>
    <w:lvl w:ilvl="0" w:tplc="FE7C6044">
      <w:start w:val="1"/>
      <w:numFmt w:val="decimal"/>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A0A2B21"/>
    <w:multiLevelType w:val="hybridMultilevel"/>
    <w:tmpl w:val="B5CE2D34"/>
    <w:lvl w:ilvl="0" w:tplc="0F2083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0713D"/>
    <w:multiLevelType w:val="hybridMultilevel"/>
    <w:tmpl w:val="00BEB2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383471"/>
    <w:multiLevelType w:val="hybridMultilevel"/>
    <w:tmpl w:val="4B80D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F25DE"/>
    <w:multiLevelType w:val="hybridMultilevel"/>
    <w:tmpl w:val="0B68F1C8"/>
    <w:lvl w:ilvl="0" w:tplc="4272627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A6C64"/>
    <w:multiLevelType w:val="hybridMultilevel"/>
    <w:tmpl w:val="110C7D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BC1218"/>
    <w:multiLevelType w:val="hybridMultilevel"/>
    <w:tmpl w:val="4CB89D2E"/>
    <w:lvl w:ilvl="0" w:tplc="1C0A000F">
      <w:start w:val="1"/>
      <w:numFmt w:val="decimal"/>
      <w:lvlText w:val="%1."/>
      <w:lvlJc w:val="left"/>
      <w:pPr>
        <w:ind w:left="1080" w:hanging="720"/>
      </w:pPr>
      <w:rPr>
        <w:rFonts w:hint="default"/>
      </w:rPr>
    </w:lvl>
    <w:lvl w:ilvl="1" w:tplc="DBA4AD50">
      <w:start w:val="1"/>
      <w:numFmt w:val="decimal"/>
      <w:lvlText w:val="%2."/>
      <w:lvlJc w:val="left"/>
      <w:pPr>
        <w:ind w:left="12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33F7B"/>
    <w:multiLevelType w:val="hybridMultilevel"/>
    <w:tmpl w:val="BA68C6B8"/>
    <w:lvl w:ilvl="0" w:tplc="0F2083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02C73"/>
    <w:multiLevelType w:val="hybridMultilevel"/>
    <w:tmpl w:val="E062C0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D621BF"/>
    <w:multiLevelType w:val="hybridMultilevel"/>
    <w:tmpl w:val="87A66F8C"/>
    <w:lvl w:ilvl="0" w:tplc="1E341AE2">
      <w:numFmt w:val="bullet"/>
      <w:lvlText w:val=""/>
      <w:lvlJc w:val="left"/>
      <w:pPr>
        <w:ind w:left="1080" w:hanging="72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F6382"/>
    <w:multiLevelType w:val="hybridMultilevel"/>
    <w:tmpl w:val="63726C9A"/>
    <w:lvl w:ilvl="0" w:tplc="1C0A0001">
      <w:start w:val="1"/>
      <w:numFmt w:val="bullet"/>
      <w:lvlText w:val=""/>
      <w:lvlJc w:val="left"/>
      <w:pPr>
        <w:ind w:left="720" w:hanging="720"/>
      </w:pPr>
      <w:rPr>
        <w:rFonts w:ascii="Symbol" w:hAnsi="Symbol" w:hint="default"/>
      </w:rPr>
    </w:lvl>
    <w:lvl w:ilvl="1" w:tplc="DBA4AD50">
      <w:start w:val="1"/>
      <w:numFmt w:val="decimal"/>
      <w:lvlText w:val="%2."/>
      <w:lvlJc w:val="left"/>
      <w:pPr>
        <w:ind w:left="1080" w:hanging="360"/>
      </w:pPr>
      <w:rPr>
        <w:rFonts w:hint="default"/>
      </w:rPr>
    </w:lvl>
    <w:lvl w:ilvl="2" w:tplc="3DFEA364">
      <w:numFmt w:val="bullet"/>
      <w:lvlText w:val="•"/>
      <w:lvlJc w:val="left"/>
      <w:pPr>
        <w:ind w:left="1980" w:hanging="360"/>
      </w:pPr>
      <w:rPr>
        <w:rFonts w:ascii="Calibri" w:eastAsia="Times New Roman"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B4756C"/>
    <w:multiLevelType w:val="hybridMultilevel"/>
    <w:tmpl w:val="1D443F5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5CDA5926"/>
    <w:multiLevelType w:val="hybridMultilevel"/>
    <w:tmpl w:val="33FEF04A"/>
    <w:lvl w:ilvl="0" w:tplc="1C0A0019">
      <w:start w:val="7"/>
      <w:numFmt w:val="lowerLetter"/>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20" w15:restartNumberingAfterBreak="0">
    <w:nsid w:val="60B24EDF"/>
    <w:multiLevelType w:val="hybridMultilevel"/>
    <w:tmpl w:val="1356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A1B8A"/>
    <w:multiLevelType w:val="hybridMultilevel"/>
    <w:tmpl w:val="60C24F8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67E50A78"/>
    <w:multiLevelType w:val="hybridMultilevel"/>
    <w:tmpl w:val="C2CA6E7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68611796"/>
    <w:multiLevelType w:val="multilevel"/>
    <w:tmpl w:val="5A98ED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A520BF"/>
    <w:multiLevelType w:val="hybridMultilevel"/>
    <w:tmpl w:val="76425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F0875"/>
    <w:multiLevelType w:val="hybridMultilevel"/>
    <w:tmpl w:val="3CFE478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761E1D32"/>
    <w:multiLevelType w:val="hybridMultilevel"/>
    <w:tmpl w:val="E8800DAE"/>
    <w:lvl w:ilvl="0" w:tplc="1C0A000F">
      <w:start w:val="1"/>
      <w:numFmt w:val="decimal"/>
      <w:lvlText w:val="%1."/>
      <w:lvlJc w:val="left"/>
      <w:pPr>
        <w:ind w:left="1440" w:hanging="720"/>
      </w:pPr>
      <w:rPr>
        <w:rFonts w:hint="default"/>
      </w:rPr>
    </w:lvl>
    <w:lvl w:ilvl="1" w:tplc="DBA4AD50">
      <w:start w:val="1"/>
      <w:numFmt w:val="decimal"/>
      <w:lvlText w:val="%2."/>
      <w:lvlJc w:val="left"/>
      <w:pPr>
        <w:ind w:left="1800" w:hanging="360"/>
      </w:pPr>
      <w:rPr>
        <w:rFonts w:hint="default"/>
      </w:rPr>
    </w:lvl>
    <w:lvl w:ilvl="2" w:tplc="3DFEA364">
      <w:numFmt w:val="bullet"/>
      <w:lvlText w:val="•"/>
      <w:lvlJc w:val="left"/>
      <w:pPr>
        <w:ind w:left="2700" w:hanging="360"/>
      </w:pPr>
      <w:rPr>
        <w:rFonts w:ascii="Calibri" w:eastAsia="Times New Roman"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7658390">
    <w:abstractNumId w:val="20"/>
  </w:num>
  <w:num w:numId="2" w16cid:durableId="2000883452">
    <w:abstractNumId w:val="13"/>
  </w:num>
  <w:num w:numId="3" w16cid:durableId="1926450343">
    <w:abstractNumId w:val="11"/>
  </w:num>
  <w:num w:numId="4" w16cid:durableId="660425263">
    <w:abstractNumId w:val="24"/>
  </w:num>
  <w:num w:numId="5" w16cid:durableId="351760927">
    <w:abstractNumId w:val="4"/>
  </w:num>
  <w:num w:numId="6" w16cid:durableId="2083017199">
    <w:abstractNumId w:val="0"/>
  </w:num>
  <w:num w:numId="7" w16cid:durableId="2055159684">
    <w:abstractNumId w:val="23"/>
  </w:num>
  <w:num w:numId="8" w16cid:durableId="1875576798">
    <w:abstractNumId w:val="3"/>
  </w:num>
  <w:num w:numId="9" w16cid:durableId="654913657">
    <w:abstractNumId w:val="19"/>
  </w:num>
  <w:num w:numId="10" w16cid:durableId="24334264">
    <w:abstractNumId w:val="6"/>
  </w:num>
  <w:num w:numId="11" w16cid:durableId="994919205">
    <w:abstractNumId w:val="12"/>
  </w:num>
  <w:num w:numId="12" w16cid:durableId="1853567956">
    <w:abstractNumId w:val="10"/>
  </w:num>
  <w:num w:numId="13" w16cid:durableId="1774546041">
    <w:abstractNumId w:val="2"/>
  </w:num>
  <w:num w:numId="14" w16cid:durableId="940600511">
    <w:abstractNumId w:val="9"/>
  </w:num>
  <w:num w:numId="15" w16cid:durableId="1967735739">
    <w:abstractNumId w:val="26"/>
  </w:num>
  <w:num w:numId="16" w16cid:durableId="1388605673">
    <w:abstractNumId w:val="22"/>
  </w:num>
  <w:num w:numId="17" w16cid:durableId="246962810">
    <w:abstractNumId w:val="17"/>
  </w:num>
  <w:num w:numId="18" w16cid:durableId="1916475745">
    <w:abstractNumId w:val="21"/>
  </w:num>
  <w:num w:numId="19" w16cid:durableId="165825298">
    <w:abstractNumId w:val="18"/>
  </w:num>
  <w:num w:numId="20" w16cid:durableId="1168248801">
    <w:abstractNumId w:val="1"/>
  </w:num>
  <w:num w:numId="21" w16cid:durableId="22364211">
    <w:abstractNumId w:val="5"/>
  </w:num>
  <w:num w:numId="22" w16cid:durableId="1780948061">
    <w:abstractNumId w:val="7"/>
  </w:num>
  <w:num w:numId="23" w16cid:durableId="2028291070">
    <w:abstractNumId w:val="25"/>
  </w:num>
  <w:num w:numId="24" w16cid:durableId="1775400349">
    <w:abstractNumId w:val="16"/>
  </w:num>
  <w:num w:numId="25" w16cid:durableId="1653944466">
    <w:abstractNumId w:val="8"/>
  </w:num>
  <w:num w:numId="26" w16cid:durableId="1641112377">
    <w:abstractNumId w:val="15"/>
  </w:num>
  <w:num w:numId="27" w16cid:durableId="5440979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B9"/>
    <w:rsid w:val="00001682"/>
    <w:rsid w:val="00006069"/>
    <w:rsid w:val="000377E4"/>
    <w:rsid w:val="00054E54"/>
    <w:rsid w:val="00057143"/>
    <w:rsid w:val="00082D34"/>
    <w:rsid w:val="00083DB0"/>
    <w:rsid w:val="00090774"/>
    <w:rsid w:val="000B594E"/>
    <w:rsid w:val="000C542B"/>
    <w:rsid w:val="000C764C"/>
    <w:rsid w:val="000D13E1"/>
    <w:rsid w:val="000F0611"/>
    <w:rsid w:val="000F72CF"/>
    <w:rsid w:val="00101C5B"/>
    <w:rsid w:val="00110C2E"/>
    <w:rsid w:val="00112CE7"/>
    <w:rsid w:val="00122E89"/>
    <w:rsid w:val="00140052"/>
    <w:rsid w:val="00140B87"/>
    <w:rsid w:val="00140D9B"/>
    <w:rsid w:val="00162009"/>
    <w:rsid w:val="00166A94"/>
    <w:rsid w:val="00170C8B"/>
    <w:rsid w:val="0018608E"/>
    <w:rsid w:val="00192CF9"/>
    <w:rsid w:val="00195962"/>
    <w:rsid w:val="001A54C7"/>
    <w:rsid w:val="001B7B78"/>
    <w:rsid w:val="001C6295"/>
    <w:rsid w:val="001E2539"/>
    <w:rsid w:val="002048CF"/>
    <w:rsid w:val="00221B74"/>
    <w:rsid w:val="00225332"/>
    <w:rsid w:val="00230D5D"/>
    <w:rsid w:val="0023246D"/>
    <w:rsid w:val="00232C11"/>
    <w:rsid w:val="0024281D"/>
    <w:rsid w:val="002463AF"/>
    <w:rsid w:val="002641F6"/>
    <w:rsid w:val="00264DD5"/>
    <w:rsid w:val="00267268"/>
    <w:rsid w:val="002679A9"/>
    <w:rsid w:val="0027295F"/>
    <w:rsid w:val="00276175"/>
    <w:rsid w:val="00277DF9"/>
    <w:rsid w:val="002940BD"/>
    <w:rsid w:val="00296DB5"/>
    <w:rsid w:val="002A6D2D"/>
    <w:rsid w:val="002A7275"/>
    <w:rsid w:val="002B1AFA"/>
    <w:rsid w:val="002B323F"/>
    <w:rsid w:val="002C1FAA"/>
    <w:rsid w:val="002E6DBD"/>
    <w:rsid w:val="002F4450"/>
    <w:rsid w:val="00301B74"/>
    <w:rsid w:val="00303820"/>
    <w:rsid w:val="00326581"/>
    <w:rsid w:val="00327ABA"/>
    <w:rsid w:val="00332D94"/>
    <w:rsid w:val="00336153"/>
    <w:rsid w:val="00355D94"/>
    <w:rsid w:val="003760EC"/>
    <w:rsid w:val="00387EEA"/>
    <w:rsid w:val="003924E0"/>
    <w:rsid w:val="003934C1"/>
    <w:rsid w:val="00397DF3"/>
    <w:rsid w:val="003A7338"/>
    <w:rsid w:val="003A7CCB"/>
    <w:rsid w:val="003B65A4"/>
    <w:rsid w:val="003C43FF"/>
    <w:rsid w:val="003C4698"/>
    <w:rsid w:val="003C4B98"/>
    <w:rsid w:val="003D193C"/>
    <w:rsid w:val="003E6D92"/>
    <w:rsid w:val="00402DAE"/>
    <w:rsid w:val="00426ADA"/>
    <w:rsid w:val="004373C5"/>
    <w:rsid w:val="0044292D"/>
    <w:rsid w:val="004477D3"/>
    <w:rsid w:val="004662DB"/>
    <w:rsid w:val="00493389"/>
    <w:rsid w:val="004B1FF5"/>
    <w:rsid w:val="004C0F89"/>
    <w:rsid w:val="004D7056"/>
    <w:rsid w:val="004E36AA"/>
    <w:rsid w:val="00502C21"/>
    <w:rsid w:val="005111A4"/>
    <w:rsid w:val="005314E4"/>
    <w:rsid w:val="00531972"/>
    <w:rsid w:val="0054113B"/>
    <w:rsid w:val="005710FB"/>
    <w:rsid w:val="00576B73"/>
    <w:rsid w:val="005841A9"/>
    <w:rsid w:val="0059007F"/>
    <w:rsid w:val="00590FA7"/>
    <w:rsid w:val="00591BD9"/>
    <w:rsid w:val="005A2DFC"/>
    <w:rsid w:val="005A308A"/>
    <w:rsid w:val="005C6BCE"/>
    <w:rsid w:val="005D7023"/>
    <w:rsid w:val="005F5AAB"/>
    <w:rsid w:val="005F68A2"/>
    <w:rsid w:val="0062559E"/>
    <w:rsid w:val="006265AA"/>
    <w:rsid w:val="00627936"/>
    <w:rsid w:val="006301D6"/>
    <w:rsid w:val="00637CEA"/>
    <w:rsid w:val="00643EA0"/>
    <w:rsid w:val="00645D73"/>
    <w:rsid w:val="00651296"/>
    <w:rsid w:val="00662345"/>
    <w:rsid w:val="006B6A44"/>
    <w:rsid w:val="006C111B"/>
    <w:rsid w:val="006C3978"/>
    <w:rsid w:val="006E3B96"/>
    <w:rsid w:val="00703C32"/>
    <w:rsid w:val="0070409C"/>
    <w:rsid w:val="00710806"/>
    <w:rsid w:val="0071569E"/>
    <w:rsid w:val="00723218"/>
    <w:rsid w:val="007450DE"/>
    <w:rsid w:val="0074665D"/>
    <w:rsid w:val="00747CF6"/>
    <w:rsid w:val="00762574"/>
    <w:rsid w:val="007647AB"/>
    <w:rsid w:val="00782C7C"/>
    <w:rsid w:val="00793958"/>
    <w:rsid w:val="007B22AE"/>
    <w:rsid w:val="007B3A05"/>
    <w:rsid w:val="007C3B51"/>
    <w:rsid w:val="007C46A3"/>
    <w:rsid w:val="007D1359"/>
    <w:rsid w:val="007D4D7C"/>
    <w:rsid w:val="007D7BE4"/>
    <w:rsid w:val="00804FAD"/>
    <w:rsid w:val="00807DDE"/>
    <w:rsid w:val="0081226C"/>
    <w:rsid w:val="00823253"/>
    <w:rsid w:val="00826FC5"/>
    <w:rsid w:val="00846C9D"/>
    <w:rsid w:val="008665BA"/>
    <w:rsid w:val="00891E04"/>
    <w:rsid w:val="00894641"/>
    <w:rsid w:val="008A2FF3"/>
    <w:rsid w:val="008D0028"/>
    <w:rsid w:val="008D5225"/>
    <w:rsid w:val="008D7094"/>
    <w:rsid w:val="008D7FD4"/>
    <w:rsid w:val="008E3ABD"/>
    <w:rsid w:val="008F1846"/>
    <w:rsid w:val="00903059"/>
    <w:rsid w:val="009200EB"/>
    <w:rsid w:val="00936FAC"/>
    <w:rsid w:val="00942816"/>
    <w:rsid w:val="00946FED"/>
    <w:rsid w:val="0096452D"/>
    <w:rsid w:val="00976F6A"/>
    <w:rsid w:val="009818AA"/>
    <w:rsid w:val="00982FE3"/>
    <w:rsid w:val="009B083C"/>
    <w:rsid w:val="009B7097"/>
    <w:rsid w:val="009B7BBE"/>
    <w:rsid w:val="009C33C7"/>
    <w:rsid w:val="009C52ED"/>
    <w:rsid w:val="009C6F92"/>
    <w:rsid w:val="009D2531"/>
    <w:rsid w:val="009D4CCD"/>
    <w:rsid w:val="009E0E2F"/>
    <w:rsid w:val="00A07D7A"/>
    <w:rsid w:val="00A12CC0"/>
    <w:rsid w:val="00A2699B"/>
    <w:rsid w:val="00A27A4F"/>
    <w:rsid w:val="00A3026B"/>
    <w:rsid w:val="00A32F60"/>
    <w:rsid w:val="00A35C49"/>
    <w:rsid w:val="00A5676D"/>
    <w:rsid w:val="00A56DC2"/>
    <w:rsid w:val="00A743DF"/>
    <w:rsid w:val="00A7794C"/>
    <w:rsid w:val="00AA165A"/>
    <w:rsid w:val="00AA55E1"/>
    <w:rsid w:val="00AA66CA"/>
    <w:rsid w:val="00AA7113"/>
    <w:rsid w:val="00AB162A"/>
    <w:rsid w:val="00AB5322"/>
    <w:rsid w:val="00AC4756"/>
    <w:rsid w:val="00AD69A3"/>
    <w:rsid w:val="00AF4FF7"/>
    <w:rsid w:val="00B0120D"/>
    <w:rsid w:val="00B056C9"/>
    <w:rsid w:val="00B070A8"/>
    <w:rsid w:val="00B16049"/>
    <w:rsid w:val="00B24C1F"/>
    <w:rsid w:val="00B40B74"/>
    <w:rsid w:val="00B40FCA"/>
    <w:rsid w:val="00B4278D"/>
    <w:rsid w:val="00B43E59"/>
    <w:rsid w:val="00B56057"/>
    <w:rsid w:val="00B70A8A"/>
    <w:rsid w:val="00B8576B"/>
    <w:rsid w:val="00B87D04"/>
    <w:rsid w:val="00B95948"/>
    <w:rsid w:val="00BA0C75"/>
    <w:rsid w:val="00BA43D3"/>
    <w:rsid w:val="00BA67DE"/>
    <w:rsid w:val="00BB051A"/>
    <w:rsid w:val="00BB0849"/>
    <w:rsid w:val="00BB2E39"/>
    <w:rsid w:val="00BB3398"/>
    <w:rsid w:val="00BC30D6"/>
    <w:rsid w:val="00BC4770"/>
    <w:rsid w:val="00BC75A2"/>
    <w:rsid w:val="00BE25DD"/>
    <w:rsid w:val="00BE4D0D"/>
    <w:rsid w:val="00BF072E"/>
    <w:rsid w:val="00BF19C2"/>
    <w:rsid w:val="00C018DD"/>
    <w:rsid w:val="00C05964"/>
    <w:rsid w:val="00C07912"/>
    <w:rsid w:val="00C1113A"/>
    <w:rsid w:val="00C1233F"/>
    <w:rsid w:val="00C23B2E"/>
    <w:rsid w:val="00C24327"/>
    <w:rsid w:val="00C25A5C"/>
    <w:rsid w:val="00C37596"/>
    <w:rsid w:val="00C408AF"/>
    <w:rsid w:val="00C436D1"/>
    <w:rsid w:val="00C471D4"/>
    <w:rsid w:val="00C61DA1"/>
    <w:rsid w:val="00C62111"/>
    <w:rsid w:val="00C623C5"/>
    <w:rsid w:val="00C65F24"/>
    <w:rsid w:val="00C70A05"/>
    <w:rsid w:val="00C712B9"/>
    <w:rsid w:val="00C722ED"/>
    <w:rsid w:val="00C878D8"/>
    <w:rsid w:val="00C94433"/>
    <w:rsid w:val="00C9521B"/>
    <w:rsid w:val="00C97DA1"/>
    <w:rsid w:val="00CA743D"/>
    <w:rsid w:val="00CB2877"/>
    <w:rsid w:val="00CB599F"/>
    <w:rsid w:val="00CE23C5"/>
    <w:rsid w:val="00CE2BA3"/>
    <w:rsid w:val="00CE36D5"/>
    <w:rsid w:val="00CF24EA"/>
    <w:rsid w:val="00CF33ED"/>
    <w:rsid w:val="00CF622D"/>
    <w:rsid w:val="00CF6CD6"/>
    <w:rsid w:val="00D01D86"/>
    <w:rsid w:val="00D13E37"/>
    <w:rsid w:val="00D1526D"/>
    <w:rsid w:val="00D23D6C"/>
    <w:rsid w:val="00D2412B"/>
    <w:rsid w:val="00D41F8D"/>
    <w:rsid w:val="00D4387B"/>
    <w:rsid w:val="00D46024"/>
    <w:rsid w:val="00D51844"/>
    <w:rsid w:val="00D52248"/>
    <w:rsid w:val="00D7513F"/>
    <w:rsid w:val="00D90612"/>
    <w:rsid w:val="00DA1EB6"/>
    <w:rsid w:val="00DA5FFB"/>
    <w:rsid w:val="00DB6EA6"/>
    <w:rsid w:val="00DC620F"/>
    <w:rsid w:val="00DD0F93"/>
    <w:rsid w:val="00DD1A33"/>
    <w:rsid w:val="00DE7372"/>
    <w:rsid w:val="00E00378"/>
    <w:rsid w:val="00E26935"/>
    <w:rsid w:val="00E27FF4"/>
    <w:rsid w:val="00E30CDD"/>
    <w:rsid w:val="00E31655"/>
    <w:rsid w:val="00E31A2C"/>
    <w:rsid w:val="00E356B9"/>
    <w:rsid w:val="00E45094"/>
    <w:rsid w:val="00E52DB1"/>
    <w:rsid w:val="00E71171"/>
    <w:rsid w:val="00E72AD7"/>
    <w:rsid w:val="00E732A6"/>
    <w:rsid w:val="00E91A2E"/>
    <w:rsid w:val="00EA6547"/>
    <w:rsid w:val="00EC667F"/>
    <w:rsid w:val="00ED1C4B"/>
    <w:rsid w:val="00EE1953"/>
    <w:rsid w:val="00EF1137"/>
    <w:rsid w:val="00F0692F"/>
    <w:rsid w:val="00F20492"/>
    <w:rsid w:val="00F27F62"/>
    <w:rsid w:val="00F546A9"/>
    <w:rsid w:val="00F549F3"/>
    <w:rsid w:val="00F555BB"/>
    <w:rsid w:val="00F72317"/>
    <w:rsid w:val="00F72597"/>
    <w:rsid w:val="00F9261A"/>
    <w:rsid w:val="00FA6184"/>
    <w:rsid w:val="00FB013A"/>
    <w:rsid w:val="00FC5523"/>
    <w:rsid w:val="00FE05B9"/>
    <w:rsid w:val="00FE5403"/>
    <w:rsid w:val="00FE6847"/>
    <w:rsid w:val="00FF014B"/>
    <w:rsid w:val="00F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6296"/>
  <w15:chartTrackingRefBased/>
  <w15:docId w15:val="{D31B6AE7-6589-40B8-B93B-4B5AB80B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6B9"/>
    <w:rPr>
      <w:color w:val="0000FF"/>
      <w:u w:val="single"/>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F9261A"/>
    <w:pPr>
      <w:ind w:left="720"/>
      <w:contextualSpacing/>
    </w:pPr>
  </w:style>
  <w:style w:type="table" w:styleId="TableGrid">
    <w:name w:val="Table Grid"/>
    <w:basedOn w:val="TableNormal"/>
    <w:uiPriority w:val="39"/>
    <w:rsid w:val="0026726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4450"/>
    <w:rPr>
      <w:sz w:val="16"/>
      <w:szCs w:val="16"/>
    </w:rPr>
  </w:style>
  <w:style w:type="paragraph" w:styleId="CommentText">
    <w:name w:val="annotation text"/>
    <w:basedOn w:val="Normal"/>
    <w:link w:val="CommentTextChar"/>
    <w:uiPriority w:val="99"/>
    <w:semiHidden/>
    <w:unhideWhenUsed/>
    <w:rsid w:val="002F4450"/>
    <w:pPr>
      <w:spacing w:line="240" w:lineRule="auto"/>
    </w:pPr>
    <w:rPr>
      <w:sz w:val="20"/>
      <w:szCs w:val="20"/>
    </w:rPr>
  </w:style>
  <w:style w:type="character" w:customStyle="1" w:styleId="CommentTextChar">
    <w:name w:val="Comment Text Char"/>
    <w:basedOn w:val="DefaultParagraphFont"/>
    <w:link w:val="CommentText"/>
    <w:uiPriority w:val="99"/>
    <w:semiHidden/>
    <w:rsid w:val="002F4450"/>
    <w:rPr>
      <w:sz w:val="20"/>
      <w:szCs w:val="20"/>
    </w:rPr>
  </w:style>
  <w:style w:type="paragraph" w:styleId="CommentSubject">
    <w:name w:val="annotation subject"/>
    <w:basedOn w:val="CommentText"/>
    <w:next w:val="CommentText"/>
    <w:link w:val="CommentSubjectChar"/>
    <w:uiPriority w:val="99"/>
    <w:semiHidden/>
    <w:unhideWhenUsed/>
    <w:rsid w:val="002F4450"/>
    <w:rPr>
      <w:b/>
      <w:bCs/>
    </w:rPr>
  </w:style>
  <w:style w:type="character" w:customStyle="1" w:styleId="CommentSubjectChar">
    <w:name w:val="Comment Subject Char"/>
    <w:basedOn w:val="CommentTextChar"/>
    <w:link w:val="CommentSubject"/>
    <w:uiPriority w:val="99"/>
    <w:semiHidden/>
    <w:rsid w:val="002F4450"/>
    <w:rPr>
      <w:b/>
      <w:bCs/>
      <w:sz w:val="20"/>
      <w:szCs w:val="20"/>
    </w:rPr>
  </w:style>
  <w:style w:type="paragraph" w:styleId="BalloonText">
    <w:name w:val="Balloon Text"/>
    <w:basedOn w:val="Normal"/>
    <w:link w:val="BalloonTextChar"/>
    <w:uiPriority w:val="99"/>
    <w:semiHidden/>
    <w:unhideWhenUsed/>
    <w:rsid w:val="002F4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450"/>
    <w:rPr>
      <w:rFonts w:ascii="Segoe UI" w:hAnsi="Segoe UI" w:cs="Segoe UI"/>
      <w:sz w:val="18"/>
      <w:szCs w:val="18"/>
    </w:rPr>
  </w:style>
  <w:style w:type="paragraph" w:styleId="FootnoteText">
    <w:name w:val="footnote text"/>
    <w:basedOn w:val="Normal"/>
    <w:link w:val="FootnoteTextChar"/>
    <w:uiPriority w:val="99"/>
    <w:semiHidden/>
    <w:unhideWhenUsed/>
    <w:rsid w:val="00C059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964"/>
    <w:rPr>
      <w:sz w:val="20"/>
      <w:szCs w:val="20"/>
    </w:rPr>
  </w:style>
  <w:style w:type="character" w:styleId="FootnoteReference">
    <w:name w:val="footnote reference"/>
    <w:basedOn w:val="DefaultParagraphFont"/>
    <w:uiPriority w:val="99"/>
    <w:semiHidden/>
    <w:unhideWhenUsed/>
    <w:rsid w:val="00C05964"/>
    <w:rPr>
      <w:vertAlign w:val="superscript"/>
    </w:rPr>
  </w:style>
  <w:style w:type="character" w:styleId="UnresolvedMention">
    <w:name w:val="Unresolved Mention"/>
    <w:basedOn w:val="DefaultParagraphFont"/>
    <w:uiPriority w:val="99"/>
    <w:semiHidden/>
    <w:unhideWhenUsed/>
    <w:rsid w:val="001E2539"/>
    <w:rPr>
      <w:color w:val="605E5C"/>
      <w:shd w:val="clear" w:color="auto" w:fill="E1DFDD"/>
    </w:rPr>
  </w:style>
  <w:style w:type="paragraph" w:styleId="Revision">
    <w:name w:val="Revision"/>
    <w:hidden/>
    <w:uiPriority w:val="99"/>
    <w:semiHidden/>
    <w:rsid w:val="00D51844"/>
    <w:pPr>
      <w:spacing w:after="0" w:line="240" w:lineRule="auto"/>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D5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3318">
      <w:bodyDiv w:val="1"/>
      <w:marLeft w:val="0"/>
      <w:marRight w:val="0"/>
      <w:marTop w:val="0"/>
      <w:marBottom w:val="0"/>
      <w:divBdr>
        <w:top w:val="none" w:sz="0" w:space="0" w:color="auto"/>
        <w:left w:val="none" w:sz="0" w:space="0" w:color="auto"/>
        <w:bottom w:val="none" w:sz="0" w:space="0" w:color="auto"/>
        <w:right w:val="none" w:sz="0" w:space="0" w:color="auto"/>
      </w:divBdr>
      <w:divsChild>
        <w:div w:id="1432823771">
          <w:marLeft w:val="0"/>
          <w:marRight w:val="0"/>
          <w:marTop w:val="0"/>
          <w:marBottom w:val="0"/>
          <w:divBdr>
            <w:top w:val="none" w:sz="0" w:space="0" w:color="auto"/>
            <w:left w:val="none" w:sz="0" w:space="0" w:color="auto"/>
            <w:bottom w:val="none" w:sz="0" w:space="0" w:color="auto"/>
            <w:right w:val="none" w:sz="0" w:space="0" w:color="auto"/>
          </w:divBdr>
          <w:divsChild>
            <w:div w:id="1141463582">
              <w:marLeft w:val="0"/>
              <w:marRight w:val="0"/>
              <w:marTop w:val="0"/>
              <w:marBottom w:val="0"/>
              <w:divBdr>
                <w:top w:val="none" w:sz="0" w:space="0" w:color="auto"/>
                <w:left w:val="none" w:sz="0" w:space="0" w:color="auto"/>
                <w:bottom w:val="none" w:sz="0" w:space="0" w:color="auto"/>
                <w:right w:val="none" w:sz="0" w:space="0" w:color="auto"/>
              </w:divBdr>
              <w:divsChild>
                <w:div w:id="22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0280">
      <w:bodyDiv w:val="1"/>
      <w:marLeft w:val="0"/>
      <w:marRight w:val="0"/>
      <w:marTop w:val="0"/>
      <w:marBottom w:val="0"/>
      <w:divBdr>
        <w:top w:val="none" w:sz="0" w:space="0" w:color="auto"/>
        <w:left w:val="none" w:sz="0" w:space="0" w:color="auto"/>
        <w:bottom w:val="none" w:sz="0" w:space="0" w:color="auto"/>
        <w:right w:val="none" w:sz="0" w:space="0" w:color="auto"/>
      </w:divBdr>
    </w:div>
    <w:div w:id="217058028">
      <w:bodyDiv w:val="1"/>
      <w:marLeft w:val="0"/>
      <w:marRight w:val="0"/>
      <w:marTop w:val="0"/>
      <w:marBottom w:val="0"/>
      <w:divBdr>
        <w:top w:val="none" w:sz="0" w:space="0" w:color="auto"/>
        <w:left w:val="none" w:sz="0" w:space="0" w:color="auto"/>
        <w:bottom w:val="none" w:sz="0" w:space="0" w:color="auto"/>
        <w:right w:val="none" w:sz="0" w:space="0" w:color="auto"/>
      </w:divBdr>
    </w:div>
    <w:div w:id="370302293">
      <w:bodyDiv w:val="1"/>
      <w:marLeft w:val="0"/>
      <w:marRight w:val="0"/>
      <w:marTop w:val="0"/>
      <w:marBottom w:val="0"/>
      <w:divBdr>
        <w:top w:val="none" w:sz="0" w:space="0" w:color="auto"/>
        <w:left w:val="none" w:sz="0" w:space="0" w:color="auto"/>
        <w:bottom w:val="none" w:sz="0" w:space="0" w:color="auto"/>
        <w:right w:val="none" w:sz="0" w:space="0" w:color="auto"/>
      </w:divBdr>
    </w:div>
    <w:div w:id="524826156">
      <w:bodyDiv w:val="1"/>
      <w:marLeft w:val="0"/>
      <w:marRight w:val="0"/>
      <w:marTop w:val="0"/>
      <w:marBottom w:val="0"/>
      <w:divBdr>
        <w:top w:val="none" w:sz="0" w:space="0" w:color="auto"/>
        <w:left w:val="none" w:sz="0" w:space="0" w:color="auto"/>
        <w:bottom w:val="none" w:sz="0" w:space="0" w:color="auto"/>
        <w:right w:val="none" w:sz="0" w:space="0" w:color="auto"/>
      </w:divBdr>
      <w:divsChild>
        <w:div w:id="1045257360">
          <w:marLeft w:val="0"/>
          <w:marRight w:val="0"/>
          <w:marTop w:val="0"/>
          <w:marBottom w:val="0"/>
          <w:divBdr>
            <w:top w:val="none" w:sz="0" w:space="0" w:color="auto"/>
            <w:left w:val="none" w:sz="0" w:space="0" w:color="auto"/>
            <w:bottom w:val="none" w:sz="0" w:space="0" w:color="auto"/>
            <w:right w:val="none" w:sz="0" w:space="0" w:color="auto"/>
          </w:divBdr>
          <w:divsChild>
            <w:div w:id="1291326487">
              <w:marLeft w:val="0"/>
              <w:marRight w:val="0"/>
              <w:marTop w:val="0"/>
              <w:marBottom w:val="0"/>
              <w:divBdr>
                <w:top w:val="none" w:sz="0" w:space="0" w:color="auto"/>
                <w:left w:val="none" w:sz="0" w:space="0" w:color="auto"/>
                <w:bottom w:val="none" w:sz="0" w:space="0" w:color="auto"/>
                <w:right w:val="none" w:sz="0" w:space="0" w:color="auto"/>
              </w:divBdr>
              <w:divsChild>
                <w:div w:id="535851491">
                  <w:marLeft w:val="-240"/>
                  <w:marRight w:val="-240"/>
                  <w:marTop w:val="0"/>
                  <w:marBottom w:val="0"/>
                  <w:divBdr>
                    <w:top w:val="none" w:sz="0" w:space="0" w:color="auto"/>
                    <w:left w:val="none" w:sz="0" w:space="0" w:color="auto"/>
                    <w:bottom w:val="none" w:sz="0" w:space="0" w:color="auto"/>
                    <w:right w:val="none" w:sz="0" w:space="0" w:color="auto"/>
                  </w:divBdr>
                  <w:divsChild>
                    <w:div w:id="11731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8424">
      <w:bodyDiv w:val="1"/>
      <w:marLeft w:val="0"/>
      <w:marRight w:val="0"/>
      <w:marTop w:val="0"/>
      <w:marBottom w:val="0"/>
      <w:divBdr>
        <w:top w:val="none" w:sz="0" w:space="0" w:color="auto"/>
        <w:left w:val="none" w:sz="0" w:space="0" w:color="auto"/>
        <w:bottom w:val="none" w:sz="0" w:space="0" w:color="auto"/>
        <w:right w:val="none" w:sz="0" w:space="0" w:color="auto"/>
      </w:divBdr>
    </w:div>
    <w:div w:id="650524429">
      <w:bodyDiv w:val="1"/>
      <w:marLeft w:val="0"/>
      <w:marRight w:val="0"/>
      <w:marTop w:val="0"/>
      <w:marBottom w:val="0"/>
      <w:divBdr>
        <w:top w:val="none" w:sz="0" w:space="0" w:color="auto"/>
        <w:left w:val="none" w:sz="0" w:space="0" w:color="auto"/>
        <w:bottom w:val="none" w:sz="0" w:space="0" w:color="auto"/>
        <w:right w:val="none" w:sz="0" w:space="0" w:color="auto"/>
      </w:divBdr>
      <w:divsChild>
        <w:div w:id="1189221462">
          <w:marLeft w:val="0"/>
          <w:marRight w:val="0"/>
          <w:marTop w:val="0"/>
          <w:marBottom w:val="0"/>
          <w:divBdr>
            <w:top w:val="none" w:sz="0" w:space="0" w:color="auto"/>
            <w:left w:val="none" w:sz="0" w:space="0" w:color="auto"/>
            <w:bottom w:val="none" w:sz="0" w:space="0" w:color="auto"/>
            <w:right w:val="none" w:sz="0" w:space="0" w:color="auto"/>
          </w:divBdr>
          <w:divsChild>
            <w:div w:id="654575662">
              <w:marLeft w:val="0"/>
              <w:marRight w:val="0"/>
              <w:marTop w:val="0"/>
              <w:marBottom w:val="0"/>
              <w:divBdr>
                <w:top w:val="none" w:sz="0" w:space="0" w:color="auto"/>
                <w:left w:val="none" w:sz="0" w:space="0" w:color="auto"/>
                <w:bottom w:val="none" w:sz="0" w:space="0" w:color="auto"/>
                <w:right w:val="none" w:sz="0" w:space="0" w:color="auto"/>
              </w:divBdr>
              <w:divsChild>
                <w:div w:id="11567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9133">
      <w:bodyDiv w:val="1"/>
      <w:marLeft w:val="0"/>
      <w:marRight w:val="0"/>
      <w:marTop w:val="0"/>
      <w:marBottom w:val="0"/>
      <w:divBdr>
        <w:top w:val="none" w:sz="0" w:space="0" w:color="auto"/>
        <w:left w:val="none" w:sz="0" w:space="0" w:color="auto"/>
        <w:bottom w:val="none" w:sz="0" w:space="0" w:color="auto"/>
        <w:right w:val="none" w:sz="0" w:space="0" w:color="auto"/>
      </w:divBdr>
      <w:divsChild>
        <w:div w:id="1902712214">
          <w:marLeft w:val="0"/>
          <w:marRight w:val="0"/>
          <w:marTop w:val="0"/>
          <w:marBottom w:val="0"/>
          <w:divBdr>
            <w:top w:val="none" w:sz="0" w:space="0" w:color="auto"/>
            <w:left w:val="none" w:sz="0" w:space="0" w:color="auto"/>
            <w:bottom w:val="none" w:sz="0" w:space="0" w:color="auto"/>
            <w:right w:val="none" w:sz="0" w:space="0" w:color="auto"/>
          </w:divBdr>
          <w:divsChild>
            <w:div w:id="1900700105">
              <w:marLeft w:val="0"/>
              <w:marRight w:val="0"/>
              <w:marTop w:val="0"/>
              <w:marBottom w:val="0"/>
              <w:divBdr>
                <w:top w:val="none" w:sz="0" w:space="0" w:color="auto"/>
                <w:left w:val="none" w:sz="0" w:space="0" w:color="auto"/>
                <w:bottom w:val="none" w:sz="0" w:space="0" w:color="auto"/>
                <w:right w:val="none" w:sz="0" w:space="0" w:color="auto"/>
              </w:divBdr>
              <w:divsChild>
                <w:div w:id="17289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10210">
      <w:bodyDiv w:val="1"/>
      <w:marLeft w:val="0"/>
      <w:marRight w:val="0"/>
      <w:marTop w:val="0"/>
      <w:marBottom w:val="0"/>
      <w:divBdr>
        <w:top w:val="none" w:sz="0" w:space="0" w:color="auto"/>
        <w:left w:val="none" w:sz="0" w:space="0" w:color="auto"/>
        <w:bottom w:val="none" w:sz="0" w:space="0" w:color="auto"/>
        <w:right w:val="none" w:sz="0" w:space="0" w:color="auto"/>
      </w:divBdr>
    </w:div>
    <w:div w:id="1045178407">
      <w:bodyDiv w:val="1"/>
      <w:marLeft w:val="0"/>
      <w:marRight w:val="0"/>
      <w:marTop w:val="0"/>
      <w:marBottom w:val="0"/>
      <w:divBdr>
        <w:top w:val="none" w:sz="0" w:space="0" w:color="auto"/>
        <w:left w:val="none" w:sz="0" w:space="0" w:color="auto"/>
        <w:bottom w:val="none" w:sz="0" w:space="0" w:color="auto"/>
        <w:right w:val="none" w:sz="0" w:space="0" w:color="auto"/>
      </w:divBdr>
    </w:div>
    <w:div w:id="1099104754">
      <w:bodyDiv w:val="1"/>
      <w:marLeft w:val="0"/>
      <w:marRight w:val="0"/>
      <w:marTop w:val="0"/>
      <w:marBottom w:val="0"/>
      <w:divBdr>
        <w:top w:val="none" w:sz="0" w:space="0" w:color="auto"/>
        <w:left w:val="none" w:sz="0" w:space="0" w:color="auto"/>
        <w:bottom w:val="none" w:sz="0" w:space="0" w:color="auto"/>
        <w:right w:val="none" w:sz="0" w:space="0" w:color="auto"/>
      </w:divBdr>
      <w:divsChild>
        <w:div w:id="432558181">
          <w:marLeft w:val="0"/>
          <w:marRight w:val="0"/>
          <w:marTop w:val="0"/>
          <w:marBottom w:val="0"/>
          <w:divBdr>
            <w:top w:val="none" w:sz="0" w:space="0" w:color="auto"/>
            <w:left w:val="none" w:sz="0" w:space="0" w:color="auto"/>
            <w:bottom w:val="none" w:sz="0" w:space="0" w:color="auto"/>
            <w:right w:val="none" w:sz="0" w:space="0" w:color="auto"/>
          </w:divBdr>
          <w:divsChild>
            <w:div w:id="1987931705">
              <w:marLeft w:val="0"/>
              <w:marRight w:val="0"/>
              <w:marTop w:val="0"/>
              <w:marBottom w:val="0"/>
              <w:divBdr>
                <w:top w:val="none" w:sz="0" w:space="0" w:color="auto"/>
                <w:left w:val="none" w:sz="0" w:space="0" w:color="auto"/>
                <w:bottom w:val="none" w:sz="0" w:space="0" w:color="auto"/>
                <w:right w:val="none" w:sz="0" w:space="0" w:color="auto"/>
              </w:divBdr>
              <w:divsChild>
                <w:div w:id="11939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curement-notices.undp.org/view_file.cfm?doc_id=1041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ocurement-notices.undp.org/view_file.cfm?doc_id=1041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els.guzman.candelari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6E3079BB109F4D820052D3EB15EBD3" ma:contentTypeVersion="11" ma:contentTypeDescription="Create a new document." ma:contentTypeScope="" ma:versionID="be1b14e41aeab274ec21ef5251a5ccf8">
  <xsd:schema xmlns:xsd="http://www.w3.org/2001/XMLSchema" xmlns:xs="http://www.w3.org/2001/XMLSchema" xmlns:p="http://schemas.microsoft.com/office/2006/metadata/properties" xmlns:ns3="5d50db55-e5e5-40e3-8576-30a2a9ed7a51" xmlns:ns4="c2877948-892d-42ca-991f-4fd6ef8d218f" targetNamespace="http://schemas.microsoft.com/office/2006/metadata/properties" ma:root="true" ma:fieldsID="d8b3ea21b4efb1be51aa4ac6573dd89a" ns3:_="" ns4:_="">
    <xsd:import namespace="5d50db55-e5e5-40e3-8576-30a2a9ed7a51"/>
    <xsd:import namespace="c2877948-892d-42ca-991f-4fd6ef8d21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db55-e5e5-40e3-8576-30a2a9ed7a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77948-892d-42ca-991f-4fd6ef8d21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1CC6F-D9FD-40D6-A0D7-70CAAC505CB2}">
  <ds:schemaRefs>
    <ds:schemaRef ds:uri="http://schemas.openxmlformats.org/officeDocument/2006/bibliography"/>
  </ds:schemaRefs>
</ds:datastoreItem>
</file>

<file path=customXml/itemProps2.xml><?xml version="1.0" encoding="utf-8"?>
<ds:datastoreItem xmlns:ds="http://schemas.openxmlformats.org/officeDocument/2006/customXml" ds:itemID="{1B85E0AA-2015-41EF-8647-728605793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1C4B8B-D190-4887-BA2F-E8A9DFBFB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db55-e5e5-40e3-8576-30a2a9ed7a51"/>
    <ds:schemaRef ds:uri="c2877948-892d-42ca-991f-4fd6ef8d2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D346A-452B-4797-9C1C-684D4B1BC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1890</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Nyreese Castro</dc:creator>
  <cp:keywords/>
  <dc:description/>
  <cp:lastModifiedBy>Engels Guzman Candelario</cp:lastModifiedBy>
  <cp:revision>44</cp:revision>
  <cp:lastPrinted>2019-07-23T18:07:00Z</cp:lastPrinted>
  <dcterms:created xsi:type="dcterms:W3CDTF">2023-10-17T19:14:00Z</dcterms:created>
  <dcterms:modified xsi:type="dcterms:W3CDTF">2024-01-09T14:55:00Z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0x010100FA6E3079BB109F4D820052D3EB15EBD3</vt:lpwstr>
  </property>
</Properties>
</file>