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75A14834" w:rsidR="00461411" w:rsidRPr="00156B9D" w:rsidRDefault="00BE6E79" w:rsidP="00794509">
      <w:pPr>
        <w:tabs>
          <w:tab w:val="left" w:pos="8789"/>
        </w:tabs>
        <w:ind w:left="-432" w:right="288"/>
        <w:rPr>
          <w:b/>
          <w:color w:val="000000"/>
          <w:lang w:val="en-GB"/>
        </w:rPr>
      </w:pPr>
      <w:r w:rsidRPr="00156B9D">
        <w:rPr>
          <w:b/>
          <w:color w:val="000000"/>
          <w:lang w:val="en-GB"/>
        </w:rPr>
        <w:t xml:space="preserve">First </w:t>
      </w:r>
      <w:r w:rsidR="00461411" w:rsidRPr="00156B9D">
        <w:rPr>
          <w:b/>
          <w:color w:val="000000"/>
          <w:lang w:val="en-GB"/>
        </w:rPr>
        <w:t>regular session 202</w:t>
      </w:r>
      <w:r w:rsidRPr="00156B9D">
        <w:rPr>
          <w:b/>
          <w:color w:val="000000"/>
          <w:lang w:val="en-GB"/>
        </w:rPr>
        <w:t>4</w:t>
      </w:r>
    </w:p>
    <w:p w14:paraId="3C138055" w14:textId="7AEFA67F" w:rsidR="00461411" w:rsidRPr="00156B9D" w:rsidRDefault="00B1561B"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156B9D">
        <w:rPr>
          <w:color w:val="000000"/>
          <w:lang w:val="en-GB"/>
        </w:rPr>
        <w:t>2</w:t>
      </w:r>
      <w:r w:rsidR="00BE6E79" w:rsidRPr="00156B9D">
        <w:rPr>
          <w:color w:val="000000"/>
          <w:lang w:val="en-GB"/>
        </w:rPr>
        <w:t>9</w:t>
      </w:r>
      <w:r w:rsidRPr="00156B9D">
        <w:rPr>
          <w:color w:val="000000"/>
          <w:lang w:val="en-GB"/>
        </w:rPr>
        <w:t xml:space="preserve"> </w:t>
      </w:r>
      <w:r w:rsidR="00BE6E79" w:rsidRPr="00156B9D">
        <w:rPr>
          <w:color w:val="000000"/>
          <w:lang w:val="en-GB"/>
        </w:rPr>
        <w:t xml:space="preserve">January </w:t>
      </w:r>
      <w:r w:rsidRPr="00156B9D">
        <w:rPr>
          <w:color w:val="000000"/>
          <w:lang w:val="en-GB"/>
        </w:rPr>
        <w:t xml:space="preserve">to </w:t>
      </w:r>
      <w:r w:rsidR="00BE6E79" w:rsidRPr="00156B9D">
        <w:rPr>
          <w:color w:val="000000"/>
          <w:lang w:val="en-GB"/>
        </w:rPr>
        <w:t>2 February</w:t>
      </w:r>
      <w:r w:rsidR="006C20B9" w:rsidRPr="00156B9D">
        <w:rPr>
          <w:color w:val="000000"/>
          <w:lang w:val="en-GB"/>
        </w:rPr>
        <w:t xml:space="preserve"> </w:t>
      </w:r>
      <w:r w:rsidR="00461411" w:rsidRPr="00156B9D">
        <w:rPr>
          <w:color w:val="000000"/>
          <w:lang w:val="en-GB"/>
        </w:rPr>
        <w:t>202</w:t>
      </w:r>
      <w:r w:rsidR="00BE6E79" w:rsidRPr="00156B9D">
        <w:rPr>
          <w:color w:val="000000"/>
          <w:lang w:val="en-GB"/>
        </w:rPr>
        <w:t>4</w:t>
      </w:r>
      <w:r w:rsidR="00461411" w:rsidRPr="00156B9D">
        <w:rPr>
          <w:color w:val="000000"/>
          <w:lang w:val="en-GB"/>
        </w:rPr>
        <w:t>, New York</w:t>
      </w:r>
    </w:p>
    <w:p w14:paraId="532F0A5B" w14:textId="064D8637" w:rsidR="00461411" w:rsidRPr="00156B9D" w:rsidRDefault="00461411"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156B9D">
        <w:rPr>
          <w:color w:val="000000"/>
          <w:lang w:val="en-GB"/>
        </w:rPr>
        <w:t xml:space="preserve">Item </w:t>
      </w:r>
      <w:r w:rsidR="00BE6E79" w:rsidRPr="00156B9D">
        <w:rPr>
          <w:color w:val="000000"/>
          <w:lang w:val="en-GB"/>
        </w:rPr>
        <w:t>6</w:t>
      </w:r>
      <w:r w:rsidRPr="00156B9D">
        <w:rPr>
          <w:color w:val="000000"/>
          <w:lang w:val="en-GB"/>
        </w:rPr>
        <w:t xml:space="preserve"> of the provisional agenda</w:t>
      </w:r>
    </w:p>
    <w:p w14:paraId="4EAD17DB" w14:textId="77777777" w:rsidR="00461411" w:rsidRPr="00156B9D" w:rsidRDefault="00461411" w:rsidP="00D73FE3">
      <w:pPr>
        <w:ind w:left="-426" w:right="1260"/>
        <w:rPr>
          <w:b/>
          <w:color w:val="000000"/>
          <w:lang w:val="en-GB"/>
        </w:rPr>
      </w:pPr>
      <w:r w:rsidRPr="00156B9D">
        <w:rPr>
          <w:b/>
          <w:color w:val="000000"/>
          <w:lang w:val="en-GB"/>
        </w:rPr>
        <w:t>Country programmes and related matters</w:t>
      </w:r>
    </w:p>
    <w:p w14:paraId="6178FB62" w14:textId="77777777" w:rsidR="00461411" w:rsidRPr="00156B9D" w:rsidRDefault="00461411" w:rsidP="00461411">
      <w:pPr>
        <w:jc w:val="both"/>
        <w:rPr>
          <w:b/>
          <w:lang w:val="en-GB"/>
        </w:rPr>
      </w:pPr>
    </w:p>
    <w:p w14:paraId="7950BBBC" w14:textId="77777777" w:rsidR="00461411" w:rsidRPr="00156B9D"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1727E9DD" w:rsidR="00461411" w:rsidRPr="00156B9D"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32"/>
          <w:szCs w:val="32"/>
          <w:lang w:val="en-GB" w:eastAsia="fr-FR"/>
        </w:rPr>
      </w:pPr>
      <w:r w:rsidRPr="00156B9D">
        <w:rPr>
          <w:b/>
          <w:sz w:val="32"/>
          <w:szCs w:val="32"/>
          <w:lang w:val="en-GB"/>
        </w:rPr>
        <w:t xml:space="preserve">Draft country programme document for </w:t>
      </w:r>
      <w:r w:rsidR="005265CD" w:rsidRPr="00156B9D">
        <w:rPr>
          <w:b/>
          <w:sz w:val="32"/>
          <w:szCs w:val="32"/>
          <w:lang w:val="en-GB"/>
        </w:rPr>
        <w:t>Guinea</w:t>
      </w:r>
      <w:r w:rsidRPr="00156B9D">
        <w:rPr>
          <w:b/>
          <w:sz w:val="32"/>
          <w:szCs w:val="32"/>
          <w:lang w:val="en-GB"/>
        </w:rPr>
        <w:t xml:space="preserve"> (202</w:t>
      </w:r>
      <w:r w:rsidR="00D73FE3" w:rsidRPr="00156B9D">
        <w:rPr>
          <w:b/>
          <w:sz w:val="32"/>
          <w:szCs w:val="32"/>
          <w:lang w:val="en-GB"/>
        </w:rPr>
        <w:t>4</w:t>
      </w:r>
      <w:r w:rsidRPr="00156B9D">
        <w:rPr>
          <w:b/>
          <w:sz w:val="32"/>
          <w:szCs w:val="32"/>
          <w:lang w:val="en-GB"/>
        </w:rPr>
        <w:t>-202</w:t>
      </w:r>
      <w:r w:rsidR="00BE6E79" w:rsidRPr="00156B9D">
        <w:rPr>
          <w:b/>
          <w:sz w:val="32"/>
          <w:szCs w:val="32"/>
          <w:lang w:val="en-GB"/>
        </w:rPr>
        <w:t>8</w:t>
      </w:r>
      <w:r w:rsidRPr="00156B9D">
        <w:rPr>
          <w:b/>
          <w:sz w:val="32"/>
          <w:szCs w:val="32"/>
          <w:lang w:val="en-GB"/>
        </w:rPr>
        <w:t>)</w:t>
      </w:r>
      <w:r w:rsidRPr="00156B9D">
        <w:rPr>
          <w:b/>
          <w:sz w:val="32"/>
          <w:szCs w:val="32"/>
          <w:lang w:val="en-GB"/>
        </w:rPr>
        <w:br/>
      </w:r>
    </w:p>
    <w:p w14:paraId="73C9FDEF" w14:textId="77777777" w:rsidR="00461411" w:rsidRPr="00156B9D"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156B9D"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156B9D">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156B9D" w14:paraId="06110C97" w14:textId="77777777" w:rsidTr="00AA084E">
        <w:tc>
          <w:tcPr>
            <w:tcW w:w="1260" w:type="dxa"/>
            <w:shd w:val="clear" w:color="auto" w:fill="auto"/>
          </w:tcPr>
          <w:p w14:paraId="0442321F" w14:textId="77777777" w:rsidR="00461411" w:rsidRPr="00156B9D" w:rsidRDefault="00461411" w:rsidP="00AA084E">
            <w:pPr>
              <w:tabs>
                <w:tab w:val="left" w:pos="1620"/>
              </w:tabs>
              <w:suppressAutoHyphens/>
              <w:spacing w:after="120"/>
              <w:jc w:val="right"/>
              <w:rPr>
                <w:i/>
                <w:color w:val="000000"/>
                <w:spacing w:val="4"/>
                <w:w w:val="103"/>
                <w:kern w:val="14"/>
                <w:sz w:val="14"/>
                <w:lang w:val="en-GB" w:eastAsia="fr-FR"/>
              </w:rPr>
            </w:pPr>
            <w:r w:rsidRPr="00156B9D">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156B9D" w:rsidRDefault="00461411" w:rsidP="00AA084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156B9D" w:rsidRDefault="00461411" w:rsidP="00AA084E">
            <w:pPr>
              <w:tabs>
                <w:tab w:val="left" w:pos="1620"/>
              </w:tabs>
              <w:suppressAutoHyphens/>
              <w:spacing w:after="120"/>
              <w:jc w:val="right"/>
              <w:rPr>
                <w:i/>
                <w:color w:val="000000"/>
                <w:spacing w:val="4"/>
                <w:w w:val="103"/>
                <w:kern w:val="14"/>
                <w:sz w:val="14"/>
                <w:lang w:val="en-GB" w:eastAsia="fr-FR"/>
              </w:rPr>
            </w:pPr>
            <w:r w:rsidRPr="00156B9D">
              <w:rPr>
                <w:i/>
                <w:iCs/>
                <w:color w:val="000000"/>
                <w:kern w:val="14"/>
                <w:sz w:val="14"/>
                <w:lang w:val="en-GB" w:eastAsia="fr-FR"/>
              </w:rPr>
              <w:t>Page</w:t>
            </w:r>
          </w:p>
        </w:tc>
      </w:tr>
      <w:tr w:rsidR="00461411" w:rsidRPr="00156B9D" w14:paraId="196D92D0" w14:textId="77777777" w:rsidTr="00AA084E">
        <w:tc>
          <w:tcPr>
            <w:tcW w:w="9540" w:type="dxa"/>
            <w:gridSpan w:val="3"/>
            <w:shd w:val="clear" w:color="auto" w:fill="auto"/>
          </w:tcPr>
          <w:p w14:paraId="571CA983" w14:textId="77777777" w:rsidR="00461411" w:rsidRPr="00156B9D" w:rsidRDefault="00461411" w:rsidP="007A5B57">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56B9D">
              <w:rPr>
                <w:color w:val="000000"/>
                <w:kern w:val="14"/>
                <w:lang w:val="en-GB" w:eastAsia="fr-FR"/>
              </w:rPr>
              <w:tab/>
              <w:t xml:space="preserve">UNDP within the </w:t>
            </w:r>
            <w:bookmarkStart w:id="0" w:name="_Hlk102471570"/>
            <w:r w:rsidRPr="00156B9D">
              <w:rPr>
                <w:color w:val="000000"/>
                <w:kern w:val="14"/>
                <w:lang w:val="en-GB" w:eastAsia="fr-FR"/>
              </w:rPr>
              <w:t>United Nations Sustainable Development Cooperation Framework</w:t>
            </w:r>
            <w:bookmarkEnd w:id="0"/>
            <w:r w:rsidRPr="00156B9D">
              <w:rPr>
                <w:color w:val="000000"/>
                <w:sz w:val="24"/>
                <w:szCs w:val="24"/>
                <w:lang w:val="en-GB" w:eastAsia="fr-FR"/>
              </w:rPr>
              <w:tab/>
            </w:r>
          </w:p>
        </w:tc>
        <w:tc>
          <w:tcPr>
            <w:tcW w:w="362" w:type="dxa"/>
            <w:vMerge w:val="restart"/>
            <w:shd w:val="clear" w:color="auto" w:fill="auto"/>
            <w:vAlign w:val="bottom"/>
          </w:tcPr>
          <w:p w14:paraId="019FEA53" w14:textId="77777777" w:rsidR="00461411" w:rsidRPr="00156B9D" w:rsidRDefault="00461411" w:rsidP="00AA084E">
            <w:pPr>
              <w:tabs>
                <w:tab w:val="left" w:pos="1620"/>
              </w:tabs>
              <w:suppressAutoHyphens/>
              <w:spacing w:after="120" w:line="240" w:lineRule="exact"/>
              <w:jc w:val="right"/>
              <w:rPr>
                <w:color w:val="000000"/>
                <w:spacing w:val="4"/>
                <w:w w:val="103"/>
                <w:kern w:val="14"/>
                <w:lang w:val="en-GB" w:eastAsia="fr-FR"/>
              </w:rPr>
            </w:pPr>
            <w:r w:rsidRPr="00156B9D">
              <w:rPr>
                <w:color w:val="000000"/>
                <w:kern w:val="14"/>
                <w:lang w:val="en-GB" w:eastAsia="fr-FR"/>
              </w:rPr>
              <w:t>2</w:t>
            </w:r>
          </w:p>
          <w:p w14:paraId="6EED1C8F" w14:textId="7DDC8F7C" w:rsidR="00461411" w:rsidRPr="00156B9D" w:rsidRDefault="00D335E1" w:rsidP="00AA084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461411" w:rsidRPr="00156B9D" w14:paraId="59501F8B" w14:textId="77777777" w:rsidTr="00AA084E">
        <w:tc>
          <w:tcPr>
            <w:tcW w:w="9540" w:type="dxa"/>
            <w:gridSpan w:val="3"/>
            <w:shd w:val="clear" w:color="auto" w:fill="auto"/>
          </w:tcPr>
          <w:p w14:paraId="1BA5F421" w14:textId="77777777" w:rsidR="00461411" w:rsidRPr="00156B9D" w:rsidRDefault="00461411" w:rsidP="007A5B57">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56B9D">
              <w:rPr>
                <w:color w:val="000000"/>
                <w:kern w:val="14"/>
                <w:lang w:val="en-GB" w:eastAsia="fr-FR"/>
              </w:rPr>
              <w:tab/>
              <w:t>Programme priorities and partnerships</w:t>
            </w:r>
            <w:r w:rsidRPr="00156B9D">
              <w:rPr>
                <w:color w:val="000000"/>
                <w:lang w:val="en-GB" w:eastAsia="fr-FR"/>
              </w:rPr>
              <w:t>………………………………………………….</w:t>
            </w:r>
            <w:r w:rsidRPr="00156B9D">
              <w:rPr>
                <w:color w:val="000000"/>
                <w:lang w:val="en-GB" w:eastAsia="fr-FR"/>
              </w:rPr>
              <w:tab/>
              <w:t>……….…</w:t>
            </w:r>
          </w:p>
        </w:tc>
        <w:tc>
          <w:tcPr>
            <w:tcW w:w="362" w:type="dxa"/>
            <w:vMerge/>
            <w:shd w:val="clear" w:color="auto" w:fill="auto"/>
            <w:vAlign w:val="bottom"/>
          </w:tcPr>
          <w:p w14:paraId="4893632A" w14:textId="77777777" w:rsidR="00461411" w:rsidRPr="00156B9D"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156B9D" w14:paraId="5E92E0F3" w14:textId="77777777" w:rsidTr="00AA084E">
        <w:tc>
          <w:tcPr>
            <w:tcW w:w="9540" w:type="dxa"/>
            <w:gridSpan w:val="3"/>
            <w:shd w:val="clear" w:color="auto" w:fill="auto"/>
          </w:tcPr>
          <w:p w14:paraId="71D6F6CD" w14:textId="77777777" w:rsidR="00461411" w:rsidRPr="00156B9D" w:rsidRDefault="00461411" w:rsidP="007A5B57">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56B9D">
              <w:rPr>
                <w:color w:val="000000"/>
                <w:kern w:val="14"/>
                <w:lang w:val="en-GB" w:eastAsia="fr-FR"/>
              </w:rPr>
              <w:tab/>
              <w:t xml:space="preserve">Programme and risk management </w:t>
            </w:r>
            <w:r w:rsidRPr="00156B9D">
              <w:rPr>
                <w:color w:val="000000"/>
                <w:lang w:val="en-GB" w:eastAsia="fr-FR"/>
              </w:rPr>
              <w:t>……………………………………………….…………………</w:t>
            </w:r>
          </w:p>
        </w:tc>
        <w:tc>
          <w:tcPr>
            <w:tcW w:w="362" w:type="dxa"/>
            <w:vMerge w:val="restart"/>
            <w:shd w:val="clear" w:color="auto" w:fill="auto"/>
            <w:vAlign w:val="bottom"/>
          </w:tcPr>
          <w:p w14:paraId="5EC71879" w14:textId="79F3E73D" w:rsidR="00461411" w:rsidRPr="00156B9D" w:rsidRDefault="00D335E1" w:rsidP="00AA084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1702B97E" w14:textId="657B00B0" w:rsidR="00461411" w:rsidRPr="00156B9D" w:rsidRDefault="00D335E1" w:rsidP="00AA084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461411" w:rsidRPr="00156B9D" w14:paraId="77201C49" w14:textId="77777777" w:rsidTr="00AA084E">
        <w:tc>
          <w:tcPr>
            <w:tcW w:w="9540" w:type="dxa"/>
            <w:gridSpan w:val="3"/>
            <w:shd w:val="clear" w:color="auto" w:fill="auto"/>
          </w:tcPr>
          <w:p w14:paraId="43CCC3BC" w14:textId="77777777" w:rsidR="00461411" w:rsidRPr="00156B9D" w:rsidRDefault="00461411" w:rsidP="007A5B57">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56B9D">
              <w:rPr>
                <w:color w:val="000000"/>
                <w:kern w:val="14"/>
                <w:lang w:val="en-GB" w:eastAsia="fr-FR"/>
              </w:rPr>
              <w:tab/>
              <w:t>Monitoring and evaluation</w:t>
            </w:r>
            <w:r w:rsidRPr="00156B9D">
              <w:rPr>
                <w:color w:val="000000"/>
                <w:sz w:val="24"/>
                <w:szCs w:val="24"/>
                <w:lang w:val="en-GB" w:eastAsia="fr-FR"/>
              </w:rPr>
              <w:tab/>
            </w:r>
            <w:r w:rsidRPr="00156B9D">
              <w:rPr>
                <w:color w:val="000000"/>
                <w:lang w:val="en-GB" w:eastAsia="fr-FR"/>
              </w:rPr>
              <w:t>…………………………………………………….……………………</w:t>
            </w:r>
          </w:p>
        </w:tc>
        <w:tc>
          <w:tcPr>
            <w:tcW w:w="362" w:type="dxa"/>
            <w:vMerge/>
            <w:shd w:val="clear" w:color="auto" w:fill="auto"/>
            <w:vAlign w:val="bottom"/>
          </w:tcPr>
          <w:p w14:paraId="217DEDFF" w14:textId="77777777" w:rsidR="00461411" w:rsidRPr="00156B9D"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156B9D" w14:paraId="6D51F709" w14:textId="77777777" w:rsidTr="00AA084E">
        <w:tc>
          <w:tcPr>
            <w:tcW w:w="9369" w:type="dxa"/>
            <w:gridSpan w:val="2"/>
            <w:shd w:val="clear" w:color="auto" w:fill="auto"/>
          </w:tcPr>
          <w:p w14:paraId="25EA15C1" w14:textId="77777777" w:rsidR="00461411" w:rsidRPr="00156B9D" w:rsidRDefault="00461411" w:rsidP="00AA084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56B9D">
              <w:rPr>
                <w:color w:val="000000"/>
                <w:kern w:val="14"/>
                <w:lang w:val="en-GB" w:eastAsia="fr-FR"/>
              </w:rPr>
              <w:t>Annex</w:t>
            </w:r>
          </w:p>
        </w:tc>
        <w:tc>
          <w:tcPr>
            <w:tcW w:w="533" w:type="dxa"/>
            <w:gridSpan w:val="2"/>
            <w:shd w:val="clear" w:color="auto" w:fill="auto"/>
            <w:vAlign w:val="bottom"/>
          </w:tcPr>
          <w:p w14:paraId="2051630F" w14:textId="77777777" w:rsidR="00461411" w:rsidRPr="00156B9D"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156B9D" w14:paraId="230CA8A9" w14:textId="77777777" w:rsidTr="00AA084E">
        <w:tc>
          <w:tcPr>
            <w:tcW w:w="9369" w:type="dxa"/>
            <w:gridSpan w:val="2"/>
            <w:shd w:val="clear" w:color="auto" w:fill="auto"/>
          </w:tcPr>
          <w:p w14:paraId="7C7F0422" w14:textId="69431EE2" w:rsidR="00461411" w:rsidRPr="00156B9D" w:rsidRDefault="00461411" w:rsidP="00AA084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156B9D">
              <w:rPr>
                <w:color w:val="000000"/>
                <w:kern w:val="14"/>
                <w:lang w:val="en-GB" w:eastAsia="fr-FR"/>
              </w:rPr>
              <w:t xml:space="preserve">Results and resources framework for </w:t>
            </w:r>
            <w:r w:rsidR="005265CD" w:rsidRPr="00156B9D">
              <w:rPr>
                <w:color w:val="000000"/>
                <w:kern w:val="14"/>
                <w:lang w:val="en-GB" w:eastAsia="fr-FR"/>
              </w:rPr>
              <w:t>Guinea</w:t>
            </w:r>
            <w:r w:rsidRPr="00156B9D">
              <w:rPr>
                <w:color w:val="000000"/>
                <w:kern w:val="14"/>
                <w:lang w:val="en-GB" w:eastAsia="fr-FR"/>
              </w:rPr>
              <w:t xml:space="preserve"> (202</w:t>
            </w:r>
            <w:r w:rsidR="00D73FE3" w:rsidRPr="00156B9D">
              <w:rPr>
                <w:color w:val="000000"/>
                <w:kern w:val="14"/>
                <w:lang w:val="en-GB" w:eastAsia="fr-FR"/>
              </w:rPr>
              <w:t>4</w:t>
            </w:r>
            <w:r w:rsidRPr="00156B9D">
              <w:rPr>
                <w:color w:val="000000"/>
                <w:kern w:val="14"/>
                <w:lang w:val="en-GB" w:eastAsia="fr-FR"/>
              </w:rPr>
              <w:t>-202</w:t>
            </w:r>
            <w:r w:rsidR="00BE6E79" w:rsidRPr="00156B9D">
              <w:rPr>
                <w:color w:val="000000"/>
                <w:kern w:val="14"/>
                <w:lang w:val="en-GB" w:eastAsia="fr-FR"/>
              </w:rPr>
              <w:t>8</w:t>
            </w:r>
            <w:r w:rsidRPr="00156B9D">
              <w:rPr>
                <w:color w:val="000000"/>
                <w:kern w:val="14"/>
                <w:lang w:val="en-GB" w:eastAsia="fr-FR"/>
              </w:rPr>
              <w:t>)</w:t>
            </w:r>
            <w:r w:rsidRPr="00156B9D">
              <w:rPr>
                <w:color w:val="000000"/>
                <w:sz w:val="24"/>
                <w:szCs w:val="24"/>
                <w:lang w:val="en-GB" w:eastAsia="fr-FR"/>
              </w:rPr>
              <w:tab/>
            </w:r>
          </w:p>
        </w:tc>
        <w:tc>
          <w:tcPr>
            <w:tcW w:w="533" w:type="dxa"/>
            <w:gridSpan w:val="2"/>
            <w:shd w:val="clear" w:color="auto" w:fill="auto"/>
            <w:vAlign w:val="bottom"/>
          </w:tcPr>
          <w:p w14:paraId="2FCE93E6" w14:textId="0C62C390" w:rsidR="00461411" w:rsidRPr="00156B9D" w:rsidRDefault="00187BA9" w:rsidP="00AA084E">
            <w:pPr>
              <w:tabs>
                <w:tab w:val="left" w:pos="1620"/>
              </w:tabs>
              <w:suppressAutoHyphens/>
              <w:spacing w:after="120" w:line="240" w:lineRule="exact"/>
              <w:jc w:val="right"/>
              <w:rPr>
                <w:color w:val="000000"/>
                <w:spacing w:val="4"/>
                <w:w w:val="103"/>
                <w:kern w:val="14"/>
                <w:lang w:val="en-GB" w:eastAsia="fr-FR"/>
              </w:rPr>
            </w:pPr>
            <w:r w:rsidRPr="00156B9D">
              <w:rPr>
                <w:color w:val="000000"/>
                <w:spacing w:val="4"/>
                <w:w w:val="103"/>
                <w:kern w:val="14"/>
                <w:lang w:val="en-GB" w:eastAsia="fr-FR"/>
              </w:rPr>
              <w:t>9</w:t>
            </w:r>
          </w:p>
        </w:tc>
      </w:tr>
    </w:tbl>
    <w:p w14:paraId="2440D3D7" w14:textId="322E7026" w:rsidR="00A918A7" w:rsidRPr="00156B9D" w:rsidRDefault="00785474" w:rsidP="007A5B57">
      <w:pPr>
        <w:pStyle w:val="Heading2"/>
        <w:numPr>
          <w:ilvl w:val="0"/>
          <w:numId w:val="1"/>
        </w:numPr>
        <w:tabs>
          <w:tab w:val="left" w:pos="1260"/>
        </w:tabs>
        <w:spacing w:before="120" w:after="200" w:line="240" w:lineRule="exact"/>
        <w:ind w:left="993" w:right="720" w:hanging="335"/>
        <w:jc w:val="both"/>
        <w:rPr>
          <w:rFonts w:ascii="Times New Roman" w:hAnsi="Times New Roman"/>
          <w:b w:val="0"/>
          <w:szCs w:val="28"/>
          <w:lang w:val="en-GB"/>
        </w:rPr>
      </w:pPr>
      <w:r w:rsidRPr="00156B9D">
        <w:rPr>
          <w:rFonts w:ascii="Times New Roman" w:hAnsi="Times New Roman"/>
          <w:lang w:val="en-GB"/>
        </w:rPr>
        <w:br w:type="page"/>
      </w:r>
      <w:r w:rsidR="007C2934" w:rsidRPr="00156B9D">
        <w:rPr>
          <w:rFonts w:ascii="Times New Roman" w:hAnsi="Times New Roman"/>
          <w:bCs/>
          <w:color w:val="000000"/>
          <w:szCs w:val="28"/>
          <w:lang w:val="en-GB"/>
        </w:rPr>
        <w:lastRenderedPageBreak/>
        <w:t>UNDP</w:t>
      </w:r>
      <w:r w:rsidR="0072070F" w:rsidRPr="00156B9D">
        <w:rPr>
          <w:rFonts w:ascii="Times New Roman" w:hAnsi="Times New Roman"/>
          <w:bCs/>
          <w:color w:val="000000"/>
          <w:szCs w:val="28"/>
          <w:lang w:val="en-GB"/>
        </w:rPr>
        <w:t xml:space="preserve"> within</w:t>
      </w:r>
      <w:r w:rsidR="007C2934" w:rsidRPr="00156B9D">
        <w:rPr>
          <w:rFonts w:ascii="Times New Roman" w:hAnsi="Times New Roman"/>
          <w:bCs/>
          <w:color w:val="000000"/>
          <w:szCs w:val="28"/>
          <w:lang w:val="en-GB"/>
        </w:rPr>
        <w:t xml:space="preserve"> the </w:t>
      </w:r>
      <w:r w:rsidR="00015875" w:rsidRPr="00156B9D">
        <w:rPr>
          <w:rFonts w:ascii="Times New Roman" w:hAnsi="Times New Roman"/>
          <w:bCs/>
          <w:color w:val="000000"/>
          <w:szCs w:val="28"/>
          <w:lang w:val="en-GB"/>
        </w:rPr>
        <w:t>United Nations Sustainable Development Cooperation Framework</w:t>
      </w:r>
      <w:r w:rsidR="00D67C3D" w:rsidRPr="00156B9D">
        <w:rPr>
          <w:rFonts w:ascii="Times New Roman" w:hAnsi="Times New Roman"/>
          <w:bCs/>
          <w:color w:val="000000"/>
          <w:szCs w:val="28"/>
          <w:lang w:val="en-GB"/>
        </w:rPr>
        <w:t xml:space="preserve"> </w:t>
      </w:r>
    </w:p>
    <w:p w14:paraId="7AF32890" w14:textId="770CCDDB" w:rsidR="005265CD" w:rsidRPr="00156B9D" w:rsidRDefault="005265CD" w:rsidP="005265CD">
      <w:pPr>
        <w:pStyle w:val="CPDTexte"/>
        <w:tabs>
          <w:tab w:val="clear" w:pos="1560"/>
          <w:tab w:val="left" w:pos="1418"/>
        </w:tabs>
        <w:ind w:left="993" w:right="713"/>
        <w:rPr>
          <w:lang w:val="en-GB"/>
        </w:rPr>
      </w:pPr>
      <w:r w:rsidRPr="00156B9D">
        <w:rPr>
          <w:lang w:val="en-GB"/>
        </w:rPr>
        <w:t xml:space="preserve">The Republic of Guinea is a </w:t>
      </w:r>
      <w:r w:rsidR="00BB5EA5" w:rsidRPr="00156B9D">
        <w:rPr>
          <w:lang w:val="en-GB"/>
        </w:rPr>
        <w:t>mineral</w:t>
      </w:r>
      <w:r w:rsidR="00BB5EA5">
        <w:rPr>
          <w:lang w:val="en-GB"/>
        </w:rPr>
        <w:t>-</w:t>
      </w:r>
      <w:r w:rsidRPr="00156B9D">
        <w:rPr>
          <w:lang w:val="en-GB"/>
        </w:rPr>
        <w:t>rich country (bauxite, gold, iron and diamonds)</w:t>
      </w:r>
      <w:r w:rsidRPr="00156B9D">
        <w:rPr>
          <w:vertAlign w:val="superscript"/>
          <w:lang w:val="en-GB"/>
        </w:rPr>
        <w:footnoteReference w:id="2"/>
      </w:r>
      <w:r w:rsidRPr="00156B9D">
        <w:rPr>
          <w:lang w:val="en-GB"/>
        </w:rPr>
        <w:t xml:space="preserve"> with considerable hydrological and agricultural potential, yet only 25 per cent of </w:t>
      </w:r>
      <w:r w:rsidR="008770B0">
        <w:rPr>
          <w:lang w:val="en-GB"/>
        </w:rPr>
        <w:t xml:space="preserve">its arable </w:t>
      </w:r>
      <w:r w:rsidRPr="00156B9D">
        <w:rPr>
          <w:lang w:val="en-GB"/>
        </w:rPr>
        <w:t>land is effectively</w:t>
      </w:r>
      <w:r w:rsidR="008770B0">
        <w:rPr>
          <w:lang w:val="en-GB"/>
        </w:rPr>
        <w:t xml:space="preserve"> </w:t>
      </w:r>
      <w:r w:rsidR="008770B0" w:rsidRPr="00156B9D">
        <w:rPr>
          <w:lang w:val="en-GB"/>
        </w:rPr>
        <w:t>cultiva</w:t>
      </w:r>
      <w:r w:rsidR="008770B0">
        <w:rPr>
          <w:lang w:val="en-GB"/>
        </w:rPr>
        <w:t>ted.</w:t>
      </w:r>
      <w:r w:rsidRPr="00156B9D">
        <w:rPr>
          <w:vertAlign w:val="superscript"/>
          <w:lang w:val="en-GB"/>
        </w:rPr>
        <w:footnoteReference w:id="3"/>
      </w:r>
      <w:r w:rsidRPr="00156B9D">
        <w:rPr>
          <w:lang w:val="en-GB"/>
        </w:rPr>
        <w:t xml:space="preserve"> </w:t>
      </w:r>
      <w:r w:rsidR="008770B0">
        <w:rPr>
          <w:lang w:val="en-GB"/>
        </w:rPr>
        <w:t>A</w:t>
      </w:r>
      <w:r w:rsidRPr="00156B9D">
        <w:rPr>
          <w:lang w:val="en-GB"/>
        </w:rPr>
        <w:t xml:space="preserve">griculture </w:t>
      </w:r>
      <w:r w:rsidR="00337919">
        <w:rPr>
          <w:lang w:val="en-GB"/>
        </w:rPr>
        <w:t>makes up</w:t>
      </w:r>
      <w:r w:rsidR="008770B0">
        <w:rPr>
          <w:lang w:val="en-GB"/>
        </w:rPr>
        <w:t xml:space="preserve"> </w:t>
      </w:r>
      <w:r w:rsidRPr="00156B9D">
        <w:rPr>
          <w:lang w:val="en-GB"/>
        </w:rPr>
        <w:t>27 per cent of G</w:t>
      </w:r>
      <w:r w:rsidR="000F37B3">
        <w:rPr>
          <w:lang w:val="en-GB"/>
        </w:rPr>
        <w:t xml:space="preserve">ross </w:t>
      </w:r>
      <w:r w:rsidRPr="00156B9D">
        <w:rPr>
          <w:lang w:val="en-GB"/>
        </w:rPr>
        <w:t>D</w:t>
      </w:r>
      <w:r w:rsidR="000F37B3">
        <w:rPr>
          <w:lang w:val="en-GB"/>
        </w:rPr>
        <w:t xml:space="preserve">omestic </w:t>
      </w:r>
      <w:r w:rsidRPr="00156B9D">
        <w:rPr>
          <w:lang w:val="en-GB"/>
        </w:rPr>
        <w:t>P</w:t>
      </w:r>
      <w:r w:rsidR="000F37B3">
        <w:rPr>
          <w:lang w:val="en-GB"/>
        </w:rPr>
        <w:t>roduct (GDP)</w:t>
      </w:r>
      <w:r w:rsidRPr="00156B9D">
        <w:rPr>
          <w:lang w:val="en-GB"/>
        </w:rPr>
        <w:t xml:space="preserve"> and </w:t>
      </w:r>
      <w:r w:rsidR="00337919">
        <w:rPr>
          <w:lang w:val="en-GB"/>
        </w:rPr>
        <w:t xml:space="preserve">employs </w:t>
      </w:r>
      <w:r w:rsidRPr="00156B9D">
        <w:rPr>
          <w:lang w:val="en-GB"/>
        </w:rPr>
        <w:t>more than 52 per cent of the active population</w:t>
      </w:r>
      <w:r w:rsidR="00092C3A">
        <w:rPr>
          <w:lang w:val="en-GB"/>
        </w:rPr>
        <w:t>.</w:t>
      </w:r>
      <w:r w:rsidR="00092C3A" w:rsidRPr="00156B9D">
        <w:rPr>
          <w:lang w:val="en-GB"/>
        </w:rPr>
        <w:t xml:space="preserve"> </w:t>
      </w:r>
      <w:r w:rsidR="00092C3A">
        <w:rPr>
          <w:lang w:val="en-GB"/>
        </w:rPr>
        <w:t>I</w:t>
      </w:r>
      <w:r w:rsidRPr="00156B9D">
        <w:rPr>
          <w:lang w:val="en-GB"/>
        </w:rPr>
        <w:t xml:space="preserve">ndustry accounts for 29 per cent </w:t>
      </w:r>
      <w:r w:rsidR="00092C3A" w:rsidRPr="00156B9D">
        <w:rPr>
          <w:lang w:val="en-GB"/>
        </w:rPr>
        <w:t xml:space="preserve">of GDP </w:t>
      </w:r>
      <w:r w:rsidRPr="00156B9D">
        <w:rPr>
          <w:lang w:val="en-GB"/>
        </w:rPr>
        <w:t xml:space="preserve">and mining 20 per cent. The informal economy constitutes 41 per cent of GDP and 96 per cent of jobs. In 2022, real GDP grew </w:t>
      </w:r>
      <w:r w:rsidR="00337919">
        <w:rPr>
          <w:lang w:val="en-GB"/>
        </w:rPr>
        <w:t xml:space="preserve">by </w:t>
      </w:r>
      <w:r w:rsidRPr="00156B9D">
        <w:rPr>
          <w:lang w:val="en-GB"/>
        </w:rPr>
        <w:t>4.8 per cent, inflation</w:t>
      </w:r>
      <w:r w:rsidR="0065054D">
        <w:rPr>
          <w:lang w:val="en-GB"/>
        </w:rPr>
        <w:t xml:space="preserve"> by</w:t>
      </w:r>
      <w:r w:rsidRPr="00156B9D">
        <w:rPr>
          <w:lang w:val="en-GB"/>
        </w:rPr>
        <w:t xml:space="preserve"> 12.2 per cent and public debt </w:t>
      </w:r>
      <w:r w:rsidR="0065054D">
        <w:rPr>
          <w:lang w:val="en-GB"/>
        </w:rPr>
        <w:t xml:space="preserve">by </w:t>
      </w:r>
      <w:r w:rsidRPr="00156B9D">
        <w:rPr>
          <w:lang w:val="en-GB"/>
        </w:rPr>
        <w:t xml:space="preserve">35.5 per cent. </w:t>
      </w:r>
      <w:r w:rsidR="00337919">
        <w:rPr>
          <w:lang w:val="en-GB"/>
        </w:rPr>
        <w:t>D</w:t>
      </w:r>
      <w:r w:rsidRPr="00156B9D">
        <w:rPr>
          <w:lang w:val="en-GB"/>
        </w:rPr>
        <w:t xml:space="preserve">ependency on mining exposes the economy to high vulnerability </w:t>
      </w:r>
      <w:r w:rsidR="00266ED0">
        <w:rPr>
          <w:lang w:val="en-GB"/>
        </w:rPr>
        <w:t>due to</w:t>
      </w:r>
      <w:r w:rsidRPr="00156B9D">
        <w:rPr>
          <w:lang w:val="en-GB"/>
        </w:rPr>
        <w:t xml:space="preserve"> fluctuation</w:t>
      </w:r>
      <w:r w:rsidR="00AB7073">
        <w:rPr>
          <w:lang w:val="en-GB"/>
        </w:rPr>
        <w:t>s</w:t>
      </w:r>
      <w:r w:rsidRPr="00156B9D">
        <w:rPr>
          <w:lang w:val="en-GB"/>
        </w:rPr>
        <w:t xml:space="preserve"> in</w:t>
      </w:r>
      <w:r w:rsidR="00AB7073">
        <w:rPr>
          <w:lang w:val="en-GB"/>
        </w:rPr>
        <w:t xml:space="preserve"> </w:t>
      </w:r>
      <w:r w:rsidRPr="00156B9D">
        <w:rPr>
          <w:lang w:val="en-GB"/>
        </w:rPr>
        <w:t>world mineral prices and exchange rates, leading to a significant impact on fiscal revenues</w:t>
      </w:r>
      <w:r w:rsidR="00337919">
        <w:rPr>
          <w:lang w:val="en-GB"/>
        </w:rPr>
        <w:t>.</w:t>
      </w:r>
      <w:r w:rsidRPr="00156B9D">
        <w:rPr>
          <w:vertAlign w:val="superscript"/>
          <w:lang w:val="en-GB"/>
        </w:rPr>
        <w:footnoteReference w:id="4"/>
      </w:r>
      <w:r w:rsidRPr="00156B9D">
        <w:rPr>
          <w:lang w:val="en-GB"/>
        </w:rPr>
        <w:t xml:space="preserve"> Guinea is also vulnerable to climate change</w:t>
      </w:r>
      <w:r w:rsidR="00652270">
        <w:rPr>
          <w:lang w:val="en-GB"/>
        </w:rPr>
        <w:t>,</w:t>
      </w:r>
      <w:r w:rsidRPr="00156B9D">
        <w:rPr>
          <w:lang w:val="en-GB"/>
        </w:rPr>
        <w:t xml:space="preserve"> </w:t>
      </w:r>
      <w:r w:rsidR="00652270" w:rsidRPr="00156B9D">
        <w:rPr>
          <w:lang w:val="en-GB"/>
        </w:rPr>
        <w:t xml:space="preserve">ranking </w:t>
      </w:r>
      <w:r w:rsidRPr="00156B9D">
        <w:rPr>
          <w:lang w:val="en-GB"/>
        </w:rPr>
        <w:t>146</w:t>
      </w:r>
      <w:r w:rsidRPr="00156B9D">
        <w:rPr>
          <w:vertAlign w:val="superscript"/>
          <w:lang w:val="en-GB"/>
        </w:rPr>
        <w:t>th</w:t>
      </w:r>
      <w:r w:rsidRPr="00156B9D">
        <w:rPr>
          <w:lang w:val="en-GB"/>
        </w:rPr>
        <w:t xml:space="preserve"> out of 182 in Vulnerability and Preparedness for Climate Change</w:t>
      </w:r>
      <w:r w:rsidR="00652270">
        <w:rPr>
          <w:lang w:val="en-GB"/>
        </w:rPr>
        <w:t xml:space="preserve"> and</w:t>
      </w:r>
      <w:r w:rsidRPr="00156B9D">
        <w:rPr>
          <w:lang w:val="en-GB"/>
        </w:rPr>
        <w:t xml:space="preserve"> 115</w:t>
      </w:r>
      <w:r w:rsidRPr="00156B9D">
        <w:rPr>
          <w:vertAlign w:val="superscript"/>
          <w:lang w:val="en-GB"/>
        </w:rPr>
        <w:t>th</w:t>
      </w:r>
      <w:r w:rsidRPr="00156B9D">
        <w:rPr>
          <w:lang w:val="en-GB"/>
        </w:rPr>
        <w:t xml:space="preserve"> on the Global Climate Risk Index. The </w:t>
      </w:r>
      <w:r w:rsidR="0090548D" w:rsidRPr="00156B9D">
        <w:rPr>
          <w:lang w:val="en-GB"/>
        </w:rPr>
        <w:t>economy</w:t>
      </w:r>
      <w:r w:rsidR="0090548D">
        <w:rPr>
          <w:lang w:val="en-GB"/>
        </w:rPr>
        <w:t>’s</w:t>
      </w:r>
      <w:r w:rsidR="0090548D" w:rsidRPr="00156B9D">
        <w:rPr>
          <w:lang w:val="en-GB"/>
        </w:rPr>
        <w:t xml:space="preserve"> </w:t>
      </w:r>
      <w:r w:rsidRPr="00156B9D">
        <w:rPr>
          <w:lang w:val="en-GB"/>
        </w:rPr>
        <w:t>resilience and ability to transition towards inclusive and green growth are limited</w:t>
      </w:r>
      <w:r w:rsidR="00652270">
        <w:rPr>
          <w:lang w:val="en-GB"/>
        </w:rPr>
        <w:t>.</w:t>
      </w:r>
      <w:r w:rsidRPr="00156B9D">
        <w:rPr>
          <w:vertAlign w:val="superscript"/>
          <w:lang w:val="en-GB"/>
        </w:rPr>
        <w:footnoteReference w:id="5"/>
      </w:r>
      <w:r w:rsidRPr="00156B9D">
        <w:rPr>
          <w:lang w:val="en-GB"/>
        </w:rPr>
        <w:t xml:space="preserve"> </w:t>
      </w:r>
    </w:p>
    <w:p w14:paraId="2234CCA9" w14:textId="48B410A7" w:rsidR="005265CD" w:rsidRPr="00156B9D" w:rsidRDefault="007F4DE5" w:rsidP="005265CD">
      <w:pPr>
        <w:pStyle w:val="CPDTexte"/>
        <w:tabs>
          <w:tab w:val="clear" w:pos="1560"/>
          <w:tab w:val="left" w:pos="1418"/>
        </w:tabs>
        <w:ind w:left="993" w:right="713"/>
        <w:rPr>
          <w:lang w:val="en-GB"/>
        </w:rPr>
      </w:pPr>
      <w:r w:rsidRPr="009D37DC">
        <w:rPr>
          <w:lang w:val="en-GB"/>
        </w:rPr>
        <w:t xml:space="preserve">The </w:t>
      </w:r>
      <w:r w:rsidR="005265CD" w:rsidRPr="00156B9D">
        <w:rPr>
          <w:lang w:val="en-GB"/>
        </w:rPr>
        <w:t xml:space="preserve">population of </w:t>
      </w:r>
      <w:r w:rsidR="009D37DC">
        <w:rPr>
          <w:lang w:val="en-GB"/>
        </w:rPr>
        <w:t>Guinea,</w:t>
      </w:r>
      <w:r w:rsidR="003732A0">
        <w:rPr>
          <w:lang w:val="en-GB"/>
        </w:rPr>
        <w:t xml:space="preserve"> </w:t>
      </w:r>
      <w:r w:rsidR="005265CD" w:rsidRPr="00156B9D">
        <w:rPr>
          <w:lang w:val="en-GB"/>
        </w:rPr>
        <w:t>13.5 million</w:t>
      </w:r>
      <w:r w:rsidR="009D37DC">
        <w:rPr>
          <w:lang w:val="en-GB"/>
        </w:rPr>
        <w:t>,</w:t>
      </w:r>
      <w:r w:rsidR="005265CD" w:rsidRPr="00156B9D">
        <w:rPr>
          <w:lang w:val="en-GB"/>
        </w:rPr>
        <w:t xml:space="preserve"> lives mostly in rural areas (64 per cent)</w:t>
      </w:r>
      <w:r w:rsidR="005265CD" w:rsidRPr="00156B9D">
        <w:rPr>
          <w:vertAlign w:val="superscript"/>
          <w:lang w:val="en-GB"/>
        </w:rPr>
        <w:footnoteReference w:id="6"/>
      </w:r>
      <w:r w:rsidR="005265CD" w:rsidRPr="00156B9D">
        <w:rPr>
          <w:lang w:val="en-GB"/>
        </w:rPr>
        <w:t xml:space="preserve"> </w:t>
      </w:r>
      <w:r w:rsidR="00D60591">
        <w:rPr>
          <w:lang w:val="en-GB"/>
        </w:rPr>
        <w:t>and</w:t>
      </w:r>
      <w:r w:rsidR="00D60591" w:rsidRPr="00156B9D">
        <w:rPr>
          <w:lang w:val="en-GB"/>
        </w:rPr>
        <w:t xml:space="preserve"> </w:t>
      </w:r>
      <w:r w:rsidR="005265CD" w:rsidRPr="00156B9D">
        <w:rPr>
          <w:lang w:val="en-GB"/>
        </w:rPr>
        <w:t>is largely young (77 per cent under 35) and female (52 per cent). Nearly half the population lives below the national poverty line (</w:t>
      </w:r>
      <w:r w:rsidR="00271C29" w:rsidRPr="00271C29">
        <w:rPr>
          <w:lang w:val="en-GB"/>
        </w:rPr>
        <w:t>G</w:t>
      </w:r>
      <w:r w:rsidR="00271C29" w:rsidRPr="003732A0">
        <w:rPr>
          <w:lang w:val="en-GB"/>
        </w:rPr>
        <w:t>n</w:t>
      </w:r>
      <w:r w:rsidR="00271C29" w:rsidRPr="00271C29">
        <w:rPr>
          <w:lang w:val="en-GB"/>
        </w:rPr>
        <w:t>F</w:t>
      </w:r>
      <w:r w:rsidR="00271C29" w:rsidRPr="00156B9D">
        <w:rPr>
          <w:lang w:val="en-GB"/>
        </w:rPr>
        <w:t xml:space="preserve"> </w:t>
      </w:r>
      <w:r w:rsidR="005265CD" w:rsidRPr="00156B9D">
        <w:rPr>
          <w:lang w:val="en-GB"/>
        </w:rPr>
        <w:t>12,679 per person per day)</w:t>
      </w:r>
      <w:r w:rsidR="006E6C17">
        <w:rPr>
          <w:lang w:val="en-GB"/>
        </w:rPr>
        <w:t>.</w:t>
      </w:r>
      <w:r w:rsidR="005265CD" w:rsidRPr="00156B9D">
        <w:rPr>
          <w:lang w:val="en-GB"/>
        </w:rPr>
        <w:t xml:space="preserve"> </w:t>
      </w:r>
      <w:r w:rsidR="006E6C17">
        <w:rPr>
          <w:lang w:val="en-GB"/>
        </w:rPr>
        <w:t>I</w:t>
      </w:r>
      <w:r w:rsidR="005265CD" w:rsidRPr="00156B9D">
        <w:rPr>
          <w:lang w:val="en-GB"/>
        </w:rPr>
        <w:t xml:space="preserve">n 2018, the Multidimensional Poverty Index reached 0.373, particularly affecting youth and women. In 2022, Guinea was among the </w:t>
      </w:r>
      <w:r w:rsidR="00BD2E69">
        <w:rPr>
          <w:lang w:val="en-GB"/>
        </w:rPr>
        <w:t>10</w:t>
      </w:r>
      <w:r w:rsidR="00BD2E69" w:rsidRPr="00156B9D">
        <w:rPr>
          <w:lang w:val="en-GB"/>
        </w:rPr>
        <w:t xml:space="preserve"> </w:t>
      </w:r>
      <w:r w:rsidR="005265CD" w:rsidRPr="00156B9D">
        <w:rPr>
          <w:lang w:val="en-GB"/>
        </w:rPr>
        <w:t>countries with the lowest H</w:t>
      </w:r>
      <w:r w:rsidR="0066047B">
        <w:rPr>
          <w:lang w:val="en-GB"/>
        </w:rPr>
        <w:t xml:space="preserve">uman </w:t>
      </w:r>
      <w:r w:rsidR="005265CD" w:rsidRPr="00156B9D">
        <w:rPr>
          <w:lang w:val="en-GB"/>
        </w:rPr>
        <w:t>D</w:t>
      </w:r>
      <w:r w:rsidR="0066047B">
        <w:rPr>
          <w:lang w:val="en-GB"/>
        </w:rPr>
        <w:t xml:space="preserve">evelopment </w:t>
      </w:r>
      <w:r w:rsidR="005265CD" w:rsidRPr="00156B9D">
        <w:rPr>
          <w:lang w:val="en-GB"/>
        </w:rPr>
        <w:t>I</w:t>
      </w:r>
      <w:r w:rsidR="0066047B">
        <w:rPr>
          <w:lang w:val="en-GB"/>
        </w:rPr>
        <w:t>ndex</w:t>
      </w:r>
      <w:r w:rsidR="005265CD" w:rsidRPr="00156B9D">
        <w:rPr>
          <w:lang w:val="en-GB"/>
        </w:rPr>
        <w:t xml:space="preserve"> (0.465)</w:t>
      </w:r>
      <w:r w:rsidR="008A4C9C">
        <w:rPr>
          <w:lang w:val="en-GB"/>
        </w:rPr>
        <w:t>.</w:t>
      </w:r>
      <w:r w:rsidR="005265CD" w:rsidRPr="00156B9D">
        <w:rPr>
          <w:vertAlign w:val="superscript"/>
          <w:lang w:val="en-GB"/>
        </w:rPr>
        <w:footnoteReference w:id="7"/>
      </w:r>
      <w:r w:rsidR="005265CD" w:rsidRPr="00156B9D">
        <w:rPr>
          <w:lang w:val="en-GB"/>
        </w:rPr>
        <w:t xml:space="preserve"> </w:t>
      </w:r>
      <w:r>
        <w:rPr>
          <w:lang w:val="en-GB"/>
        </w:rPr>
        <w:t>I</w:t>
      </w:r>
      <w:r w:rsidR="00D60591">
        <w:rPr>
          <w:lang w:val="en-GB"/>
        </w:rPr>
        <w:t>t</w:t>
      </w:r>
      <w:r w:rsidR="005265CD" w:rsidRPr="00156B9D">
        <w:rPr>
          <w:lang w:val="en-GB"/>
        </w:rPr>
        <w:t xml:space="preserve"> was one of the most unequal countries in 2021 in terms of gender, </w:t>
      </w:r>
      <w:r w:rsidR="00D60591" w:rsidRPr="00156B9D">
        <w:rPr>
          <w:lang w:val="en-GB"/>
        </w:rPr>
        <w:t>rank</w:t>
      </w:r>
      <w:r w:rsidR="00D60591">
        <w:rPr>
          <w:lang w:val="en-GB"/>
        </w:rPr>
        <w:t>ing</w:t>
      </w:r>
      <w:r w:rsidR="00D60591" w:rsidRPr="00156B9D">
        <w:rPr>
          <w:lang w:val="en-GB"/>
        </w:rPr>
        <w:t xml:space="preserve"> </w:t>
      </w:r>
      <w:r w:rsidR="005265CD" w:rsidRPr="00156B9D">
        <w:rPr>
          <w:lang w:val="en-GB"/>
        </w:rPr>
        <w:t>182</w:t>
      </w:r>
      <w:r w:rsidR="005265CD" w:rsidRPr="00156B9D">
        <w:rPr>
          <w:vertAlign w:val="superscript"/>
          <w:lang w:val="en-GB"/>
        </w:rPr>
        <w:t>nd</w:t>
      </w:r>
      <w:r w:rsidR="005265CD" w:rsidRPr="00156B9D">
        <w:rPr>
          <w:lang w:val="en-GB"/>
        </w:rPr>
        <w:t xml:space="preserve"> out of 191 in the Gender Inequality Index</w:t>
      </w:r>
      <w:r w:rsidR="00D60591">
        <w:rPr>
          <w:lang w:val="en-GB"/>
        </w:rPr>
        <w:t>.</w:t>
      </w:r>
      <w:r w:rsidR="005265CD" w:rsidRPr="00156B9D">
        <w:rPr>
          <w:vertAlign w:val="superscript"/>
          <w:lang w:val="en-GB"/>
        </w:rPr>
        <w:footnoteReference w:id="8"/>
      </w:r>
      <w:r w:rsidR="005265CD" w:rsidRPr="00156B9D">
        <w:rPr>
          <w:lang w:val="en-GB"/>
        </w:rPr>
        <w:t xml:space="preserve"> While women </w:t>
      </w:r>
      <w:r w:rsidR="00D60591">
        <w:rPr>
          <w:lang w:val="en-GB"/>
        </w:rPr>
        <w:t>account for</w:t>
      </w:r>
      <w:r w:rsidR="00D60591" w:rsidRPr="00156B9D">
        <w:rPr>
          <w:lang w:val="en-GB"/>
        </w:rPr>
        <w:t xml:space="preserve"> </w:t>
      </w:r>
      <w:r w:rsidR="005265CD" w:rsidRPr="00156B9D">
        <w:rPr>
          <w:lang w:val="en-GB"/>
        </w:rPr>
        <w:t xml:space="preserve">31 per cent </w:t>
      </w:r>
      <w:r w:rsidR="00D60591">
        <w:rPr>
          <w:lang w:val="en-GB"/>
        </w:rPr>
        <w:t>of the</w:t>
      </w:r>
      <w:r w:rsidR="00D60591" w:rsidRPr="00156B9D">
        <w:rPr>
          <w:lang w:val="en-GB"/>
        </w:rPr>
        <w:t xml:space="preserve"> </w:t>
      </w:r>
      <w:r w:rsidR="008F16BB">
        <w:rPr>
          <w:lang w:val="en-GB"/>
        </w:rPr>
        <w:t xml:space="preserve">members of the </w:t>
      </w:r>
      <w:r w:rsidR="005265CD" w:rsidRPr="00156B9D">
        <w:rPr>
          <w:lang w:val="en-GB"/>
        </w:rPr>
        <w:t>National Transitional Council</w:t>
      </w:r>
      <w:r w:rsidR="00D60591">
        <w:rPr>
          <w:lang w:val="en-GB"/>
        </w:rPr>
        <w:t xml:space="preserve"> and</w:t>
      </w:r>
      <w:r w:rsidR="00D60591" w:rsidRPr="00156B9D">
        <w:rPr>
          <w:lang w:val="en-GB"/>
        </w:rPr>
        <w:t xml:space="preserve"> </w:t>
      </w:r>
      <w:r w:rsidR="005265CD" w:rsidRPr="00156B9D">
        <w:rPr>
          <w:lang w:val="en-GB"/>
        </w:rPr>
        <w:t xml:space="preserve">26 per cent </w:t>
      </w:r>
      <w:r w:rsidR="00D60591">
        <w:rPr>
          <w:lang w:val="en-GB"/>
        </w:rPr>
        <w:t>of</w:t>
      </w:r>
      <w:r w:rsidR="00D60591" w:rsidRPr="00156B9D">
        <w:rPr>
          <w:lang w:val="en-GB"/>
        </w:rPr>
        <w:t xml:space="preserve"> </w:t>
      </w:r>
      <w:r w:rsidR="005265CD" w:rsidRPr="00156B9D">
        <w:rPr>
          <w:lang w:val="en-GB"/>
        </w:rPr>
        <w:t xml:space="preserve">the </w:t>
      </w:r>
      <w:r w:rsidR="00255DB5">
        <w:rPr>
          <w:lang w:val="en-GB"/>
        </w:rPr>
        <w:t>cabinet</w:t>
      </w:r>
      <w:r w:rsidR="00D60591">
        <w:rPr>
          <w:lang w:val="en-GB"/>
        </w:rPr>
        <w:t>,</w:t>
      </w:r>
      <w:r w:rsidR="005265CD" w:rsidRPr="00156B9D">
        <w:rPr>
          <w:vertAlign w:val="superscript"/>
          <w:lang w:val="en-GB"/>
        </w:rPr>
        <w:footnoteReference w:id="9"/>
      </w:r>
      <w:r w:rsidR="005265CD" w:rsidRPr="00156B9D">
        <w:rPr>
          <w:lang w:val="en-GB"/>
        </w:rPr>
        <w:t xml:space="preserve"> gender equality </w:t>
      </w:r>
      <w:r w:rsidR="006E6C17">
        <w:rPr>
          <w:lang w:val="en-GB"/>
        </w:rPr>
        <w:t xml:space="preserve">hurdles </w:t>
      </w:r>
      <w:r w:rsidR="005265CD" w:rsidRPr="00156B9D">
        <w:rPr>
          <w:lang w:val="en-GB"/>
        </w:rPr>
        <w:t>remain high</w:t>
      </w:r>
      <w:r w:rsidR="00D60591">
        <w:rPr>
          <w:lang w:val="en-GB"/>
        </w:rPr>
        <w:t>,</w:t>
      </w:r>
      <w:r w:rsidR="005265CD" w:rsidRPr="00156B9D">
        <w:rPr>
          <w:lang w:val="en-GB"/>
        </w:rPr>
        <w:t xml:space="preserve"> including unequal access to education, jobs, economic assets and decision-making positions, gender-based violence </w:t>
      </w:r>
      <w:r w:rsidR="003732A0" w:rsidRPr="00156B9D">
        <w:rPr>
          <w:lang w:val="en-GB"/>
        </w:rPr>
        <w:t xml:space="preserve">and </w:t>
      </w:r>
      <w:r w:rsidR="005265CD" w:rsidRPr="00156B9D">
        <w:rPr>
          <w:lang w:val="en-GB"/>
        </w:rPr>
        <w:t>limited participation in political dialogue</w:t>
      </w:r>
      <w:r w:rsidR="003732A0">
        <w:rPr>
          <w:lang w:val="en-GB"/>
        </w:rPr>
        <w:t>, all of this exacerbated by</w:t>
      </w:r>
      <w:r w:rsidR="00357685">
        <w:rPr>
          <w:lang w:val="en-GB"/>
        </w:rPr>
        <w:t xml:space="preserve"> </w:t>
      </w:r>
      <w:r w:rsidR="005265CD" w:rsidRPr="00156B9D">
        <w:rPr>
          <w:lang w:val="en-GB"/>
        </w:rPr>
        <w:t xml:space="preserve">socio-cultural burdens. Young people and persons with disabilities </w:t>
      </w:r>
      <w:r w:rsidR="008A0AB3">
        <w:rPr>
          <w:lang w:val="en-GB"/>
        </w:rPr>
        <w:t>still</w:t>
      </w:r>
      <w:r w:rsidR="005265CD" w:rsidRPr="00156B9D">
        <w:rPr>
          <w:lang w:val="en-GB"/>
        </w:rPr>
        <w:t xml:space="preserve"> need more meaningful inclusion within the development agenda. </w:t>
      </w:r>
    </w:p>
    <w:p w14:paraId="63F76CC4" w14:textId="2786E072" w:rsidR="005265CD" w:rsidRPr="00156B9D" w:rsidRDefault="00356B58" w:rsidP="005265CD">
      <w:pPr>
        <w:pStyle w:val="CPDTexte"/>
        <w:tabs>
          <w:tab w:val="clear" w:pos="1560"/>
          <w:tab w:val="left" w:pos="1418"/>
        </w:tabs>
        <w:ind w:left="993" w:right="713"/>
        <w:rPr>
          <w:lang w:val="en-GB"/>
        </w:rPr>
      </w:pPr>
      <w:r>
        <w:rPr>
          <w:lang w:val="en-GB"/>
        </w:rPr>
        <w:t>Since</w:t>
      </w:r>
      <w:r w:rsidRPr="00156B9D">
        <w:rPr>
          <w:lang w:val="en-GB"/>
        </w:rPr>
        <w:t xml:space="preserve"> </w:t>
      </w:r>
      <w:r w:rsidR="005265CD" w:rsidRPr="00156B9D">
        <w:rPr>
          <w:lang w:val="en-GB"/>
        </w:rPr>
        <w:t xml:space="preserve">the </w:t>
      </w:r>
      <w:r w:rsidR="00020C10" w:rsidRPr="00156B9D">
        <w:rPr>
          <w:lang w:val="en-GB"/>
        </w:rPr>
        <w:t xml:space="preserve">regime </w:t>
      </w:r>
      <w:r w:rsidR="005265CD" w:rsidRPr="00156B9D">
        <w:rPr>
          <w:lang w:val="en-GB"/>
        </w:rPr>
        <w:t>change in September 2021 and a</w:t>
      </w:r>
      <w:r w:rsidR="002C78B6">
        <w:rPr>
          <w:lang w:val="en-GB"/>
        </w:rPr>
        <w:t>n ensuing</w:t>
      </w:r>
      <w:r w:rsidR="005265CD" w:rsidRPr="00156B9D">
        <w:rPr>
          <w:lang w:val="en-GB"/>
        </w:rPr>
        <w:t xml:space="preserve"> year of tension, the sociopolitical situation </w:t>
      </w:r>
      <w:r w:rsidR="003732A0">
        <w:rPr>
          <w:lang w:val="en-GB"/>
        </w:rPr>
        <w:t>has been</w:t>
      </w:r>
      <w:r>
        <w:rPr>
          <w:lang w:val="en-GB"/>
        </w:rPr>
        <w:t xml:space="preserve"> </w:t>
      </w:r>
      <w:r w:rsidR="005265CD" w:rsidRPr="00156B9D">
        <w:rPr>
          <w:lang w:val="en-GB"/>
        </w:rPr>
        <w:t>relatively stabilized. However, the country ranked 42</w:t>
      </w:r>
      <w:r w:rsidR="005265CD" w:rsidRPr="00156B9D">
        <w:rPr>
          <w:vertAlign w:val="superscript"/>
          <w:lang w:val="en-GB"/>
        </w:rPr>
        <w:t>nd</w:t>
      </w:r>
      <w:r w:rsidR="005265CD" w:rsidRPr="00156B9D">
        <w:rPr>
          <w:lang w:val="en-GB"/>
        </w:rPr>
        <w:t xml:space="preserve"> out of 54 in the 2022 Ibrahim Index of African Governance as several longstanding sociopolitical vulnerabilities have weakened the social fabric and community security. These challenges include weak governance, significant gaps</w:t>
      </w:r>
      <w:r w:rsidR="005265CD" w:rsidRPr="00156B9D">
        <w:rPr>
          <w:sz w:val="24"/>
          <w:szCs w:val="24"/>
          <w:lang w:val="en-GB"/>
        </w:rPr>
        <w:t xml:space="preserve"> </w:t>
      </w:r>
      <w:r w:rsidR="005265CD" w:rsidRPr="00156B9D">
        <w:rPr>
          <w:lang w:val="en-GB"/>
        </w:rPr>
        <w:t>in social protection, human security and access to rights and justice, violence linked to electoral processes, political disagreements, growing incivility</w:t>
      </w:r>
      <w:r w:rsidR="00D60591">
        <w:rPr>
          <w:lang w:val="en-GB"/>
        </w:rPr>
        <w:t>,</w:t>
      </w:r>
      <w:r w:rsidR="00C91200">
        <w:rPr>
          <w:lang w:val="en-GB"/>
        </w:rPr>
        <w:t xml:space="preserve"> an</w:t>
      </w:r>
      <w:r w:rsidR="005265CD" w:rsidRPr="00156B9D">
        <w:rPr>
          <w:lang w:val="en-GB"/>
        </w:rPr>
        <w:t xml:space="preserve"> </w:t>
      </w:r>
      <w:r w:rsidR="00D60591">
        <w:rPr>
          <w:lang w:val="en-GB"/>
        </w:rPr>
        <w:t>increasing</w:t>
      </w:r>
      <w:r w:rsidR="009D37DC">
        <w:rPr>
          <w:lang w:val="en-GB"/>
        </w:rPr>
        <w:t>ly</w:t>
      </w:r>
      <w:r w:rsidR="00D60591" w:rsidRPr="00156B9D">
        <w:rPr>
          <w:lang w:val="en-GB"/>
        </w:rPr>
        <w:t xml:space="preserve"> </w:t>
      </w:r>
      <w:r w:rsidR="009D37DC">
        <w:rPr>
          <w:lang w:val="en-GB"/>
        </w:rPr>
        <w:t xml:space="preserve">porous </w:t>
      </w:r>
      <w:r w:rsidR="005265CD" w:rsidRPr="00156B9D">
        <w:rPr>
          <w:lang w:val="en-GB"/>
        </w:rPr>
        <w:t xml:space="preserve">border </w:t>
      </w:r>
      <w:r w:rsidR="00D60591">
        <w:rPr>
          <w:lang w:val="en-GB"/>
        </w:rPr>
        <w:t>and</w:t>
      </w:r>
      <w:r w:rsidR="00D60591" w:rsidRPr="00156B9D">
        <w:rPr>
          <w:lang w:val="en-GB"/>
        </w:rPr>
        <w:t xml:space="preserve"> </w:t>
      </w:r>
      <w:r w:rsidR="005265CD" w:rsidRPr="00156B9D">
        <w:rPr>
          <w:lang w:val="en-GB"/>
        </w:rPr>
        <w:t>deficiencies in access to decent jobs</w:t>
      </w:r>
      <w:r w:rsidR="00D60591">
        <w:rPr>
          <w:lang w:val="en-GB"/>
        </w:rPr>
        <w:t xml:space="preserve">, </w:t>
      </w:r>
      <w:r w:rsidR="005265CD" w:rsidRPr="00156B9D">
        <w:rPr>
          <w:lang w:val="en-GB"/>
        </w:rPr>
        <w:t xml:space="preserve">basic social services and climate change adaptation solutions. </w:t>
      </w:r>
    </w:p>
    <w:p w14:paraId="1A08E3D3" w14:textId="2D5CFB2B" w:rsidR="005265CD" w:rsidRPr="00156B9D" w:rsidRDefault="005265CD" w:rsidP="005265CD">
      <w:pPr>
        <w:pStyle w:val="CPDTexte"/>
        <w:tabs>
          <w:tab w:val="clear" w:pos="1560"/>
          <w:tab w:val="left" w:pos="1418"/>
        </w:tabs>
        <w:ind w:left="993" w:right="713"/>
        <w:rPr>
          <w:lang w:val="en-GB"/>
        </w:rPr>
      </w:pPr>
      <w:r w:rsidRPr="00156B9D">
        <w:rPr>
          <w:lang w:val="en-GB"/>
        </w:rPr>
        <w:t>To address these challenges, the Government has devised an Interim Reference Programme (2022–2025), aligned with Guinea Vision 2040, which is structured around five axes: (</w:t>
      </w:r>
      <w:r w:rsidR="00A3225D">
        <w:rPr>
          <w:lang w:val="en-GB"/>
        </w:rPr>
        <w:t>a</w:t>
      </w:r>
      <w:r w:rsidRPr="00156B9D">
        <w:rPr>
          <w:lang w:val="en-GB"/>
        </w:rPr>
        <w:t>) institutional reforms, (</w:t>
      </w:r>
      <w:r w:rsidR="00A3225D">
        <w:rPr>
          <w:lang w:val="en-GB"/>
        </w:rPr>
        <w:t>b</w:t>
      </w:r>
      <w:r w:rsidRPr="00156B9D">
        <w:rPr>
          <w:lang w:val="en-GB"/>
        </w:rPr>
        <w:t xml:space="preserve">) </w:t>
      </w:r>
      <w:r w:rsidR="00D60591">
        <w:rPr>
          <w:lang w:val="en-GB"/>
        </w:rPr>
        <w:t xml:space="preserve">the </w:t>
      </w:r>
      <w:r w:rsidRPr="00156B9D">
        <w:rPr>
          <w:lang w:val="en-GB"/>
        </w:rPr>
        <w:t>macroeconomic and financial framework, (</w:t>
      </w:r>
      <w:r w:rsidR="00A3225D">
        <w:rPr>
          <w:lang w:val="en-GB"/>
        </w:rPr>
        <w:t>c</w:t>
      </w:r>
      <w:r w:rsidRPr="00156B9D">
        <w:rPr>
          <w:lang w:val="en-GB"/>
        </w:rPr>
        <w:t xml:space="preserve">) </w:t>
      </w:r>
      <w:r w:rsidR="00D60591">
        <w:rPr>
          <w:lang w:val="en-GB"/>
        </w:rPr>
        <w:t xml:space="preserve">the </w:t>
      </w:r>
      <w:r w:rsidRPr="00156B9D">
        <w:rPr>
          <w:lang w:val="en-GB"/>
        </w:rPr>
        <w:t>legal framework and governance, (</w:t>
      </w:r>
      <w:r w:rsidR="00A3225D">
        <w:rPr>
          <w:lang w:val="en-GB"/>
        </w:rPr>
        <w:t>d</w:t>
      </w:r>
      <w:r w:rsidRPr="00156B9D">
        <w:rPr>
          <w:lang w:val="en-GB"/>
        </w:rPr>
        <w:t>) social action, employment and youth employability, (</w:t>
      </w:r>
      <w:r w:rsidR="00A3225D">
        <w:rPr>
          <w:lang w:val="en-GB"/>
        </w:rPr>
        <w:t>e</w:t>
      </w:r>
      <w:r w:rsidRPr="00156B9D">
        <w:rPr>
          <w:lang w:val="en-GB"/>
        </w:rPr>
        <w:t xml:space="preserve">) infrastructure, connectivity and sanitation. </w:t>
      </w:r>
    </w:p>
    <w:p w14:paraId="69437272" w14:textId="77464310" w:rsidR="005265CD" w:rsidRPr="00156B9D" w:rsidRDefault="005265CD" w:rsidP="005265CD">
      <w:pPr>
        <w:pStyle w:val="CPDTexte"/>
        <w:tabs>
          <w:tab w:val="clear" w:pos="1560"/>
          <w:tab w:val="left" w:pos="1418"/>
        </w:tabs>
        <w:ind w:left="993" w:right="713"/>
        <w:rPr>
          <w:lang w:val="en-GB"/>
        </w:rPr>
      </w:pPr>
      <w:r w:rsidRPr="00156B9D">
        <w:rPr>
          <w:lang w:val="en-GB"/>
        </w:rPr>
        <w:t xml:space="preserve">Aligned with </w:t>
      </w:r>
      <w:r w:rsidR="00BB173F">
        <w:rPr>
          <w:lang w:val="en-GB"/>
        </w:rPr>
        <w:t>g</w:t>
      </w:r>
      <w:r w:rsidRPr="00156B9D">
        <w:rPr>
          <w:lang w:val="en-GB"/>
        </w:rPr>
        <w:t xml:space="preserve">overnment priorities, the </w:t>
      </w:r>
      <w:r w:rsidR="007552C9" w:rsidRPr="00156B9D">
        <w:rPr>
          <w:lang w:val="en-GB"/>
        </w:rPr>
        <w:t xml:space="preserve">2024-2028 </w:t>
      </w:r>
      <w:r w:rsidRPr="00156B9D">
        <w:rPr>
          <w:lang w:val="en-GB"/>
        </w:rPr>
        <w:t xml:space="preserve">United Nations Sustainable Development Cooperation Framework (UNSDCF) identifies three strategic </w:t>
      </w:r>
      <w:r w:rsidR="00A3225D">
        <w:rPr>
          <w:lang w:val="en-GB"/>
        </w:rPr>
        <w:t>priorities</w:t>
      </w:r>
      <w:r w:rsidRPr="00156B9D">
        <w:rPr>
          <w:lang w:val="en-GB"/>
        </w:rPr>
        <w:t>: access to and use of high-quality, equitable, sustainable and inclusive basic social services, including in emergency situations</w:t>
      </w:r>
      <w:r w:rsidR="0068221E">
        <w:rPr>
          <w:lang w:val="en-GB"/>
        </w:rPr>
        <w:t>;</w:t>
      </w:r>
      <w:r w:rsidR="0068221E" w:rsidRPr="00156B9D">
        <w:rPr>
          <w:lang w:val="en-GB"/>
        </w:rPr>
        <w:t xml:space="preserve"> </w:t>
      </w:r>
      <w:r w:rsidRPr="00156B9D">
        <w:rPr>
          <w:lang w:val="en-GB"/>
        </w:rPr>
        <w:t>sustainable, inclusive growth that creates wealth and decent jobs, and significantly reduces poverty and inequality, particularly between the sexes and regions</w:t>
      </w:r>
      <w:r w:rsidR="0068221E">
        <w:rPr>
          <w:lang w:val="en-GB"/>
        </w:rPr>
        <w:t>;</w:t>
      </w:r>
      <w:r w:rsidR="0068221E" w:rsidRPr="00156B9D">
        <w:rPr>
          <w:lang w:val="en-GB"/>
        </w:rPr>
        <w:t xml:space="preserve"> </w:t>
      </w:r>
      <w:r w:rsidRPr="00156B9D">
        <w:rPr>
          <w:lang w:val="en-GB"/>
        </w:rPr>
        <w:t xml:space="preserve">and </w:t>
      </w:r>
      <w:r w:rsidR="00772925" w:rsidRPr="00156B9D">
        <w:rPr>
          <w:lang w:val="en-GB"/>
        </w:rPr>
        <w:lastRenderedPageBreak/>
        <w:t>promoti</w:t>
      </w:r>
      <w:r w:rsidR="00772925">
        <w:rPr>
          <w:lang w:val="en-GB"/>
        </w:rPr>
        <w:t>o</w:t>
      </w:r>
      <w:r w:rsidR="00772925" w:rsidRPr="00156B9D">
        <w:rPr>
          <w:lang w:val="en-GB"/>
        </w:rPr>
        <w:t>n</w:t>
      </w:r>
      <w:r w:rsidR="00772925">
        <w:rPr>
          <w:lang w:val="en-GB"/>
        </w:rPr>
        <w:t xml:space="preserve"> of</w:t>
      </w:r>
      <w:r w:rsidR="00772925" w:rsidRPr="00156B9D">
        <w:rPr>
          <w:lang w:val="en-GB"/>
        </w:rPr>
        <w:t xml:space="preserve"> </w:t>
      </w:r>
      <w:r w:rsidRPr="00156B9D">
        <w:rPr>
          <w:lang w:val="en-GB"/>
        </w:rPr>
        <w:t xml:space="preserve">stronger, stable, credible and legitimate national and local institutions to meet people's aspirations. </w:t>
      </w:r>
    </w:p>
    <w:p w14:paraId="330D3FF0" w14:textId="129360C1" w:rsidR="005265CD" w:rsidRPr="00156B9D" w:rsidRDefault="005265CD" w:rsidP="005265CD">
      <w:pPr>
        <w:pStyle w:val="CPDTexte"/>
        <w:tabs>
          <w:tab w:val="clear" w:pos="1560"/>
          <w:tab w:val="left" w:pos="1418"/>
        </w:tabs>
        <w:ind w:left="993" w:right="713"/>
        <w:rPr>
          <w:lang w:val="en-GB"/>
        </w:rPr>
      </w:pPr>
      <w:r w:rsidRPr="00156B9D">
        <w:rPr>
          <w:lang w:val="en-GB"/>
        </w:rPr>
        <w:t xml:space="preserve">The </w:t>
      </w:r>
      <w:r w:rsidR="00C76CF1">
        <w:rPr>
          <w:lang w:val="en-GB"/>
        </w:rPr>
        <w:t>i</w:t>
      </w:r>
      <w:r w:rsidR="00C76CF1" w:rsidRPr="00156B9D">
        <w:rPr>
          <w:lang w:val="en-GB"/>
        </w:rPr>
        <w:t xml:space="preserve">ndependent </w:t>
      </w:r>
      <w:r w:rsidR="00C76CF1">
        <w:rPr>
          <w:lang w:val="en-GB"/>
        </w:rPr>
        <w:t>c</w:t>
      </w:r>
      <w:r w:rsidR="00C76CF1" w:rsidRPr="00156B9D">
        <w:rPr>
          <w:lang w:val="en-GB"/>
        </w:rPr>
        <w:t xml:space="preserve">ountry </w:t>
      </w:r>
      <w:r w:rsidR="00C76CF1">
        <w:rPr>
          <w:lang w:val="en-GB"/>
        </w:rPr>
        <w:t>p</w:t>
      </w:r>
      <w:r w:rsidR="00C76CF1" w:rsidRPr="00156B9D">
        <w:rPr>
          <w:lang w:val="en-GB"/>
        </w:rPr>
        <w:t xml:space="preserve">rogramme </w:t>
      </w:r>
      <w:r w:rsidR="00C76CF1">
        <w:rPr>
          <w:lang w:val="en-GB"/>
        </w:rPr>
        <w:t>e</w:t>
      </w:r>
      <w:r w:rsidR="00C76CF1" w:rsidRPr="00156B9D">
        <w:rPr>
          <w:lang w:val="en-GB"/>
        </w:rPr>
        <w:t xml:space="preserve">valuation </w:t>
      </w:r>
      <w:r w:rsidRPr="00156B9D">
        <w:rPr>
          <w:lang w:val="en-GB"/>
        </w:rPr>
        <w:t xml:space="preserve">completed in 2022 acknowledged the strategic positioning of UNDP in the country and its leading role in delivering results against national and sectoral frameworks. It recognized the value of UNDP support in line with the UNSDCF in the areas of elections, peacebuilding, security sector reforms, </w:t>
      </w:r>
      <w:r w:rsidR="00E63632">
        <w:rPr>
          <w:lang w:val="en-GB"/>
        </w:rPr>
        <w:t xml:space="preserve">the </w:t>
      </w:r>
      <w:r w:rsidRPr="00156B9D">
        <w:rPr>
          <w:lang w:val="en-GB"/>
        </w:rPr>
        <w:t xml:space="preserve">judicial system and administration, financial governance, economic transformation, </w:t>
      </w:r>
      <w:r w:rsidR="00E63632">
        <w:rPr>
          <w:lang w:val="en-GB"/>
        </w:rPr>
        <w:t xml:space="preserve">the </w:t>
      </w:r>
      <w:r w:rsidR="00E63632" w:rsidRPr="00156B9D">
        <w:rPr>
          <w:lang w:val="en-GB"/>
        </w:rPr>
        <w:t xml:space="preserve">creation </w:t>
      </w:r>
      <w:r w:rsidR="00E63632">
        <w:rPr>
          <w:lang w:val="en-GB"/>
        </w:rPr>
        <w:t xml:space="preserve">of </w:t>
      </w:r>
      <w:r w:rsidRPr="00156B9D">
        <w:rPr>
          <w:lang w:val="en-GB"/>
        </w:rPr>
        <w:t>decent jobs</w:t>
      </w:r>
      <w:r w:rsidR="00C25C27">
        <w:rPr>
          <w:lang w:val="en-GB"/>
        </w:rPr>
        <w:t>,</w:t>
      </w:r>
      <w:r w:rsidRPr="00156B9D">
        <w:rPr>
          <w:lang w:val="en-GB"/>
        </w:rPr>
        <w:t xml:space="preserve"> and women</w:t>
      </w:r>
      <w:r w:rsidR="00E63632">
        <w:rPr>
          <w:lang w:val="en-GB"/>
        </w:rPr>
        <w:t>’s</w:t>
      </w:r>
      <w:r w:rsidRPr="00156B9D">
        <w:rPr>
          <w:lang w:val="en-GB"/>
        </w:rPr>
        <w:t xml:space="preserve"> empowerment, including downstream interventions that have provided valuable support in developing sustainable livelihoods and building the resilience of rural communities. </w:t>
      </w:r>
    </w:p>
    <w:p w14:paraId="69DB7C6A" w14:textId="2569A38B" w:rsidR="005265CD" w:rsidRPr="00156B9D" w:rsidRDefault="005265CD" w:rsidP="005265CD">
      <w:pPr>
        <w:pStyle w:val="CPDTexte"/>
        <w:tabs>
          <w:tab w:val="clear" w:pos="1560"/>
          <w:tab w:val="left" w:pos="1418"/>
        </w:tabs>
        <w:ind w:left="993" w:right="713"/>
        <w:rPr>
          <w:lang w:val="en-GB"/>
        </w:rPr>
      </w:pPr>
      <w:r w:rsidRPr="00156B9D">
        <w:rPr>
          <w:lang w:val="en-GB"/>
        </w:rPr>
        <w:t>T</w:t>
      </w:r>
      <w:bookmarkStart w:id="1" w:name="_Hlk147950246"/>
      <w:r w:rsidRPr="00156B9D">
        <w:rPr>
          <w:lang w:val="en-GB"/>
        </w:rPr>
        <w:t xml:space="preserve">he lessons learned from the ongoing programme </w:t>
      </w:r>
      <w:bookmarkEnd w:id="1"/>
      <w:r w:rsidRPr="00156B9D">
        <w:rPr>
          <w:lang w:val="en-GB"/>
        </w:rPr>
        <w:t>indicate that it is imperative to create synergies between its components within the ongoing political transition, extending support to the central and structural reforms of the administration and civil service</w:t>
      </w:r>
      <w:r w:rsidR="00C25C27">
        <w:rPr>
          <w:lang w:val="en-GB"/>
        </w:rPr>
        <w:t>,</w:t>
      </w:r>
      <w:r w:rsidRPr="00156B9D">
        <w:rPr>
          <w:lang w:val="en-GB"/>
        </w:rPr>
        <w:t xml:space="preserve"> and </w:t>
      </w:r>
      <w:r w:rsidR="00262F8C">
        <w:rPr>
          <w:lang w:val="en-GB"/>
        </w:rPr>
        <w:t xml:space="preserve">to </w:t>
      </w:r>
      <w:r w:rsidR="00262F8C" w:rsidRPr="00156B9D">
        <w:rPr>
          <w:lang w:val="en-GB"/>
        </w:rPr>
        <w:t>mobiliz</w:t>
      </w:r>
      <w:r w:rsidR="00262F8C">
        <w:rPr>
          <w:lang w:val="en-GB"/>
        </w:rPr>
        <w:t>e</w:t>
      </w:r>
      <w:r w:rsidR="00262F8C" w:rsidRPr="00156B9D">
        <w:rPr>
          <w:lang w:val="en-GB"/>
        </w:rPr>
        <w:t xml:space="preserve"> </w:t>
      </w:r>
      <w:r w:rsidRPr="00156B9D">
        <w:rPr>
          <w:lang w:val="en-GB"/>
        </w:rPr>
        <w:t xml:space="preserve">stakeholders at local level to strengthen community resilience. </w:t>
      </w:r>
      <w:r w:rsidR="0076511A" w:rsidRPr="00156B9D">
        <w:rPr>
          <w:lang w:val="en-GB"/>
        </w:rPr>
        <w:t>I</w:t>
      </w:r>
      <w:r w:rsidR="0076511A">
        <w:rPr>
          <w:lang w:val="en-GB"/>
        </w:rPr>
        <w:t>n addition, it</w:t>
      </w:r>
      <w:r w:rsidR="0076511A" w:rsidRPr="00156B9D">
        <w:rPr>
          <w:lang w:val="en-GB"/>
        </w:rPr>
        <w:t xml:space="preserve"> </w:t>
      </w:r>
      <w:r w:rsidRPr="00156B9D">
        <w:rPr>
          <w:lang w:val="en-GB"/>
        </w:rPr>
        <w:t xml:space="preserve">is </w:t>
      </w:r>
      <w:r w:rsidR="002078C2">
        <w:rPr>
          <w:lang w:val="en-GB"/>
        </w:rPr>
        <w:t>important</w:t>
      </w:r>
      <w:r w:rsidRPr="00156B9D">
        <w:rPr>
          <w:lang w:val="en-GB"/>
        </w:rPr>
        <w:t xml:space="preserve"> to seek niches to </w:t>
      </w:r>
      <w:r w:rsidR="00C76CF1">
        <w:rPr>
          <w:lang w:val="en-GB"/>
        </w:rPr>
        <w:t>anchor</w:t>
      </w:r>
      <w:r w:rsidR="00E35E77" w:rsidRPr="00156B9D">
        <w:rPr>
          <w:lang w:val="en-GB"/>
        </w:rPr>
        <w:t xml:space="preserve"> </w:t>
      </w:r>
      <w:r w:rsidRPr="00156B9D">
        <w:rPr>
          <w:lang w:val="en-GB"/>
        </w:rPr>
        <w:t>its gender-related interventions with</w:t>
      </w:r>
      <w:r w:rsidR="002078C2">
        <w:rPr>
          <w:lang w:val="en-GB"/>
        </w:rPr>
        <w:t>in</w:t>
      </w:r>
      <w:r w:rsidRPr="00156B9D">
        <w:rPr>
          <w:lang w:val="en-GB"/>
        </w:rPr>
        <w:t xml:space="preserve"> th</w:t>
      </w:r>
      <w:r w:rsidR="002078C2">
        <w:rPr>
          <w:lang w:val="en-GB"/>
        </w:rPr>
        <w:t xml:space="preserve">ose </w:t>
      </w:r>
      <w:r w:rsidR="00262F8C">
        <w:rPr>
          <w:lang w:val="en-GB"/>
        </w:rPr>
        <w:t xml:space="preserve">of the </w:t>
      </w:r>
      <w:r w:rsidRPr="00156B9D">
        <w:rPr>
          <w:lang w:val="en-GB"/>
        </w:rPr>
        <w:t>U</w:t>
      </w:r>
      <w:r w:rsidR="00262F8C">
        <w:rPr>
          <w:lang w:val="en-GB"/>
        </w:rPr>
        <w:t xml:space="preserve">nited </w:t>
      </w:r>
      <w:r w:rsidRPr="00156B9D">
        <w:rPr>
          <w:lang w:val="en-GB"/>
        </w:rPr>
        <w:t>N</w:t>
      </w:r>
      <w:r w:rsidR="00262F8C">
        <w:rPr>
          <w:lang w:val="en-GB"/>
        </w:rPr>
        <w:t>ations</w:t>
      </w:r>
      <w:r w:rsidRPr="00156B9D">
        <w:rPr>
          <w:lang w:val="en-GB"/>
        </w:rPr>
        <w:t xml:space="preserve"> and other partners. </w:t>
      </w:r>
    </w:p>
    <w:p w14:paraId="4C111E95" w14:textId="0D38ABB1" w:rsidR="005265CD" w:rsidRPr="00156B9D" w:rsidRDefault="005265CD" w:rsidP="005265CD">
      <w:pPr>
        <w:pStyle w:val="CPDTexte"/>
        <w:tabs>
          <w:tab w:val="clear" w:pos="1560"/>
          <w:tab w:val="left" w:pos="1418"/>
        </w:tabs>
        <w:ind w:left="993" w:right="713"/>
        <w:rPr>
          <w:lang w:val="en-GB"/>
        </w:rPr>
      </w:pPr>
      <w:r w:rsidRPr="00156B9D">
        <w:rPr>
          <w:lang w:val="en-GB"/>
        </w:rPr>
        <w:t xml:space="preserve">Considering the </w:t>
      </w:r>
      <w:r w:rsidR="00FF3C7C">
        <w:rPr>
          <w:lang w:val="en-GB"/>
        </w:rPr>
        <w:t>i</w:t>
      </w:r>
      <w:r w:rsidRPr="00156B9D">
        <w:rPr>
          <w:lang w:val="en-GB"/>
        </w:rPr>
        <w:t xml:space="preserve">ndependent </w:t>
      </w:r>
      <w:r w:rsidR="00FF3C7C">
        <w:rPr>
          <w:lang w:val="en-GB"/>
        </w:rPr>
        <w:t>c</w:t>
      </w:r>
      <w:r w:rsidR="00FF3C7C" w:rsidRPr="00156B9D">
        <w:rPr>
          <w:lang w:val="en-GB"/>
        </w:rPr>
        <w:t xml:space="preserve">ountry </w:t>
      </w:r>
      <w:r w:rsidR="00FF3C7C">
        <w:rPr>
          <w:lang w:val="en-GB"/>
        </w:rPr>
        <w:t>p</w:t>
      </w:r>
      <w:r w:rsidR="00FF3C7C" w:rsidRPr="00156B9D">
        <w:rPr>
          <w:lang w:val="en-GB"/>
        </w:rPr>
        <w:t xml:space="preserve">rogramme </w:t>
      </w:r>
      <w:r w:rsidR="00FF3C7C">
        <w:rPr>
          <w:lang w:val="en-GB"/>
        </w:rPr>
        <w:t>e</w:t>
      </w:r>
      <w:r w:rsidR="00FF3C7C" w:rsidRPr="00156B9D">
        <w:rPr>
          <w:lang w:val="en-GB"/>
        </w:rPr>
        <w:t>valuation</w:t>
      </w:r>
      <w:r w:rsidR="00FF3C7C" w:rsidRPr="00957047">
        <w:rPr>
          <w:lang w:val="en-GB"/>
        </w:rPr>
        <w:t xml:space="preserve"> </w:t>
      </w:r>
      <w:r w:rsidR="00957047" w:rsidRPr="00156B9D">
        <w:rPr>
          <w:lang w:val="en-GB"/>
        </w:rPr>
        <w:t>recommendations</w:t>
      </w:r>
      <w:r w:rsidRPr="00156B9D">
        <w:rPr>
          <w:lang w:val="en-GB"/>
        </w:rPr>
        <w:t xml:space="preserve">, a targeted thematic and territorial approach will address complex development challenges and achieve sustainable results through innovative supports to governance, peace, justice, security, social cohesion, community resilience, job creation, sustainable development of enterprises, skills development and youth empowerment. The Accelerator Lab will support the implementation of successful experimental solutions to </w:t>
      </w:r>
      <w:r w:rsidR="00B646D1">
        <w:rPr>
          <w:lang w:val="en-GB"/>
        </w:rPr>
        <w:t>foster</w:t>
      </w:r>
      <w:r w:rsidR="00B646D1" w:rsidRPr="00156B9D">
        <w:rPr>
          <w:lang w:val="en-GB"/>
        </w:rPr>
        <w:t xml:space="preserve"> </w:t>
      </w:r>
      <w:r w:rsidRPr="00156B9D">
        <w:rPr>
          <w:lang w:val="en-GB"/>
        </w:rPr>
        <w:t>innovation. The promotion of women's rights and their empowerment, and the inclusion of vulnerable populations and people living with disabilities</w:t>
      </w:r>
      <w:r w:rsidR="00B646D1">
        <w:rPr>
          <w:lang w:val="en-GB"/>
        </w:rPr>
        <w:t>,</w:t>
      </w:r>
      <w:r w:rsidRPr="00156B9D">
        <w:rPr>
          <w:lang w:val="en-GB"/>
        </w:rPr>
        <w:t xml:space="preserve"> will be systematically integrated into </w:t>
      </w:r>
      <w:r w:rsidR="00C11BB5" w:rsidRPr="00156B9D">
        <w:rPr>
          <w:lang w:val="en-GB"/>
        </w:rPr>
        <w:t>project</w:t>
      </w:r>
      <w:r w:rsidR="00C11BB5" w:rsidRPr="00156B9D" w:rsidDel="00C11BB5">
        <w:rPr>
          <w:lang w:val="en-GB"/>
        </w:rPr>
        <w:t xml:space="preserve"> </w:t>
      </w:r>
      <w:r w:rsidRPr="00156B9D">
        <w:rPr>
          <w:lang w:val="en-GB"/>
        </w:rPr>
        <w:t>design and implementation.</w:t>
      </w:r>
    </w:p>
    <w:p w14:paraId="6B386B1A" w14:textId="77777777" w:rsidR="005265CD" w:rsidRPr="00156B9D" w:rsidRDefault="005265CD" w:rsidP="005265CD">
      <w:pPr>
        <w:pStyle w:val="Heading2"/>
        <w:numPr>
          <w:ilvl w:val="0"/>
          <w:numId w:val="1"/>
        </w:numPr>
        <w:tabs>
          <w:tab w:val="left" w:pos="1418"/>
        </w:tabs>
        <w:ind w:left="993" w:right="713" w:hanging="426"/>
        <w:jc w:val="left"/>
        <w:rPr>
          <w:rFonts w:ascii="Times New Roman" w:hAnsi="Times New Roman"/>
          <w:lang w:val="en-GB"/>
        </w:rPr>
      </w:pPr>
      <w:r w:rsidRPr="00156B9D">
        <w:rPr>
          <w:rFonts w:ascii="Times New Roman" w:hAnsi="Times New Roman"/>
          <w:lang w:val="en-GB"/>
        </w:rPr>
        <w:t>Programme priorities and partnerships</w:t>
      </w:r>
    </w:p>
    <w:p w14:paraId="69F77AC0" w14:textId="77777777" w:rsidR="005265CD" w:rsidRPr="00156B9D" w:rsidRDefault="005265CD" w:rsidP="00D335E1">
      <w:pPr>
        <w:pStyle w:val="CPDTexte"/>
        <w:numPr>
          <w:ilvl w:val="0"/>
          <w:numId w:val="0"/>
        </w:numPr>
        <w:tabs>
          <w:tab w:val="clear" w:pos="1560"/>
          <w:tab w:val="left" w:pos="1418"/>
        </w:tabs>
        <w:spacing w:after="0"/>
        <w:ind w:left="992" w:right="714"/>
        <w:rPr>
          <w:lang w:val="en-GB"/>
        </w:rPr>
      </w:pPr>
    </w:p>
    <w:p w14:paraId="3E190239" w14:textId="1475786E" w:rsidR="005265CD" w:rsidRPr="00156B9D" w:rsidRDefault="005265CD" w:rsidP="005265CD">
      <w:pPr>
        <w:pStyle w:val="CPDTexte"/>
        <w:tabs>
          <w:tab w:val="clear" w:pos="1560"/>
          <w:tab w:val="left" w:pos="1418"/>
        </w:tabs>
        <w:ind w:left="993" w:right="713"/>
        <w:rPr>
          <w:lang w:val="en-GB"/>
        </w:rPr>
      </w:pPr>
      <w:bookmarkStart w:id="2" w:name="_Hlk146671365"/>
      <w:r w:rsidRPr="00156B9D">
        <w:rPr>
          <w:lang w:val="en-GB" w:eastAsia="fr-FR"/>
        </w:rPr>
        <w:t xml:space="preserve">The theory of change relies on the effectiveness of institutions and the quality of governance to drive sustainable socioeconomic transformation and guarantee the inclusive provision of quality goods and services. </w:t>
      </w:r>
      <w:r w:rsidR="00D109DE">
        <w:rPr>
          <w:lang w:val="en-GB" w:eastAsia="fr-FR"/>
        </w:rPr>
        <w:t>S</w:t>
      </w:r>
      <w:r w:rsidRPr="00156B9D">
        <w:rPr>
          <w:lang w:val="en-GB" w:eastAsia="fr-FR"/>
        </w:rPr>
        <w:t>trengthening the technical, technological and operational capacities of republican, judicial and security institutions, as well as central, deconcentrated and decentralized entities, will contribute to the provision of quality, accessible and equitable services that guarantee inclusion, transparency, peace and social cohesion</w:t>
      </w:r>
      <w:r w:rsidR="00D109DE">
        <w:rPr>
          <w:lang w:val="en-GB" w:eastAsia="fr-FR"/>
        </w:rPr>
        <w:t>.</w:t>
      </w:r>
      <w:r w:rsidR="00D109DE" w:rsidRPr="00156B9D">
        <w:rPr>
          <w:lang w:val="en-GB" w:eastAsia="fr-FR"/>
        </w:rPr>
        <w:t xml:space="preserve"> </w:t>
      </w:r>
      <w:r w:rsidR="00D109DE">
        <w:rPr>
          <w:lang w:val="en-GB" w:eastAsia="fr-FR"/>
        </w:rPr>
        <w:t>P</w:t>
      </w:r>
      <w:r w:rsidR="005914CD">
        <w:rPr>
          <w:lang w:val="en-GB" w:eastAsia="fr-FR"/>
        </w:rPr>
        <w:t>roviding</w:t>
      </w:r>
      <w:r w:rsidRPr="00156B9D">
        <w:rPr>
          <w:lang w:val="en-GB" w:eastAsia="fr-FR"/>
        </w:rPr>
        <w:t xml:space="preserve"> more opportunities for populations, in particular women, young people and people living with disabilities, </w:t>
      </w:r>
      <w:r w:rsidR="00232EC8">
        <w:rPr>
          <w:lang w:val="en-GB" w:eastAsia="fr-FR"/>
        </w:rPr>
        <w:t>to</w:t>
      </w:r>
      <w:r w:rsidR="00232EC8" w:rsidRPr="00156B9D">
        <w:rPr>
          <w:lang w:val="en-GB" w:eastAsia="fr-FR"/>
        </w:rPr>
        <w:t xml:space="preserve"> participat</w:t>
      </w:r>
      <w:r w:rsidR="00232EC8">
        <w:rPr>
          <w:lang w:val="en-GB" w:eastAsia="fr-FR"/>
        </w:rPr>
        <w:t>e</w:t>
      </w:r>
      <w:r w:rsidR="00232EC8" w:rsidRPr="00156B9D">
        <w:rPr>
          <w:lang w:val="en-GB" w:eastAsia="fr-FR"/>
        </w:rPr>
        <w:t xml:space="preserve"> </w:t>
      </w:r>
      <w:r w:rsidRPr="00156B9D">
        <w:rPr>
          <w:lang w:val="en-GB" w:eastAsia="fr-FR"/>
        </w:rPr>
        <w:t>in decision-making, the mitigation of security risks and other vulnerabilities and dialogue that respects human rights would contribute to their well-being and social cohesion</w:t>
      </w:r>
      <w:r w:rsidR="00D109DE">
        <w:rPr>
          <w:lang w:val="en-GB" w:eastAsia="fr-FR"/>
        </w:rPr>
        <w:t>.</w:t>
      </w:r>
      <w:r w:rsidR="00D109DE" w:rsidRPr="00156B9D">
        <w:rPr>
          <w:lang w:val="en-GB" w:eastAsia="fr-FR"/>
        </w:rPr>
        <w:t xml:space="preserve"> </w:t>
      </w:r>
      <w:r w:rsidR="00D109DE">
        <w:rPr>
          <w:lang w:val="en-GB" w:eastAsia="fr-FR"/>
        </w:rPr>
        <w:t>D</w:t>
      </w:r>
      <w:r w:rsidRPr="00156B9D">
        <w:rPr>
          <w:lang w:val="en-GB" w:eastAsia="fr-FR"/>
        </w:rPr>
        <w:t>evelop</w:t>
      </w:r>
      <w:r w:rsidR="005D6E02">
        <w:rPr>
          <w:lang w:val="en-GB" w:eastAsia="fr-FR"/>
        </w:rPr>
        <w:t xml:space="preserve">ing </w:t>
      </w:r>
      <w:r w:rsidRPr="00156B9D">
        <w:rPr>
          <w:lang w:val="en-GB" w:eastAsia="fr-FR"/>
        </w:rPr>
        <w:t>planning and statistical capacities would strengthen coherence between interventions and promote better monitoring and evaluation of public policies and programmes, enabling Guinea to be a safe country, respectful of human rights, where institutions are transparent and accountable and populations, particularly women and you</w:t>
      </w:r>
      <w:r w:rsidR="00BE5E24">
        <w:rPr>
          <w:lang w:val="en-GB" w:eastAsia="fr-FR"/>
        </w:rPr>
        <w:t xml:space="preserve">th </w:t>
      </w:r>
      <w:r w:rsidRPr="00156B9D">
        <w:rPr>
          <w:lang w:val="en-GB" w:eastAsia="fr-FR"/>
        </w:rPr>
        <w:t xml:space="preserve">(girls and boys), exercise their rights in a peaceful environment and participate in decision-making that affects their well-being. Guinean populations, in particular young people, women and vulnerable people, especially in disadvantaged areas, </w:t>
      </w:r>
      <w:r w:rsidR="009666D7">
        <w:rPr>
          <w:lang w:val="en-GB" w:eastAsia="fr-FR"/>
        </w:rPr>
        <w:t xml:space="preserve">should be able to </w:t>
      </w:r>
      <w:r w:rsidR="009666D7" w:rsidRPr="00156B9D">
        <w:rPr>
          <w:lang w:val="en-GB" w:eastAsia="fr-FR"/>
        </w:rPr>
        <w:t xml:space="preserve">actively </w:t>
      </w:r>
      <w:r w:rsidRPr="00156B9D">
        <w:rPr>
          <w:lang w:val="en-GB" w:eastAsia="fr-FR"/>
        </w:rPr>
        <w:t>participate in economic growth supported by a diversified, inclusive, equitable, sustainable economy that generates decent jobs. Improving the business climate and the employability of young people, women and vulnerable people will foster the creation of businesses and economic opportunities in sustainable agricultural and mining value chains</w:t>
      </w:r>
      <w:r w:rsidR="00D109DE">
        <w:rPr>
          <w:lang w:val="en-GB" w:eastAsia="fr-FR"/>
        </w:rPr>
        <w:t>.</w:t>
      </w:r>
      <w:r w:rsidRPr="00156B9D">
        <w:rPr>
          <w:lang w:val="en-GB" w:eastAsia="fr-FR"/>
        </w:rPr>
        <w:t xml:space="preserve"> </w:t>
      </w:r>
      <w:r w:rsidR="00D109DE">
        <w:rPr>
          <w:lang w:val="en-GB" w:eastAsia="fr-FR"/>
        </w:rPr>
        <w:t>P</w:t>
      </w:r>
      <w:r w:rsidRPr="00156B9D">
        <w:rPr>
          <w:lang w:val="en-GB" w:eastAsia="fr-FR"/>
        </w:rPr>
        <w:t xml:space="preserve">opulations and national, regional and local institutions </w:t>
      </w:r>
      <w:r w:rsidR="002C560D">
        <w:rPr>
          <w:lang w:val="en-GB" w:eastAsia="fr-FR"/>
        </w:rPr>
        <w:t>should</w:t>
      </w:r>
      <w:r w:rsidR="00D109DE">
        <w:rPr>
          <w:lang w:val="en-GB" w:eastAsia="fr-FR"/>
        </w:rPr>
        <w:t xml:space="preserve"> </w:t>
      </w:r>
      <w:r w:rsidRPr="00156B9D">
        <w:rPr>
          <w:lang w:val="en-GB" w:eastAsia="fr-FR"/>
        </w:rPr>
        <w:t>have the capacity to implement appropriate measures for natural resource management, climate change mitigation and adaptation, green and blue economies and disaster risk reduction</w:t>
      </w:r>
      <w:r w:rsidR="00D109DE">
        <w:rPr>
          <w:lang w:val="en-GB" w:eastAsia="fr-FR"/>
        </w:rPr>
        <w:t>.</w:t>
      </w:r>
      <w:r w:rsidR="00D109DE" w:rsidRPr="00156B9D">
        <w:rPr>
          <w:lang w:val="en-GB" w:eastAsia="fr-FR"/>
        </w:rPr>
        <w:t xml:space="preserve"> </w:t>
      </w:r>
      <w:r w:rsidR="00D109DE">
        <w:rPr>
          <w:lang w:val="en-GB" w:eastAsia="fr-FR"/>
        </w:rPr>
        <w:t>C</w:t>
      </w:r>
      <w:r w:rsidRPr="00156B9D">
        <w:rPr>
          <w:lang w:val="en-GB" w:eastAsia="fr-FR"/>
        </w:rPr>
        <w:t xml:space="preserve">ommunities in disadvantaged areas </w:t>
      </w:r>
      <w:r w:rsidR="002C560D">
        <w:rPr>
          <w:lang w:val="en-GB" w:eastAsia="fr-FR"/>
        </w:rPr>
        <w:t>should</w:t>
      </w:r>
      <w:r w:rsidR="00D109DE">
        <w:rPr>
          <w:lang w:val="en-GB" w:eastAsia="fr-FR"/>
        </w:rPr>
        <w:t xml:space="preserve"> </w:t>
      </w:r>
      <w:r w:rsidRPr="00156B9D">
        <w:rPr>
          <w:lang w:val="en-GB" w:eastAsia="fr-FR"/>
        </w:rPr>
        <w:t>have access to clean, affordable energy, accelerated by innovative technologies</w:t>
      </w:r>
      <w:r w:rsidR="00D109DE">
        <w:rPr>
          <w:lang w:val="en-GB" w:eastAsia="fr-FR"/>
        </w:rPr>
        <w:t>.</w:t>
      </w:r>
      <w:r w:rsidRPr="00156B9D">
        <w:rPr>
          <w:lang w:val="en-GB" w:eastAsia="fr-FR"/>
        </w:rPr>
        <w:t xml:space="preserve"> </w:t>
      </w:r>
      <w:r w:rsidR="00D109DE">
        <w:rPr>
          <w:lang w:val="en-GB" w:eastAsia="fr-FR"/>
        </w:rPr>
        <w:t>I</w:t>
      </w:r>
      <w:r w:rsidRPr="00156B9D">
        <w:rPr>
          <w:lang w:val="en-GB" w:eastAsia="fr-FR"/>
        </w:rPr>
        <w:t xml:space="preserve">nnovative initiatives </w:t>
      </w:r>
      <w:r w:rsidR="00F23024">
        <w:rPr>
          <w:lang w:val="en-GB" w:eastAsia="fr-FR"/>
        </w:rPr>
        <w:t>must be</w:t>
      </w:r>
      <w:r w:rsidR="00D109DE">
        <w:rPr>
          <w:lang w:val="en-GB" w:eastAsia="fr-FR"/>
        </w:rPr>
        <w:t xml:space="preserve"> </w:t>
      </w:r>
      <w:r w:rsidRPr="00156B9D">
        <w:rPr>
          <w:lang w:val="en-GB" w:eastAsia="fr-FR"/>
        </w:rPr>
        <w:t xml:space="preserve">developed to </w:t>
      </w:r>
      <w:r w:rsidR="00175DEE">
        <w:rPr>
          <w:lang w:val="en-GB" w:eastAsia="fr-FR"/>
        </w:rPr>
        <w:t xml:space="preserve">mobilize </w:t>
      </w:r>
      <w:r w:rsidRPr="00156B9D">
        <w:rPr>
          <w:lang w:val="en-GB" w:eastAsia="fr-FR"/>
        </w:rPr>
        <w:t>financ</w:t>
      </w:r>
      <w:r w:rsidR="00175DEE">
        <w:rPr>
          <w:lang w:val="en-GB" w:eastAsia="fr-FR"/>
        </w:rPr>
        <w:t>ing for</w:t>
      </w:r>
      <w:r w:rsidRPr="00156B9D">
        <w:rPr>
          <w:lang w:val="en-GB" w:eastAsia="fr-FR"/>
        </w:rPr>
        <w:t xml:space="preserve"> the S</w:t>
      </w:r>
      <w:r w:rsidR="00F81716">
        <w:rPr>
          <w:lang w:val="en-GB" w:eastAsia="fr-FR"/>
        </w:rPr>
        <w:t xml:space="preserve">ustainable </w:t>
      </w:r>
      <w:r w:rsidRPr="00156B9D">
        <w:rPr>
          <w:lang w:val="en-GB" w:eastAsia="fr-FR"/>
        </w:rPr>
        <w:t>D</w:t>
      </w:r>
      <w:r w:rsidR="00F81716">
        <w:rPr>
          <w:lang w:val="en-GB" w:eastAsia="fr-FR"/>
        </w:rPr>
        <w:t xml:space="preserve">evelopment </w:t>
      </w:r>
      <w:r w:rsidRPr="00156B9D">
        <w:rPr>
          <w:lang w:val="en-GB" w:eastAsia="fr-FR"/>
        </w:rPr>
        <w:t>G</w:t>
      </w:r>
      <w:r w:rsidR="00F81716">
        <w:rPr>
          <w:lang w:val="en-GB" w:eastAsia="fr-FR"/>
        </w:rPr>
        <w:t>oal</w:t>
      </w:r>
      <w:r w:rsidRPr="00156B9D">
        <w:rPr>
          <w:lang w:val="en-GB" w:eastAsia="fr-FR"/>
        </w:rPr>
        <w:t>s. Overall, t</w:t>
      </w:r>
      <w:r w:rsidRPr="00156B9D">
        <w:rPr>
          <w:lang w:val="en-GB"/>
        </w:rPr>
        <w:t>he</w:t>
      </w:r>
      <w:r w:rsidRPr="00156B9D">
        <w:rPr>
          <w:lang w:val="en-GB" w:eastAsia="fr-FR"/>
        </w:rPr>
        <w:t xml:space="preserve"> country program</w:t>
      </w:r>
      <w:r w:rsidR="00ED6DC4">
        <w:rPr>
          <w:lang w:val="en-GB" w:eastAsia="fr-FR"/>
        </w:rPr>
        <w:t>me</w:t>
      </w:r>
      <w:r w:rsidRPr="00156B9D">
        <w:rPr>
          <w:lang w:val="en-GB" w:eastAsia="fr-FR"/>
        </w:rPr>
        <w:t xml:space="preserve">'s vision is to help Guinean citizens sustainably transform their development model and eliminate political, economic and social </w:t>
      </w:r>
      <w:r w:rsidR="00362DDA" w:rsidRPr="00156B9D">
        <w:rPr>
          <w:lang w:val="en-GB" w:eastAsia="fr-FR"/>
        </w:rPr>
        <w:t>inequalit</w:t>
      </w:r>
      <w:r w:rsidR="007219FA">
        <w:rPr>
          <w:lang w:val="en-GB" w:eastAsia="fr-FR"/>
        </w:rPr>
        <w:t>ies</w:t>
      </w:r>
      <w:r w:rsidRPr="00156B9D">
        <w:rPr>
          <w:lang w:val="en-GB" w:eastAsia="fr-FR"/>
        </w:rPr>
        <w:t>.</w:t>
      </w:r>
      <w:bookmarkEnd w:id="2"/>
    </w:p>
    <w:p w14:paraId="2876CD6D" w14:textId="6FD582C5" w:rsidR="005265CD" w:rsidRPr="00156B9D" w:rsidRDefault="005265CD" w:rsidP="005265CD">
      <w:pPr>
        <w:pStyle w:val="CPDTexte"/>
        <w:tabs>
          <w:tab w:val="clear" w:pos="1560"/>
          <w:tab w:val="left" w:pos="1418"/>
        </w:tabs>
        <w:ind w:left="993" w:right="713"/>
        <w:rPr>
          <w:lang w:val="en-GB"/>
        </w:rPr>
      </w:pPr>
      <w:r w:rsidRPr="00156B9D">
        <w:rPr>
          <w:lang w:val="en-GB"/>
        </w:rPr>
        <w:lastRenderedPageBreak/>
        <w:t xml:space="preserve">Resulting from in-depth consultations with the Government and national partners, anchored </w:t>
      </w:r>
      <w:r w:rsidR="005B7044">
        <w:rPr>
          <w:lang w:val="en-GB"/>
        </w:rPr>
        <w:t>i</w:t>
      </w:r>
      <w:r w:rsidR="005B7044" w:rsidRPr="00156B9D">
        <w:rPr>
          <w:lang w:val="en-GB"/>
        </w:rPr>
        <w:t xml:space="preserve">n </w:t>
      </w:r>
      <w:r w:rsidR="000A53BE">
        <w:rPr>
          <w:lang w:val="en-GB"/>
        </w:rPr>
        <w:t xml:space="preserve">the </w:t>
      </w:r>
      <w:r w:rsidR="000A53BE" w:rsidRPr="00156B9D">
        <w:rPr>
          <w:lang w:val="en-GB"/>
        </w:rPr>
        <w:t xml:space="preserve">2030 </w:t>
      </w:r>
      <w:r w:rsidRPr="00156B9D">
        <w:rPr>
          <w:lang w:val="en-GB"/>
        </w:rPr>
        <w:t xml:space="preserve">Agenda for Sustainable Development and guided by the UNDP Strategic Plan (2022-2025) and the UNDP </w:t>
      </w:r>
      <w:r w:rsidR="00EC5A6C">
        <w:rPr>
          <w:lang w:val="en-GB"/>
        </w:rPr>
        <w:t>s</w:t>
      </w:r>
      <w:r w:rsidR="00EC5A6C" w:rsidRPr="00156B9D">
        <w:rPr>
          <w:lang w:val="en-GB"/>
        </w:rPr>
        <w:t xml:space="preserve">trategic </w:t>
      </w:r>
      <w:r w:rsidR="00EC5A6C">
        <w:rPr>
          <w:lang w:val="en-GB"/>
        </w:rPr>
        <w:t>o</w:t>
      </w:r>
      <w:r w:rsidR="00EC5A6C" w:rsidRPr="00156B9D">
        <w:rPr>
          <w:lang w:val="en-GB"/>
        </w:rPr>
        <w:t xml:space="preserve">ffer </w:t>
      </w:r>
      <w:r w:rsidRPr="00156B9D">
        <w:rPr>
          <w:lang w:val="en-GB"/>
        </w:rPr>
        <w:t xml:space="preserve">for Africa, the programme will </w:t>
      </w:r>
      <w:r w:rsidR="005B7044">
        <w:rPr>
          <w:lang w:val="en-GB"/>
        </w:rPr>
        <w:t>help</w:t>
      </w:r>
      <w:r w:rsidR="005B7044" w:rsidRPr="00156B9D">
        <w:rPr>
          <w:lang w:val="en-GB"/>
        </w:rPr>
        <w:t xml:space="preserve"> </w:t>
      </w:r>
      <w:r w:rsidRPr="00156B9D">
        <w:rPr>
          <w:lang w:val="en-GB"/>
        </w:rPr>
        <w:t xml:space="preserve">Guinea overcome its structural challenges as it strives to become democratic, peaceful and prosperous. Capitalizing on its achievements and drawing on its experience and expertise, UNDP will support the United Nations </w:t>
      </w:r>
      <w:r w:rsidR="00D04604">
        <w:rPr>
          <w:lang w:val="en-GB"/>
        </w:rPr>
        <w:t>d</w:t>
      </w:r>
      <w:r w:rsidR="00D04604" w:rsidRPr="00156B9D">
        <w:rPr>
          <w:lang w:val="en-GB"/>
        </w:rPr>
        <w:t xml:space="preserve">evelopment </w:t>
      </w:r>
      <w:r w:rsidR="00D04604">
        <w:rPr>
          <w:lang w:val="en-GB"/>
        </w:rPr>
        <w:t>s</w:t>
      </w:r>
      <w:r w:rsidR="00D04604" w:rsidRPr="00156B9D">
        <w:rPr>
          <w:lang w:val="en-GB"/>
        </w:rPr>
        <w:t xml:space="preserve">ystem </w:t>
      </w:r>
      <w:r w:rsidRPr="00156B9D">
        <w:rPr>
          <w:lang w:val="en-GB"/>
        </w:rPr>
        <w:t xml:space="preserve">in achieving two of the three </w:t>
      </w:r>
      <w:r w:rsidR="00DA1402" w:rsidRPr="00156B9D">
        <w:rPr>
          <w:lang w:val="en-GB"/>
        </w:rPr>
        <w:t xml:space="preserve">UNSDCF </w:t>
      </w:r>
      <w:r w:rsidRPr="00156B9D">
        <w:rPr>
          <w:lang w:val="en-GB"/>
        </w:rPr>
        <w:t>strategic priorities: promot</w:t>
      </w:r>
      <w:r w:rsidR="00D636FD">
        <w:rPr>
          <w:lang w:val="en-GB"/>
        </w:rPr>
        <w:t>ing</w:t>
      </w:r>
      <w:r w:rsidRPr="00156B9D">
        <w:rPr>
          <w:lang w:val="en-GB"/>
        </w:rPr>
        <w:t xml:space="preserve"> sustainable and inclusive economic growth that creates wealth and decent jobs</w:t>
      </w:r>
      <w:r w:rsidR="005B7044">
        <w:rPr>
          <w:lang w:val="en-GB"/>
        </w:rPr>
        <w:t>,</w:t>
      </w:r>
      <w:r w:rsidRPr="00156B9D">
        <w:rPr>
          <w:lang w:val="en-GB"/>
        </w:rPr>
        <w:t xml:space="preserve"> </w:t>
      </w:r>
      <w:r w:rsidR="005B7044" w:rsidRPr="00156B9D">
        <w:rPr>
          <w:lang w:val="en-GB"/>
        </w:rPr>
        <w:t>significantly reduc</w:t>
      </w:r>
      <w:r w:rsidR="005B7044">
        <w:rPr>
          <w:lang w:val="en-GB"/>
        </w:rPr>
        <w:t>ing</w:t>
      </w:r>
      <w:r w:rsidRPr="00156B9D">
        <w:rPr>
          <w:lang w:val="en-GB"/>
        </w:rPr>
        <w:t xml:space="preserve"> poverty and social and spatial inequalit</w:t>
      </w:r>
      <w:r w:rsidR="00271C29">
        <w:rPr>
          <w:lang w:val="en-GB"/>
        </w:rPr>
        <w:t>ies</w:t>
      </w:r>
      <w:r w:rsidRPr="00156B9D">
        <w:rPr>
          <w:lang w:val="en-GB"/>
        </w:rPr>
        <w:t xml:space="preserve"> (Outcome 2); and </w:t>
      </w:r>
      <w:r w:rsidR="00D636FD">
        <w:rPr>
          <w:lang w:val="en-GB"/>
        </w:rPr>
        <w:t>fostering</w:t>
      </w:r>
      <w:r w:rsidR="00D636FD" w:rsidRPr="00156B9D">
        <w:rPr>
          <w:lang w:val="en-GB"/>
        </w:rPr>
        <w:t xml:space="preserve"> </w:t>
      </w:r>
      <w:r w:rsidRPr="00156B9D">
        <w:rPr>
          <w:lang w:val="en-GB"/>
        </w:rPr>
        <w:t xml:space="preserve">stronger, stable, credible and legitimate national and local institutions that </w:t>
      </w:r>
      <w:r w:rsidR="005B7044">
        <w:rPr>
          <w:lang w:val="en-GB"/>
        </w:rPr>
        <w:t>meet</w:t>
      </w:r>
      <w:r w:rsidRPr="00156B9D">
        <w:rPr>
          <w:lang w:val="en-GB"/>
        </w:rPr>
        <w:t xml:space="preserve"> the population</w:t>
      </w:r>
      <w:r w:rsidR="005B7044">
        <w:rPr>
          <w:lang w:val="en-GB"/>
        </w:rPr>
        <w:t>’</w:t>
      </w:r>
      <w:r w:rsidRPr="00156B9D">
        <w:rPr>
          <w:lang w:val="en-GB"/>
        </w:rPr>
        <w:t>s aspirations (Outcome 3).</w:t>
      </w:r>
    </w:p>
    <w:p w14:paraId="67EB69B2" w14:textId="7973A071" w:rsidR="005265CD" w:rsidRPr="00156B9D" w:rsidRDefault="005265CD" w:rsidP="005265CD">
      <w:pPr>
        <w:pStyle w:val="CPDTexte"/>
        <w:tabs>
          <w:tab w:val="clear" w:pos="1560"/>
          <w:tab w:val="left" w:pos="1418"/>
        </w:tabs>
        <w:ind w:left="993" w:right="713"/>
        <w:rPr>
          <w:lang w:val="en-GB"/>
        </w:rPr>
      </w:pPr>
      <w:r w:rsidRPr="00156B9D">
        <w:rPr>
          <w:lang w:val="en-GB"/>
        </w:rPr>
        <w:t xml:space="preserve">As one of the main development </w:t>
      </w:r>
      <w:r w:rsidR="00AA5E97">
        <w:rPr>
          <w:lang w:val="en-GB"/>
        </w:rPr>
        <w:t>organizations</w:t>
      </w:r>
      <w:r w:rsidR="00AA5E97" w:rsidRPr="00156B9D">
        <w:rPr>
          <w:lang w:val="en-GB"/>
        </w:rPr>
        <w:t xml:space="preserve"> </w:t>
      </w:r>
      <w:r w:rsidRPr="00156B9D">
        <w:rPr>
          <w:lang w:val="en-GB"/>
        </w:rPr>
        <w:t>supporting UNSDCF</w:t>
      </w:r>
      <w:r w:rsidR="00AC5666" w:rsidRPr="00AC5666">
        <w:rPr>
          <w:lang w:val="en-GB"/>
        </w:rPr>
        <w:t xml:space="preserve"> </w:t>
      </w:r>
      <w:r w:rsidR="00AC5666" w:rsidRPr="00156B9D">
        <w:rPr>
          <w:lang w:val="en-GB"/>
        </w:rPr>
        <w:t>implementation</w:t>
      </w:r>
      <w:r w:rsidRPr="00156B9D">
        <w:rPr>
          <w:lang w:val="en-GB"/>
        </w:rPr>
        <w:t xml:space="preserve">, UNDP will capitalize on its comparative advantage as an integrator and apply the six signature solutions and the three enablers of the Strategic Plan in integrated ways. </w:t>
      </w:r>
      <w:r w:rsidR="00CE54D7">
        <w:rPr>
          <w:lang w:val="en-GB"/>
        </w:rPr>
        <w:t>T</w:t>
      </w:r>
      <w:r w:rsidR="00CE54D7" w:rsidRPr="00156B9D">
        <w:rPr>
          <w:lang w:val="en-GB"/>
        </w:rPr>
        <w:t>hrough its guidance and technical expertise</w:t>
      </w:r>
      <w:r w:rsidR="00CE54D7">
        <w:rPr>
          <w:lang w:val="en-GB"/>
        </w:rPr>
        <w:t>,</w:t>
      </w:r>
      <w:r w:rsidR="00CE54D7" w:rsidRPr="00156B9D">
        <w:rPr>
          <w:lang w:val="en-GB"/>
        </w:rPr>
        <w:t xml:space="preserve"> </w:t>
      </w:r>
      <w:r w:rsidRPr="00156B9D">
        <w:rPr>
          <w:lang w:val="en-GB"/>
        </w:rPr>
        <w:t xml:space="preserve">UNDP will contribute to these priorities </w:t>
      </w:r>
      <w:r w:rsidR="00CE54D7">
        <w:rPr>
          <w:lang w:val="en-GB"/>
        </w:rPr>
        <w:t>and</w:t>
      </w:r>
      <w:r w:rsidRPr="00156B9D">
        <w:rPr>
          <w:lang w:val="en-GB"/>
        </w:rPr>
        <w:t xml:space="preserve"> promot</w:t>
      </w:r>
      <w:r w:rsidR="00AA5E97">
        <w:rPr>
          <w:lang w:val="en-GB"/>
        </w:rPr>
        <w:t>e</w:t>
      </w:r>
      <w:r w:rsidRPr="00156B9D">
        <w:rPr>
          <w:lang w:val="en-GB"/>
        </w:rPr>
        <w:t xml:space="preserve"> an approach centred on people and human rights.</w:t>
      </w:r>
    </w:p>
    <w:p w14:paraId="49D7E87F" w14:textId="2E987197" w:rsidR="005265CD" w:rsidRPr="00156B9D" w:rsidRDefault="005265CD" w:rsidP="005265CD">
      <w:pPr>
        <w:pStyle w:val="CPDTexte"/>
        <w:tabs>
          <w:tab w:val="clear" w:pos="1560"/>
          <w:tab w:val="left" w:pos="1418"/>
        </w:tabs>
        <w:ind w:left="993" w:right="713"/>
        <w:rPr>
          <w:lang w:val="en-GB"/>
        </w:rPr>
      </w:pPr>
      <w:r w:rsidRPr="00156B9D">
        <w:rPr>
          <w:lang w:val="en-GB"/>
        </w:rPr>
        <w:t xml:space="preserve">UNDP interventions will </w:t>
      </w:r>
      <w:r w:rsidR="00CE54D7">
        <w:rPr>
          <w:lang w:val="en-GB"/>
        </w:rPr>
        <w:t>seek</w:t>
      </w:r>
      <w:r w:rsidR="00CE54D7" w:rsidRPr="00156B9D">
        <w:rPr>
          <w:lang w:val="en-GB"/>
        </w:rPr>
        <w:t xml:space="preserve"> </w:t>
      </w:r>
      <w:r w:rsidRPr="00156B9D">
        <w:rPr>
          <w:lang w:val="en-GB"/>
        </w:rPr>
        <w:t>to strengthen structural and economic transformation</w:t>
      </w:r>
      <w:r w:rsidR="00A95391">
        <w:rPr>
          <w:lang w:val="en-GB"/>
        </w:rPr>
        <w:t xml:space="preserve"> </w:t>
      </w:r>
      <w:r w:rsidR="00A95391" w:rsidRPr="00156B9D">
        <w:rPr>
          <w:lang w:val="en-GB"/>
        </w:rPr>
        <w:t>and</w:t>
      </w:r>
      <w:r w:rsidRPr="00156B9D">
        <w:rPr>
          <w:lang w:val="en-GB"/>
        </w:rPr>
        <w:t xml:space="preserve"> accelerate innovation </w:t>
      </w:r>
      <w:r w:rsidR="00A95391">
        <w:rPr>
          <w:lang w:val="en-GB"/>
        </w:rPr>
        <w:t>and</w:t>
      </w:r>
      <w:r w:rsidR="00CE54D7">
        <w:rPr>
          <w:lang w:val="en-GB"/>
        </w:rPr>
        <w:t xml:space="preserve"> </w:t>
      </w:r>
      <w:r w:rsidR="002A447A" w:rsidRPr="00156B9D">
        <w:rPr>
          <w:lang w:val="en-GB"/>
        </w:rPr>
        <w:t xml:space="preserve">financing </w:t>
      </w:r>
      <w:r w:rsidR="002A447A">
        <w:rPr>
          <w:lang w:val="en-GB"/>
        </w:rPr>
        <w:t xml:space="preserve">for </w:t>
      </w:r>
      <w:r w:rsidR="00A95391" w:rsidRPr="00156B9D">
        <w:rPr>
          <w:lang w:val="en-GB"/>
        </w:rPr>
        <w:t>development</w:t>
      </w:r>
      <w:r w:rsidRPr="00156B9D">
        <w:rPr>
          <w:lang w:val="en-GB"/>
        </w:rPr>
        <w:t xml:space="preserve">. Inclusive participation of all population groups will be </w:t>
      </w:r>
      <w:r w:rsidR="00CE54D7">
        <w:rPr>
          <w:lang w:val="en-GB"/>
        </w:rPr>
        <w:t>improved</w:t>
      </w:r>
      <w:r w:rsidR="00CE54D7" w:rsidRPr="00156B9D">
        <w:rPr>
          <w:lang w:val="en-GB"/>
        </w:rPr>
        <w:t xml:space="preserve"> </w:t>
      </w:r>
      <w:r w:rsidR="000674EE">
        <w:rPr>
          <w:lang w:val="en-GB"/>
        </w:rPr>
        <w:t>to leave</w:t>
      </w:r>
      <w:r w:rsidRPr="00156B9D">
        <w:rPr>
          <w:lang w:val="en-GB"/>
        </w:rPr>
        <w:t xml:space="preserve"> no one behind. </w:t>
      </w:r>
      <w:r w:rsidR="00CE54D7">
        <w:rPr>
          <w:lang w:val="en-GB"/>
        </w:rPr>
        <w:t>T</w:t>
      </w:r>
      <w:r w:rsidRPr="00156B9D">
        <w:rPr>
          <w:lang w:val="en-GB"/>
        </w:rPr>
        <w:t xml:space="preserve">he programme will </w:t>
      </w:r>
      <w:r w:rsidR="003A7334">
        <w:rPr>
          <w:lang w:val="en-GB"/>
        </w:rPr>
        <w:t>collaborate with</w:t>
      </w:r>
      <w:r w:rsidR="00772F44">
        <w:rPr>
          <w:lang w:val="en-GB"/>
        </w:rPr>
        <w:t xml:space="preserve"> the</w:t>
      </w:r>
      <w:r w:rsidR="002A447A">
        <w:rPr>
          <w:lang w:val="en-GB"/>
        </w:rPr>
        <w:t xml:space="preserve"> </w:t>
      </w:r>
      <w:r w:rsidR="002A447A" w:rsidRPr="00156B9D">
        <w:rPr>
          <w:lang w:val="en-GB"/>
        </w:rPr>
        <w:t xml:space="preserve">United Nations </w:t>
      </w:r>
      <w:r w:rsidR="002A447A">
        <w:rPr>
          <w:lang w:val="en-GB"/>
        </w:rPr>
        <w:t>v</w:t>
      </w:r>
      <w:r w:rsidR="002A447A" w:rsidRPr="00156B9D">
        <w:rPr>
          <w:lang w:val="en-GB"/>
        </w:rPr>
        <w:t>olunteers</w:t>
      </w:r>
      <w:r w:rsidRPr="00156B9D">
        <w:rPr>
          <w:lang w:val="en-GB"/>
        </w:rPr>
        <w:t xml:space="preserve"> to support the implementation of projects and programmes. </w:t>
      </w:r>
    </w:p>
    <w:p w14:paraId="2878F4AA" w14:textId="77777777" w:rsidR="005265CD" w:rsidRPr="00156B9D" w:rsidRDefault="005265CD" w:rsidP="005265CD">
      <w:pPr>
        <w:pStyle w:val="CPDTexte"/>
        <w:numPr>
          <w:ilvl w:val="0"/>
          <w:numId w:val="0"/>
        </w:numPr>
        <w:ind w:left="993"/>
        <w:rPr>
          <w:b/>
          <w:bCs/>
          <w:lang w:val="en-GB"/>
        </w:rPr>
      </w:pPr>
      <w:r w:rsidRPr="00156B9D">
        <w:rPr>
          <w:b/>
          <w:bCs/>
          <w:lang w:val="en-GB"/>
        </w:rPr>
        <w:t>Inclusive governance, social cohesion, rule of law and security</w:t>
      </w:r>
    </w:p>
    <w:p w14:paraId="6601AFB9" w14:textId="53F9563E" w:rsidR="005265CD" w:rsidRPr="00156B9D" w:rsidRDefault="005265CD" w:rsidP="005265CD">
      <w:pPr>
        <w:pStyle w:val="CPDTexte"/>
        <w:tabs>
          <w:tab w:val="clear" w:pos="1560"/>
          <w:tab w:val="left" w:pos="1418"/>
        </w:tabs>
        <w:ind w:left="993" w:right="713"/>
        <w:rPr>
          <w:lang w:val="en-GB"/>
        </w:rPr>
      </w:pPr>
      <w:r w:rsidRPr="00156B9D">
        <w:rPr>
          <w:lang w:val="en-GB"/>
        </w:rPr>
        <w:t>Under UNSDCF Outcome 3, UNDP will focus on building strong and inclusive institutions, promoting transparent and credible democratic governance</w:t>
      </w:r>
      <w:r w:rsidR="00A23314">
        <w:rPr>
          <w:lang w:val="en-GB"/>
        </w:rPr>
        <w:t>,</w:t>
      </w:r>
      <w:r w:rsidR="00A23314" w:rsidRPr="00156B9D">
        <w:rPr>
          <w:lang w:val="en-GB"/>
        </w:rPr>
        <w:t xml:space="preserve"> </w:t>
      </w:r>
      <w:r w:rsidR="00A23314">
        <w:rPr>
          <w:lang w:val="en-GB"/>
        </w:rPr>
        <w:t>fostering</w:t>
      </w:r>
      <w:r w:rsidR="00A23314" w:rsidRPr="00156B9D">
        <w:rPr>
          <w:lang w:val="en-GB"/>
        </w:rPr>
        <w:t xml:space="preserve"> </w:t>
      </w:r>
      <w:r w:rsidRPr="00156B9D">
        <w:rPr>
          <w:lang w:val="en-GB"/>
        </w:rPr>
        <w:t>equal access to rights and quality justice for all</w:t>
      </w:r>
      <w:r w:rsidR="00A23314">
        <w:rPr>
          <w:lang w:val="en-GB"/>
        </w:rPr>
        <w:t>,</w:t>
      </w:r>
      <w:r w:rsidRPr="00156B9D">
        <w:rPr>
          <w:lang w:val="en-GB"/>
        </w:rPr>
        <w:t xml:space="preserve"> reinforcing inclusive dialogue and social cohesion</w:t>
      </w:r>
      <w:r w:rsidR="000674EE">
        <w:rPr>
          <w:lang w:val="en-GB"/>
        </w:rPr>
        <w:t>,</w:t>
      </w:r>
      <w:r w:rsidRPr="00156B9D">
        <w:rPr>
          <w:lang w:val="en-GB"/>
        </w:rPr>
        <w:t xml:space="preserve"> improving security </w:t>
      </w:r>
      <w:r w:rsidR="000674EE" w:rsidRPr="00156B9D">
        <w:rPr>
          <w:lang w:val="en-GB"/>
        </w:rPr>
        <w:t xml:space="preserve">and </w:t>
      </w:r>
      <w:r w:rsidRPr="00156B9D">
        <w:rPr>
          <w:lang w:val="en-GB"/>
        </w:rPr>
        <w:t>increas</w:t>
      </w:r>
      <w:r w:rsidR="00A23314">
        <w:rPr>
          <w:lang w:val="en-GB"/>
        </w:rPr>
        <w:t>ing</w:t>
      </w:r>
      <w:r w:rsidRPr="00156B9D">
        <w:rPr>
          <w:lang w:val="en-GB"/>
        </w:rPr>
        <w:t xml:space="preserve"> </w:t>
      </w:r>
      <w:r w:rsidRPr="00F563F5">
        <w:rPr>
          <w:lang w:val="en-GB"/>
        </w:rPr>
        <w:t>protected access to emerging technologies for the protection of people and property</w:t>
      </w:r>
      <w:r w:rsidRPr="00156B9D">
        <w:rPr>
          <w:lang w:val="en-GB"/>
        </w:rPr>
        <w:t xml:space="preserve">. </w:t>
      </w:r>
      <w:r w:rsidR="00A23314" w:rsidRPr="00156B9D">
        <w:rPr>
          <w:lang w:val="en-GB"/>
        </w:rPr>
        <w:t>A</w:t>
      </w:r>
      <w:r w:rsidRPr="00156B9D">
        <w:rPr>
          <w:lang w:val="en-GB"/>
        </w:rPr>
        <w:t xml:space="preserve">s a </w:t>
      </w:r>
      <w:r w:rsidR="00A23314">
        <w:rPr>
          <w:lang w:val="en-GB"/>
        </w:rPr>
        <w:t>special</w:t>
      </w:r>
      <w:r w:rsidR="00A23314" w:rsidRPr="00156B9D">
        <w:rPr>
          <w:lang w:val="en-GB"/>
        </w:rPr>
        <w:t xml:space="preserve"> </w:t>
      </w:r>
      <w:r w:rsidRPr="00156B9D">
        <w:rPr>
          <w:lang w:val="en-GB"/>
        </w:rPr>
        <w:t xml:space="preserve">partner in supporting the democratic process, </w:t>
      </w:r>
      <w:r w:rsidR="00A23314" w:rsidRPr="00156B9D">
        <w:rPr>
          <w:lang w:val="en-GB"/>
        </w:rPr>
        <w:t xml:space="preserve">UNDP </w:t>
      </w:r>
      <w:r w:rsidRPr="00156B9D">
        <w:rPr>
          <w:lang w:val="en-GB"/>
        </w:rPr>
        <w:t xml:space="preserve">will support the rollout of the new constitution, the development of new institutions and the inclusive participation of women, youth and people with disabilities. This includes providing technical, financial and operational assistance for civic and voter education, </w:t>
      </w:r>
      <w:r w:rsidR="00A23314" w:rsidRPr="00156B9D">
        <w:rPr>
          <w:lang w:val="en-GB"/>
        </w:rPr>
        <w:t>advoca</w:t>
      </w:r>
      <w:r w:rsidR="00A23314">
        <w:rPr>
          <w:lang w:val="en-GB"/>
        </w:rPr>
        <w:t>ting</w:t>
      </w:r>
      <w:r w:rsidR="00A23314" w:rsidRPr="00156B9D">
        <w:rPr>
          <w:lang w:val="en-GB"/>
        </w:rPr>
        <w:t xml:space="preserve"> </w:t>
      </w:r>
      <w:r w:rsidRPr="00156B9D">
        <w:rPr>
          <w:lang w:val="en-GB"/>
        </w:rPr>
        <w:t>for more women in leadership positions and political representation</w:t>
      </w:r>
      <w:r w:rsidR="00835C6F">
        <w:rPr>
          <w:lang w:val="en-GB"/>
        </w:rPr>
        <w:t>,</w:t>
      </w:r>
      <w:r w:rsidRPr="00156B9D">
        <w:rPr>
          <w:lang w:val="en-GB"/>
        </w:rPr>
        <w:t xml:space="preserve"> supporting legal reforms, policies</w:t>
      </w:r>
      <w:r w:rsidR="00835C6F" w:rsidRPr="00835C6F">
        <w:rPr>
          <w:lang w:val="en-GB"/>
        </w:rPr>
        <w:t xml:space="preserve"> </w:t>
      </w:r>
      <w:r w:rsidR="00835C6F" w:rsidRPr="00156B9D">
        <w:rPr>
          <w:lang w:val="en-GB"/>
        </w:rPr>
        <w:t>and</w:t>
      </w:r>
      <w:r w:rsidRPr="00156B9D">
        <w:rPr>
          <w:lang w:val="en-GB"/>
        </w:rPr>
        <w:t xml:space="preserve"> strategies </w:t>
      </w:r>
      <w:r w:rsidR="00835C6F">
        <w:rPr>
          <w:lang w:val="en-GB"/>
        </w:rPr>
        <w:t>and</w:t>
      </w:r>
      <w:r w:rsidRPr="00156B9D">
        <w:rPr>
          <w:lang w:val="en-GB"/>
        </w:rPr>
        <w:t xml:space="preserve"> design</w:t>
      </w:r>
      <w:r w:rsidR="00835C6F">
        <w:rPr>
          <w:lang w:val="en-GB"/>
        </w:rPr>
        <w:t>ing</w:t>
      </w:r>
      <w:r w:rsidRPr="00156B9D">
        <w:rPr>
          <w:lang w:val="en-GB"/>
        </w:rPr>
        <w:t xml:space="preserve"> and implement</w:t>
      </w:r>
      <w:r w:rsidR="00835C6F">
        <w:rPr>
          <w:lang w:val="en-GB"/>
        </w:rPr>
        <w:t>ing</w:t>
      </w:r>
      <w:r w:rsidRPr="00156B9D">
        <w:rPr>
          <w:lang w:val="en-GB"/>
        </w:rPr>
        <w:t xml:space="preserve"> women and youth empowerment interventions. </w:t>
      </w:r>
    </w:p>
    <w:p w14:paraId="3E03568C" w14:textId="276C3DD0" w:rsidR="005265CD" w:rsidRPr="00156B9D" w:rsidRDefault="005265CD" w:rsidP="005265CD">
      <w:pPr>
        <w:pStyle w:val="CPDTexte"/>
        <w:tabs>
          <w:tab w:val="clear" w:pos="1560"/>
          <w:tab w:val="left" w:pos="1418"/>
        </w:tabs>
        <w:ind w:left="993" w:right="713"/>
        <w:rPr>
          <w:lang w:val="en-GB"/>
        </w:rPr>
      </w:pPr>
      <w:r w:rsidRPr="00156B9D">
        <w:rPr>
          <w:lang w:val="en-GB"/>
        </w:rPr>
        <w:t>UNDP will develop partnerships with a broad range of stakeholders</w:t>
      </w:r>
      <w:r w:rsidR="00A23314">
        <w:rPr>
          <w:lang w:val="en-GB"/>
        </w:rPr>
        <w:t>,</w:t>
      </w:r>
      <w:r w:rsidRPr="00156B9D">
        <w:rPr>
          <w:lang w:val="en-GB"/>
        </w:rPr>
        <w:t xml:space="preserve"> from the </w:t>
      </w:r>
      <w:r w:rsidR="005E6394">
        <w:rPr>
          <w:lang w:val="en-GB"/>
        </w:rPr>
        <w:t>m</w:t>
      </w:r>
      <w:r w:rsidR="005E6394" w:rsidRPr="00156B9D">
        <w:rPr>
          <w:lang w:val="en-GB"/>
        </w:rPr>
        <w:t xml:space="preserve">inistries </w:t>
      </w:r>
      <w:r w:rsidR="009031E9">
        <w:rPr>
          <w:lang w:val="en-GB"/>
        </w:rPr>
        <w:t xml:space="preserve">in charge </w:t>
      </w:r>
      <w:r w:rsidR="005E6394">
        <w:rPr>
          <w:lang w:val="en-GB"/>
        </w:rPr>
        <w:t>of</w:t>
      </w:r>
      <w:r w:rsidR="00A23314" w:rsidRPr="00156B9D">
        <w:rPr>
          <w:lang w:val="en-GB"/>
        </w:rPr>
        <w:t xml:space="preserve"> </w:t>
      </w:r>
      <w:r w:rsidR="005E6394">
        <w:rPr>
          <w:lang w:val="en-GB"/>
        </w:rPr>
        <w:t>j</w:t>
      </w:r>
      <w:r w:rsidR="00A23314" w:rsidRPr="00156B9D">
        <w:rPr>
          <w:lang w:val="en-GB"/>
        </w:rPr>
        <w:t>ustice</w:t>
      </w:r>
      <w:r w:rsidRPr="00156B9D">
        <w:rPr>
          <w:lang w:val="en-GB"/>
        </w:rPr>
        <w:t>, security, administration, decentralization and foreign affairs to fellow U</w:t>
      </w:r>
      <w:r w:rsidR="00A23314">
        <w:rPr>
          <w:lang w:val="en-GB"/>
        </w:rPr>
        <w:t xml:space="preserve">nited </w:t>
      </w:r>
      <w:r w:rsidRPr="00156B9D">
        <w:rPr>
          <w:lang w:val="en-GB"/>
        </w:rPr>
        <w:t>N</w:t>
      </w:r>
      <w:r w:rsidR="00A23314">
        <w:rPr>
          <w:lang w:val="en-GB"/>
        </w:rPr>
        <w:t>ations</w:t>
      </w:r>
      <w:r w:rsidRPr="00156B9D">
        <w:rPr>
          <w:lang w:val="en-GB"/>
        </w:rPr>
        <w:t xml:space="preserve"> </w:t>
      </w:r>
      <w:r w:rsidR="00E53D81">
        <w:rPr>
          <w:lang w:val="en-GB"/>
        </w:rPr>
        <w:t>organizations</w:t>
      </w:r>
      <w:r w:rsidRPr="00156B9D">
        <w:rPr>
          <w:lang w:val="en-GB"/>
        </w:rPr>
        <w:t>, the Peace</w:t>
      </w:r>
      <w:r w:rsidR="00A76088">
        <w:rPr>
          <w:lang w:val="en-GB"/>
        </w:rPr>
        <w:t>b</w:t>
      </w:r>
      <w:r w:rsidRPr="00156B9D">
        <w:rPr>
          <w:lang w:val="en-GB"/>
        </w:rPr>
        <w:t xml:space="preserve">uilding Fund, the European Union, </w:t>
      </w:r>
      <w:r w:rsidR="00A23314">
        <w:rPr>
          <w:lang w:val="en-GB"/>
        </w:rPr>
        <w:t>c</w:t>
      </w:r>
      <w:r w:rsidR="00A23314" w:rsidRPr="00156B9D">
        <w:rPr>
          <w:lang w:val="en-GB"/>
        </w:rPr>
        <w:t xml:space="preserve">ivil </w:t>
      </w:r>
      <w:r w:rsidR="00A23314">
        <w:rPr>
          <w:lang w:val="en-GB"/>
        </w:rPr>
        <w:t>s</w:t>
      </w:r>
      <w:r w:rsidR="00A23314" w:rsidRPr="00156B9D">
        <w:rPr>
          <w:lang w:val="en-GB"/>
        </w:rPr>
        <w:t xml:space="preserve">ociety </w:t>
      </w:r>
      <w:r w:rsidR="00A23314">
        <w:rPr>
          <w:lang w:val="en-GB"/>
        </w:rPr>
        <w:t>o</w:t>
      </w:r>
      <w:r w:rsidR="00A23314" w:rsidRPr="00156B9D">
        <w:rPr>
          <w:lang w:val="en-GB"/>
        </w:rPr>
        <w:t>rganizations</w:t>
      </w:r>
      <w:r w:rsidRPr="00156B9D">
        <w:rPr>
          <w:lang w:val="en-GB"/>
        </w:rPr>
        <w:t xml:space="preserve"> and political parties</w:t>
      </w:r>
      <w:r w:rsidR="005E6394">
        <w:rPr>
          <w:lang w:val="en-GB"/>
        </w:rPr>
        <w:t>,</w:t>
      </w:r>
      <w:r w:rsidRPr="00156B9D">
        <w:rPr>
          <w:lang w:val="en-GB"/>
        </w:rPr>
        <w:t xml:space="preserve"> to strengthen democratic processes and systems</w:t>
      </w:r>
      <w:r w:rsidR="00A23314">
        <w:rPr>
          <w:lang w:val="en-GB"/>
        </w:rPr>
        <w:t>,</w:t>
      </w:r>
      <w:r w:rsidRPr="00156B9D">
        <w:rPr>
          <w:lang w:val="en-GB"/>
        </w:rPr>
        <w:t xml:space="preserve"> including by building the capacities of electoral bodies, </w:t>
      </w:r>
      <w:r w:rsidR="00A23314">
        <w:rPr>
          <w:lang w:val="en-GB"/>
        </w:rPr>
        <w:t xml:space="preserve">improving </w:t>
      </w:r>
      <w:r w:rsidRPr="00156B9D">
        <w:rPr>
          <w:lang w:val="en-GB"/>
        </w:rPr>
        <w:t xml:space="preserve">voter education, </w:t>
      </w:r>
      <w:r w:rsidR="00A23314">
        <w:rPr>
          <w:lang w:val="en-GB"/>
        </w:rPr>
        <w:t xml:space="preserve">fostering </w:t>
      </w:r>
      <w:r w:rsidRPr="00156B9D">
        <w:rPr>
          <w:lang w:val="en-GB"/>
        </w:rPr>
        <w:t>political dialogue</w:t>
      </w:r>
      <w:r w:rsidR="00A23314">
        <w:rPr>
          <w:lang w:val="en-GB"/>
        </w:rPr>
        <w:t xml:space="preserve"> and</w:t>
      </w:r>
      <w:r w:rsidR="00A23314" w:rsidRPr="00156B9D">
        <w:rPr>
          <w:lang w:val="en-GB"/>
        </w:rPr>
        <w:t xml:space="preserve"> </w:t>
      </w:r>
      <w:r w:rsidRPr="00156B9D">
        <w:rPr>
          <w:lang w:val="en-GB"/>
        </w:rPr>
        <w:t>promoting citizen engagement.</w:t>
      </w:r>
    </w:p>
    <w:p w14:paraId="14E5FF66" w14:textId="71B81866" w:rsidR="005265CD" w:rsidRPr="00156B9D" w:rsidRDefault="001A6ACC" w:rsidP="005265CD">
      <w:pPr>
        <w:pStyle w:val="CPDTexte"/>
        <w:tabs>
          <w:tab w:val="clear" w:pos="1560"/>
          <w:tab w:val="left" w:pos="1418"/>
        </w:tabs>
        <w:ind w:left="993" w:right="713"/>
        <w:rPr>
          <w:lang w:val="en-GB"/>
        </w:rPr>
      </w:pPr>
      <w:r>
        <w:rPr>
          <w:lang w:val="en-GB"/>
        </w:rPr>
        <w:t>I</w:t>
      </w:r>
      <w:r w:rsidRPr="00156B9D">
        <w:rPr>
          <w:lang w:val="en-GB"/>
        </w:rPr>
        <w:t>n partnership with</w:t>
      </w:r>
      <w:r w:rsidR="00A42248">
        <w:rPr>
          <w:lang w:val="en-GB"/>
        </w:rPr>
        <w:t xml:space="preserve"> the Government of</w:t>
      </w:r>
      <w:r w:rsidRPr="00156B9D">
        <w:rPr>
          <w:lang w:val="en-GB"/>
        </w:rPr>
        <w:t xml:space="preserve"> Japan and the </w:t>
      </w:r>
      <w:r w:rsidRPr="00535800">
        <w:rPr>
          <w:lang w:val="en-GB"/>
        </w:rPr>
        <w:t>African Development Bank</w:t>
      </w:r>
      <w:r w:rsidR="00D77817">
        <w:rPr>
          <w:lang w:val="en-GB"/>
        </w:rPr>
        <w:t xml:space="preserve"> (AfDB)</w:t>
      </w:r>
      <w:r>
        <w:rPr>
          <w:lang w:val="en-GB"/>
        </w:rPr>
        <w:t xml:space="preserve">, </w:t>
      </w:r>
      <w:r w:rsidR="00356B58" w:rsidRPr="00156B9D">
        <w:rPr>
          <w:lang w:val="en-GB"/>
        </w:rPr>
        <w:t xml:space="preserve">UNDP will support the promotion of innovative digital solutions for </w:t>
      </w:r>
      <w:r w:rsidR="00356B58">
        <w:rPr>
          <w:lang w:val="en-GB"/>
        </w:rPr>
        <w:t>improved</w:t>
      </w:r>
      <w:r w:rsidR="00356B58" w:rsidRPr="00156B9D">
        <w:rPr>
          <w:lang w:val="en-GB"/>
        </w:rPr>
        <w:t xml:space="preserve"> delivery of public services</w:t>
      </w:r>
      <w:r w:rsidR="00356B58">
        <w:rPr>
          <w:lang w:val="en-GB"/>
        </w:rPr>
        <w:t>,</w:t>
      </w:r>
      <w:r w:rsidR="00356B58" w:rsidRPr="00156B9D">
        <w:rPr>
          <w:lang w:val="en-GB"/>
        </w:rPr>
        <w:t xml:space="preserve"> including assistance </w:t>
      </w:r>
      <w:r w:rsidR="00356B58">
        <w:rPr>
          <w:lang w:val="en-GB"/>
        </w:rPr>
        <w:t>with</w:t>
      </w:r>
      <w:r w:rsidR="00356B58" w:rsidRPr="00156B9D">
        <w:rPr>
          <w:lang w:val="en-GB"/>
        </w:rPr>
        <w:t xml:space="preserve"> the formulation of strategies and other reforms that enhance digital ecosystems for better accountability and transparency</w:t>
      </w:r>
      <w:r w:rsidR="005265CD" w:rsidRPr="00156B9D">
        <w:rPr>
          <w:lang w:val="en-GB"/>
        </w:rPr>
        <w:t xml:space="preserve">. </w:t>
      </w:r>
    </w:p>
    <w:p w14:paraId="0EC2EA55" w14:textId="002C635C" w:rsidR="005265CD" w:rsidRPr="00156B9D" w:rsidRDefault="00064089" w:rsidP="005265CD">
      <w:pPr>
        <w:pStyle w:val="CPDTexte"/>
        <w:tabs>
          <w:tab w:val="clear" w:pos="1560"/>
          <w:tab w:val="left" w:pos="1418"/>
        </w:tabs>
        <w:ind w:left="993" w:right="713"/>
        <w:rPr>
          <w:lang w:val="en-GB"/>
        </w:rPr>
      </w:pPr>
      <w:r>
        <w:rPr>
          <w:lang w:val="en-GB"/>
        </w:rPr>
        <w:t>W</w:t>
      </w:r>
      <w:r w:rsidR="005265CD" w:rsidRPr="00156B9D">
        <w:rPr>
          <w:lang w:val="en-GB"/>
        </w:rPr>
        <w:t>ith the AfDB and the Islamic Development Bank, UNDP will build the capacity of the national structures responsible for planning, implementing, monitoring</w:t>
      </w:r>
      <w:r w:rsidR="005C2F2F">
        <w:rPr>
          <w:lang w:val="en-GB"/>
        </w:rPr>
        <w:t>,</w:t>
      </w:r>
      <w:r w:rsidR="005265CD" w:rsidRPr="00156B9D">
        <w:rPr>
          <w:lang w:val="en-GB"/>
        </w:rPr>
        <w:t xml:space="preserve"> evaluatin</w:t>
      </w:r>
      <w:r w:rsidR="005C2F2F">
        <w:rPr>
          <w:lang w:val="en-GB"/>
        </w:rPr>
        <w:t>g</w:t>
      </w:r>
      <w:r w:rsidR="005C2F2F" w:rsidRPr="00156B9D">
        <w:rPr>
          <w:lang w:val="en-GB"/>
        </w:rPr>
        <w:t xml:space="preserve"> </w:t>
      </w:r>
      <w:r w:rsidR="005C2F2F">
        <w:rPr>
          <w:lang w:val="en-GB"/>
        </w:rPr>
        <w:t xml:space="preserve">and </w:t>
      </w:r>
      <w:r w:rsidR="005265CD" w:rsidRPr="00156B9D">
        <w:rPr>
          <w:lang w:val="en-GB"/>
        </w:rPr>
        <w:t>support</w:t>
      </w:r>
      <w:r w:rsidR="005C2F2F">
        <w:rPr>
          <w:lang w:val="en-GB"/>
        </w:rPr>
        <w:t>ing</w:t>
      </w:r>
      <w:r w:rsidR="005265CD" w:rsidRPr="00156B9D">
        <w:rPr>
          <w:lang w:val="en-GB"/>
        </w:rPr>
        <w:t xml:space="preserve"> the </w:t>
      </w:r>
      <w:r>
        <w:rPr>
          <w:lang w:val="en-GB"/>
        </w:rPr>
        <w:t>n</w:t>
      </w:r>
      <w:r w:rsidRPr="00156B9D">
        <w:rPr>
          <w:lang w:val="en-GB"/>
        </w:rPr>
        <w:t xml:space="preserve">ational </w:t>
      </w:r>
      <w:r>
        <w:rPr>
          <w:lang w:val="en-GB"/>
        </w:rPr>
        <w:t>f</w:t>
      </w:r>
      <w:r w:rsidRPr="00156B9D">
        <w:rPr>
          <w:lang w:val="en-GB"/>
        </w:rPr>
        <w:t xml:space="preserve">inancing </w:t>
      </w:r>
      <w:r>
        <w:rPr>
          <w:lang w:val="en-GB"/>
        </w:rPr>
        <w:t>s</w:t>
      </w:r>
      <w:r w:rsidRPr="00156B9D">
        <w:rPr>
          <w:lang w:val="en-GB"/>
        </w:rPr>
        <w:t xml:space="preserve">trategy </w:t>
      </w:r>
      <w:r w:rsidR="005265CD" w:rsidRPr="00156B9D">
        <w:rPr>
          <w:lang w:val="en-GB"/>
        </w:rPr>
        <w:t>for the S</w:t>
      </w:r>
      <w:r w:rsidR="00733CA6">
        <w:rPr>
          <w:lang w:val="en-GB"/>
        </w:rPr>
        <w:t xml:space="preserve">ustainable </w:t>
      </w:r>
      <w:r w:rsidR="005265CD" w:rsidRPr="00156B9D">
        <w:rPr>
          <w:lang w:val="en-GB"/>
        </w:rPr>
        <w:t>D</w:t>
      </w:r>
      <w:r w:rsidR="00733CA6">
        <w:rPr>
          <w:lang w:val="en-GB"/>
        </w:rPr>
        <w:t xml:space="preserve">evelopment </w:t>
      </w:r>
      <w:r w:rsidR="005265CD" w:rsidRPr="00156B9D">
        <w:rPr>
          <w:lang w:val="en-GB"/>
        </w:rPr>
        <w:t>G</w:t>
      </w:r>
      <w:r w:rsidR="00733CA6">
        <w:rPr>
          <w:lang w:val="en-GB"/>
        </w:rPr>
        <w:t>oal</w:t>
      </w:r>
      <w:r w:rsidR="005265CD" w:rsidRPr="00156B9D">
        <w:rPr>
          <w:lang w:val="en-GB"/>
        </w:rPr>
        <w:t xml:space="preserve">s and </w:t>
      </w:r>
      <w:r w:rsidR="005C2F2F">
        <w:rPr>
          <w:lang w:val="en-GB"/>
        </w:rPr>
        <w:t>step up efforts to</w:t>
      </w:r>
      <w:r w:rsidR="005265CD" w:rsidRPr="00156B9D">
        <w:rPr>
          <w:lang w:val="en-GB"/>
        </w:rPr>
        <w:t xml:space="preserve"> coordinat</w:t>
      </w:r>
      <w:r w:rsidR="005C2F2F">
        <w:rPr>
          <w:lang w:val="en-GB"/>
        </w:rPr>
        <w:t>e</w:t>
      </w:r>
      <w:r w:rsidR="005265CD" w:rsidRPr="00156B9D">
        <w:rPr>
          <w:lang w:val="en-GB"/>
        </w:rPr>
        <w:t xml:space="preserve"> public aid and mobiliz</w:t>
      </w:r>
      <w:r w:rsidR="005C2F2F">
        <w:rPr>
          <w:lang w:val="en-GB"/>
        </w:rPr>
        <w:t>e</w:t>
      </w:r>
      <w:r w:rsidR="005265CD" w:rsidRPr="00156B9D">
        <w:rPr>
          <w:lang w:val="en-GB"/>
        </w:rPr>
        <w:t xml:space="preserve"> resources through economic diplomacy and diversified international cooperation. </w:t>
      </w:r>
      <w:r w:rsidR="005C2F2F">
        <w:rPr>
          <w:lang w:val="en-GB"/>
        </w:rPr>
        <w:t>It</w:t>
      </w:r>
      <w:r w:rsidR="005C2F2F" w:rsidRPr="00156B9D">
        <w:rPr>
          <w:lang w:val="en-GB"/>
        </w:rPr>
        <w:t xml:space="preserve"> </w:t>
      </w:r>
      <w:r w:rsidR="005265CD" w:rsidRPr="00156B9D">
        <w:rPr>
          <w:lang w:val="en-GB"/>
        </w:rPr>
        <w:t>will support reforms to improve local governance, decentralization</w:t>
      </w:r>
      <w:r w:rsidR="005C2F2F">
        <w:rPr>
          <w:lang w:val="en-GB"/>
        </w:rPr>
        <w:t>,</w:t>
      </w:r>
      <w:r w:rsidR="005265CD" w:rsidRPr="00156B9D">
        <w:rPr>
          <w:lang w:val="en-GB"/>
        </w:rPr>
        <w:t xml:space="preserve"> local development and quality </w:t>
      </w:r>
      <w:r w:rsidR="005C2F2F">
        <w:rPr>
          <w:lang w:val="en-GB"/>
        </w:rPr>
        <w:t xml:space="preserve">of </w:t>
      </w:r>
      <w:r w:rsidR="005C2F2F" w:rsidRPr="00156B9D">
        <w:rPr>
          <w:lang w:val="en-GB"/>
        </w:rPr>
        <w:t xml:space="preserve">life </w:t>
      </w:r>
      <w:r w:rsidR="005265CD" w:rsidRPr="00156B9D">
        <w:rPr>
          <w:lang w:val="en-GB"/>
        </w:rPr>
        <w:t xml:space="preserve">in urban areas through community sanitation and social housing programmes. UNDP will take part in broader initiatives to improve the governance of </w:t>
      </w:r>
      <w:r>
        <w:rPr>
          <w:lang w:val="en-GB"/>
        </w:rPr>
        <w:t xml:space="preserve">the </w:t>
      </w:r>
      <w:r w:rsidR="005265CD" w:rsidRPr="00156B9D">
        <w:rPr>
          <w:lang w:val="en-GB"/>
        </w:rPr>
        <w:t>human security</w:t>
      </w:r>
      <w:r>
        <w:rPr>
          <w:lang w:val="en-GB"/>
        </w:rPr>
        <w:t xml:space="preserve"> system</w:t>
      </w:r>
      <w:r w:rsidR="005265CD" w:rsidRPr="00156B9D">
        <w:rPr>
          <w:lang w:val="en-GB"/>
        </w:rPr>
        <w:t xml:space="preserve">, which </w:t>
      </w:r>
      <w:r w:rsidR="005C2F2F">
        <w:rPr>
          <w:lang w:val="en-GB"/>
        </w:rPr>
        <w:t>is</w:t>
      </w:r>
      <w:r w:rsidR="005C2F2F" w:rsidRPr="00156B9D">
        <w:rPr>
          <w:lang w:val="en-GB"/>
        </w:rPr>
        <w:t xml:space="preserve"> </w:t>
      </w:r>
      <w:r w:rsidR="005265CD" w:rsidRPr="00156B9D">
        <w:rPr>
          <w:lang w:val="en-GB"/>
        </w:rPr>
        <w:t xml:space="preserve">underway and must be strengthened through volunteerism and other means of citizen engagement. Particular attention will be paid to South-South cooperation and the contribution of the diaspora to the country's economic and social development. </w:t>
      </w:r>
    </w:p>
    <w:p w14:paraId="7CFB50D5" w14:textId="534277CF" w:rsidR="005265CD" w:rsidRPr="00156B9D" w:rsidRDefault="005265CD" w:rsidP="005265CD">
      <w:pPr>
        <w:pStyle w:val="CPDTexte"/>
        <w:tabs>
          <w:tab w:val="clear" w:pos="1560"/>
          <w:tab w:val="left" w:pos="1418"/>
        </w:tabs>
        <w:ind w:left="993" w:right="713"/>
        <w:rPr>
          <w:lang w:val="en-GB"/>
        </w:rPr>
      </w:pPr>
      <w:r w:rsidRPr="00156B9D">
        <w:rPr>
          <w:lang w:val="en-GB"/>
        </w:rPr>
        <w:lastRenderedPageBreak/>
        <w:t xml:space="preserve">In </w:t>
      </w:r>
      <w:r w:rsidR="005A5EBA">
        <w:rPr>
          <w:lang w:val="en-GB"/>
        </w:rPr>
        <w:t xml:space="preserve">the areas of </w:t>
      </w:r>
      <w:r w:rsidRPr="00156B9D">
        <w:rPr>
          <w:lang w:val="en-GB"/>
        </w:rPr>
        <w:t xml:space="preserve">justice, security and access to rights, UNDP will </w:t>
      </w:r>
      <w:r w:rsidR="005C2F2F">
        <w:rPr>
          <w:lang w:val="en-GB"/>
        </w:rPr>
        <w:t>join forces</w:t>
      </w:r>
      <w:r w:rsidR="005C2F2F" w:rsidRPr="00156B9D">
        <w:rPr>
          <w:lang w:val="en-GB"/>
        </w:rPr>
        <w:t xml:space="preserve"> </w:t>
      </w:r>
      <w:r w:rsidRPr="00156B9D">
        <w:rPr>
          <w:lang w:val="en-GB"/>
        </w:rPr>
        <w:t>with the Peace</w:t>
      </w:r>
      <w:r w:rsidR="005C2F2F">
        <w:rPr>
          <w:lang w:val="en-GB"/>
        </w:rPr>
        <w:t>b</w:t>
      </w:r>
      <w:r w:rsidRPr="00156B9D">
        <w:rPr>
          <w:lang w:val="en-GB"/>
        </w:rPr>
        <w:t>uilding Fund, the United Nations High Commissioner for Refugees</w:t>
      </w:r>
      <w:r w:rsidR="00515F7F">
        <w:rPr>
          <w:lang w:val="en-GB"/>
        </w:rPr>
        <w:t xml:space="preserve"> (UNHCR)</w:t>
      </w:r>
      <w:r w:rsidRPr="00156B9D">
        <w:rPr>
          <w:lang w:val="en-GB"/>
        </w:rPr>
        <w:t>, the U</w:t>
      </w:r>
      <w:r w:rsidR="005C2F2F">
        <w:rPr>
          <w:lang w:val="en-GB"/>
        </w:rPr>
        <w:t xml:space="preserve">nited </w:t>
      </w:r>
      <w:r w:rsidRPr="00156B9D">
        <w:rPr>
          <w:lang w:val="en-GB"/>
        </w:rPr>
        <w:t>S</w:t>
      </w:r>
      <w:r w:rsidR="005C2F2F">
        <w:rPr>
          <w:lang w:val="en-GB"/>
        </w:rPr>
        <w:t>tates</w:t>
      </w:r>
      <w:r w:rsidRPr="00156B9D">
        <w:rPr>
          <w:lang w:val="en-GB"/>
        </w:rPr>
        <w:t xml:space="preserve"> Agency for International Development</w:t>
      </w:r>
      <w:r w:rsidR="000D6464">
        <w:rPr>
          <w:lang w:val="en-GB"/>
        </w:rPr>
        <w:t xml:space="preserve"> (USAID)</w:t>
      </w:r>
      <w:r w:rsidRPr="00156B9D">
        <w:rPr>
          <w:lang w:val="en-GB"/>
        </w:rPr>
        <w:t>, the United Nations Children's Fund</w:t>
      </w:r>
      <w:r w:rsidR="000D6464">
        <w:rPr>
          <w:lang w:val="en-GB"/>
        </w:rPr>
        <w:t xml:space="preserve"> (UNICEF)</w:t>
      </w:r>
      <w:r w:rsidRPr="00156B9D">
        <w:rPr>
          <w:lang w:val="en-GB"/>
        </w:rPr>
        <w:t xml:space="preserve">, the International Organization for Migration </w:t>
      </w:r>
      <w:r w:rsidR="000D6464">
        <w:rPr>
          <w:lang w:val="en-GB"/>
        </w:rPr>
        <w:t xml:space="preserve">(IOM) </w:t>
      </w:r>
      <w:r w:rsidRPr="00156B9D">
        <w:rPr>
          <w:lang w:val="en-GB"/>
        </w:rPr>
        <w:t xml:space="preserve">and </w:t>
      </w:r>
      <w:r w:rsidR="002B1292">
        <w:rPr>
          <w:lang w:val="en-GB"/>
        </w:rPr>
        <w:t xml:space="preserve">the </w:t>
      </w:r>
      <w:r w:rsidR="007218B2">
        <w:rPr>
          <w:lang w:val="en-GB"/>
        </w:rPr>
        <w:t>United Nations Volunteers programme</w:t>
      </w:r>
      <w:r w:rsidRPr="00156B9D">
        <w:rPr>
          <w:lang w:val="en-GB"/>
        </w:rPr>
        <w:t xml:space="preserve"> </w:t>
      </w:r>
      <w:r w:rsidR="007B0732">
        <w:rPr>
          <w:lang w:val="en-GB"/>
        </w:rPr>
        <w:t>(</w:t>
      </w:r>
      <w:r w:rsidR="007B0732" w:rsidRPr="00156B9D">
        <w:rPr>
          <w:lang w:val="en-GB"/>
        </w:rPr>
        <w:t>UNV</w:t>
      </w:r>
      <w:r w:rsidR="007B0732">
        <w:rPr>
          <w:lang w:val="en-GB"/>
        </w:rPr>
        <w:t xml:space="preserve">) </w:t>
      </w:r>
      <w:r w:rsidRPr="00156B9D">
        <w:rPr>
          <w:lang w:val="en-GB"/>
        </w:rPr>
        <w:t xml:space="preserve">to strengthen the technical and operational capacities of judicial institutions and the security sector, providing equipment to modernize infrastructure and training judges, lawyers, judicial and security personnel to improve the efficiency of courts and the security system. UNDP will support the development of free or low-cost legal aid mechanisms, such as </w:t>
      </w:r>
      <w:r w:rsidR="00ED7975">
        <w:rPr>
          <w:lang w:val="en-GB"/>
        </w:rPr>
        <w:t>trial</w:t>
      </w:r>
      <w:r w:rsidR="00ED7975" w:rsidRPr="00156B9D">
        <w:rPr>
          <w:lang w:val="en-GB"/>
        </w:rPr>
        <w:t xml:space="preserve"> </w:t>
      </w:r>
      <w:r w:rsidRPr="00156B9D">
        <w:rPr>
          <w:lang w:val="en-GB"/>
        </w:rPr>
        <w:t xml:space="preserve">preparation for disadvantaged populations and support for disadvantaged victims. </w:t>
      </w:r>
      <w:r w:rsidR="00ED7975">
        <w:rPr>
          <w:lang w:val="en-GB"/>
        </w:rPr>
        <w:t>I</w:t>
      </w:r>
      <w:r w:rsidRPr="00156B9D">
        <w:rPr>
          <w:lang w:val="en-GB"/>
        </w:rPr>
        <w:t xml:space="preserve">n collaboration with </w:t>
      </w:r>
      <w:r w:rsidRPr="00271C29">
        <w:rPr>
          <w:lang w:val="en-GB"/>
        </w:rPr>
        <w:t>UN</w:t>
      </w:r>
      <w:r w:rsidR="002B1292" w:rsidRPr="00271C29">
        <w:rPr>
          <w:lang w:val="en-GB"/>
        </w:rPr>
        <w:t>-</w:t>
      </w:r>
      <w:r w:rsidRPr="00271C29">
        <w:rPr>
          <w:lang w:val="en-GB"/>
        </w:rPr>
        <w:t>Women</w:t>
      </w:r>
      <w:r w:rsidRPr="00156B9D">
        <w:rPr>
          <w:lang w:val="en-GB"/>
        </w:rPr>
        <w:t xml:space="preserve">, </w:t>
      </w:r>
      <w:r w:rsidR="00133C6D">
        <w:rPr>
          <w:lang w:val="en-GB"/>
        </w:rPr>
        <w:t>the United Nations Population</w:t>
      </w:r>
      <w:r w:rsidR="00D53581">
        <w:rPr>
          <w:lang w:val="en-GB"/>
        </w:rPr>
        <w:t xml:space="preserve"> Fund</w:t>
      </w:r>
      <w:r w:rsidR="00133C6D">
        <w:rPr>
          <w:lang w:val="en-GB"/>
        </w:rPr>
        <w:t xml:space="preserve"> (</w:t>
      </w:r>
      <w:r w:rsidR="001A4BE8">
        <w:rPr>
          <w:lang w:val="en-GB"/>
        </w:rPr>
        <w:t>UNFPA</w:t>
      </w:r>
      <w:r w:rsidR="00133C6D">
        <w:rPr>
          <w:lang w:val="en-GB"/>
        </w:rPr>
        <w:t>)</w:t>
      </w:r>
      <w:r w:rsidRPr="00156B9D">
        <w:rPr>
          <w:lang w:val="en-GB"/>
        </w:rPr>
        <w:t xml:space="preserve"> and </w:t>
      </w:r>
      <w:r w:rsidR="00ED7975">
        <w:rPr>
          <w:lang w:val="en-GB"/>
        </w:rPr>
        <w:t xml:space="preserve">the </w:t>
      </w:r>
      <w:r w:rsidRPr="00156B9D">
        <w:rPr>
          <w:lang w:val="en-GB"/>
        </w:rPr>
        <w:t>Office of the United Nations High Commissioner for Human Rights</w:t>
      </w:r>
      <w:r w:rsidR="008032CA">
        <w:rPr>
          <w:lang w:val="en-GB"/>
        </w:rPr>
        <w:t xml:space="preserve"> (</w:t>
      </w:r>
      <w:r w:rsidR="00014320">
        <w:rPr>
          <w:lang w:val="en-GB"/>
        </w:rPr>
        <w:t>OHCHR</w:t>
      </w:r>
      <w:r w:rsidR="008032CA">
        <w:rPr>
          <w:lang w:val="en-GB"/>
        </w:rPr>
        <w:t>)</w:t>
      </w:r>
      <w:r w:rsidR="00ED7975">
        <w:rPr>
          <w:lang w:val="en-GB"/>
        </w:rPr>
        <w:t>,</w:t>
      </w:r>
      <w:r w:rsidRPr="00156B9D">
        <w:rPr>
          <w:lang w:val="en-GB"/>
        </w:rPr>
        <w:t xml:space="preserve"> </w:t>
      </w:r>
      <w:r w:rsidR="00ED7975" w:rsidRPr="00156B9D">
        <w:rPr>
          <w:lang w:val="en-GB"/>
        </w:rPr>
        <w:t xml:space="preserve">UNDP </w:t>
      </w:r>
      <w:r w:rsidRPr="00156B9D">
        <w:rPr>
          <w:lang w:val="en-GB"/>
        </w:rPr>
        <w:t xml:space="preserve">will assist </w:t>
      </w:r>
      <w:r w:rsidR="00ED7975">
        <w:rPr>
          <w:lang w:val="en-GB"/>
        </w:rPr>
        <w:t>with</w:t>
      </w:r>
      <w:r w:rsidR="00ED7975" w:rsidRPr="00156B9D">
        <w:rPr>
          <w:lang w:val="en-GB"/>
        </w:rPr>
        <w:t xml:space="preserve"> efforts </w:t>
      </w:r>
      <w:r w:rsidR="00ED7975">
        <w:rPr>
          <w:lang w:val="en-GB"/>
        </w:rPr>
        <w:t xml:space="preserve">to </w:t>
      </w:r>
      <w:r w:rsidRPr="00156B9D">
        <w:rPr>
          <w:lang w:val="en-GB"/>
        </w:rPr>
        <w:t>strengthen women's rights, eliminate discrimination</w:t>
      </w:r>
      <w:r w:rsidR="00ED7975">
        <w:rPr>
          <w:lang w:val="en-GB"/>
        </w:rPr>
        <w:t xml:space="preserve"> and</w:t>
      </w:r>
      <w:r w:rsidR="00ED7975" w:rsidRPr="00156B9D">
        <w:rPr>
          <w:lang w:val="en-GB"/>
        </w:rPr>
        <w:t xml:space="preserve"> </w:t>
      </w:r>
      <w:r w:rsidRPr="00156B9D">
        <w:rPr>
          <w:lang w:val="en-GB"/>
        </w:rPr>
        <w:t xml:space="preserve">prevent and address </w:t>
      </w:r>
      <w:r w:rsidR="00ED7975">
        <w:rPr>
          <w:lang w:val="en-GB"/>
        </w:rPr>
        <w:t>g</w:t>
      </w:r>
      <w:r w:rsidR="00ED7975" w:rsidRPr="00156B9D">
        <w:rPr>
          <w:lang w:val="en-GB"/>
        </w:rPr>
        <w:t>ender</w:t>
      </w:r>
      <w:r w:rsidR="00ED7975">
        <w:rPr>
          <w:lang w:val="en-GB"/>
        </w:rPr>
        <w:t>-b</w:t>
      </w:r>
      <w:r w:rsidRPr="00156B9D">
        <w:rPr>
          <w:lang w:val="en-GB"/>
        </w:rPr>
        <w:t xml:space="preserve">ased </w:t>
      </w:r>
      <w:r w:rsidR="00ED7975">
        <w:rPr>
          <w:lang w:val="en-GB"/>
        </w:rPr>
        <w:t>v</w:t>
      </w:r>
      <w:r w:rsidR="00ED7975" w:rsidRPr="00156B9D">
        <w:rPr>
          <w:lang w:val="en-GB"/>
        </w:rPr>
        <w:t>iolence</w:t>
      </w:r>
      <w:r w:rsidRPr="00156B9D">
        <w:rPr>
          <w:lang w:val="en-GB"/>
        </w:rPr>
        <w:t xml:space="preserve">. Civil society organizations and the media will be strengthened to ensure that legal texts and rulings are more widely disseminated and applied.  </w:t>
      </w:r>
    </w:p>
    <w:p w14:paraId="456DE6CC" w14:textId="276FE373" w:rsidR="005265CD" w:rsidRPr="00156B9D" w:rsidRDefault="005265CD" w:rsidP="005265CD">
      <w:pPr>
        <w:pStyle w:val="CPDTexte"/>
        <w:tabs>
          <w:tab w:val="clear" w:pos="1560"/>
          <w:tab w:val="left" w:pos="1418"/>
        </w:tabs>
        <w:ind w:left="993" w:right="713"/>
        <w:rPr>
          <w:lang w:val="en-GB"/>
        </w:rPr>
      </w:pPr>
      <w:r w:rsidRPr="00156B9D">
        <w:rPr>
          <w:lang w:val="en-GB"/>
        </w:rPr>
        <w:t xml:space="preserve">UNDP will contribute to </w:t>
      </w:r>
      <w:r w:rsidR="009E62A8">
        <w:rPr>
          <w:lang w:val="en-GB"/>
        </w:rPr>
        <w:t>strengthening</w:t>
      </w:r>
      <w:r w:rsidR="009E62A8" w:rsidRPr="00156B9D">
        <w:rPr>
          <w:lang w:val="en-GB"/>
        </w:rPr>
        <w:t xml:space="preserve"> </w:t>
      </w:r>
      <w:r w:rsidRPr="00156B9D">
        <w:rPr>
          <w:lang w:val="en-GB"/>
        </w:rPr>
        <w:t xml:space="preserve">social cohesion </w:t>
      </w:r>
      <w:r w:rsidR="009E62A8">
        <w:rPr>
          <w:lang w:val="en-GB"/>
        </w:rPr>
        <w:t>by</w:t>
      </w:r>
      <w:r w:rsidR="009E62A8" w:rsidRPr="00156B9D">
        <w:rPr>
          <w:lang w:val="en-GB"/>
        </w:rPr>
        <w:t xml:space="preserve"> </w:t>
      </w:r>
      <w:r w:rsidRPr="00156B9D">
        <w:rPr>
          <w:lang w:val="en-GB"/>
        </w:rPr>
        <w:t>support</w:t>
      </w:r>
      <w:r w:rsidR="009E62A8">
        <w:rPr>
          <w:lang w:val="en-GB"/>
        </w:rPr>
        <w:t>ing</w:t>
      </w:r>
      <w:r w:rsidRPr="00156B9D">
        <w:rPr>
          <w:lang w:val="en-GB"/>
        </w:rPr>
        <w:t xml:space="preserve"> intercommunity dialogue</w:t>
      </w:r>
      <w:r w:rsidR="009E62A8">
        <w:rPr>
          <w:lang w:val="en-GB"/>
        </w:rPr>
        <w:t>,</w:t>
      </w:r>
      <w:r w:rsidRPr="00156B9D">
        <w:rPr>
          <w:lang w:val="en-GB"/>
        </w:rPr>
        <w:t xml:space="preserve"> </w:t>
      </w:r>
      <w:r w:rsidR="009E62A8">
        <w:rPr>
          <w:lang w:val="en-GB"/>
        </w:rPr>
        <w:t>building</w:t>
      </w:r>
      <w:r w:rsidR="009E62A8" w:rsidRPr="00156B9D">
        <w:rPr>
          <w:lang w:val="en-GB"/>
        </w:rPr>
        <w:t xml:space="preserve"> </w:t>
      </w:r>
      <w:r w:rsidRPr="00156B9D">
        <w:rPr>
          <w:lang w:val="en-GB"/>
        </w:rPr>
        <w:t xml:space="preserve">local conflict prevention and crisis management </w:t>
      </w:r>
      <w:r w:rsidR="009E62A8" w:rsidRPr="00156B9D">
        <w:rPr>
          <w:lang w:val="en-GB"/>
        </w:rPr>
        <w:t>capacities</w:t>
      </w:r>
      <w:r w:rsidR="009E62A8">
        <w:rPr>
          <w:lang w:val="en-GB"/>
        </w:rPr>
        <w:t>,</w:t>
      </w:r>
      <w:r w:rsidR="009E62A8" w:rsidRPr="00156B9D">
        <w:rPr>
          <w:lang w:val="en-GB"/>
        </w:rPr>
        <w:t xml:space="preserve"> </w:t>
      </w:r>
      <w:r w:rsidRPr="00156B9D">
        <w:rPr>
          <w:lang w:val="en-GB"/>
        </w:rPr>
        <w:t xml:space="preserve">training local mediators and improving conflict resolution mechanisms. </w:t>
      </w:r>
      <w:r w:rsidR="006F0D66">
        <w:rPr>
          <w:lang w:val="en-GB"/>
        </w:rPr>
        <w:t>It</w:t>
      </w:r>
      <w:r w:rsidR="006F0D66" w:rsidRPr="00156B9D">
        <w:rPr>
          <w:lang w:val="en-GB"/>
        </w:rPr>
        <w:t xml:space="preserve"> </w:t>
      </w:r>
      <w:r w:rsidRPr="00156B9D">
        <w:rPr>
          <w:lang w:val="en-GB"/>
        </w:rPr>
        <w:t>will implement multisector</w:t>
      </w:r>
      <w:r w:rsidR="00DA1CB8">
        <w:rPr>
          <w:lang w:val="en-GB"/>
        </w:rPr>
        <w:t>al</w:t>
      </w:r>
      <w:r w:rsidRPr="00156B9D">
        <w:rPr>
          <w:lang w:val="en-GB"/>
        </w:rPr>
        <w:t xml:space="preserve"> initiatives targeting crisis areas, focusing on mitigating vulnerabilities and preventing </w:t>
      </w:r>
      <w:r w:rsidR="006F0D66" w:rsidRPr="00156B9D">
        <w:rPr>
          <w:lang w:val="en-GB"/>
        </w:rPr>
        <w:t xml:space="preserve">conflict </w:t>
      </w:r>
      <w:r w:rsidRPr="00156B9D">
        <w:rPr>
          <w:lang w:val="en-GB"/>
        </w:rPr>
        <w:t xml:space="preserve">escalation. UNDP will develop partnerships with </w:t>
      </w:r>
      <w:r w:rsidR="00271C29">
        <w:rPr>
          <w:lang w:val="en-GB"/>
        </w:rPr>
        <w:t>OHCHR</w:t>
      </w:r>
      <w:r w:rsidRPr="00156B9D">
        <w:rPr>
          <w:lang w:val="en-GB"/>
        </w:rPr>
        <w:t xml:space="preserve">, </w:t>
      </w:r>
      <w:r w:rsidRPr="00271C29">
        <w:rPr>
          <w:lang w:val="en-GB"/>
        </w:rPr>
        <w:t>UNOPS</w:t>
      </w:r>
      <w:r w:rsidRPr="00156B9D">
        <w:rPr>
          <w:lang w:val="en-GB"/>
        </w:rPr>
        <w:t>, civil society and local leaders, including religious and traditional leaders, women</w:t>
      </w:r>
      <w:r w:rsidR="006F0D66">
        <w:rPr>
          <w:lang w:val="en-GB"/>
        </w:rPr>
        <w:t>’s</w:t>
      </w:r>
      <w:r w:rsidRPr="00156B9D">
        <w:rPr>
          <w:lang w:val="en-GB"/>
        </w:rPr>
        <w:t xml:space="preserve"> leaders and youth leaders</w:t>
      </w:r>
      <w:r w:rsidR="006F0D66">
        <w:rPr>
          <w:lang w:val="en-GB"/>
        </w:rPr>
        <w:t>,</w:t>
      </w:r>
      <w:r w:rsidRPr="00156B9D">
        <w:rPr>
          <w:lang w:val="en-GB"/>
        </w:rPr>
        <w:t xml:space="preserve"> to ensure a </w:t>
      </w:r>
      <w:r w:rsidR="006F0D66">
        <w:rPr>
          <w:lang w:val="en-GB"/>
        </w:rPr>
        <w:t>comprehensive</w:t>
      </w:r>
      <w:r w:rsidR="006F0D66" w:rsidRPr="00156B9D">
        <w:rPr>
          <w:lang w:val="en-GB"/>
        </w:rPr>
        <w:t xml:space="preserve"> </w:t>
      </w:r>
      <w:r w:rsidRPr="00156B9D">
        <w:rPr>
          <w:lang w:val="en-GB"/>
        </w:rPr>
        <w:t>and effective approach.</w:t>
      </w:r>
    </w:p>
    <w:p w14:paraId="11FF4F7F" w14:textId="0A7581FB" w:rsidR="005265CD" w:rsidRPr="00156B9D" w:rsidRDefault="005265CD" w:rsidP="005265CD">
      <w:pPr>
        <w:pStyle w:val="CPDTexte"/>
        <w:numPr>
          <w:ilvl w:val="0"/>
          <w:numId w:val="0"/>
        </w:numPr>
        <w:tabs>
          <w:tab w:val="clear" w:pos="1560"/>
          <w:tab w:val="left" w:pos="1418"/>
        </w:tabs>
        <w:ind w:left="993" w:right="713"/>
        <w:rPr>
          <w:lang w:val="en-GB"/>
        </w:rPr>
      </w:pPr>
      <w:r w:rsidRPr="00156B9D">
        <w:rPr>
          <w:b/>
          <w:lang w:val="en-GB"/>
        </w:rPr>
        <w:t>Sustainable and inclusive economic transformation and sustainable management of natural resources</w:t>
      </w:r>
    </w:p>
    <w:p w14:paraId="218A0282" w14:textId="76478D48" w:rsidR="005265CD" w:rsidRPr="00156B9D" w:rsidRDefault="005265CD" w:rsidP="005265CD">
      <w:pPr>
        <w:pStyle w:val="CPDTexte"/>
        <w:tabs>
          <w:tab w:val="clear" w:pos="1560"/>
          <w:tab w:val="left" w:pos="1418"/>
        </w:tabs>
        <w:ind w:left="993" w:right="713"/>
        <w:rPr>
          <w:lang w:val="en-GB"/>
        </w:rPr>
      </w:pPr>
      <w:r w:rsidRPr="00156B9D">
        <w:rPr>
          <w:lang w:val="en-GB"/>
        </w:rPr>
        <w:t xml:space="preserve">Under UNSDCF Outcome 2, UNDP will focus on gender-sensitive and data-driven public policies to </w:t>
      </w:r>
      <w:r w:rsidR="008A20FA">
        <w:rPr>
          <w:lang w:val="en-GB"/>
        </w:rPr>
        <w:t>increase</w:t>
      </w:r>
      <w:r w:rsidR="008A20FA" w:rsidRPr="00156B9D">
        <w:rPr>
          <w:lang w:val="en-GB"/>
        </w:rPr>
        <w:t xml:space="preserve"> </w:t>
      </w:r>
      <w:r w:rsidRPr="00156B9D">
        <w:rPr>
          <w:lang w:val="en-GB"/>
        </w:rPr>
        <w:t>equal participation of women in the economy. With UN</w:t>
      </w:r>
      <w:r w:rsidR="00B01379">
        <w:rPr>
          <w:lang w:val="en-GB"/>
        </w:rPr>
        <w:t>-</w:t>
      </w:r>
      <w:r w:rsidRPr="00156B9D">
        <w:rPr>
          <w:lang w:val="en-GB"/>
        </w:rPr>
        <w:t xml:space="preserve">Women, UNDP will support the integration of gender issues into policymaking, notably through </w:t>
      </w:r>
      <w:r w:rsidR="008A20FA" w:rsidRPr="00156B9D">
        <w:rPr>
          <w:lang w:val="en-GB"/>
        </w:rPr>
        <w:t xml:space="preserve">sharing </w:t>
      </w:r>
      <w:r w:rsidRPr="00156B9D">
        <w:rPr>
          <w:lang w:val="en-GB"/>
        </w:rPr>
        <w:t xml:space="preserve">the collection and analysis of gender-disaggregated data and gender-responsive budgeting. </w:t>
      </w:r>
      <w:r w:rsidR="008A20FA">
        <w:rPr>
          <w:lang w:val="en-GB"/>
        </w:rPr>
        <w:t>It</w:t>
      </w:r>
      <w:r w:rsidR="008A20FA" w:rsidRPr="00156B9D">
        <w:rPr>
          <w:lang w:val="en-GB"/>
        </w:rPr>
        <w:t xml:space="preserve"> </w:t>
      </w:r>
      <w:r w:rsidRPr="00156B9D">
        <w:rPr>
          <w:lang w:val="en-GB"/>
        </w:rPr>
        <w:t>will mobilize the necessary resources to finance economic transformation in sustainable mining and agriculture through a value chain approach that builds resilience and empower</w:t>
      </w:r>
      <w:r w:rsidR="008A20FA">
        <w:rPr>
          <w:lang w:val="en-GB"/>
        </w:rPr>
        <w:t>s</w:t>
      </w:r>
      <w:r w:rsidRPr="00156B9D">
        <w:rPr>
          <w:lang w:val="en-GB"/>
        </w:rPr>
        <w:t xml:space="preserve"> local communities, including women and youth.  </w:t>
      </w:r>
    </w:p>
    <w:p w14:paraId="46AA5048" w14:textId="78680419" w:rsidR="005265CD" w:rsidRPr="00156B9D" w:rsidRDefault="005265CD" w:rsidP="005265CD">
      <w:pPr>
        <w:pStyle w:val="CPDTexte"/>
        <w:tabs>
          <w:tab w:val="clear" w:pos="1560"/>
          <w:tab w:val="left" w:pos="1418"/>
        </w:tabs>
        <w:ind w:left="993" w:right="713"/>
        <w:rPr>
          <w:lang w:val="en-GB"/>
        </w:rPr>
      </w:pPr>
      <w:r w:rsidRPr="00156B9D">
        <w:rPr>
          <w:lang w:val="en-GB"/>
        </w:rPr>
        <w:t>UNDP will invest in innovation</w:t>
      </w:r>
      <w:r w:rsidR="00884B56">
        <w:rPr>
          <w:lang w:val="en-GB"/>
        </w:rPr>
        <w:t>,</w:t>
      </w:r>
      <w:r w:rsidRPr="00156B9D">
        <w:rPr>
          <w:lang w:val="en-GB"/>
        </w:rPr>
        <w:t xml:space="preserve"> digitali</w:t>
      </w:r>
      <w:r w:rsidR="003B465A">
        <w:rPr>
          <w:lang w:val="en-GB"/>
        </w:rPr>
        <w:t>z</w:t>
      </w:r>
      <w:r w:rsidRPr="00156B9D">
        <w:rPr>
          <w:lang w:val="en-GB"/>
        </w:rPr>
        <w:t xml:space="preserve">ation, access to basic services, </w:t>
      </w:r>
      <w:r w:rsidR="00884B56">
        <w:rPr>
          <w:lang w:val="en-GB"/>
        </w:rPr>
        <w:t xml:space="preserve">the </w:t>
      </w:r>
      <w:r w:rsidRPr="00156B9D">
        <w:rPr>
          <w:lang w:val="en-GB"/>
        </w:rPr>
        <w:t xml:space="preserve">creation of decent jobs, social protection, </w:t>
      </w:r>
      <w:r w:rsidR="00884B56">
        <w:rPr>
          <w:lang w:val="en-GB"/>
        </w:rPr>
        <w:t xml:space="preserve">the </w:t>
      </w:r>
      <w:r w:rsidRPr="00156B9D">
        <w:rPr>
          <w:lang w:val="en-GB"/>
        </w:rPr>
        <w:t>empowerment of women, youth and vulnerable groups, effective and efficient natural resource management and</w:t>
      </w:r>
      <w:r w:rsidR="00884B56">
        <w:rPr>
          <w:lang w:val="en-GB"/>
        </w:rPr>
        <w:t xml:space="preserve"> the</w:t>
      </w:r>
      <w:r w:rsidRPr="00156B9D">
        <w:rPr>
          <w:lang w:val="en-GB"/>
        </w:rPr>
        <w:t xml:space="preserve"> transition to renewable </w:t>
      </w:r>
      <w:r w:rsidR="00884B56" w:rsidRPr="00156B9D">
        <w:rPr>
          <w:lang w:val="en-GB"/>
        </w:rPr>
        <w:t>energ</w:t>
      </w:r>
      <w:r w:rsidR="00884B56">
        <w:rPr>
          <w:lang w:val="en-GB"/>
        </w:rPr>
        <w:t>y sourc</w:t>
      </w:r>
      <w:r w:rsidR="00884B56" w:rsidRPr="00156B9D">
        <w:rPr>
          <w:lang w:val="en-GB"/>
        </w:rPr>
        <w:t xml:space="preserve">es </w:t>
      </w:r>
      <w:r w:rsidRPr="00156B9D">
        <w:rPr>
          <w:lang w:val="en-GB"/>
        </w:rPr>
        <w:t>integrating community and ecosystem resilience.</w:t>
      </w:r>
    </w:p>
    <w:p w14:paraId="12C7442B" w14:textId="621FCBDB" w:rsidR="005265CD" w:rsidRPr="00156B9D" w:rsidRDefault="00884B56" w:rsidP="005265CD">
      <w:pPr>
        <w:pStyle w:val="CPDTexte"/>
        <w:tabs>
          <w:tab w:val="clear" w:pos="1560"/>
          <w:tab w:val="left" w:pos="1418"/>
        </w:tabs>
        <w:ind w:left="993" w:right="713"/>
        <w:rPr>
          <w:lang w:val="en-GB"/>
        </w:rPr>
      </w:pPr>
      <w:r w:rsidRPr="00156B9D">
        <w:rPr>
          <w:lang w:val="en-GB"/>
        </w:rPr>
        <w:t>The green and blue economic transition is at the heart of the country’s economic diversification and sustainability</w:t>
      </w:r>
      <w:r>
        <w:rPr>
          <w:lang w:val="en-GB"/>
        </w:rPr>
        <w:t>.</w:t>
      </w:r>
      <w:r w:rsidRPr="00156B9D">
        <w:rPr>
          <w:lang w:val="en-GB"/>
        </w:rPr>
        <w:t xml:space="preserve"> </w:t>
      </w:r>
      <w:r w:rsidR="005265CD" w:rsidRPr="00156B9D">
        <w:rPr>
          <w:lang w:val="en-GB"/>
        </w:rPr>
        <w:t xml:space="preserve">To </w:t>
      </w:r>
      <w:r>
        <w:rPr>
          <w:lang w:val="en-GB"/>
        </w:rPr>
        <w:t>support</w:t>
      </w:r>
      <w:r w:rsidRPr="00156B9D">
        <w:rPr>
          <w:lang w:val="en-GB"/>
        </w:rPr>
        <w:t xml:space="preserve"> </w:t>
      </w:r>
      <w:r w:rsidR="005265CD" w:rsidRPr="00156B9D">
        <w:rPr>
          <w:lang w:val="en-GB"/>
        </w:rPr>
        <w:t>the transformation of mining and agricultural resources and promot</w:t>
      </w:r>
      <w:r>
        <w:rPr>
          <w:lang w:val="en-GB"/>
        </w:rPr>
        <w:t>e</w:t>
      </w:r>
      <w:r w:rsidR="005265CD" w:rsidRPr="00156B9D">
        <w:rPr>
          <w:lang w:val="en-GB"/>
        </w:rPr>
        <w:t xml:space="preserve"> local products, UNDP will collaborate with the Global Environment Facility </w:t>
      </w:r>
      <w:r w:rsidR="00C67A0B">
        <w:rPr>
          <w:lang w:val="en-GB"/>
        </w:rPr>
        <w:t xml:space="preserve">(GEF) </w:t>
      </w:r>
      <w:r w:rsidR="005265CD" w:rsidRPr="00156B9D">
        <w:rPr>
          <w:lang w:val="en-GB"/>
        </w:rPr>
        <w:t>and the Green Climate Fund</w:t>
      </w:r>
      <w:r w:rsidR="00C67A0B">
        <w:rPr>
          <w:lang w:val="en-GB"/>
        </w:rPr>
        <w:t xml:space="preserve"> (GCF)</w:t>
      </w:r>
      <w:r w:rsidR="005265CD" w:rsidRPr="00156B9D">
        <w:rPr>
          <w:lang w:val="en-GB"/>
        </w:rPr>
        <w:t xml:space="preserve"> to mobilize additional funding. </w:t>
      </w:r>
      <w:r>
        <w:rPr>
          <w:lang w:val="en-GB"/>
        </w:rPr>
        <w:t>It</w:t>
      </w:r>
      <w:r w:rsidRPr="00156B9D">
        <w:rPr>
          <w:lang w:val="en-GB"/>
        </w:rPr>
        <w:t xml:space="preserve"> </w:t>
      </w:r>
      <w:r w:rsidR="005265CD" w:rsidRPr="00156B9D">
        <w:rPr>
          <w:lang w:val="en-GB"/>
        </w:rPr>
        <w:t>will strengthen its technical partnership</w:t>
      </w:r>
      <w:r>
        <w:rPr>
          <w:lang w:val="en-GB"/>
        </w:rPr>
        <w:t>s</w:t>
      </w:r>
      <w:r w:rsidR="005265CD" w:rsidRPr="00156B9D">
        <w:rPr>
          <w:lang w:val="en-GB"/>
        </w:rPr>
        <w:t xml:space="preserve"> with </w:t>
      </w:r>
      <w:r w:rsidR="002902C7">
        <w:rPr>
          <w:lang w:val="en-GB"/>
        </w:rPr>
        <w:t xml:space="preserve">the </w:t>
      </w:r>
      <w:r w:rsidR="005265CD" w:rsidRPr="00156B9D">
        <w:rPr>
          <w:lang w:val="en-GB"/>
        </w:rPr>
        <w:t>United Nations Industrial Development Organization</w:t>
      </w:r>
      <w:r w:rsidR="00C67A0B">
        <w:rPr>
          <w:lang w:val="en-GB"/>
        </w:rPr>
        <w:t xml:space="preserve"> (UNIDO)</w:t>
      </w:r>
      <w:r w:rsidR="005265CD" w:rsidRPr="00156B9D">
        <w:rPr>
          <w:lang w:val="en-GB"/>
        </w:rPr>
        <w:t xml:space="preserve">, World Food Programme </w:t>
      </w:r>
      <w:r w:rsidR="00C67A0B">
        <w:rPr>
          <w:lang w:val="en-GB"/>
        </w:rPr>
        <w:t xml:space="preserve">(WFP) </w:t>
      </w:r>
      <w:r w:rsidR="005265CD" w:rsidRPr="00156B9D">
        <w:rPr>
          <w:lang w:val="en-GB"/>
        </w:rPr>
        <w:t xml:space="preserve">and Food and Agriculture Organization </w:t>
      </w:r>
      <w:r w:rsidR="0001774D">
        <w:rPr>
          <w:lang w:val="en-GB"/>
        </w:rPr>
        <w:t xml:space="preserve">of the United Nations </w:t>
      </w:r>
      <w:r w:rsidR="00C67A0B">
        <w:rPr>
          <w:lang w:val="en-GB"/>
        </w:rPr>
        <w:t xml:space="preserve">(FAO) </w:t>
      </w:r>
      <w:r w:rsidR="005265CD" w:rsidRPr="00156B9D">
        <w:rPr>
          <w:lang w:val="en-GB"/>
        </w:rPr>
        <w:t xml:space="preserve">to support the institutions responsible for the </w:t>
      </w:r>
      <w:r w:rsidR="002902C7">
        <w:rPr>
          <w:lang w:val="en-GB"/>
        </w:rPr>
        <w:t>growth</w:t>
      </w:r>
      <w:r w:rsidR="002902C7" w:rsidRPr="00156B9D">
        <w:rPr>
          <w:lang w:val="en-GB"/>
        </w:rPr>
        <w:t xml:space="preserve"> </w:t>
      </w:r>
      <w:r w:rsidR="005265CD" w:rsidRPr="00156B9D">
        <w:rPr>
          <w:lang w:val="en-GB"/>
        </w:rPr>
        <w:t xml:space="preserve">of productive sectors by prioritizing climate </w:t>
      </w:r>
      <w:r w:rsidR="002902C7">
        <w:rPr>
          <w:lang w:val="en-GB"/>
        </w:rPr>
        <w:t xml:space="preserve">goals </w:t>
      </w:r>
      <w:r w:rsidR="005265CD" w:rsidRPr="00156B9D">
        <w:rPr>
          <w:lang w:val="en-GB"/>
        </w:rPr>
        <w:t xml:space="preserve">and decent jobs through </w:t>
      </w:r>
      <w:r w:rsidR="002902C7">
        <w:rPr>
          <w:lang w:val="en-GB"/>
        </w:rPr>
        <w:t xml:space="preserve">taking </w:t>
      </w:r>
      <w:r w:rsidR="005265CD" w:rsidRPr="00156B9D">
        <w:rPr>
          <w:lang w:val="en-GB"/>
        </w:rPr>
        <w:t xml:space="preserve">an integrated, inclusive and territorial development approach. UNDP will focus on harnessing </w:t>
      </w:r>
      <w:r w:rsidR="00000327">
        <w:rPr>
          <w:lang w:val="en-GB"/>
        </w:rPr>
        <w:t>the country</w:t>
      </w:r>
      <w:r w:rsidR="00000327" w:rsidRPr="00156B9D">
        <w:rPr>
          <w:lang w:val="en-GB"/>
        </w:rPr>
        <w:t xml:space="preserve">'s </w:t>
      </w:r>
      <w:r w:rsidR="005265CD" w:rsidRPr="00156B9D">
        <w:rPr>
          <w:lang w:val="en-GB"/>
        </w:rPr>
        <w:t xml:space="preserve">agropastoral, hydrological, mining, artisanal, tourism and cultural potential within a structural transformation process that promotes innovation and sustainability.  </w:t>
      </w:r>
    </w:p>
    <w:p w14:paraId="76D6EABC" w14:textId="6C65C86F" w:rsidR="005265CD" w:rsidRPr="00156B9D" w:rsidRDefault="005265CD" w:rsidP="005265CD">
      <w:pPr>
        <w:pStyle w:val="CPDTexte"/>
        <w:tabs>
          <w:tab w:val="clear" w:pos="1560"/>
          <w:tab w:val="left" w:pos="1418"/>
        </w:tabs>
        <w:ind w:left="993" w:right="713"/>
        <w:rPr>
          <w:lang w:val="en-GB"/>
        </w:rPr>
      </w:pPr>
      <w:r w:rsidRPr="00156B9D">
        <w:rPr>
          <w:lang w:val="en-GB"/>
        </w:rPr>
        <w:t>UNDP will work with development banks/</w:t>
      </w:r>
      <w:r w:rsidR="00281314">
        <w:rPr>
          <w:lang w:val="en-GB"/>
        </w:rPr>
        <w:t>organizations</w:t>
      </w:r>
      <w:r w:rsidR="00281314" w:rsidRPr="00156B9D">
        <w:rPr>
          <w:lang w:val="en-GB"/>
        </w:rPr>
        <w:t xml:space="preserve"> </w:t>
      </w:r>
      <w:r w:rsidRPr="00156B9D">
        <w:rPr>
          <w:lang w:val="en-GB"/>
        </w:rPr>
        <w:t xml:space="preserve">and the private sector to encourage investment in productive sectors, such as </w:t>
      </w:r>
      <w:r w:rsidR="0073110A" w:rsidRPr="00156B9D">
        <w:rPr>
          <w:lang w:val="en-GB"/>
        </w:rPr>
        <w:t>handicraft</w:t>
      </w:r>
      <w:r w:rsidR="0073110A">
        <w:rPr>
          <w:lang w:val="en-GB"/>
        </w:rPr>
        <w:t>s</w:t>
      </w:r>
      <w:r w:rsidR="0073110A" w:rsidRPr="00156B9D">
        <w:rPr>
          <w:lang w:val="en-GB"/>
        </w:rPr>
        <w:t>, culture</w:t>
      </w:r>
      <w:r w:rsidR="0073110A">
        <w:rPr>
          <w:lang w:val="en-GB"/>
        </w:rPr>
        <w:t xml:space="preserve">, </w:t>
      </w:r>
      <w:r w:rsidR="0073110A" w:rsidRPr="00156B9D">
        <w:rPr>
          <w:lang w:val="en-GB"/>
        </w:rPr>
        <w:t>ecotourism</w:t>
      </w:r>
      <w:r w:rsidR="0073110A">
        <w:rPr>
          <w:lang w:val="en-GB"/>
        </w:rPr>
        <w:t>,</w:t>
      </w:r>
      <w:r w:rsidR="0073110A" w:rsidRPr="00156B9D">
        <w:rPr>
          <w:lang w:val="en-GB"/>
        </w:rPr>
        <w:t xml:space="preserve"> energy and </w:t>
      </w:r>
      <w:r w:rsidRPr="00156B9D">
        <w:rPr>
          <w:lang w:val="en-GB"/>
        </w:rPr>
        <w:t xml:space="preserve">agrifood chains, in particular rice and fisheries. It will establish partnerships with research and innovation </w:t>
      </w:r>
      <w:r w:rsidR="00281314">
        <w:rPr>
          <w:lang w:val="en-GB"/>
        </w:rPr>
        <w:t>hubs</w:t>
      </w:r>
      <w:r w:rsidRPr="00156B9D">
        <w:rPr>
          <w:lang w:val="en-GB"/>
        </w:rPr>
        <w:t>, universities, technical training centr</w:t>
      </w:r>
      <w:r w:rsidR="00605AE9" w:rsidRPr="00156B9D">
        <w:rPr>
          <w:lang w:val="en-GB"/>
        </w:rPr>
        <w:t>e</w:t>
      </w:r>
      <w:r w:rsidRPr="00156B9D">
        <w:rPr>
          <w:lang w:val="en-GB"/>
        </w:rPr>
        <w:t xml:space="preserve">s, non-governmental organizations, </w:t>
      </w:r>
      <w:r w:rsidR="00281314">
        <w:rPr>
          <w:lang w:val="en-GB"/>
        </w:rPr>
        <w:t>grass</w:t>
      </w:r>
      <w:r w:rsidR="00C45468">
        <w:rPr>
          <w:lang w:val="en-GB"/>
        </w:rPr>
        <w:t>-</w:t>
      </w:r>
      <w:r w:rsidR="00281314">
        <w:rPr>
          <w:lang w:val="en-GB"/>
        </w:rPr>
        <w:t xml:space="preserve">roots </w:t>
      </w:r>
      <w:r w:rsidRPr="00156B9D">
        <w:rPr>
          <w:lang w:val="en-GB"/>
        </w:rPr>
        <w:t xml:space="preserve">volunteer </w:t>
      </w:r>
      <w:r w:rsidR="00281314">
        <w:rPr>
          <w:lang w:val="en-GB"/>
        </w:rPr>
        <w:t>organizations</w:t>
      </w:r>
      <w:r w:rsidRPr="00156B9D">
        <w:rPr>
          <w:lang w:val="en-GB"/>
        </w:rPr>
        <w:t xml:space="preserve"> for consultation and policy acceptance at the local level, the national statistical system, national observatories, professional organizations, consular chambers and associations of economic operators at the local level. To facilitate the implementation of these initiatives, UNDP will strengthen its partnership with </w:t>
      </w:r>
      <w:r w:rsidR="005629D4">
        <w:rPr>
          <w:lang w:val="en-GB"/>
        </w:rPr>
        <w:t xml:space="preserve">the </w:t>
      </w:r>
      <w:r w:rsidRPr="00156B9D">
        <w:rPr>
          <w:lang w:val="en-GB"/>
        </w:rPr>
        <w:t>World Bank, Af</w:t>
      </w:r>
      <w:r w:rsidR="00C45468">
        <w:rPr>
          <w:lang w:val="en-GB"/>
        </w:rPr>
        <w:t>D</w:t>
      </w:r>
      <w:r w:rsidRPr="00156B9D">
        <w:rPr>
          <w:lang w:val="en-GB"/>
        </w:rPr>
        <w:t xml:space="preserve">B and FAO. </w:t>
      </w:r>
    </w:p>
    <w:p w14:paraId="04A065E9" w14:textId="4F6E9750" w:rsidR="005265CD" w:rsidRPr="00156B9D" w:rsidRDefault="001D08C3" w:rsidP="005265CD">
      <w:pPr>
        <w:pStyle w:val="CPDTexte"/>
        <w:tabs>
          <w:tab w:val="clear" w:pos="1560"/>
          <w:tab w:val="left" w:pos="1418"/>
        </w:tabs>
        <w:ind w:left="993" w:right="713"/>
        <w:rPr>
          <w:lang w:val="en-GB"/>
        </w:rPr>
      </w:pPr>
      <w:r>
        <w:rPr>
          <w:lang w:val="en-GB"/>
        </w:rPr>
        <w:lastRenderedPageBreak/>
        <w:t>W</w:t>
      </w:r>
      <w:r w:rsidR="005265CD" w:rsidRPr="00156B9D">
        <w:rPr>
          <w:lang w:val="en-GB"/>
        </w:rPr>
        <w:t>ith contribution</w:t>
      </w:r>
      <w:r>
        <w:rPr>
          <w:lang w:val="en-GB"/>
        </w:rPr>
        <w:t>s from</w:t>
      </w:r>
      <w:r w:rsidR="005265CD" w:rsidRPr="00156B9D">
        <w:rPr>
          <w:lang w:val="en-GB"/>
        </w:rPr>
        <w:t xml:space="preserve"> </w:t>
      </w:r>
      <w:r w:rsidR="00801F09">
        <w:rPr>
          <w:lang w:val="en-GB"/>
        </w:rPr>
        <w:t>UNIDO</w:t>
      </w:r>
      <w:r w:rsidR="005265CD" w:rsidRPr="00156B9D">
        <w:rPr>
          <w:lang w:val="en-GB"/>
        </w:rPr>
        <w:t xml:space="preserve"> and WFP</w:t>
      </w:r>
      <w:r>
        <w:rPr>
          <w:lang w:val="en-GB"/>
        </w:rPr>
        <w:t>,</w:t>
      </w:r>
      <w:r w:rsidR="005265CD" w:rsidRPr="00156B9D">
        <w:rPr>
          <w:lang w:val="en-GB"/>
        </w:rPr>
        <w:t xml:space="preserve"> </w:t>
      </w:r>
      <w:r w:rsidR="00424BED" w:rsidRPr="00156B9D">
        <w:rPr>
          <w:lang w:val="en-GB"/>
        </w:rPr>
        <w:t xml:space="preserve">UNDP </w:t>
      </w:r>
      <w:r w:rsidR="005265CD" w:rsidRPr="00156B9D">
        <w:rPr>
          <w:lang w:val="en-GB"/>
        </w:rPr>
        <w:t xml:space="preserve">will strengthen the capacities of national actors in the productive sectors and support economic operators by </w:t>
      </w:r>
      <w:r>
        <w:rPr>
          <w:lang w:val="en-GB"/>
        </w:rPr>
        <w:t>bolstering</w:t>
      </w:r>
      <w:r w:rsidRPr="00156B9D">
        <w:rPr>
          <w:lang w:val="en-GB"/>
        </w:rPr>
        <w:t xml:space="preserve"> </w:t>
      </w:r>
      <w:r w:rsidR="005265CD" w:rsidRPr="00156B9D">
        <w:rPr>
          <w:lang w:val="en-GB"/>
        </w:rPr>
        <w:t xml:space="preserve">financial and non-financial support services with </w:t>
      </w:r>
      <w:r w:rsidR="00F268E4">
        <w:rPr>
          <w:lang w:val="en-GB"/>
        </w:rPr>
        <w:t>groundbreaking</w:t>
      </w:r>
      <w:r w:rsidR="00F268E4" w:rsidRPr="00156B9D">
        <w:rPr>
          <w:lang w:val="en-GB"/>
        </w:rPr>
        <w:t xml:space="preserve"> </w:t>
      </w:r>
      <w:r w:rsidR="005265CD" w:rsidRPr="00156B9D">
        <w:rPr>
          <w:lang w:val="en-GB"/>
        </w:rPr>
        <w:t xml:space="preserve">models to </w:t>
      </w:r>
      <w:r w:rsidR="00E9185D">
        <w:rPr>
          <w:rStyle w:val="cf01"/>
          <w:rFonts w:asciiTheme="majorBidi" w:hAnsiTheme="majorBidi" w:cstheme="majorBidi"/>
          <w:sz w:val="20"/>
          <w:szCs w:val="20"/>
          <w:lang w:val="en-GB"/>
        </w:rPr>
        <w:t>promote</w:t>
      </w:r>
      <w:r w:rsidR="00E9185D" w:rsidRPr="003732A0">
        <w:rPr>
          <w:rStyle w:val="cf01"/>
          <w:rFonts w:asciiTheme="majorBidi" w:hAnsiTheme="majorBidi" w:cstheme="majorBidi"/>
          <w:sz w:val="20"/>
          <w:szCs w:val="20"/>
          <w:lang w:val="en-GB"/>
        </w:rPr>
        <w:t xml:space="preserve"> </w:t>
      </w:r>
      <w:r w:rsidR="005265CD" w:rsidRPr="003732A0">
        <w:rPr>
          <w:rStyle w:val="cf01"/>
          <w:rFonts w:asciiTheme="majorBidi" w:hAnsiTheme="majorBidi" w:cstheme="majorBidi"/>
          <w:sz w:val="20"/>
          <w:szCs w:val="20"/>
          <w:lang w:val="en-GB"/>
        </w:rPr>
        <w:t>value-add</w:t>
      </w:r>
      <w:r>
        <w:rPr>
          <w:rStyle w:val="cf01"/>
          <w:rFonts w:asciiTheme="majorBidi" w:hAnsiTheme="majorBidi" w:cstheme="majorBidi"/>
          <w:sz w:val="20"/>
          <w:szCs w:val="20"/>
          <w:lang w:val="en-GB"/>
        </w:rPr>
        <w:t>ed</w:t>
      </w:r>
      <w:r w:rsidR="005265CD" w:rsidRPr="003732A0">
        <w:rPr>
          <w:rStyle w:val="cf01"/>
          <w:rFonts w:asciiTheme="majorBidi" w:hAnsiTheme="majorBidi" w:cstheme="majorBidi"/>
          <w:sz w:val="20"/>
          <w:szCs w:val="20"/>
          <w:lang w:val="en-GB"/>
        </w:rPr>
        <w:t xml:space="preserve"> economic growth</w:t>
      </w:r>
      <w:r w:rsidR="005265CD" w:rsidRPr="00156B9D">
        <w:rPr>
          <w:lang w:val="en-GB"/>
        </w:rPr>
        <w:t xml:space="preserve">. </w:t>
      </w:r>
    </w:p>
    <w:p w14:paraId="1776E0D7" w14:textId="74F20547" w:rsidR="005265CD" w:rsidRPr="00156B9D" w:rsidRDefault="005265CD" w:rsidP="005265CD">
      <w:pPr>
        <w:pStyle w:val="CPDTexte"/>
        <w:tabs>
          <w:tab w:val="clear" w:pos="1560"/>
          <w:tab w:val="left" w:pos="1418"/>
        </w:tabs>
        <w:ind w:left="993" w:right="713"/>
        <w:rPr>
          <w:lang w:val="en-GB"/>
        </w:rPr>
      </w:pPr>
      <w:r w:rsidRPr="00156B9D">
        <w:rPr>
          <w:lang w:val="en-GB"/>
        </w:rPr>
        <w:t xml:space="preserve">UNDP will support policies and programmes to promote youth employment and entrepreneurship, local development and natural resources conservation in key productive sectors, the blue and green economy and the digital economy by strengthening support and sustainable integration mechanisms through institutions offering financial and non-financial services. Interventions will focus on the socioeconomic inclusion of women, youth and vulnerable groups. These initiatives will be implemented with </w:t>
      </w:r>
      <w:r w:rsidR="00D9714D">
        <w:rPr>
          <w:lang w:val="en-GB"/>
        </w:rPr>
        <w:t xml:space="preserve">the </w:t>
      </w:r>
      <w:r w:rsidRPr="00156B9D">
        <w:rPr>
          <w:lang w:val="en-GB"/>
        </w:rPr>
        <w:t xml:space="preserve">World Bank, AfDB, Islamic Development Bank, European Investment Bank, </w:t>
      </w:r>
      <w:r w:rsidR="00F110C4">
        <w:rPr>
          <w:lang w:val="en-GB"/>
        </w:rPr>
        <w:t>GEF</w:t>
      </w:r>
      <w:r w:rsidRPr="00156B9D">
        <w:rPr>
          <w:lang w:val="en-GB"/>
        </w:rPr>
        <w:t xml:space="preserve">, </w:t>
      </w:r>
      <w:r w:rsidR="00F110C4">
        <w:rPr>
          <w:lang w:val="en-GB"/>
        </w:rPr>
        <w:t>GCF</w:t>
      </w:r>
      <w:r w:rsidRPr="00156B9D">
        <w:rPr>
          <w:lang w:val="en-GB"/>
        </w:rPr>
        <w:t>, UNIDO,</w:t>
      </w:r>
      <w:r w:rsidR="00A91799">
        <w:rPr>
          <w:lang w:val="en-GB"/>
        </w:rPr>
        <w:t xml:space="preserve"> </w:t>
      </w:r>
      <w:r w:rsidRPr="00156B9D">
        <w:rPr>
          <w:lang w:val="en-GB"/>
        </w:rPr>
        <w:t>International Labo</w:t>
      </w:r>
      <w:r w:rsidR="00D9714D">
        <w:rPr>
          <w:lang w:val="en-GB"/>
        </w:rPr>
        <w:t>u</w:t>
      </w:r>
      <w:r w:rsidRPr="00156B9D">
        <w:rPr>
          <w:lang w:val="en-GB"/>
        </w:rPr>
        <w:t>r Organization</w:t>
      </w:r>
      <w:r w:rsidR="00F110C4">
        <w:rPr>
          <w:lang w:val="en-GB"/>
        </w:rPr>
        <w:t xml:space="preserve"> (ILO)</w:t>
      </w:r>
      <w:r w:rsidRPr="00156B9D">
        <w:rPr>
          <w:lang w:val="en-GB"/>
        </w:rPr>
        <w:t xml:space="preserve">, International </w:t>
      </w:r>
      <w:r w:rsidR="00A91799">
        <w:rPr>
          <w:lang w:val="en-GB"/>
        </w:rPr>
        <w:t xml:space="preserve">Fund for </w:t>
      </w:r>
      <w:r w:rsidRPr="00156B9D">
        <w:rPr>
          <w:lang w:val="en-GB"/>
        </w:rPr>
        <w:t>Agricultur</w:t>
      </w:r>
      <w:r w:rsidR="00A91799">
        <w:rPr>
          <w:lang w:val="en-GB"/>
        </w:rPr>
        <w:t>al</w:t>
      </w:r>
      <w:r w:rsidRPr="00156B9D">
        <w:rPr>
          <w:lang w:val="en-GB"/>
        </w:rPr>
        <w:t xml:space="preserve"> Development </w:t>
      </w:r>
      <w:r w:rsidR="00973EA9">
        <w:rPr>
          <w:lang w:val="en-GB"/>
        </w:rPr>
        <w:t xml:space="preserve">(IFAD) </w:t>
      </w:r>
      <w:r w:rsidRPr="00156B9D">
        <w:rPr>
          <w:lang w:val="en-GB"/>
        </w:rPr>
        <w:t xml:space="preserve">and FAO. </w:t>
      </w:r>
    </w:p>
    <w:p w14:paraId="5A2B2C20" w14:textId="22E1931B" w:rsidR="005265CD" w:rsidRPr="00156B9D" w:rsidRDefault="005415E7" w:rsidP="005265CD">
      <w:pPr>
        <w:pStyle w:val="CPDTexte"/>
        <w:tabs>
          <w:tab w:val="clear" w:pos="1560"/>
          <w:tab w:val="left" w:pos="1418"/>
        </w:tabs>
        <w:ind w:left="993" w:right="713"/>
        <w:rPr>
          <w:lang w:val="en-GB"/>
        </w:rPr>
      </w:pPr>
      <w:r>
        <w:rPr>
          <w:lang w:val="en-GB"/>
        </w:rPr>
        <w:t>W</w:t>
      </w:r>
      <w:r w:rsidR="005265CD" w:rsidRPr="00156B9D">
        <w:rPr>
          <w:lang w:val="en-GB"/>
        </w:rPr>
        <w:t xml:space="preserve">ith </w:t>
      </w:r>
      <w:r>
        <w:rPr>
          <w:lang w:val="en-GB"/>
        </w:rPr>
        <w:t xml:space="preserve">the </w:t>
      </w:r>
      <w:r w:rsidRPr="00156B9D">
        <w:rPr>
          <w:lang w:val="en-GB"/>
        </w:rPr>
        <w:t xml:space="preserve">European </w:t>
      </w:r>
      <w:r w:rsidR="005265CD" w:rsidRPr="00156B9D">
        <w:rPr>
          <w:lang w:val="en-GB"/>
        </w:rPr>
        <w:t>Union, AfDB,</w:t>
      </w:r>
      <w:r>
        <w:rPr>
          <w:lang w:val="en-GB"/>
        </w:rPr>
        <w:t xml:space="preserve"> </w:t>
      </w:r>
      <w:r w:rsidR="005265CD" w:rsidRPr="00156B9D">
        <w:rPr>
          <w:lang w:val="en-GB"/>
        </w:rPr>
        <w:t>International Renewable Energy Agency and UNIDO</w:t>
      </w:r>
      <w:r>
        <w:rPr>
          <w:lang w:val="en-GB"/>
        </w:rPr>
        <w:t>,</w:t>
      </w:r>
      <w:r w:rsidR="005265CD" w:rsidRPr="00156B9D">
        <w:rPr>
          <w:lang w:val="en-GB"/>
        </w:rPr>
        <w:t xml:space="preserve"> </w:t>
      </w:r>
      <w:r w:rsidRPr="00156B9D">
        <w:rPr>
          <w:lang w:val="en-GB"/>
        </w:rPr>
        <w:t xml:space="preserve">UNDP </w:t>
      </w:r>
      <w:r w:rsidR="005265CD" w:rsidRPr="00156B9D">
        <w:rPr>
          <w:lang w:val="en-GB"/>
        </w:rPr>
        <w:t xml:space="preserve">will support the establishment of an operational legal and regulatory framework conducive to green investment for an accelerated transition to renewable and affordable energy, and to innovation that will boost productive systems. Such support for inclusive and climate-smart agrifood systems will strengthen local populations’ resilience to climate change. </w:t>
      </w:r>
    </w:p>
    <w:p w14:paraId="6950D969" w14:textId="24671797" w:rsidR="005265CD" w:rsidRPr="00156B9D" w:rsidRDefault="005265CD" w:rsidP="005265CD">
      <w:pPr>
        <w:pStyle w:val="CPDTexte"/>
        <w:tabs>
          <w:tab w:val="clear" w:pos="1560"/>
          <w:tab w:val="left" w:pos="1418"/>
        </w:tabs>
        <w:ind w:left="993" w:right="713"/>
        <w:rPr>
          <w:lang w:val="en-GB"/>
        </w:rPr>
      </w:pPr>
      <w:r w:rsidRPr="00156B9D">
        <w:rPr>
          <w:lang w:val="en-GB"/>
        </w:rPr>
        <w:t xml:space="preserve">UNDP will work to foster nature-based solutions and other sustainable practices in the use of natural resources to minimize negative </w:t>
      </w:r>
      <w:r w:rsidR="006738B7">
        <w:rPr>
          <w:lang w:val="en-GB"/>
        </w:rPr>
        <w:t xml:space="preserve">effects on the </w:t>
      </w:r>
      <w:r w:rsidRPr="00156B9D">
        <w:rPr>
          <w:lang w:val="en-GB"/>
        </w:rPr>
        <w:t xml:space="preserve">climate and </w:t>
      </w:r>
      <w:r w:rsidR="002B5FC5">
        <w:rPr>
          <w:lang w:val="en-GB"/>
        </w:rPr>
        <w:t>improve</w:t>
      </w:r>
      <w:r w:rsidR="002B5FC5" w:rsidRPr="00156B9D">
        <w:rPr>
          <w:lang w:val="en-GB"/>
        </w:rPr>
        <w:t xml:space="preserve"> capacities to </w:t>
      </w:r>
      <w:r w:rsidRPr="00156B9D">
        <w:rPr>
          <w:lang w:val="en-GB"/>
        </w:rPr>
        <w:t xml:space="preserve">adapt </w:t>
      </w:r>
      <w:r w:rsidR="002B5FC5">
        <w:rPr>
          <w:lang w:val="en-GB"/>
        </w:rPr>
        <w:t>to</w:t>
      </w:r>
      <w:r w:rsidRPr="00156B9D">
        <w:rPr>
          <w:lang w:val="en-GB"/>
        </w:rPr>
        <w:t xml:space="preserve"> climate change. </w:t>
      </w:r>
      <w:r w:rsidR="005415E7">
        <w:rPr>
          <w:lang w:val="en-GB"/>
        </w:rPr>
        <w:t xml:space="preserve">It </w:t>
      </w:r>
      <w:r w:rsidR="005415E7" w:rsidRPr="00156B9D">
        <w:rPr>
          <w:lang w:val="en-GB"/>
        </w:rPr>
        <w:t xml:space="preserve">will provide </w:t>
      </w:r>
      <w:r w:rsidR="005415E7">
        <w:rPr>
          <w:lang w:val="en-GB"/>
        </w:rPr>
        <w:t>c</w:t>
      </w:r>
      <w:r w:rsidR="005415E7" w:rsidRPr="00156B9D">
        <w:rPr>
          <w:lang w:val="en-GB"/>
        </w:rPr>
        <w:t xml:space="preserve">ontinued </w:t>
      </w:r>
      <w:r w:rsidRPr="00156B9D">
        <w:rPr>
          <w:lang w:val="en-GB"/>
        </w:rPr>
        <w:t xml:space="preserve">support towards </w:t>
      </w:r>
      <w:r w:rsidR="005415E7">
        <w:rPr>
          <w:lang w:val="en-GB"/>
        </w:rPr>
        <w:t>meeting</w:t>
      </w:r>
      <w:r w:rsidR="005415E7" w:rsidRPr="00156B9D">
        <w:rPr>
          <w:lang w:val="en-GB"/>
        </w:rPr>
        <w:t xml:space="preserve"> </w:t>
      </w:r>
      <w:r w:rsidR="005415E7">
        <w:rPr>
          <w:lang w:val="en-GB"/>
        </w:rPr>
        <w:t xml:space="preserve">the </w:t>
      </w:r>
      <w:r w:rsidR="005415E7" w:rsidRPr="00156B9D">
        <w:rPr>
          <w:lang w:val="en-GB"/>
        </w:rPr>
        <w:t xml:space="preserve">commitments </w:t>
      </w:r>
      <w:r w:rsidR="005415E7">
        <w:rPr>
          <w:lang w:val="en-GB"/>
        </w:rPr>
        <w:t xml:space="preserve">that the Government of </w:t>
      </w:r>
      <w:r w:rsidRPr="00156B9D">
        <w:rPr>
          <w:lang w:val="en-GB"/>
        </w:rPr>
        <w:t>Guinea</w:t>
      </w:r>
      <w:r w:rsidR="005415E7">
        <w:rPr>
          <w:lang w:val="en-GB"/>
        </w:rPr>
        <w:t xml:space="preserve"> has made</w:t>
      </w:r>
      <w:r w:rsidRPr="00156B9D">
        <w:rPr>
          <w:lang w:val="en-GB"/>
        </w:rPr>
        <w:t xml:space="preserve"> to the Paris Agreement, the development and implementation of the </w:t>
      </w:r>
      <w:r w:rsidR="00660B22">
        <w:rPr>
          <w:lang w:val="en-GB"/>
        </w:rPr>
        <w:t>n</w:t>
      </w:r>
      <w:r w:rsidR="00660B22" w:rsidRPr="00156B9D">
        <w:rPr>
          <w:lang w:val="en-GB"/>
        </w:rPr>
        <w:t xml:space="preserve">ational </w:t>
      </w:r>
      <w:r w:rsidR="00660B22">
        <w:rPr>
          <w:lang w:val="en-GB"/>
        </w:rPr>
        <w:t>a</w:t>
      </w:r>
      <w:r w:rsidR="00660B22" w:rsidRPr="00156B9D">
        <w:rPr>
          <w:lang w:val="en-GB"/>
        </w:rPr>
        <w:t xml:space="preserve">daptation </w:t>
      </w:r>
      <w:r w:rsidR="00660B22">
        <w:rPr>
          <w:lang w:val="en-GB"/>
        </w:rPr>
        <w:t>p</w:t>
      </w:r>
      <w:r w:rsidRPr="00156B9D">
        <w:rPr>
          <w:lang w:val="en-GB"/>
        </w:rPr>
        <w:t>lan and the strengthening of initiatives that promote community resilience</w:t>
      </w:r>
      <w:r w:rsidR="005415E7">
        <w:rPr>
          <w:lang w:val="en-GB"/>
        </w:rPr>
        <w:t>,</w:t>
      </w:r>
      <w:r w:rsidRPr="00156B9D">
        <w:rPr>
          <w:lang w:val="en-GB"/>
        </w:rPr>
        <w:t xml:space="preserve"> including through civic engagement, volunteering and community participation to protect biodiversity.</w:t>
      </w:r>
    </w:p>
    <w:p w14:paraId="3976BF19" w14:textId="77777777" w:rsidR="005265CD" w:rsidRPr="00156B9D" w:rsidRDefault="005265CD" w:rsidP="005265CD">
      <w:pPr>
        <w:pStyle w:val="Heading2"/>
        <w:tabs>
          <w:tab w:val="left" w:pos="1418"/>
        </w:tabs>
        <w:ind w:left="993" w:right="713" w:hanging="709"/>
        <w:jc w:val="left"/>
        <w:rPr>
          <w:rFonts w:ascii="Times New Roman" w:hAnsi="Times New Roman"/>
          <w:lang w:val="en-GB"/>
        </w:rPr>
      </w:pPr>
      <w:r w:rsidRPr="00156B9D">
        <w:rPr>
          <w:rFonts w:ascii="Times New Roman" w:hAnsi="Times New Roman"/>
          <w:lang w:val="en-GB"/>
        </w:rPr>
        <w:t xml:space="preserve">III. </w:t>
      </w:r>
      <w:r w:rsidRPr="00156B9D">
        <w:rPr>
          <w:rFonts w:ascii="Times New Roman" w:hAnsi="Times New Roman"/>
          <w:lang w:val="en-GB"/>
        </w:rPr>
        <w:tab/>
        <w:t>Programme and risk management</w:t>
      </w:r>
    </w:p>
    <w:p w14:paraId="4EEE796B" w14:textId="77777777" w:rsidR="005265CD" w:rsidRPr="00156B9D" w:rsidRDefault="005265CD" w:rsidP="00D335E1">
      <w:pPr>
        <w:pStyle w:val="CPDTexte"/>
        <w:numPr>
          <w:ilvl w:val="0"/>
          <w:numId w:val="0"/>
        </w:numPr>
        <w:tabs>
          <w:tab w:val="clear" w:pos="1560"/>
          <w:tab w:val="left" w:pos="1418"/>
        </w:tabs>
        <w:spacing w:after="0"/>
        <w:ind w:left="992" w:right="714"/>
        <w:rPr>
          <w:lang w:val="en-GB"/>
        </w:rPr>
      </w:pPr>
    </w:p>
    <w:p w14:paraId="1D2B4EDB" w14:textId="70F3A420" w:rsidR="005265CD" w:rsidRPr="00156B9D" w:rsidRDefault="005265CD" w:rsidP="005265CD">
      <w:pPr>
        <w:pStyle w:val="CPDTexte"/>
        <w:ind w:left="993" w:right="713"/>
        <w:rPr>
          <w:lang w:val="en-GB" w:bidi="en-US"/>
        </w:rPr>
      </w:pPr>
      <w:r w:rsidRPr="00156B9D">
        <w:rPr>
          <w:lang w:val="en-GB"/>
        </w:rPr>
        <w:t xml:space="preserve">This country programme document outlines UNDP contributions to national results and is the primary unit of accountability to the Executive Board for alignment of results and resources assigned to the programme at the country level. Accountability to managers at the country, regional and headquarter levels with respect to the country programmes are prescribed in the organization’s </w:t>
      </w:r>
      <w:r w:rsidR="007A357F">
        <w:rPr>
          <w:lang w:val="en-GB"/>
        </w:rPr>
        <w:t>p</w:t>
      </w:r>
      <w:r w:rsidR="007A357F" w:rsidRPr="00156B9D">
        <w:rPr>
          <w:lang w:val="en-GB"/>
        </w:rPr>
        <w:t xml:space="preserve">rogramme </w:t>
      </w:r>
      <w:r w:rsidRPr="00156B9D">
        <w:rPr>
          <w:lang w:val="en-GB"/>
        </w:rPr>
        <w:t xml:space="preserve">and </w:t>
      </w:r>
      <w:r w:rsidR="007A357F">
        <w:rPr>
          <w:lang w:val="en-GB"/>
        </w:rPr>
        <w:t>o</w:t>
      </w:r>
      <w:r w:rsidR="007A357F" w:rsidRPr="00156B9D">
        <w:rPr>
          <w:lang w:val="en-GB"/>
        </w:rPr>
        <w:t xml:space="preserve">perations </w:t>
      </w:r>
      <w:r w:rsidR="007A357F">
        <w:rPr>
          <w:lang w:val="en-GB"/>
        </w:rPr>
        <w:t>p</w:t>
      </w:r>
      <w:r w:rsidR="007A357F" w:rsidRPr="00156B9D">
        <w:rPr>
          <w:lang w:val="en-GB"/>
        </w:rPr>
        <w:t xml:space="preserve">olicies </w:t>
      </w:r>
      <w:r w:rsidRPr="00156B9D">
        <w:rPr>
          <w:lang w:val="en-GB"/>
        </w:rPr>
        <w:t xml:space="preserve">and </w:t>
      </w:r>
      <w:r w:rsidR="007A357F">
        <w:rPr>
          <w:lang w:val="en-GB"/>
        </w:rPr>
        <w:t>p</w:t>
      </w:r>
      <w:r w:rsidR="007A357F" w:rsidRPr="00156B9D">
        <w:rPr>
          <w:lang w:val="en-GB"/>
        </w:rPr>
        <w:t xml:space="preserve">rocedures </w:t>
      </w:r>
      <w:r w:rsidRPr="00156B9D">
        <w:rPr>
          <w:lang w:val="en-GB"/>
        </w:rPr>
        <w:t>and the internal control framework.</w:t>
      </w:r>
    </w:p>
    <w:p w14:paraId="47E10CA4" w14:textId="3AFBB77B" w:rsidR="005265CD" w:rsidRPr="00156B9D" w:rsidRDefault="005265CD" w:rsidP="005265CD">
      <w:pPr>
        <w:pStyle w:val="CPDTexte"/>
        <w:ind w:left="993" w:right="713"/>
        <w:rPr>
          <w:lang w:val="en-GB" w:bidi="en-US"/>
        </w:rPr>
      </w:pPr>
      <w:r w:rsidRPr="00156B9D">
        <w:rPr>
          <w:lang w:val="en-GB"/>
        </w:rPr>
        <w:t>A portfolio approach and coordination mechanisms will be promoted and applied for</w:t>
      </w:r>
      <w:r w:rsidR="00FE0980" w:rsidRPr="00FE0980">
        <w:rPr>
          <w:lang w:val="en-GB"/>
        </w:rPr>
        <w:t xml:space="preserve"> </w:t>
      </w:r>
      <w:r w:rsidR="00FE0980" w:rsidRPr="00156B9D">
        <w:rPr>
          <w:lang w:val="en-GB"/>
        </w:rPr>
        <w:t>implementation</w:t>
      </w:r>
      <w:r w:rsidR="00124C82">
        <w:rPr>
          <w:lang w:val="en-GB"/>
        </w:rPr>
        <w:t xml:space="preserve"> </w:t>
      </w:r>
      <w:r w:rsidR="00FE0980">
        <w:rPr>
          <w:lang w:val="en-GB"/>
        </w:rPr>
        <w:t xml:space="preserve">of the </w:t>
      </w:r>
      <w:r w:rsidR="00124C82">
        <w:rPr>
          <w:lang w:val="en-GB"/>
        </w:rPr>
        <w:t xml:space="preserve">country programme </w:t>
      </w:r>
      <w:r w:rsidRPr="00156B9D">
        <w:rPr>
          <w:lang w:val="en-GB"/>
        </w:rPr>
        <w:t xml:space="preserve">in order to </w:t>
      </w:r>
      <w:r w:rsidR="0052632B">
        <w:rPr>
          <w:lang w:val="en-GB"/>
        </w:rPr>
        <w:t>improve</w:t>
      </w:r>
      <w:r w:rsidR="0052632B" w:rsidRPr="00156B9D">
        <w:rPr>
          <w:lang w:val="en-GB"/>
        </w:rPr>
        <w:t xml:space="preserve"> synerg</w:t>
      </w:r>
      <w:r w:rsidR="00FE0980">
        <w:rPr>
          <w:lang w:val="en-GB"/>
        </w:rPr>
        <w:t>ies</w:t>
      </w:r>
      <w:r w:rsidR="0052632B" w:rsidRPr="00156B9D">
        <w:rPr>
          <w:lang w:val="en-GB"/>
        </w:rPr>
        <w:t xml:space="preserve"> </w:t>
      </w:r>
      <w:r w:rsidRPr="00156B9D">
        <w:rPr>
          <w:lang w:val="en-GB"/>
        </w:rPr>
        <w:t xml:space="preserve">between programmes and optimize </w:t>
      </w:r>
      <w:r w:rsidR="00FB5BE3">
        <w:rPr>
          <w:lang w:val="en-GB"/>
        </w:rPr>
        <w:t xml:space="preserve">the </w:t>
      </w:r>
      <w:r w:rsidRPr="00156B9D">
        <w:rPr>
          <w:lang w:val="en-GB"/>
        </w:rPr>
        <w:t xml:space="preserve">effectiveness and efficiency of </w:t>
      </w:r>
      <w:r w:rsidR="005C64B6">
        <w:rPr>
          <w:lang w:val="en-GB"/>
        </w:rPr>
        <w:t>country office</w:t>
      </w:r>
      <w:r w:rsidRPr="00156B9D">
        <w:rPr>
          <w:lang w:val="en-GB"/>
        </w:rPr>
        <w:t xml:space="preserve"> actions. </w:t>
      </w:r>
    </w:p>
    <w:p w14:paraId="46D2B851" w14:textId="2BE5BFEA" w:rsidR="005265CD" w:rsidRPr="00156B9D" w:rsidRDefault="005265CD" w:rsidP="005265CD">
      <w:pPr>
        <w:pStyle w:val="CPDTexte"/>
        <w:ind w:left="993" w:right="713"/>
        <w:rPr>
          <w:lang w:val="en-GB" w:bidi="en-US"/>
        </w:rPr>
      </w:pPr>
      <w:r w:rsidRPr="00156B9D">
        <w:rPr>
          <w:lang w:val="en-GB"/>
        </w:rPr>
        <w:t>The programme will be nationally executed. If necessary</w:t>
      </w:r>
      <w:r w:rsidR="00BA4DC4">
        <w:rPr>
          <w:lang w:val="en-GB"/>
        </w:rPr>
        <w:t>,</w:t>
      </w:r>
      <w:r w:rsidRPr="00156B9D">
        <w:rPr>
          <w:lang w:val="en-GB"/>
        </w:rPr>
        <w:t xml:space="preserve"> national execution may be replaced by direct execution for part or all of the programme to enable </w:t>
      </w:r>
      <w:r w:rsidR="00314E4F">
        <w:rPr>
          <w:lang w:val="en-GB"/>
        </w:rPr>
        <w:t xml:space="preserve">a </w:t>
      </w:r>
      <w:r w:rsidRPr="00156B9D">
        <w:rPr>
          <w:lang w:val="en-GB"/>
        </w:rPr>
        <w:t xml:space="preserve">response to force majeure. </w:t>
      </w:r>
      <w:r w:rsidR="002D3E21">
        <w:rPr>
          <w:lang w:val="en-GB"/>
        </w:rPr>
        <w:t xml:space="preserve">The </w:t>
      </w:r>
      <w:r w:rsidR="007C0742">
        <w:rPr>
          <w:lang w:val="en-GB"/>
        </w:rPr>
        <w:t>h</w:t>
      </w:r>
      <w:r w:rsidR="007C0742" w:rsidRPr="00156B9D">
        <w:rPr>
          <w:lang w:val="en-GB"/>
        </w:rPr>
        <w:t xml:space="preserve">armonized </w:t>
      </w:r>
      <w:r w:rsidR="007C0742">
        <w:rPr>
          <w:lang w:val="en-GB"/>
        </w:rPr>
        <w:t>a</w:t>
      </w:r>
      <w:r w:rsidR="007C0742" w:rsidRPr="00156B9D">
        <w:rPr>
          <w:lang w:val="en-GB"/>
        </w:rPr>
        <w:t xml:space="preserve">pproach </w:t>
      </w:r>
      <w:r w:rsidRPr="00156B9D">
        <w:rPr>
          <w:lang w:val="en-GB"/>
        </w:rPr>
        <w:t xml:space="preserve">to </w:t>
      </w:r>
      <w:r w:rsidR="007C0742">
        <w:rPr>
          <w:lang w:val="en-GB"/>
        </w:rPr>
        <w:t>c</w:t>
      </w:r>
      <w:r w:rsidR="007C0742" w:rsidRPr="00156B9D">
        <w:rPr>
          <w:lang w:val="en-GB"/>
        </w:rPr>
        <w:t xml:space="preserve">ash </w:t>
      </w:r>
      <w:r w:rsidR="007C0742">
        <w:rPr>
          <w:lang w:val="en-GB"/>
        </w:rPr>
        <w:t>t</w:t>
      </w:r>
      <w:r w:rsidR="007C0742" w:rsidRPr="00156B9D">
        <w:rPr>
          <w:lang w:val="en-GB"/>
        </w:rPr>
        <w:t>ransfers</w:t>
      </w:r>
      <w:r w:rsidRPr="00156B9D">
        <w:rPr>
          <w:lang w:val="en-GB"/>
        </w:rPr>
        <w:t xml:space="preserve"> will be used in a coordinated fashion with other United Nations</w:t>
      </w:r>
      <w:r w:rsidR="00A249BF">
        <w:rPr>
          <w:lang w:val="en-GB"/>
        </w:rPr>
        <w:t xml:space="preserve"> organizations</w:t>
      </w:r>
      <w:r w:rsidRPr="00156B9D">
        <w:rPr>
          <w:lang w:val="en-GB"/>
        </w:rPr>
        <w:t xml:space="preserve"> to manage financial risks. Cost definitions and classifications for programme and development effectiveness will be charged to the concerned projects.</w:t>
      </w:r>
    </w:p>
    <w:p w14:paraId="33D0989A" w14:textId="13E85358" w:rsidR="005265CD" w:rsidRPr="00156B9D" w:rsidRDefault="005265CD" w:rsidP="005265CD">
      <w:pPr>
        <w:pStyle w:val="CPDTexte"/>
        <w:ind w:left="993" w:right="713"/>
        <w:rPr>
          <w:lang w:val="en-GB" w:bidi="en-US"/>
        </w:rPr>
      </w:pPr>
      <w:r w:rsidRPr="00156B9D">
        <w:rPr>
          <w:lang w:val="en-GB"/>
        </w:rPr>
        <w:t xml:space="preserve">The </w:t>
      </w:r>
      <w:r w:rsidR="00314E4F" w:rsidRPr="00156B9D">
        <w:rPr>
          <w:lang w:val="en-GB"/>
        </w:rPr>
        <w:t xml:space="preserve">UNSDCF steering committee will coordinate and guide the </w:t>
      </w:r>
      <w:r w:rsidRPr="00156B9D">
        <w:rPr>
          <w:lang w:val="en-GB"/>
        </w:rPr>
        <w:t>country programme</w:t>
      </w:r>
      <w:r w:rsidR="00912FA3">
        <w:rPr>
          <w:lang w:val="en-GB"/>
        </w:rPr>
        <w:t xml:space="preserve"> and</w:t>
      </w:r>
      <w:r w:rsidRPr="00156B9D">
        <w:rPr>
          <w:lang w:val="en-GB"/>
        </w:rPr>
        <w:t xml:space="preserve"> </w:t>
      </w:r>
      <w:r w:rsidR="00CE2576">
        <w:rPr>
          <w:lang w:val="en-GB"/>
        </w:rPr>
        <w:t xml:space="preserve">a </w:t>
      </w:r>
      <w:r w:rsidRPr="00156B9D">
        <w:rPr>
          <w:lang w:val="en-GB"/>
        </w:rPr>
        <w:t xml:space="preserve">programme steering committee will be established within UNDP, with the participation of government, civil society, private sector and other relevant partners.  </w:t>
      </w:r>
    </w:p>
    <w:p w14:paraId="63462009" w14:textId="5BC9A6B0" w:rsidR="005265CD" w:rsidRPr="00156B9D" w:rsidRDefault="00A70AD9" w:rsidP="005265CD">
      <w:pPr>
        <w:pStyle w:val="CPDTexte"/>
        <w:ind w:left="993" w:right="713"/>
        <w:rPr>
          <w:lang w:val="en-GB" w:bidi="en-US"/>
        </w:rPr>
      </w:pPr>
      <w:r>
        <w:rPr>
          <w:lang w:val="en-GB"/>
        </w:rPr>
        <w:t xml:space="preserve">The </w:t>
      </w:r>
      <w:r w:rsidR="005265CD" w:rsidRPr="00156B9D">
        <w:rPr>
          <w:lang w:val="en-GB"/>
        </w:rPr>
        <w:t xml:space="preserve">UNDP </w:t>
      </w:r>
      <w:r>
        <w:rPr>
          <w:lang w:val="en-GB"/>
        </w:rPr>
        <w:t>e</w:t>
      </w:r>
      <w:r w:rsidRPr="00156B9D">
        <w:rPr>
          <w:lang w:val="en-GB"/>
        </w:rPr>
        <w:t xml:space="preserve">nterprise </w:t>
      </w:r>
      <w:r>
        <w:rPr>
          <w:lang w:val="en-GB"/>
        </w:rPr>
        <w:t>r</w:t>
      </w:r>
      <w:r w:rsidRPr="00156B9D">
        <w:rPr>
          <w:lang w:val="en-GB"/>
        </w:rPr>
        <w:t xml:space="preserve">isk </w:t>
      </w:r>
      <w:r>
        <w:rPr>
          <w:lang w:val="en-GB"/>
        </w:rPr>
        <w:t>m</w:t>
      </w:r>
      <w:r w:rsidRPr="00156B9D">
        <w:rPr>
          <w:lang w:val="en-GB"/>
        </w:rPr>
        <w:t xml:space="preserve">anagement </w:t>
      </w:r>
      <w:r>
        <w:rPr>
          <w:lang w:val="en-GB"/>
        </w:rPr>
        <w:t>p</w:t>
      </w:r>
      <w:r w:rsidR="005265CD" w:rsidRPr="00156B9D">
        <w:rPr>
          <w:lang w:val="en-GB"/>
        </w:rPr>
        <w:t xml:space="preserve">olicy and associated </w:t>
      </w:r>
      <w:r>
        <w:rPr>
          <w:lang w:val="en-GB"/>
        </w:rPr>
        <w:t>s</w:t>
      </w:r>
      <w:r w:rsidRPr="00156B9D">
        <w:rPr>
          <w:lang w:val="en-GB"/>
        </w:rPr>
        <w:t xml:space="preserve">ocial </w:t>
      </w:r>
      <w:r w:rsidR="005265CD" w:rsidRPr="00156B9D">
        <w:rPr>
          <w:lang w:val="en-GB"/>
        </w:rPr>
        <w:t xml:space="preserve">and </w:t>
      </w:r>
      <w:r>
        <w:rPr>
          <w:lang w:val="en-GB"/>
        </w:rPr>
        <w:t>e</w:t>
      </w:r>
      <w:r w:rsidRPr="00156B9D">
        <w:rPr>
          <w:lang w:val="en-GB"/>
        </w:rPr>
        <w:t xml:space="preserve">nvironmental </w:t>
      </w:r>
      <w:r>
        <w:rPr>
          <w:lang w:val="en-GB"/>
        </w:rPr>
        <w:t>s</w:t>
      </w:r>
      <w:r w:rsidR="005265CD" w:rsidRPr="00156B9D">
        <w:rPr>
          <w:lang w:val="en-GB"/>
        </w:rPr>
        <w:t xml:space="preserve">tandards will be applied during the preparation and implementation of projects, including conducting private sector and human rights due diligence, to avoid any operational and reputational risks. The following risks may arise during the </w:t>
      </w:r>
      <w:r w:rsidR="005924E3" w:rsidRPr="00156B9D">
        <w:rPr>
          <w:lang w:val="en-GB"/>
        </w:rPr>
        <w:t>programme</w:t>
      </w:r>
      <w:r w:rsidR="005924E3">
        <w:rPr>
          <w:lang w:val="en-GB"/>
        </w:rPr>
        <w:t>’s</w:t>
      </w:r>
      <w:r w:rsidR="005924E3" w:rsidRPr="00156B9D">
        <w:rPr>
          <w:lang w:val="en-GB"/>
        </w:rPr>
        <w:t xml:space="preserve"> </w:t>
      </w:r>
      <w:r w:rsidR="005265CD" w:rsidRPr="00156B9D">
        <w:rPr>
          <w:lang w:val="en-GB"/>
        </w:rPr>
        <w:t xml:space="preserve">implementation: </w:t>
      </w:r>
    </w:p>
    <w:p w14:paraId="27A4EF5B" w14:textId="3E36F3AC" w:rsidR="005265CD" w:rsidRPr="00156B9D" w:rsidRDefault="005265CD" w:rsidP="005265CD">
      <w:pPr>
        <w:spacing w:before="240"/>
        <w:ind w:left="1276" w:right="713"/>
        <w:contextualSpacing/>
        <w:jc w:val="both"/>
        <w:rPr>
          <w:lang w:val="en-GB"/>
        </w:rPr>
      </w:pPr>
      <w:r w:rsidRPr="00156B9D">
        <w:rPr>
          <w:lang w:val="en-GB"/>
        </w:rPr>
        <w:t>(</w:t>
      </w:r>
      <w:r w:rsidR="00886BFA">
        <w:rPr>
          <w:lang w:val="en-GB"/>
        </w:rPr>
        <w:t>a</w:t>
      </w:r>
      <w:r w:rsidRPr="00156B9D">
        <w:rPr>
          <w:lang w:val="en-GB"/>
        </w:rPr>
        <w:t xml:space="preserve">) Security risks and community conflicts based primarily on land and electoral issues </w:t>
      </w:r>
      <w:r w:rsidR="00087322">
        <w:rPr>
          <w:lang w:val="en-GB"/>
        </w:rPr>
        <w:t>that</w:t>
      </w:r>
      <w:r w:rsidRPr="00156B9D">
        <w:rPr>
          <w:lang w:val="en-GB"/>
        </w:rPr>
        <w:t xml:space="preserve"> could compromise the participation of communities and stakeholders in development initiatives. UNDP will adopt a participatory approach involving all stakeholders in the promotion of programme interventions. Targeted actions to strengthen the resilience of </w:t>
      </w:r>
      <w:r w:rsidRPr="00156B9D">
        <w:rPr>
          <w:lang w:val="en-GB"/>
        </w:rPr>
        <w:lastRenderedPageBreak/>
        <w:t>young people and women, who are vulnerable to political and social instrumentalization, will be developed with a view to operationalizing the consultation and dialogue frameworks that will guide the peaceful resolution of conflicts and other security crises</w:t>
      </w:r>
      <w:r w:rsidR="00451F2C">
        <w:rPr>
          <w:lang w:val="en-GB"/>
        </w:rPr>
        <w:t>;</w:t>
      </w:r>
    </w:p>
    <w:p w14:paraId="7D7F3F8F" w14:textId="77777777" w:rsidR="005265CD" w:rsidRPr="00156B9D" w:rsidRDefault="005265CD" w:rsidP="005265CD">
      <w:pPr>
        <w:spacing w:before="240"/>
        <w:ind w:left="1276" w:right="713"/>
        <w:contextualSpacing/>
        <w:jc w:val="both"/>
        <w:rPr>
          <w:lang w:val="en-GB"/>
        </w:rPr>
      </w:pPr>
    </w:p>
    <w:p w14:paraId="15B6586C" w14:textId="1DC6F858" w:rsidR="005265CD" w:rsidRPr="00156B9D" w:rsidRDefault="005265CD" w:rsidP="005265CD">
      <w:pPr>
        <w:spacing w:before="240"/>
        <w:ind w:left="1276" w:right="713"/>
        <w:contextualSpacing/>
        <w:jc w:val="both"/>
        <w:rPr>
          <w:lang w:val="en-GB"/>
        </w:rPr>
      </w:pPr>
      <w:r w:rsidRPr="00156B9D">
        <w:rPr>
          <w:lang w:val="en-GB"/>
        </w:rPr>
        <w:t>(</w:t>
      </w:r>
      <w:r w:rsidR="00886BFA">
        <w:rPr>
          <w:lang w:val="en-GB"/>
        </w:rPr>
        <w:t>b</w:t>
      </w:r>
      <w:r w:rsidRPr="00156B9D">
        <w:rPr>
          <w:lang w:val="en-GB"/>
        </w:rPr>
        <w:t xml:space="preserve">) Risks due to climate change, natural disasters and pandemics threatening the resilience of communities </w:t>
      </w:r>
      <w:r w:rsidR="00E330D9">
        <w:rPr>
          <w:lang w:val="en-GB"/>
        </w:rPr>
        <w:t xml:space="preserve">that </w:t>
      </w:r>
      <w:r w:rsidRPr="00156B9D">
        <w:rPr>
          <w:lang w:val="en-GB"/>
        </w:rPr>
        <w:t xml:space="preserve">can compromise the participation of communities and stakeholders in development initiatives. UNDP will work </w:t>
      </w:r>
      <w:r w:rsidR="00CF278D">
        <w:rPr>
          <w:lang w:val="en-GB"/>
        </w:rPr>
        <w:t>with</w:t>
      </w:r>
      <w:r w:rsidR="00CF278D" w:rsidRPr="00156B9D">
        <w:rPr>
          <w:lang w:val="en-GB"/>
        </w:rPr>
        <w:t xml:space="preserve"> U</w:t>
      </w:r>
      <w:r w:rsidR="00CF278D">
        <w:rPr>
          <w:lang w:val="en-GB"/>
        </w:rPr>
        <w:t xml:space="preserve">nited </w:t>
      </w:r>
      <w:r w:rsidR="00CF278D" w:rsidRPr="00156B9D">
        <w:rPr>
          <w:lang w:val="en-GB"/>
        </w:rPr>
        <w:t>N</w:t>
      </w:r>
      <w:r w:rsidR="00CF278D">
        <w:rPr>
          <w:lang w:val="en-GB"/>
        </w:rPr>
        <w:t>ations</w:t>
      </w:r>
      <w:r w:rsidR="00CF278D" w:rsidRPr="00156B9D">
        <w:rPr>
          <w:lang w:val="en-GB"/>
        </w:rPr>
        <w:t xml:space="preserve"> partners, the Government and communities </w:t>
      </w:r>
      <w:r w:rsidR="00CF278D">
        <w:rPr>
          <w:lang w:val="en-GB"/>
        </w:rPr>
        <w:t xml:space="preserve">on </w:t>
      </w:r>
      <w:r w:rsidR="00CF278D" w:rsidRPr="00156B9D">
        <w:rPr>
          <w:lang w:val="en-GB"/>
        </w:rPr>
        <w:t>supporting the development of smart agriculture, green spaces</w:t>
      </w:r>
      <w:r w:rsidR="00CF278D">
        <w:rPr>
          <w:lang w:val="en-GB"/>
        </w:rPr>
        <w:t>,</w:t>
      </w:r>
      <w:r w:rsidR="00CF278D" w:rsidRPr="00156B9D">
        <w:rPr>
          <w:lang w:val="en-GB"/>
        </w:rPr>
        <w:t xml:space="preserve"> protected areas and a business continuity plan </w:t>
      </w:r>
      <w:r w:rsidR="000E7B26">
        <w:rPr>
          <w:lang w:val="en-GB"/>
        </w:rPr>
        <w:t>to</w:t>
      </w:r>
      <w:r w:rsidR="00CF278D" w:rsidRPr="00156B9D">
        <w:rPr>
          <w:lang w:val="en-GB"/>
        </w:rPr>
        <w:t xml:space="preserve"> </w:t>
      </w:r>
      <w:r w:rsidRPr="00156B9D">
        <w:rPr>
          <w:lang w:val="en-GB"/>
        </w:rPr>
        <w:t xml:space="preserve">build </w:t>
      </w:r>
      <w:r w:rsidR="003C2766" w:rsidRPr="00156B9D">
        <w:rPr>
          <w:lang w:val="en-GB"/>
        </w:rPr>
        <w:t>communit</w:t>
      </w:r>
      <w:r w:rsidR="003C2766">
        <w:rPr>
          <w:lang w:val="en-GB"/>
        </w:rPr>
        <w:t>y</w:t>
      </w:r>
      <w:r w:rsidR="003C2766" w:rsidRPr="00156B9D">
        <w:rPr>
          <w:lang w:val="en-GB"/>
        </w:rPr>
        <w:t xml:space="preserve"> </w:t>
      </w:r>
      <w:r w:rsidRPr="00156B9D">
        <w:rPr>
          <w:lang w:val="en-GB"/>
        </w:rPr>
        <w:t xml:space="preserve">and ecosystem </w:t>
      </w:r>
      <w:r w:rsidR="003C2766" w:rsidRPr="00156B9D">
        <w:rPr>
          <w:lang w:val="en-GB"/>
        </w:rPr>
        <w:t xml:space="preserve">resilience </w:t>
      </w:r>
      <w:r w:rsidR="00CF278D">
        <w:rPr>
          <w:lang w:val="en-GB"/>
        </w:rPr>
        <w:t>and</w:t>
      </w:r>
      <w:r w:rsidR="00CF278D" w:rsidRPr="00156B9D">
        <w:rPr>
          <w:lang w:val="en-GB"/>
        </w:rPr>
        <w:t xml:space="preserve"> </w:t>
      </w:r>
      <w:r w:rsidRPr="00156B9D">
        <w:rPr>
          <w:lang w:val="en-GB"/>
        </w:rPr>
        <w:t>ensur</w:t>
      </w:r>
      <w:r w:rsidR="000E7B26">
        <w:rPr>
          <w:lang w:val="en-GB"/>
        </w:rPr>
        <w:t>e</w:t>
      </w:r>
      <w:r w:rsidRPr="00156B9D">
        <w:rPr>
          <w:lang w:val="en-GB"/>
        </w:rPr>
        <w:t xml:space="preserve"> uninterrupted programme delivery. </w:t>
      </w:r>
      <w:r w:rsidR="00CF278D">
        <w:rPr>
          <w:lang w:val="en-GB"/>
        </w:rPr>
        <w:t>It</w:t>
      </w:r>
      <w:r w:rsidR="00CF278D" w:rsidRPr="00156B9D">
        <w:rPr>
          <w:lang w:val="en-GB"/>
        </w:rPr>
        <w:t xml:space="preserve"> </w:t>
      </w:r>
      <w:r w:rsidRPr="00156B9D">
        <w:rPr>
          <w:lang w:val="en-GB"/>
        </w:rPr>
        <w:t>will provide reprogramming options when needed</w:t>
      </w:r>
      <w:r w:rsidR="00834A48">
        <w:rPr>
          <w:lang w:val="en-GB"/>
        </w:rPr>
        <w:t>;</w:t>
      </w:r>
    </w:p>
    <w:p w14:paraId="0F6AEA4C" w14:textId="77777777" w:rsidR="005265CD" w:rsidRPr="00156B9D" w:rsidRDefault="005265CD" w:rsidP="005265CD">
      <w:pPr>
        <w:spacing w:before="240"/>
        <w:ind w:left="1276" w:right="713"/>
        <w:contextualSpacing/>
        <w:jc w:val="both"/>
        <w:rPr>
          <w:lang w:val="en-GB"/>
        </w:rPr>
      </w:pPr>
    </w:p>
    <w:p w14:paraId="13AB2EE4" w14:textId="1448CA84" w:rsidR="005265CD" w:rsidRPr="00156B9D" w:rsidRDefault="005265CD" w:rsidP="005265CD">
      <w:pPr>
        <w:spacing w:before="240"/>
        <w:ind w:left="1276" w:right="713"/>
        <w:contextualSpacing/>
        <w:jc w:val="both"/>
        <w:rPr>
          <w:lang w:val="en-GB"/>
        </w:rPr>
      </w:pPr>
      <w:r w:rsidRPr="00156B9D">
        <w:rPr>
          <w:lang w:val="en-GB"/>
        </w:rPr>
        <w:t>(</w:t>
      </w:r>
      <w:r w:rsidR="00886BFA">
        <w:rPr>
          <w:lang w:val="en-GB"/>
        </w:rPr>
        <w:t>c</w:t>
      </w:r>
      <w:r w:rsidRPr="00156B9D">
        <w:rPr>
          <w:lang w:val="en-GB"/>
        </w:rPr>
        <w:t xml:space="preserve">) </w:t>
      </w:r>
      <w:r w:rsidR="004637CD" w:rsidRPr="00156B9D">
        <w:rPr>
          <w:lang w:val="en-GB"/>
        </w:rPr>
        <w:t>Risks due to institutional instability and repetitive reforms</w:t>
      </w:r>
      <w:r w:rsidR="006738B7">
        <w:rPr>
          <w:lang w:val="en-GB"/>
        </w:rPr>
        <w:t>, accompanied by</w:t>
      </w:r>
      <w:r w:rsidR="004637CD" w:rsidRPr="00156B9D">
        <w:rPr>
          <w:lang w:val="en-GB"/>
        </w:rPr>
        <w:t xml:space="preserve"> </w:t>
      </w:r>
      <w:r w:rsidR="006738B7">
        <w:rPr>
          <w:lang w:val="en-GB"/>
        </w:rPr>
        <w:t>c</w:t>
      </w:r>
      <w:r w:rsidR="004637CD" w:rsidRPr="00156B9D">
        <w:rPr>
          <w:lang w:val="en-GB"/>
        </w:rPr>
        <w:t>redibility and legitimacy issues</w:t>
      </w:r>
      <w:r w:rsidR="004637CD">
        <w:rPr>
          <w:lang w:val="en-GB"/>
        </w:rPr>
        <w:t xml:space="preserve"> and</w:t>
      </w:r>
      <w:r w:rsidR="004637CD" w:rsidRPr="00156B9D">
        <w:rPr>
          <w:lang w:val="en-GB"/>
        </w:rPr>
        <w:t xml:space="preserve"> lack of consensus on socio-political, human rights and reconciliation issues</w:t>
      </w:r>
      <w:r w:rsidRPr="00156B9D">
        <w:rPr>
          <w:lang w:val="en-GB"/>
        </w:rPr>
        <w:t xml:space="preserve">. UNDP will develop an advocacy strategy to provide the Government and parliamentary committees with factual information on the programme axes and mobilize support </w:t>
      </w:r>
      <w:r w:rsidR="00730F7D">
        <w:rPr>
          <w:lang w:val="en-GB"/>
        </w:rPr>
        <w:t>for</w:t>
      </w:r>
      <w:r w:rsidR="00730F7D" w:rsidRPr="00156B9D">
        <w:rPr>
          <w:lang w:val="en-GB"/>
        </w:rPr>
        <w:t xml:space="preserve"> </w:t>
      </w:r>
      <w:r w:rsidRPr="00156B9D">
        <w:rPr>
          <w:lang w:val="en-GB"/>
        </w:rPr>
        <w:t xml:space="preserve">priority areas. UNDP will broaden its partnerships with civil society organizations and the media to </w:t>
      </w:r>
      <w:r w:rsidR="00D763B2">
        <w:rPr>
          <w:lang w:val="en-GB"/>
        </w:rPr>
        <w:t>increase</w:t>
      </w:r>
      <w:r w:rsidR="00863214" w:rsidRPr="00156B9D">
        <w:rPr>
          <w:lang w:val="en-GB"/>
        </w:rPr>
        <w:t xml:space="preserve"> </w:t>
      </w:r>
      <w:r w:rsidRPr="00156B9D">
        <w:rPr>
          <w:lang w:val="en-GB"/>
        </w:rPr>
        <w:t xml:space="preserve">public </w:t>
      </w:r>
      <w:r w:rsidR="00863214">
        <w:rPr>
          <w:lang w:val="en-GB"/>
        </w:rPr>
        <w:t>awareness</w:t>
      </w:r>
      <w:r w:rsidR="00863214" w:rsidRPr="00156B9D">
        <w:rPr>
          <w:lang w:val="en-GB"/>
        </w:rPr>
        <w:t xml:space="preserve"> </w:t>
      </w:r>
      <w:r w:rsidRPr="00156B9D">
        <w:rPr>
          <w:lang w:val="en-GB"/>
        </w:rPr>
        <w:t xml:space="preserve">and acceptance of the programme. </w:t>
      </w:r>
      <w:r w:rsidR="00863214">
        <w:rPr>
          <w:lang w:val="en-GB"/>
        </w:rPr>
        <w:t>It</w:t>
      </w:r>
      <w:r w:rsidR="00863214" w:rsidRPr="00156B9D">
        <w:rPr>
          <w:lang w:val="en-GB"/>
        </w:rPr>
        <w:t xml:space="preserve"> </w:t>
      </w:r>
      <w:r w:rsidRPr="00156B9D">
        <w:rPr>
          <w:lang w:val="en-GB"/>
        </w:rPr>
        <w:t xml:space="preserve">will also help </w:t>
      </w:r>
      <w:r w:rsidR="00863214">
        <w:rPr>
          <w:lang w:val="en-GB"/>
        </w:rPr>
        <w:t>the G</w:t>
      </w:r>
      <w:r w:rsidR="00863214" w:rsidRPr="00156B9D">
        <w:rPr>
          <w:lang w:val="en-GB"/>
        </w:rPr>
        <w:t xml:space="preserve">overnment </w:t>
      </w:r>
      <w:r w:rsidRPr="00156B9D">
        <w:rPr>
          <w:lang w:val="en-GB"/>
        </w:rPr>
        <w:t>formalize a framework to monitor the main reforms in public services, administrative management and decentralization</w:t>
      </w:r>
      <w:r w:rsidR="00834A48">
        <w:rPr>
          <w:lang w:val="en-GB"/>
        </w:rPr>
        <w:t>;</w:t>
      </w:r>
    </w:p>
    <w:p w14:paraId="2932AD08" w14:textId="77777777" w:rsidR="005265CD" w:rsidRPr="00156B9D" w:rsidRDefault="005265CD" w:rsidP="005265CD">
      <w:pPr>
        <w:spacing w:before="240"/>
        <w:ind w:left="1276" w:right="713"/>
        <w:contextualSpacing/>
        <w:jc w:val="both"/>
        <w:rPr>
          <w:lang w:val="en-GB"/>
        </w:rPr>
      </w:pPr>
    </w:p>
    <w:p w14:paraId="1824DB55" w14:textId="7EBCD872" w:rsidR="005265CD" w:rsidRPr="00156B9D" w:rsidRDefault="005265CD" w:rsidP="005265CD">
      <w:pPr>
        <w:spacing w:before="240"/>
        <w:ind w:left="1276" w:right="713"/>
        <w:contextualSpacing/>
        <w:jc w:val="both"/>
        <w:rPr>
          <w:lang w:val="en-GB"/>
        </w:rPr>
      </w:pPr>
      <w:r w:rsidRPr="00156B9D">
        <w:rPr>
          <w:lang w:val="en-GB"/>
        </w:rPr>
        <w:t>(</w:t>
      </w:r>
      <w:r w:rsidR="00751742">
        <w:rPr>
          <w:lang w:val="en-GB"/>
        </w:rPr>
        <w:t>d</w:t>
      </w:r>
      <w:r w:rsidRPr="00156B9D">
        <w:rPr>
          <w:lang w:val="en-GB"/>
        </w:rPr>
        <w:t xml:space="preserve">) </w:t>
      </w:r>
      <w:r w:rsidR="00C92799">
        <w:rPr>
          <w:lang w:val="en-GB"/>
        </w:rPr>
        <w:t>T</w:t>
      </w:r>
      <w:r w:rsidRPr="00156B9D">
        <w:rPr>
          <w:lang w:val="en-GB"/>
        </w:rPr>
        <w:t xml:space="preserve">he inability to mobilize adequate resources to achieve programme results due to the complex donor landscape in a country undergoing a political transition. UNDP will strive to diversify resource mobilization by strengthening private sector participation and innovative financing, and by encouraging public funding. </w:t>
      </w:r>
      <w:r w:rsidR="00E35E41">
        <w:rPr>
          <w:lang w:val="en-GB"/>
        </w:rPr>
        <w:t>It</w:t>
      </w:r>
      <w:r w:rsidR="00E35E41" w:rsidRPr="00156B9D">
        <w:rPr>
          <w:lang w:val="en-GB"/>
        </w:rPr>
        <w:t xml:space="preserve"> </w:t>
      </w:r>
      <w:r w:rsidRPr="00156B9D">
        <w:rPr>
          <w:lang w:val="en-GB"/>
        </w:rPr>
        <w:t xml:space="preserve">will develop and implement a partnership and resource mobilization strategy and </w:t>
      </w:r>
      <w:r w:rsidR="00E35E41">
        <w:rPr>
          <w:lang w:val="en-GB"/>
        </w:rPr>
        <w:t xml:space="preserve">an </w:t>
      </w:r>
      <w:r w:rsidRPr="00156B9D">
        <w:rPr>
          <w:lang w:val="en-GB"/>
        </w:rPr>
        <w:t xml:space="preserve">action plan to channel efforts towards capitalizing on opportunities for strategic and operational partnerships with the Government, other technical and financial partners, the private sector, </w:t>
      </w:r>
      <w:r w:rsidR="00844422">
        <w:rPr>
          <w:lang w:val="en-GB"/>
        </w:rPr>
        <w:t>non-governmental organizations</w:t>
      </w:r>
      <w:r w:rsidRPr="00156B9D">
        <w:rPr>
          <w:lang w:val="en-GB"/>
        </w:rPr>
        <w:t xml:space="preserve">, </w:t>
      </w:r>
      <w:r w:rsidR="00844422">
        <w:rPr>
          <w:lang w:val="en-GB"/>
        </w:rPr>
        <w:t>international financial institution</w:t>
      </w:r>
      <w:r w:rsidR="00844422" w:rsidRPr="00156B9D">
        <w:rPr>
          <w:lang w:val="en-GB"/>
        </w:rPr>
        <w:t>s</w:t>
      </w:r>
      <w:r w:rsidRPr="00156B9D">
        <w:rPr>
          <w:lang w:val="en-GB"/>
        </w:rPr>
        <w:t xml:space="preserve">, foundations and the diaspora. </w:t>
      </w:r>
      <w:r w:rsidR="00E35E41" w:rsidRPr="00156B9D">
        <w:rPr>
          <w:lang w:val="en-GB"/>
        </w:rPr>
        <w:t xml:space="preserve">UNDP </w:t>
      </w:r>
      <w:r w:rsidRPr="00156B9D">
        <w:rPr>
          <w:lang w:val="en-GB"/>
        </w:rPr>
        <w:t xml:space="preserve">will collaborate with other United Nations </w:t>
      </w:r>
      <w:r w:rsidR="00E35E41">
        <w:rPr>
          <w:lang w:val="en-GB"/>
        </w:rPr>
        <w:t>organizations</w:t>
      </w:r>
      <w:r w:rsidR="00E35E41" w:rsidRPr="00156B9D">
        <w:rPr>
          <w:lang w:val="en-GB"/>
        </w:rPr>
        <w:t xml:space="preserve"> </w:t>
      </w:r>
      <w:r w:rsidRPr="00156B9D">
        <w:rPr>
          <w:lang w:val="en-GB"/>
        </w:rPr>
        <w:t xml:space="preserve">in joint resource mobilization efforts. The resource mobilization strategy will </w:t>
      </w:r>
      <w:r w:rsidR="00E35E41">
        <w:rPr>
          <w:lang w:val="en-GB"/>
        </w:rPr>
        <w:t>improve</w:t>
      </w:r>
      <w:r w:rsidR="00E35E41" w:rsidRPr="00156B9D">
        <w:rPr>
          <w:lang w:val="en-GB"/>
        </w:rPr>
        <w:t xml:space="preserve"> </w:t>
      </w:r>
      <w:r w:rsidRPr="00156B9D">
        <w:rPr>
          <w:lang w:val="en-GB"/>
        </w:rPr>
        <w:t>communication and donor visibility, targeting non-traditional donors.</w:t>
      </w:r>
      <w:r w:rsidRPr="00156B9D">
        <w:rPr>
          <w:sz w:val="18"/>
          <w:szCs w:val="18"/>
          <w:lang w:val="en-GB"/>
        </w:rPr>
        <w:t xml:space="preserve"> </w:t>
      </w:r>
      <w:r w:rsidRPr="00156B9D">
        <w:rPr>
          <w:lang w:val="en-GB"/>
        </w:rPr>
        <w:t xml:space="preserve">The transition agenda offers </w:t>
      </w:r>
      <w:r w:rsidR="00E35E41" w:rsidRPr="00156B9D">
        <w:rPr>
          <w:lang w:val="en-GB"/>
        </w:rPr>
        <w:t xml:space="preserve">the programme </w:t>
      </w:r>
      <w:r w:rsidRPr="00156B9D">
        <w:rPr>
          <w:lang w:val="en-GB"/>
        </w:rPr>
        <w:t xml:space="preserve">several opportunities </w:t>
      </w:r>
      <w:r w:rsidR="00E35E41">
        <w:rPr>
          <w:lang w:val="en-GB"/>
        </w:rPr>
        <w:t>by</w:t>
      </w:r>
      <w:r w:rsidR="00E35E41" w:rsidRPr="00156B9D">
        <w:rPr>
          <w:lang w:val="en-GB"/>
        </w:rPr>
        <w:t xml:space="preserve"> </w:t>
      </w:r>
      <w:r w:rsidRPr="00156B9D">
        <w:rPr>
          <w:lang w:val="en-GB"/>
        </w:rPr>
        <w:t xml:space="preserve">laying </w:t>
      </w:r>
      <w:r w:rsidR="00E35E41">
        <w:rPr>
          <w:lang w:val="en-GB"/>
        </w:rPr>
        <w:t xml:space="preserve">the </w:t>
      </w:r>
      <w:r w:rsidRPr="00156B9D">
        <w:rPr>
          <w:lang w:val="en-GB"/>
        </w:rPr>
        <w:t>ground</w:t>
      </w:r>
      <w:r w:rsidR="00E35E41">
        <w:rPr>
          <w:lang w:val="en-GB"/>
        </w:rPr>
        <w:t>work</w:t>
      </w:r>
      <w:r w:rsidRPr="00156B9D">
        <w:rPr>
          <w:lang w:val="en-GB"/>
        </w:rPr>
        <w:t xml:space="preserve"> for strong and resilient institutions, structures and governance systems</w:t>
      </w:r>
      <w:r w:rsidR="00834A48">
        <w:rPr>
          <w:lang w:val="en-GB"/>
        </w:rPr>
        <w:t>;</w:t>
      </w:r>
      <w:r w:rsidR="00834A48" w:rsidRPr="00156B9D">
        <w:rPr>
          <w:lang w:val="en-GB"/>
        </w:rPr>
        <w:t xml:space="preserve"> </w:t>
      </w:r>
    </w:p>
    <w:p w14:paraId="58FF1409" w14:textId="77777777" w:rsidR="005265CD" w:rsidRPr="00156B9D" w:rsidRDefault="005265CD" w:rsidP="005265CD">
      <w:pPr>
        <w:spacing w:before="240"/>
        <w:ind w:left="1276" w:right="713"/>
        <w:contextualSpacing/>
        <w:jc w:val="both"/>
        <w:rPr>
          <w:lang w:val="en-GB"/>
        </w:rPr>
      </w:pPr>
    </w:p>
    <w:p w14:paraId="56725EB6" w14:textId="2AE1712A" w:rsidR="005265CD" w:rsidRPr="00156B9D" w:rsidRDefault="005265CD" w:rsidP="005265CD">
      <w:pPr>
        <w:spacing w:after="120"/>
        <w:ind w:left="1276" w:right="713"/>
        <w:jc w:val="both"/>
        <w:rPr>
          <w:lang w:val="en-GB" w:bidi="en-US"/>
        </w:rPr>
      </w:pPr>
      <w:r w:rsidRPr="00156B9D">
        <w:rPr>
          <w:lang w:val="en-GB"/>
        </w:rPr>
        <w:t>(</w:t>
      </w:r>
      <w:r w:rsidR="008D5010">
        <w:rPr>
          <w:lang w:val="en-GB"/>
        </w:rPr>
        <w:t>e</w:t>
      </w:r>
      <w:r w:rsidRPr="00156B9D">
        <w:rPr>
          <w:lang w:val="en-GB"/>
        </w:rPr>
        <w:t xml:space="preserve">) Potential risks related to gender inequality and the empowerment of women will be mitigated through enhanced advocacy actions with the </w:t>
      </w:r>
      <w:r w:rsidR="008D5010">
        <w:rPr>
          <w:lang w:val="en-GB"/>
        </w:rPr>
        <w:t>G</w:t>
      </w:r>
      <w:r w:rsidR="008D5010" w:rsidRPr="00156B9D">
        <w:rPr>
          <w:lang w:val="en-GB"/>
        </w:rPr>
        <w:t xml:space="preserve">overnment </w:t>
      </w:r>
      <w:r w:rsidRPr="00156B9D">
        <w:rPr>
          <w:lang w:val="en-GB"/>
        </w:rPr>
        <w:t xml:space="preserve">and financial partners for more sustainable transformation </w:t>
      </w:r>
      <w:r w:rsidR="008D5010" w:rsidRPr="00156B9D">
        <w:rPr>
          <w:lang w:val="en-GB"/>
        </w:rPr>
        <w:t xml:space="preserve">investments </w:t>
      </w:r>
      <w:r w:rsidRPr="00156B9D">
        <w:rPr>
          <w:lang w:val="en-GB"/>
        </w:rPr>
        <w:t>in this area.</w:t>
      </w:r>
    </w:p>
    <w:p w14:paraId="744A62C6" w14:textId="6D1BB9F1" w:rsidR="00E22CA6" w:rsidRPr="00156B9D" w:rsidRDefault="008C5974" w:rsidP="008C5974">
      <w:pPr>
        <w:pStyle w:val="Heading2"/>
        <w:tabs>
          <w:tab w:val="left" w:pos="1418"/>
        </w:tabs>
        <w:ind w:left="993" w:right="713" w:hanging="567"/>
        <w:jc w:val="left"/>
        <w:rPr>
          <w:rFonts w:ascii="Times New Roman" w:hAnsi="Times New Roman"/>
          <w:lang w:val="en-GB"/>
        </w:rPr>
      </w:pPr>
      <w:r w:rsidRPr="00156B9D">
        <w:rPr>
          <w:rFonts w:ascii="Times New Roman" w:hAnsi="Times New Roman"/>
          <w:lang w:val="en-GB"/>
        </w:rPr>
        <w:t xml:space="preserve">IV. </w:t>
      </w:r>
      <w:r w:rsidRPr="00156B9D">
        <w:rPr>
          <w:rFonts w:ascii="Times New Roman" w:hAnsi="Times New Roman"/>
          <w:lang w:val="en-GB"/>
        </w:rPr>
        <w:tab/>
      </w:r>
      <w:r w:rsidR="00E22CA6" w:rsidRPr="00156B9D">
        <w:rPr>
          <w:rFonts w:ascii="Times New Roman" w:hAnsi="Times New Roman"/>
          <w:lang w:val="en-GB"/>
        </w:rPr>
        <w:t>Monitoring and evaluatio</w:t>
      </w:r>
      <w:r w:rsidR="00BE6E79" w:rsidRPr="00156B9D">
        <w:rPr>
          <w:rFonts w:ascii="Times New Roman" w:hAnsi="Times New Roman"/>
          <w:lang w:val="en-GB"/>
        </w:rPr>
        <w:t>n</w:t>
      </w:r>
      <w:r w:rsidR="00E22CA6" w:rsidRPr="00156B9D">
        <w:rPr>
          <w:rFonts w:ascii="Times New Roman" w:hAnsi="Times New Roman"/>
          <w:lang w:val="en-GB"/>
        </w:rPr>
        <w:t xml:space="preserve"> </w:t>
      </w:r>
    </w:p>
    <w:p w14:paraId="64BC484E" w14:textId="77777777" w:rsidR="00E22CA6" w:rsidRPr="00156B9D" w:rsidRDefault="00E22CA6" w:rsidP="00E22CA6">
      <w:pPr>
        <w:tabs>
          <w:tab w:val="left" w:pos="1418"/>
        </w:tabs>
        <w:ind w:left="993" w:right="713"/>
        <w:rPr>
          <w:lang w:val="en-GB"/>
        </w:rPr>
      </w:pPr>
    </w:p>
    <w:p w14:paraId="4BB82C12" w14:textId="6E38BC2E" w:rsidR="005265CD" w:rsidRPr="00156B9D" w:rsidRDefault="005265CD" w:rsidP="005265CD">
      <w:pPr>
        <w:pStyle w:val="CPDTexte"/>
        <w:ind w:left="993" w:right="713"/>
        <w:rPr>
          <w:lang w:val="en-GB"/>
        </w:rPr>
      </w:pPr>
      <w:r w:rsidRPr="00156B9D">
        <w:rPr>
          <w:lang w:val="en-GB"/>
        </w:rPr>
        <w:t xml:space="preserve">UNDP will prepare an integrated </w:t>
      </w:r>
      <w:r w:rsidR="00C92799" w:rsidRPr="00156B9D">
        <w:rPr>
          <w:lang w:val="en-GB"/>
        </w:rPr>
        <w:t xml:space="preserve">five-year </w:t>
      </w:r>
      <w:r w:rsidRPr="00156B9D">
        <w:rPr>
          <w:lang w:val="en-GB"/>
        </w:rPr>
        <w:t>monitoring and evaluation plan</w:t>
      </w:r>
      <w:r w:rsidR="008D5010">
        <w:rPr>
          <w:lang w:val="en-GB"/>
        </w:rPr>
        <w:t xml:space="preserve"> </w:t>
      </w:r>
      <w:r w:rsidR="006B4E6E" w:rsidRPr="00156B9D">
        <w:rPr>
          <w:lang w:val="en-GB"/>
        </w:rPr>
        <w:t xml:space="preserve">annually updated </w:t>
      </w:r>
      <w:r w:rsidR="008D5010" w:rsidRPr="00156B9D">
        <w:rPr>
          <w:lang w:val="en-GB"/>
        </w:rPr>
        <w:t>at the programme and project level</w:t>
      </w:r>
      <w:r w:rsidR="008D5010">
        <w:rPr>
          <w:lang w:val="en-GB"/>
        </w:rPr>
        <w:t xml:space="preserve"> that</w:t>
      </w:r>
      <w:r w:rsidRPr="00156B9D">
        <w:rPr>
          <w:lang w:val="en-GB"/>
        </w:rPr>
        <w:t xml:space="preserve"> will serve as a baseline throughout the period covered by the </w:t>
      </w:r>
      <w:r w:rsidR="008D5010">
        <w:rPr>
          <w:lang w:val="en-GB"/>
        </w:rPr>
        <w:t>p</w:t>
      </w:r>
      <w:r w:rsidR="008D5010" w:rsidRPr="00156B9D">
        <w:rPr>
          <w:lang w:val="en-GB"/>
        </w:rPr>
        <w:t>rogramme</w:t>
      </w:r>
      <w:r w:rsidRPr="00156B9D">
        <w:rPr>
          <w:lang w:val="en-GB"/>
        </w:rPr>
        <w:t>.</w:t>
      </w:r>
    </w:p>
    <w:p w14:paraId="42712151" w14:textId="54366618" w:rsidR="005265CD" w:rsidRPr="00156B9D" w:rsidRDefault="005265CD" w:rsidP="005265CD">
      <w:pPr>
        <w:pStyle w:val="CPDTexte"/>
        <w:ind w:left="993" w:right="713"/>
        <w:rPr>
          <w:lang w:val="en-GB"/>
        </w:rPr>
      </w:pPr>
      <w:r w:rsidRPr="00156B9D">
        <w:rPr>
          <w:lang w:val="en-GB"/>
        </w:rPr>
        <w:t xml:space="preserve">UNDP will invest in </w:t>
      </w:r>
      <w:r w:rsidR="00F063E8">
        <w:rPr>
          <w:lang w:val="en-GB"/>
        </w:rPr>
        <w:t>improving</w:t>
      </w:r>
      <w:r w:rsidR="00F063E8" w:rsidRPr="00156B9D">
        <w:rPr>
          <w:lang w:val="en-GB"/>
        </w:rPr>
        <w:t xml:space="preserve"> </w:t>
      </w:r>
      <w:r w:rsidRPr="00156B9D">
        <w:rPr>
          <w:lang w:val="en-GB"/>
        </w:rPr>
        <w:t xml:space="preserve">national statistical information and efficient monitoring and evaluation systems in collaboration with United Nations </w:t>
      </w:r>
      <w:r w:rsidR="00841A06">
        <w:rPr>
          <w:lang w:val="en-GB"/>
        </w:rPr>
        <w:t>organizations</w:t>
      </w:r>
      <w:r w:rsidRPr="00156B9D">
        <w:rPr>
          <w:lang w:val="en-GB"/>
        </w:rPr>
        <w:t xml:space="preserve">, the National Institute of Statistics and the </w:t>
      </w:r>
      <w:r w:rsidR="00FE4168">
        <w:rPr>
          <w:lang w:val="en-GB"/>
        </w:rPr>
        <w:t>s</w:t>
      </w:r>
      <w:r w:rsidR="00FE4168" w:rsidRPr="00156B9D">
        <w:rPr>
          <w:lang w:val="en-GB"/>
        </w:rPr>
        <w:t xml:space="preserve">trategy </w:t>
      </w:r>
      <w:r w:rsidRPr="00156B9D">
        <w:rPr>
          <w:lang w:val="en-GB"/>
        </w:rPr>
        <w:t xml:space="preserve">and </w:t>
      </w:r>
      <w:r w:rsidR="00FE4168">
        <w:rPr>
          <w:lang w:val="en-GB"/>
        </w:rPr>
        <w:t>d</w:t>
      </w:r>
      <w:r w:rsidR="00FE4168" w:rsidRPr="00156B9D">
        <w:rPr>
          <w:lang w:val="en-GB"/>
        </w:rPr>
        <w:t xml:space="preserve">evelopment </w:t>
      </w:r>
      <w:r w:rsidR="00FE4168">
        <w:rPr>
          <w:lang w:val="en-GB"/>
        </w:rPr>
        <w:t>o</w:t>
      </w:r>
      <w:r w:rsidR="00FE4168" w:rsidRPr="00156B9D">
        <w:rPr>
          <w:lang w:val="en-GB"/>
        </w:rPr>
        <w:t xml:space="preserve">ffices </w:t>
      </w:r>
      <w:r w:rsidRPr="00156B9D">
        <w:rPr>
          <w:lang w:val="en-GB"/>
        </w:rPr>
        <w:t xml:space="preserve">of </w:t>
      </w:r>
      <w:r w:rsidR="00FE4168">
        <w:rPr>
          <w:lang w:val="en-GB"/>
        </w:rPr>
        <w:t xml:space="preserve">relevant </w:t>
      </w:r>
      <w:r w:rsidRPr="00156B9D">
        <w:rPr>
          <w:lang w:val="en-GB"/>
        </w:rPr>
        <w:t xml:space="preserve">ministries. </w:t>
      </w:r>
      <w:r w:rsidR="00841A06">
        <w:rPr>
          <w:lang w:val="en-GB"/>
        </w:rPr>
        <w:t>It</w:t>
      </w:r>
      <w:r w:rsidR="00841A06" w:rsidRPr="00156B9D">
        <w:rPr>
          <w:lang w:val="en-GB"/>
        </w:rPr>
        <w:t xml:space="preserve"> </w:t>
      </w:r>
      <w:r w:rsidRPr="00156B9D">
        <w:rPr>
          <w:lang w:val="en-GB"/>
        </w:rPr>
        <w:t xml:space="preserve">will </w:t>
      </w:r>
      <w:r w:rsidR="00841A06">
        <w:rPr>
          <w:lang w:val="en-GB"/>
        </w:rPr>
        <w:t>remain</w:t>
      </w:r>
      <w:r w:rsidRPr="00156B9D">
        <w:rPr>
          <w:lang w:val="en-GB"/>
        </w:rPr>
        <w:t xml:space="preserve"> committed to respecting gender equality and the principles of leaving no one behind.</w:t>
      </w:r>
    </w:p>
    <w:p w14:paraId="13C3236D" w14:textId="75B23537" w:rsidR="005265CD" w:rsidRPr="00156B9D" w:rsidRDefault="00841A06" w:rsidP="005265CD">
      <w:pPr>
        <w:pStyle w:val="CPDTexte"/>
        <w:ind w:left="993" w:right="713"/>
        <w:rPr>
          <w:lang w:val="en-GB"/>
        </w:rPr>
      </w:pPr>
      <w:r w:rsidRPr="00156B9D">
        <w:rPr>
          <w:lang w:val="en-GB"/>
        </w:rPr>
        <w:t xml:space="preserve">With the Government, partners and other United Nations </w:t>
      </w:r>
      <w:r>
        <w:rPr>
          <w:lang w:val="en-GB"/>
        </w:rPr>
        <w:t>organizations</w:t>
      </w:r>
      <w:r w:rsidRPr="00156B9D">
        <w:rPr>
          <w:lang w:val="en-GB"/>
        </w:rPr>
        <w:t xml:space="preserve">, </w:t>
      </w:r>
      <w:r w:rsidR="005265CD" w:rsidRPr="00156B9D">
        <w:rPr>
          <w:lang w:val="en-GB"/>
        </w:rPr>
        <w:t>UNDP will promote inclusive monitoring and evaluation through the Inter</w:t>
      </w:r>
      <w:r w:rsidR="00E354A9">
        <w:rPr>
          <w:lang w:val="en-GB"/>
        </w:rPr>
        <w:t>-</w:t>
      </w:r>
      <w:r w:rsidR="005265CD" w:rsidRPr="00156B9D">
        <w:rPr>
          <w:lang w:val="en-GB"/>
        </w:rPr>
        <w:t xml:space="preserve">agency Monitoring and Evaluation Group, adopting mixed and innovative data collection and analysis </w:t>
      </w:r>
      <w:r w:rsidRPr="00156B9D">
        <w:rPr>
          <w:lang w:val="en-GB"/>
        </w:rPr>
        <w:t xml:space="preserve">methods </w:t>
      </w:r>
      <w:r w:rsidR="005265CD" w:rsidRPr="00156B9D">
        <w:rPr>
          <w:lang w:val="en-GB"/>
        </w:rPr>
        <w:t xml:space="preserve">and a human rights and gender-based approach. </w:t>
      </w:r>
    </w:p>
    <w:p w14:paraId="1AB9BB55" w14:textId="6B62C677" w:rsidR="005265CD" w:rsidRPr="00156B9D" w:rsidRDefault="005265CD" w:rsidP="005265CD">
      <w:pPr>
        <w:pStyle w:val="CPDTexte"/>
        <w:ind w:left="993" w:right="713"/>
        <w:rPr>
          <w:lang w:val="en-GB"/>
        </w:rPr>
      </w:pPr>
      <w:r w:rsidRPr="00156B9D">
        <w:rPr>
          <w:lang w:val="en-GB"/>
        </w:rPr>
        <w:t xml:space="preserve">In areas </w:t>
      </w:r>
      <w:r w:rsidR="00E354A9">
        <w:rPr>
          <w:lang w:val="en-GB"/>
        </w:rPr>
        <w:t xml:space="preserve">of the country </w:t>
      </w:r>
      <w:r w:rsidRPr="00156B9D">
        <w:rPr>
          <w:lang w:val="en-GB"/>
        </w:rPr>
        <w:t xml:space="preserve">where access may be restricted, data will be collected in partnership with third parties. Mechanisms will be established to ensure the </w:t>
      </w:r>
      <w:r w:rsidR="00954887" w:rsidRPr="00156B9D">
        <w:rPr>
          <w:lang w:val="en-GB"/>
        </w:rPr>
        <w:t xml:space="preserve">credibility </w:t>
      </w:r>
      <w:r w:rsidR="00954887">
        <w:rPr>
          <w:lang w:val="en-GB"/>
        </w:rPr>
        <w:t xml:space="preserve">of the </w:t>
      </w:r>
      <w:r w:rsidR="00954887" w:rsidRPr="00156B9D">
        <w:rPr>
          <w:lang w:val="en-GB"/>
        </w:rPr>
        <w:t>data</w:t>
      </w:r>
      <w:r w:rsidR="00954887" w:rsidRPr="002A628C">
        <w:rPr>
          <w:lang w:val="en-GB"/>
        </w:rPr>
        <w:t xml:space="preserve"> </w:t>
      </w:r>
      <w:r w:rsidR="002A628C" w:rsidRPr="00156B9D">
        <w:rPr>
          <w:lang w:val="en-GB"/>
        </w:rPr>
        <w:t>collected</w:t>
      </w:r>
      <w:r w:rsidRPr="00156B9D">
        <w:rPr>
          <w:lang w:val="en-GB"/>
        </w:rPr>
        <w:t>. Project and programme steering committee meetings may be held remotely.</w:t>
      </w:r>
    </w:p>
    <w:p w14:paraId="1F7A7D3D" w14:textId="4DEC4215" w:rsidR="005265CD" w:rsidRPr="00156B9D" w:rsidRDefault="005265CD" w:rsidP="005265CD">
      <w:pPr>
        <w:pStyle w:val="CPDTexte"/>
        <w:ind w:left="993" w:right="713"/>
        <w:rPr>
          <w:lang w:val="en-GB"/>
        </w:rPr>
      </w:pPr>
      <w:r w:rsidRPr="00156B9D">
        <w:rPr>
          <w:lang w:val="en-GB"/>
        </w:rPr>
        <w:lastRenderedPageBreak/>
        <w:t xml:space="preserve">The implementation of the programme and progress towards the expected results will be monitored </w:t>
      </w:r>
      <w:r w:rsidR="00544C9E">
        <w:rPr>
          <w:lang w:val="en-GB"/>
        </w:rPr>
        <w:t xml:space="preserve">on a </w:t>
      </w:r>
      <w:r w:rsidR="00544C9E" w:rsidRPr="00156B9D">
        <w:rPr>
          <w:lang w:val="en-GB"/>
        </w:rPr>
        <w:t>regular</w:t>
      </w:r>
      <w:r w:rsidR="00544C9E">
        <w:rPr>
          <w:lang w:val="en-GB"/>
        </w:rPr>
        <w:t xml:space="preserve"> basis</w:t>
      </w:r>
      <w:r w:rsidR="00544C9E" w:rsidRPr="00156B9D">
        <w:rPr>
          <w:lang w:val="en-GB"/>
        </w:rPr>
        <w:t xml:space="preserve"> </w:t>
      </w:r>
      <w:r w:rsidRPr="00156B9D">
        <w:rPr>
          <w:lang w:val="en-GB"/>
        </w:rPr>
        <w:t xml:space="preserve">through coordination meetings, bi-annual and annual reviews and evaluation directly linked to the </w:t>
      </w:r>
      <w:r w:rsidR="002E6AB9" w:rsidRPr="00156B9D">
        <w:rPr>
          <w:lang w:val="en-GB"/>
        </w:rPr>
        <w:t xml:space="preserve">UNSDCF </w:t>
      </w:r>
      <w:r w:rsidRPr="00156B9D">
        <w:rPr>
          <w:lang w:val="en-GB"/>
        </w:rPr>
        <w:t xml:space="preserve">institutional review process. To inform these reviews, UNDP will use indicator data, </w:t>
      </w:r>
      <w:r w:rsidR="00E53763" w:rsidRPr="003732A0">
        <w:rPr>
          <w:lang w:val="en-GB"/>
        </w:rPr>
        <w:t xml:space="preserve">detailed </w:t>
      </w:r>
      <w:r w:rsidRPr="00E53763">
        <w:rPr>
          <w:lang w:val="en-GB"/>
        </w:rPr>
        <w:t xml:space="preserve">progress reports </w:t>
      </w:r>
      <w:r w:rsidR="00E53763" w:rsidRPr="003732A0">
        <w:rPr>
          <w:lang w:val="en-GB"/>
        </w:rPr>
        <w:t>on</w:t>
      </w:r>
      <w:r w:rsidRPr="00E53763">
        <w:rPr>
          <w:lang w:val="en-GB"/>
        </w:rPr>
        <w:t xml:space="preserve"> outputs and outcome level results</w:t>
      </w:r>
      <w:r w:rsidRPr="00156B9D">
        <w:rPr>
          <w:lang w:val="en-GB"/>
        </w:rPr>
        <w:t>, information from field visits and other analyses conducted to inform decision-making and the UNSDCF monitoring and evaluation system. All new projects will undergo quality assurance and social and environmental screening process</w:t>
      </w:r>
      <w:r w:rsidR="00663A34">
        <w:rPr>
          <w:lang w:val="en-GB"/>
        </w:rPr>
        <w:t>es</w:t>
      </w:r>
      <w:r w:rsidR="00C93D62">
        <w:rPr>
          <w:lang w:val="en-GB"/>
        </w:rPr>
        <w:t>,</w:t>
      </w:r>
      <w:r w:rsidRPr="00156B9D">
        <w:rPr>
          <w:lang w:val="en-GB"/>
        </w:rPr>
        <w:t xml:space="preserve"> and identified risks will be monitored and mitigated through appropriate interventions. </w:t>
      </w:r>
      <w:r w:rsidR="00663A34" w:rsidRPr="00156B9D">
        <w:rPr>
          <w:lang w:val="en-GB"/>
        </w:rPr>
        <w:t>During the annual steering committee</w:t>
      </w:r>
      <w:r w:rsidR="00663A34">
        <w:rPr>
          <w:lang w:val="en-GB"/>
        </w:rPr>
        <w:t xml:space="preserve"> meeting,</w:t>
      </w:r>
      <w:r w:rsidR="00663A34" w:rsidRPr="00156B9D">
        <w:rPr>
          <w:lang w:val="en-GB"/>
        </w:rPr>
        <w:t xml:space="preserve"> </w:t>
      </w:r>
      <w:r w:rsidR="00663A34">
        <w:rPr>
          <w:lang w:val="en-GB"/>
        </w:rPr>
        <w:t>t</w:t>
      </w:r>
      <w:r w:rsidR="00663A34" w:rsidRPr="00156B9D">
        <w:rPr>
          <w:lang w:val="en-GB"/>
        </w:rPr>
        <w:t xml:space="preserve">he </w:t>
      </w:r>
      <w:r w:rsidRPr="00156B9D">
        <w:rPr>
          <w:lang w:val="en-GB"/>
        </w:rPr>
        <w:t xml:space="preserve">theory of change, the results and resources framework and the evaluation plan will be reviewed and updated based on the country’s evolving situation, the results </w:t>
      </w:r>
      <w:proofErr w:type="gramStart"/>
      <w:r w:rsidRPr="00156B9D">
        <w:rPr>
          <w:lang w:val="en-GB"/>
        </w:rPr>
        <w:t>achieved</w:t>
      </w:r>
      <w:proofErr w:type="gramEnd"/>
      <w:r w:rsidRPr="00156B9D">
        <w:rPr>
          <w:lang w:val="en-GB"/>
        </w:rPr>
        <w:t xml:space="preserve"> and the lessons learned.</w:t>
      </w:r>
    </w:p>
    <w:p w14:paraId="265C0777" w14:textId="4B61E086" w:rsidR="009F7076" w:rsidRPr="00156B9D" w:rsidRDefault="005265CD" w:rsidP="005265CD">
      <w:pPr>
        <w:pStyle w:val="CPDTexte"/>
        <w:ind w:left="993" w:right="713"/>
        <w:rPr>
          <w:lang w:val="en-GB"/>
        </w:rPr>
      </w:pPr>
      <w:r w:rsidRPr="00156B9D">
        <w:rPr>
          <w:lang w:val="en-GB"/>
        </w:rPr>
        <w:t>At least 5 per cent of programme resources will be allocated to monitoring, evaluation and data collection. The planned policy will be followed with regard to the quality assurance of projects. In addition, the gender marker will be used to ensure that 60 per cent of all projects will be classified as GEN</w:t>
      </w:r>
      <w:r w:rsidR="006347D1">
        <w:rPr>
          <w:lang w:val="en-GB"/>
        </w:rPr>
        <w:t xml:space="preserve"> </w:t>
      </w:r>
      <w:r w:rsidRPr="00156B9D">
        <w:rPr>
          <w:lang w:val="en-GB"/>
        </w:rPr>
        <w:t>2 or GEN 3, and at least 15 per cent of expenditures will be allocated to promoting gender equality.</w:t>
      </w:r>
    </w:p>
    <w:p w14:paraId="0E24CD43" w14:textId="77777777" w:rsidR="009F7076" w:rsidRPr="00156B9D" w:rsidRDefault="009F7076" w:rsidP="009F7076">
      <w:pPr>
        <w:pStyle w:val="CPDTexte"/>
        <w:numPr>
          <w:ilvl w:val="0"/>
          <w:numId w:val="0"/>
        </w:numPr>
        <w:tabs>
          <w:tab w:val="clear" w:pos="1560"/>
          <w:tab w:val="left" w:pos="1418"/>
        </w:tabs>
        <w:ind w:left="1196" w:right="713"/>
        <w:rPr>
          <w:lang w:val="en-GB"/>
        </w:rPr>
      </w:pPr>
    </w:p>
    <w:p w14:paraId="2440D43E" w14:textId="06B96761" w:rsidR="007A5B57" w:rsidRPr="00156B9D" w:rsidRDefault="007A5B57" w:rsidP="00371AF8">
      <w:pPr>
        <w:pStyle w:val="CPDTexte"/>
        <w:tabs>
          <w:tab w:val="clear" w:pos="1560"/>
          <w:tab w:val="left" w:pos="1418"/>
        </w:tabs>
        <w:spacing w:line="240" w:lineRule="exact"/>
        <w:ind w:left="993" w:right="713"/>
        <w:rPr>
          <w:lang w:val="en-GB"/>
        </w:rPr>
        <w:sectPr w:rsidR="007A5B57" w:rsidRPr="00156B9D"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6DD42D9A" w14:textId="3327C92D" w:rsidR="007A5B57" w:rsidRPr="00156B9D" w:rsidRDefault="00357B24" w:rsidP="008C5974">
      <w:pPr>
        <w:spacing w:after="120"/>
        <w:ind w:left="1151" w:right="1151" w:hanging="881"/>
        <w:rPr>
          <w:b/>
          <w:color w:val="000000"/>
          <w:lang w:val="en-GB"/>
        </w:rPr>
      </w:pPr>
      <w:r w:rsidRPr="00156B9D">
        <w:rPr>
          <w:b/>
          <w:color w:val="000000"/>
          <w:sz w:val="24"/>
          <w:szCs w:val="24"/>
          <w:lang w:val="en-GB"/>
        </w:rPr>
        <w:lastRenderedPageBreak/>
        <w:t>Annex</w:t>
      </w:r>
      <w:r w:rsidR="008462C7" w:rsidRPr="00156B9D">
        <w:rPr>
          <w:b/>
          <w:color w:val="000000"/>
          <w:sz w:val="24"/>
          <w:szCs w:val="24"/>
          <w:lang w:val="en-GB"/>
        </w:rPr>
        <w:t>.</w:t>
      </w:r>
      <w:r w:rsidRPr="00156B9D">
        <w:rPr>
          <w:b/>
          <w:color w:val="000000"/>
          <w:sz w:val="24"/>
          <w:szCs w:val="24"/>
          <w:lang w:val="en-GB"/>
        </w:rPr>
        <w:t xml:space="preserve"> Results and resources framework for </w:t>
      </w:r>
      <w:r w:rsidR="005265CD" w:rsidRPr="00156B9D">
        <w:rPr>
          <w:b/>
          <w:sz w:val="24"/>
          <w:szCs w:val="24"/>
          <w:lang w:val="en-GB"/>
        </w:rPr>
        <w:t>Guinea</w:t>
      </w:r>
      <w:r w:rsidR="00EA5934" w:rsidRPr="00156B9D">
        <w:rPr>
          <w:b/>
          <w:sz w:val="24"/>
          <w:szCs w:val="24"/>
          <w:lang w:val="en-GB"/>
        </w:rPr>
        <w:t xml:space="preserve"> </w:t>
      </w:r>
      <w:r w:rsidRPr="00156B9D">
        <w:rPr>
          <w:b/>
          <w:color w:val="000000"/>
          <w:sz w:val="24"/>
          <w:szCs w:val="24"/>
          <w:lang w:val="en-GB"/>
        </w:rPr>
        <w:t>(202</w:t>
      </w:r>
      <w:r w:rsidR="00BE6E79" w:rsidRPr="00156B9D">
        <w:rPr>
          <w:b/>
          <w:color w:val="000000"/>
          <w:sz w:val="24"/>
          <w:szCs w:val="24"/>
          <w:lang w:val="en-GB"/>
        </w:rPr>
        <w:t>4</w:t>
      </w:r>
      <w:r w:rsidRPr="00156B9D">
        <w:rPr>
          <w:b/>
          <w:color w:val="000000"/>
          <w:sz w:val="24"/>
          <w:szCs w:val="24"/>
          <w:lang w:val="en-GB"/>
        </w:rPr>
        <w:t>-202</w:t>
      </w:r>
      <w:r w:rsidR="00BE6E79" w:rsidRPr="00156B9D">
        <w:rPr>
          <w:b/>
          <w:color w:val="000000"/>
          <w:sz w:val="24"/>
          <w:szCs w:val="24"/>
          <w:lang w:val="en-GB"/>
        </w:rPr>
        <w:t>8</w:t>
      </w:r>
      <w:r w:rsidRPr="00156B9D">
        <w:rPr>
          <w:b/>
          <w:color w:val="000000"/>
          <w:sz w:val="24"/>
          <w:szCs w:val="24"/>
          <w:lang w:val="en-GB"/>
        </w:rPr>
        <w:t>)</w:t>
      </w: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835"/>
        <w:gridCol w:w="4819"/>
        <w:gridCol w:w="2552"/>
        <w:gridCol w:w="1559"/>
      </w:tblGrid>
      <w:tr w:rsidR="0059376D" w:rsidRPr="00156B9D" w14:paraId="39BA3CEF" w14:textId="77777777" w:rsidTr="0059376D">
        <w:trPr>
          <w:trHeight w:val="245"/>
        </w:trPr>
        <w:tc>
          <w:tcPr>
            <w:tcW w:w="15310" w:type="dxa"/>
            <w:gridSpan w:val="5"/>
            <w:shd w:val="clear" w:color="auto" w:fill="DAEEF3" w:themeFill="accent5" w:themeFillTint="33"/>
          </w:tcPr>
          <w:p w14:paraId="6C05E8A0" w14:textId="77777777" w:rsidR="0059376D" w:rsidRPr="00156B9D" w:rsidRDefault="0059376D" w:rsidP="0059376D">
            <w:pPr>
              <w:ind w:right="322"/>
              <w:jc w:val="both"/>
              <w:rPr>
                <w:lang w:val="en-GB"/>
              </w:rPr>
            </w:pPr>
            <w:r w:rsidRPr="00156B9D">
              <w:rPr>
                <w:b/>
                <w:bCs/>
                <w:lang w:val="en-GB"/>
              </w:rPr>
              <w:t xml:space="preserve">National priority: </w:t>
            </w:r>
            <w:r w:rsidRPr="00156B9D">
              <w:rPr>
                <w:lang w:val="en-GB"/>
              </w:rPr>
              <w:t xml:space="preserve"> </w:t>
            </w:r>
            <w:r w:rsidRPr="00156B9D">
              <w:rPr>
                <w:b/>
                <w:bCs/>
                <w:lang w:val="en-GB"/>
              </w:rPr>
              <w:t>Axis 1:</w:t>
            </w:r>
            <w:r w:rsidRPr="00156B9D">
              <w:rPr>
                <w:lang w:val="en-GB"/>
              </w:rPr>
              <w:t xml:space="preserve"> Institutional reform; </w:t>
            </w:r>
            <w:r w:rsidRPr="00156B9D">
              <w:rPr>
                <w:b/>
                <w:bCs/>
                <w:lang w:val="en-GB"/>
              </w:rPr>
              <w:t>Axis 3</w:t>
            </w:r>
            <w:r w:rsidRPr="00156B9D">
              <w:rPr>
                <w:lang w:val="en-GB"/>
              </w:rPr>
              <w:t>: Legal framework and governance</w:t>
            </w:r>
          </w:p>
        </w:tc>
      </w:tr>
      <w:tr w:rsidR="0059376D" w:rsidRPr="00156B9D" w14:paraId="16AE0289" w14:textId="77777777" w:rsidTr="0059376D">
        <w:trPr>
          <w:trHeight w:val="432"/>
        </w:trPr>
        <w:tc>
          <w:tcPr>
            <w:tcW w:w="15310" w:type="dxa"/>
            <w:gridSpan w:val="5"/>
            <w:shd w:val="clear" w:color="auto" w:fill="DAEEF3" w:themeFill="accent5" w:themeFillTint="33"/>
          </w:tcPr>
          <w:p w14:paraId="38C06B93" w14:textId="09A484C5" w:rsidR="0059376D" w:rsidRPr="003732A0" w:rsidRDefault="0059376D" w:rsidP="00EE5CD5">
            <w:pPr>
              <w:pStyle w:val="pf0"/>
              <w:spacing w:after="0" w:afterAutospacing="0"/>
              <w:jc w:val="both"/>
              <w:rPr>
                <w:rFonts w:asciiTheme="majorBidi" w:hAnsiTheme="majorBidi" w:cstheme="majorBidi"/>
                <w:b/>
                <w:bCs/>
                <w:sz w:val="20"/>
                <w:szCs w:val="20"/>
                <w:lang w:val="en-GB"/>
              </w:rPr>
            </w:pPr>
            <w:r w:rsidRPr="00156B9D">
              <w:rPr>
                <w:b/>
                <w:bCs/>
                <w:sz w:val="20"/>
                <w:szCs w:val="20"/>
                <w:lang w:val="en-GB"/>
              </w:rPr>
              <w:t xml:space="preserve">United Nations Sustainable Development Cooperation Framework Outcome Involving UNDP: </w:t>
            </w:r>
            <w:r w:rsidRPr="003732A0">
              <w:rPr>
                <w:rFonts w:asciiTheme="majorBidi" w:hAnsiTheme="majorBidi" w:cstheme="majorBidi"/>
                <w:sz w:val="20"/>
                <w:szCs w:val="20"/>
                <w:lang w:val="en-GB"/>
              </w:rPr>
              <w:t>B</w:t>
            </w:r>
            <w:r w:rsidRPr="003732A0">
              <w:rPr>
                <w:rStyle w:val="cf01"/>
                <w:rFonts w:asciiTheme="majorBidi" w:hAnsiTheme="majorBidi" w:cstheme="majorBidi"/>
                <w:sz w:val="20"/>
                <w:szCs w:val="20"/>
                <w:lang w:val="en-GB"/>
              </w:rPr>
              <w:t xml:space="preserve">y the end of 2028, people, especially women and young people (girls and boys), </w:t>
            </w:r>
            <w:r w:rsidR="00E11735" w:rsidRPr="003732A0">
              <w:rPr>
                <w:rStyle w:val="cf01"/>
                <w:rFonts w:asciiTheme="majorBidi" w:hAnsiTheme="majorBidi" w:cstheme="majorBidi"/>
                <w:sz w:val="20"/>
                <w:szCs w:val="20"/>
                <w:lang w:val="en-GB"/>
              </w:rPr>
              <w:t xml:space="preserve">will </w:t>
            </w:r>
            <w:r w:rsidRPr="003732A0">
              <w:rPr>
                <w:rStyle w:val="cf01"/>
                <w:rFonts w:asciiTheme="majorBidi" w:hAnsiTheme="majorBidi" w:cstheme="majorBidi"/>
                <w:sz w:val="20"/>
                <w:szCs w:val="20"/>
                <w:lang w:val="en-GB"/>
              </w:rPr>
              <w:t>exercise their rights in a peaceful environment and participate in decision-making that affects their well-being.</w:t>
            </w:r>
          </w:p>
          <w:p w14:paraId="48EBBC92" w14:textId="12F8539B" w:rsidR="0059376D" w:rsidRPr="00156B9D" w:rsidRDefault="0059376D" w:rsidP="00EE5CD5">
            <w:pPr>
              <w:jc w:val="both"/>
              <w:rPr>
                <w:lang w:val="en-GB"/>
              </w:rPr>
            </w:pPr>
            <w:r w:rsidRPr="00156B9D">
              <w:rPr>
                <w:b/>
                <w:bCs/>
                <w:lang w:val="en-GB"/>
              </w:rPr>
              <w:t>S</w:t>
            </w:r>
            <w:r w:rsidR="00E11735">
              <w:rPr>
                <w:b/>
                <w:bCs/>
                <w:lang w:val="en-GB"/>
              </w:rPr>
              <w:t xml:space="preserve">ustainable </w:t>
            </w:r>
            <w:r w:rsidRPr="00156B9D">
              <w:rPr>
                <w:b/>
                <w:bCs/>
                <w:lang w:val="en-GB"/>
              </w:rPr>
              <w:t>D</w:t>
            </w:r>
            <w:r w:rsidR="00E11735">
              <w:rPr>
                <w:b/>
                <w:bCs/>
                <w:lang w:val="en-GB"/>
              </w:rPr>
              <w:t xml:space="preserve">evelopment </w:t>
            </w:r>
            <w:r w:rsidRPr="00156B9D">
              <w:rPr>
                <w:b/>
                <w:bCs/>
                <w:lang w:val="en-GB"/>
              </w:rPr>
              <w:t>G</w:t>
            </w:r>
            <w:r w:rsidR="00E11735">
              <w:rPr>
                <w:b/>
                <w:bCs/>
                <w:lang w:val="en-GB"/>
              </w:rPr>
              <w:t>oal</w:t>
            </w:r>
            <w:r w:rsidRPr="00156B9D">
              <w:rPr>
                <w:b/>
                <w:bCs/>
                <w:lang w:val="en-GB"/>
              </w:rPr>
              <w:t>s:</w:t>
            </w:r>
            <w:r w:rsidRPr="00156B9D">
              <w:rPr>
                <w:lang w:val="en-GB"/>
              </w:rPr>
              <w:t xml:space="preserve">  5, 10, 16, 17.</w:t>
            </w:r>
          </w:p>
        </w:tc>
      </w:tr>
      <w:tr w:rsidR="0059376D" w:rsidRPr="00156B9D" w14:paraId="2A7712E1" w14:textId="77777777" w:rsidTr="0059376D">
        <w:trPr>
          <w:trHeight w:val="338"/>
        </w:trPr>
        <w:tc>
          <w:tcPr>
            <w:tcW w:w="15310" w:type="dxa"/>
            <w:gridSpan w:val="5"/>
            <w:shd w:val="clear" w:color="auto" w:fill="DAEEF3" w:themeFill="accent5" w:themeFillTint="33"/>
          </w:tcPr>
          <w:p w14:paraId="2CA3FEEA" w14:textId="77777777" w:rsidR="0059376D" w:rsidRPr="00156B9D" w:rsidRDefault="0059376D" w:rsidP="00EE5CD5">
            <w:pPr>
              <w:jc w:val="both"/>
              <w:rPr>
                <w:lang w:val="en-GB"/>
              </w:rPr>
            </w:pPr>
            <w:r w:rsidRPr="00156B9D">
              <w:rPr>
                <w:b/>
                <w:bCs/>
                <w:lang w:val="en-GB"/>
              </w:rPr>
              <w:t xml:space="preserve">Related strategic plan outcome: </w:t>
            </w:r>
            <w:r w:rsidRPr="00156B9D">
              <w:rPr>
                <w:lang w:val="en-GB"/>
              </w:rPr>
              <w:t>Leaving no one behind, a rights-based approach centred on human agency and human development</w:t>
            </w:r>
          </w:p>
        </w:tc>
      </w:tr>
      <w:tr w:rsidR="0059376D" w:rsidRPr="00156B9D" w14:paraId="02CBF4F8" w14:textId="77777777" w:rsidTr="0059376D">
        <w:trPr>
          <w:trHeight w:val="432"/>
        </w:trPr>
        <w:tc>
          <w:tcPr>
            <w:tcW w:w="3545" w:type="dxa"/>
            <w:shd w:val="clear" w:color="auto" w:fill="F2F2F2" w:themeFill="background1" w:themeFillShade="F2"/>
          </w:tcPr>
          <w:p w14:paraId="351BFA3C" w14:textId="77777777" w:rsidR="0059376D" w:rsidRPr="00156B9D" w:rsidRDefault="0059376D" w:rsidP="00EE5CD5">
            <w:pPr>
              <w:jc w:val="both"/>
              <w:rPr>
                <w:b/>
                <w:bCs/>
                <w:lang w:val="en-GB"/>
              </w:rPr>
            </w:pPr>
            <w:r w:rsidRPr="00156B9D">
              <w:rPr>
                <w:b/>
                <w:bCs/>
                <w:lang w:val="en-GB"/>
              </w:rPr>
              <w:t>Outcome indicators, baselines and targets</w:t>
            </w:r>
          </w:p>
          <w:p w14:paraId="0D5BA7FE" w14:textId="77777777" w:rsidR="0059376D" w:rsidRPr="00156B9D" w:rsidRDefault="0059376D" w:rsidP="00EE5CD5">
            <w:pPr>
              <w:jc w:val="both"/>
              <w:rPr>
                <w:lang w:val="en-GB"/>
              </w:rPr>
            </w:pPr>
          </w:p>
        </w:tc>
        <w:tc>
          <w:tcPr>
            <w:tcW w:w="2835" w:type="dxa"/>
            <w:shd w:val="clear" w:color="auto" w:fill="F2F2F2" w:themeFill="background1" w:themeFillShade="F2"/>
          </w:tcPr>
          <w:p w14:paraId="104866BC" w14:textId="272517BC" w:rsidR="0059376D" w:rsidRPr="00156B9D" w:rsidRDefault="0059376D" w:rsidP="00EE5CD5">
            <w:pPr>
              <w:jc w:val="both"/>
              <w:rPr>
                <w:b/>
                <w:bCs/>
                <w:lang w:val="en-GB"/>
              </w:rPr>
            </w:pPr>
            <w:r w:rsidRPr="00156B9D">
              <w:rPr>
                <w:b/>
                <w:bCs/>
                <w:lang w:val="en-GB"/>
              </w:rPr>
              <w:t xml:space="preserve">Data source and frequency of data collection, and responsible </w:t>
            </w:r>
            <w:r w:rsidR="0044457F">
              <w:rPr>
                <w:b/>
                <w:bCs/>
                <w:lang w:val="en-GB"/>
              </w:rPr>
              <w:t>organizations</w:t>
            </w:r>
          </w:p>
        </w:tc>
        <w:tc>
          <w:tcPr>
            <w:tcW w:w="4819" w:type="dxa"/>
            <w:shd w:val="clear" w:color="auto" w:fill="F2F2F2" w:themeFill="background1" w:themeFillShade="F2"/>
          </w:tcPr>
          <w:p w14:paraId="4499FB42" w14:textId="77777777" w:rsidR="0059376D" w:rsidRPr="00156B9D" w:rsidRDefault="0059376D" w:rsidP="00EE5CD5">
            <w:pPr>
              <w:jc w:val="both"/>
              <w:rPr>
                <w:b/>
                <w:bCs/>
                <w:lang w:val="en-GB"/>
              </w:rPr>
            </w:pPr>
            <w:r w:rsidRPr="00156B9D">
              <w:rPr>
                <w:b/>
                <w:bCs/>
                <w:lang w:val="en-GB"/>
              </w:rPr>
              <w:t>Indicative outputs (including indicators, baselines and targets)</w:t>
            </w:r>
          </w:p>
        </w:tc>
        <w:tc>
          <w:tcPr>
            <w:tcW w:w="2552" w:type="dxa"/>
            <w:shd w:val="clear" w:color="auto" w:fill="F2F2F2" w:themeFill="background1" w:themeFillShade="F2"/>
          </w:tcPr>
          <w:p w14:paraId="6248FF52" w14:textId="77777777" w:rsidR="0059376D" w:rsidRPr="00156B9D" w:rsidRDefault="0059376D" w:rsidP="00EE5CD5">
            <w:pPr>
              <w:jc w:val="both"/>
              <w:rPr>
                <w:b/>
                <w:bCs/>
                <w:lang w:val="en-GB"/>
              </w:rPr>
            </w:pPr>
            <w:r w:rsidRPr="00156B9D">
              <w:rPr>
                <w:b/>
                <w:bCs/>
                <w:lang w:val="en-GB"/>
              </w:rPr>
              <w:t>Major partners/partnership frameworks</w:t>
            </w:r>
          </w:p>
        </w:tc>
        <w:tc>
          <w:tcPr>
            <w:tcW w:w="1559" w:type="dxa"/>
            <w:shd w:val="clear" w:color="auto" w:fill="F2F2F2" w:themeFill="background1" w:themeFillShade="F2"/>
          </w:tcPr>
          <w:p w14:paraId="2577DFA8" w14:textId="04EF53EB" w:rsidR="0059376D" w:rsidRPr="00156B9D" w:rsidRDefault="0059376D" w:rsidP="00EE5CD5">
            <w:pPr>
              <w:jc w:val="both"/>
              <w:rPr>
                <w:lang w:val="en-GB"/>
              </w:rPr>
            </w:pPr>
            <w:r w:rsidRPr="00156B9D">
              <w:rPr>
                <w:b/>
                <w:bCs/>
                <w:lang w:val="en-GB"/>
              </w:rPr>
              <w:t xml:space="preserve">Indicative resources by outcome (In thousands of </w:t>
            </w:r>
            <w:r w:rsidR="00E11735">
              <w:rPr>
                <w:b/>
                <w:bCs/>
                <w:lang w:val="en-GB"/>
              </w:rPr>
              <w:t>$</w:t>
            </w:r>
            <w:r w:rsidRPr="00156B9D">
              <w:rPr>
                <w:lang w:val="en-GB"/>
              </w:rPr>
              <w:t>)</w:t>
            </w:r>
          </w:p>
        </w:tc>
      </w:tr>
      <w:tr w:rsidR="0059376D" w:rsidRPr="00156B9D" w14:paraId="692142D3" w14:textId="77777777" w:rsidTr="0059376D">
        <w:trPr>
          <w:trHeight w:val="300"/>
        </w:trPr>
        <w:tc>
          <w:tcPr>
            <w:tcW w:w="3545" w:type="dxa"/>
            <w:vMerge w:val="restart"/>
            <w:shd w:val="clear" w:color="auto" w:fill="auto"/>
          </w:tcPr>
          <w:p w14:paraId="658185C3" w14:textId="58AA5EB8" w:rsidR="0059376D" w:rsidRPr="00156B9D" w:rsidRDefault="0059376D" w:rsidP="00EE5CD5">
            <w:pPr>
              <w:jc w:val="both"/>
              <w:rPr>
                <w:bCs/>
                <w:lang w:val="en-GB"/>
              </w:rPr>
            </w:pPr>
            <w:r w:rsidRPr="00156B9D">
              <w:rPr>
                <w:b/>
                <w:lang w:val="en-GB"/>
              </w:rPr>
              <w:t>Indicator 1.1</w:t>
            </w:r>
            <w:r w:rsidRPr="00156B9D">
              <w:rPr>
                <w:bCs/>
                <w:lang w:val="en-GB"/>
              </w:rPr>
              <w:t xml:space="preserve">: Ibrahim Index </w:t>
            </w:r>
            <w:r w:rsidR="00D340A6" w:rsidRPr="00156B9D">
              <w:rPr>
                <w:bCs/>
                <w:lang w:val="en-GB"/>
              </w:rPr>
              <w:t>o</w:t>
            </w:r>
            <w:r w:rsidR="00D340A6">
              <w:rPr>
                <w:bCs/>
                <w:lang w:val="en-GB"/>
              </w:rPr>
              <w:t>f</w:t>
            </w:r>
            <w:r w:rsidR="00D340A6" w:rsidRPr="00156B9D">
              <w:rPr>
                <w:bCs/>
                <w:lang w:val="en-GB"/>
              </w:rPr>
              <w:t xml:space="preserve"> Africa</w:t>
            </w:r>
            <w:r w:rsidR="00D340A6">
              <w:rPr>
                <w:bCs/>
                <w:lang w:val="en-GB"/>
              </w:rPr>
              <w:t>n</w:t>
            </w:r>
            <w:r w:rsidR="00D340A6" w:rsidRPr="00156B9D">
              <w:rPr>
                <w:bCs/>
                <w:lang w:val="en-GB"/>
              </w:rPr>
              <w:t xml:space="preserve"> </w:t>
            </w:r>
            <w:r w:rsidRPr="00156B9D">
              <w:rPr>
                <w:bCs/>
                <w:lang w:val="en-GB"/>
              </w:rPr>
              <w:t>Governance</w:t>
            </w:r>
          </w:p>
          <w:p w14:paraId="34F58879" w14:textId="1B008D4A" w:rsidR="0059376D" w:rsidRPr="00156B9D" w:rsidRDefault="0059376D" w:rsidP="00EE5CD5">
            <w:pPr>
              <w:jc w:val="both"/>
              <w:rPr>
                <w:bCs/>
                <w:lang w:val="en-GB"/>
              </w:rPr>
            </w:pPr>
            <w:r w:rsidRPr="00156B9D">
              <w:rPr>
                <w:b/>
                <w:lang w:val="en-GB"/>
              </w:rPr>
              <w:t>Baseline</w:t>
            </w:r>
            <w:r w:rsidR="00E11735">
              <w:rPr>
                <w:b/>
                <w:lang w:val="en-GB"/>
              </w:rPr>
              <w:t xml:space="preserve"> </w:t>
            </w:r>
            <w:r w:rsidRPr="00156B9D">
              <w:rPr>
                <w:b/>
                <w:lang w:val="en-GB"/>
              </w:rPr>
              <w:t>(2022)</w:t>
            </w:r>
            <w:r w:rsidRPr="00156B9D">
              <w:rPr>
                <w:bCs/>
                <w:lang w:val="en-GB"/>
              </w:rPr>
              <w:t>: 41</w:t>
            </w:r>
            <w:r w:rsidR="00F159F0">
              <w:rPr>
                <w:bCs/>
                <w:lang w:val="en-GB"/>
              </w:rPr>
              <w:t>.</w:t>
            </w:r>
            <w:r w:rsidRPr="00156B9D">
              <w:rPr>
                <w:bCs/>
                <w:lang w:val="en-GB"/>
              </w:rPr>
              <w:t>2%</w:t>
            </w:r>
          </w:p>
          <w:p w14:paraId="4A815363" w14:textId="28B89E8D" w:rsidR="0059376D" w:rsidRPr="00156B9D" w:rsidRDefault="0059376D" w:rsidP="00EE5CD5">
            <w:pPr>
              <w:jc w:val="both"/>
              <w:rPr>
                <w:bCs/>
                <w:lang w:val="en-GB"/>
              </w:rPr>
            </w:pPr>
            <w:r w:rsidRPr="00156B9D">
              <w:rPr>
                <w:b/>
                <w:lang w:val="en-GB"/>
              </w:rPr>
              <w:t>Target</w:t>
            </w:r>
            <w:r w:rsidR="00E11735">
              <w:rPr>
                <w:b/>
                <w:lang w:val="en-GB"/>
              </w:rPr>
              <w:t xml:space="preserve"> </w:t>
            </w:r>
            <w:r w:rsidRPr="00156B9D">
              <w:rPr>
                <w:b/>
                <w:lang w:val="en-GB"/>
              </w:rPr>
              <w:t>(2028)</w:t>
            </w:r>
            <w:r w:rsidRPr="00156B9D">
              <w:rPr>
                <w:bCs/>
                <w:lang w:val="en-GB"/>
              </w:rPr>
              <w:t xml:space="preserve">: 49% </w:t>
            </w:r>
          </w:p>
          <w:p w14:paraId="5E68D71A" w14:textId="77777777" w:rsidR="0059376D" w:rsidRPr="00156B9D" w:rsidRDefault="0059376D" w:rsidP="00EE5CD5">
            <w:pPr>
              <w:jc w:val="both"/>
              <w:rPr>
                <w:bCs/>
                <w:lang w:val="en-GB"/>
              </w:rPr>
            </w:pPr>
          </w:p>
          <w:p w14:paraId="7710EDFD" w14:textId="77777777" w:rsidR="0059376D" w:rsidRPr="00156B9D" w:rsidRDefault="0059376D" w:rsidP="00EE5CD5">
            <w:pPr>
              <w:jc w:val="both"/>
              <w:rPr>
                <w:bCs/>
                <w:lang w:val="en-GB"/>
              </w:rPr>
            </w:pPr>
          </w:p>
          <w:p w14:paraId="5F86F22D" w14:textId="7C11DDA4" w:rsidR="0059376D" w:rsidRPr="00156B9D" w:rsidRDefault="0059376D" w:rsidP="00EE5CD5">
            <w:pPr>
              <w:pStyle w:val="HTMLPreformatted"/>
              <w:jc w:val="both"/>
              <w:rPr>
                <w:rFonts w:ascii="Times New Roman" w:hAnsi="Times New Roman"/>
                <w:lang w:val="en-GB"/>
              </w:rPr>
            </w:pPr>
            <w:r w:rsidRPr="00156B9D">
              <w:rPr>
                <w:rFonts w:ascii="Times New Roman" w:hAnsi="Times New Roman"/>
                <w:b/>
                <w:lang w:val="en-GB"/>
              </w:rPr>
              <w:t xml:space="preserve">Indicator 1.2: </w:t>
            </w:r>
            <w:r w:rsidR="00874757">
              <w:rPr>
                <w:rFonts w:ascii="Times New Roman" w:eastAsia="Calibri" w:hAnsi="Times New Roman"/>
                <w:bCs/>
                <w:lang w:val="en-GB"/>
              </w:rPr>
              <w:t>E</w:t>
            </w:r>
            <w:r w:rsidR="00874757" w:rsidRPr="00156B9D">
              <w:rPr>
                <w:rFonts w:ascii="Times New Roman" w:eastAsia="Calibri" w:hAnsi="Times New Roman"/>
                <w:bCs/>
                <w:lang w:val="en-GB"/>
              </w:rPr>
              <w:t xml:space="preserve">lection </w:t>
            </w:r>
            <w:r w:rsidR="00874757">
              <w:rPr>
                <w:rFonts w:ascii="Times New Roman" w:eastAsia="Calibri" w:hAnsi="Times New Roman"/>
                <w:bCs/>
                <w:lang w:val="en-GB"/>
              </w:rPr>
              <w:t>p</w:t>
            </w:r>
            <w:r w:rsidR="00874757" w:rsidRPr="00156B9D">
              <w:rPr>
                <w:rFonts w:ascii="Times New Roman" w:eastAsia="Calibri" w:hAnsi="Times New Roman"/>
                <w:bCs/>
                <w:lang w:val="en-GB"/>
              </w:rPr>
              <w:t xml:space="preserve">articipation </w:t>
            </w:r>
            <w:r w:rsidRPr="00156B9D">
              <w:rPr>
                <w:rFonts w:ascii="Times New Roman" w:eastAsia="Calibri" w:hAnsi="Times New Roman"/>
                <w:bCs/>
                <w:lang w:val="en-GB"/>
              </w:rPr>
              <w:t>rate (legislative and presidential)</w:t>
            </w:r>
          </w:p>
          <w:p w14:paraId="57059E82" w14:textId="77777777" w:rsidR="0059376D" w:rsidRPr="00156B9D" w:rsidRDefault="0059376D" w:rsidP="00EE5CD5">
            <w:pPr>
              <w:jc w:val="both"/>
              <w:rPr>
                <w:b/>
                <w:lang w:val="en-GB"/>
              </w:rPr>
            </w:pPr>
            <w:r w:rsidRPr="00156B9D">
              <w:rPr>
                <w:b/>
                <w:lang w:val="en-GB"/>
              </w:rPr>
              <w:t>Baseline (2020)</w:t>
            </w:r>
          </w:p>
          <w:p w14:paraId="0D9ECC3A" w14:textId="5470D06B" w:rsidR="0059376D" w:rsidRPr="00156B9D" w:rsidRDefault="0059376D" w:rsidP="00EE5CD5">
            <w:pPr>
              <w:jc w:val="both"/>
              <w:rPr>
                <w:bCs/>
                <w:lang w:val="en-GB"/>
              </w:rPr>
            </w:pPr>
            <w:r w:rsidRPr="00156B9D">
              <w:rPr>
                <w:bCs/>
                <w:lang w:val="en-GB"/>
              </w:rPr>
              <w:t xml:space="preserve">Presidential: 78% </w:t>
            </w:r>
          </w:p>
          <w:p w14:paraId="200D8F3C" w14:textId="06F86BAC" w:rsidR="0059376D" w:rsidRPr="00156B9D" w:rsidRDefault="0059376D" w:rsidP="00EE5CD5">
            <w:pPr>
              <w:jc w:val="both"/>
              <w:rPr>
                <w:bCs/>
                <w:lang w:val="en-GB"/>
              </w:rPr>
            </w:pPr>
            <w:r w:rsidRPr="00156B9D">
              <w:rPr>
                <w:bCs/>
                <w:lang w:val="en-GB"/>
              </w:rPr>
              <w:t>Legislative: 58</w:t>
            </w:r>
            <w:r w:rsidR="00ED3F25">
              <w:rPr>
                <w:bCs/>
                <w:lang w:val="en-GB"/>
              </w:rPr>
              <w:t>.</w:t>
            </w:r>
            <w:r w:rsidRPr="00156B9D">
              <w:rPr>
                <w:bCs/>
                <w:lang w:val="en-GB"/>
              </w:rPr>
              <w:t xml:space="preserve">4% </w:t>
            </w:r>
          </w:p>
          <w:p w14:paraId="433CB32F" w14:textId="77777777" w:rsidR="0059376D" w:rsidRPr="00156B9D" w:rsidRDefault="0059376D" w:rsidP="00EE5CD5">
            <w:pPr>
              <w:jc w:val="both"/>
              <w:rPr>
                <w:b/>
                <w:lang w:val="en-GB"/>
              </w:rPr>
            </w:pPr>
            <w:r w:rsidRPr="00156B9D">
              <w:rPr>
                <w:b/>
                <w:lang w:val="en-GB"/>
              </w:rPr>
              <w:t>Targets (2028)</w:t>
            </w:r>
          </w:p>
          <w:p w14:paraId="0AB2E95F" w14:textId="03474DF3" w:rsidR="0059376D" w:rsidRPr="00156B9D" w:rsidRDefault="0059376D" w:rsidP="00EE5CD5">
            <w:pPr>
              <w:jc w:val="both"/>
              <w:rPr>
                <w:bCs/>
                <w:lang w:val="en-GB"/>
              </w:rPr>
            </w:pPr>
            <w:r w:rsidRPr="00156B9D">
              <w:rPr>
                <w:bCs/>
                <w:lang w:val="en-GB"/>
              </w:rPr>
              <w:t>Presidential: 85%</w:t>
            </w:r>
          </w:p>
          <w:p w14:paraId="0CAF8615" w14:textId="77777777" w:rsidR="0059376D" w:rsidRPr="00156B9D" w:rsidRDefault="0059376D" w:rsidP="00EE5CD5">
            <w:pPr>
              <w:jc w:val="both"/>
              <w:rPr>
                <w:bCs/>
                <w:lang w:val="en-GB"/>
              </w:rPr>
            </w:pPr>
            <w:r w:rsidRPr="00156B9D">
              <w:rPr>
                <w:bCs/>
                <w:lang w:val="en-GB"/>
              </w:rPr>
              <w:t>Legislative: 65%</w:t>
            </w:r>
          </w:p>
          <w:p w14:paraId="44B77951" w14:textId="77777777" w:rsidR="0059376D" w:rsidRPr="00156B9D" w:rsidRDefault="0059376D" w:rsidP="00EE5CD5">
            <w:pPr>
              <w:jc w:val="both"/>
              <w:rPr>
                <w:bCs/>
                <w:lang w:val="en-GB"/>
              </w:rPr>
            </w:pPr>
          </w:p>
          <w:p w14:paraId="4DB60047" w14:textId="77777777" w:rsidR="0059376D" w:rsidRPr="00156B9D" w:rsidRDefault="0059376D" w:rsidP="00EE5CD5">
            <w:pPr>
              <w:jc w:val="both"/>
              <w:rPr>
                <w:bCs/>
                <w:lang w:val="en-GB"/>
              </w:rPr>
            </w:pPr>
          </w:p>
          <w:p w14:paraId="5A357431" w14:textId="77777777" w:rsidR="0059376D" w:rsidRPr="00156B9D" w:rsidRDefault="0059376D" w:rsidP="00EE5CD5">
            <w:pPr>
              <w:autoSpaceDE w:val="0"/>
              <w:autoSpaceDN w:val="0"/>
              <w:adjustRightInd w:val="0"/>
              <w:jc w:val="both"/>
              <w:rPr>
                <w:bCs/>
                <w:lang w:val="en-GB"/>
              </w:rPr>
            </w:pPr>
            <w:r w:rsidRPr="00156B9D">
              <w:rPr>
                <w:b/>
                <w:lang w:val="en-GB"/>
              </w:rPr>
              <w:t>Indicator 1.3:</w:t>
            </w:r>
            <w:r w:rsidRPr="00156B9D">
              <w:rPr>
                <w:bCs/>
                <w:lang w:val="en-GB"/>
              </w:rPr>
              <w:t xml:space="preserve"> Proportion of positions held by sex, age, disability status and population group in national and local institutions, including: (a) legislative bodies; b) the civil service; (c) judicial bodies.</w:t>
            </w:r>
          </w:p>
          <w:p w14:paraId="4FB751D1" w14:textId="77777777" w:rsidR="0059376D" w:rsidRPr="00156B9D" w:rsidRDefault="0059376D" w:rsidP="00EE5CD5">
            <w:pPr>
              <w:autoSpaceDE w:val="0"/>
              <w:autoSpaceDN w:val="0"/>
              <w:adjustRightInd w:val="0"/>
              <w:jc w:val="both"/>
              <w:rPr>
                <w:b/>
                <w:lang w:val="en-GB"/>
              </w:rPr>
            </w:pPr>
            <w:r w:rsidRPr="00156B9D">
              <w:rPr>
                <w:b/>
                <w:lang w:val="en-GB"/>
              </w:rPr>
              <w:t>Baseline</w:t>
            </w:r>
            <w:r w:rsidRPr="00156B9D">
              <w:rPr>
                <w:bCs/>
                <w:lang w:val="en-GB"/>
              </w:rPr>
              <w:t xml:space="preserve"> </w:t>
            </w:r>
            <w:r w:rsidRPr="00156B9D">
              <w:rPr>
                <w:b/>
                <w:lang w:val="en-GB"/>
              </w:rPr>
              <w:t>(2022):</w:t>
            </w:r>
          </w:p>
          <w:p w14:paraId="46CAACD8" w14:textId="61861A0C" w:rsidR="0059376D" w:rsidRPr="00156B9D" w:rsidRDefault="0059376D" w:rsidP="00EE5CD5">
            <w:pPr>
              <w:jc w:val="both"/>
              <w:rPr>
                <w:bCs/>
                <w:lang w:val="en-GB"/>
              </w:rPr>
            </w:pPr>
            <w:r w:rsidRPr="00156B9D">
              <w:rPr>
                <w:bCs/>
                <w:lang w:val="en-GB"/>
              </w:rPr>
              <w:t xml:space="preserve">a) </w:t>
            </w:r>
            <w:r w:rsidR="0055658E">
              <w:rPr>
                <w:bCs/>
                <w:lang w:val="en-GB"/>
              </w:rPr>
              <w:t>L</w:t>
            </w:r>
            <w:r w:rsidR="0055658E" w:rsidRPr="00156B9D">
              <w:rPr>
                <w:bCs/>
                <w:lang w:val="en-GB"/>
              </w:rPr>
              <w:t xml:space="preserve">egislative </w:t>
            </w:r>
            <w:r w:rsidRPr="00156B9D">
              <w:rPr>
                <w:bCs/>
                <w:lang w:val="en-GB"/>
              </w:rPr>
              <w:t xml:space="preserve">bodies: </w:t>
            </w:r>
          </w:p>
          <w:p w14:paraId="6855C637" w14:textId="1A02319B" w:rsidR="0059376D" w:rsidRPr="00156B9D" w:rsidRDefault="0059376D" w:rsidP="00EE5CD5">
            <w:pPr>
              <w:jc w:val="both"/>
              <w:rPr>
                <w:bCs/>
                <w:lang w:val="en-GB"/>
              </w:rPr>
            </w:pPr>
            <w:r w:rsidRPr="00156B9D">
              <w:rPr>
                <w:bCs/>
                <w:lang w:val="en-GB"/>
              </w:rPr>
              <w:t>Men-84</w:t>
            </w:r>
            <w:r w:rsidR="0055658E">
              <w:rPr>
                <w:bCs/>
                <w:lang w:val="en-GB"/>
              </w:rPr>
              <w:t>.</w:t>
            </w:r>
            <w:r w:rsidRPr="00156B9D">
              <w:rPr>
                <w:bCs/>
                <w:lang w:val="en-GB"/>
              </w:rPr>
              <w:t>2%      Women-15</w:t>
            </w:r>
            <w:r w:rsidR="0055658E">
              <w:rPr>
                <w:bCs/>
                <w:lang w:val="en-GB"/>
              </w:rPr>
              <w:t>.</w:t>
            </w:r>
            <w:r w:rsidRPr="00156B9D">
              <w:rPr>
                <w:bCs/>
                <w:lang w:val="en-GB"/>
              </w:rPr>
              <w:t>8%</w:t>
            </w:r>
          </w:p>
          <w:p w14:paraId="3DA20D76" w14:textId="6135B696" w:rsidR="0059376D" w:rsidRPr="00156B9D" w:rsidRDefault="0059376D" w:rsidP="00EE5CD5">
            <w:pPr>
              <w:jc w:val="both"/>
              <w:rPr>
                <w:bCs/>
                <w:lang w:val="en-GB"/>
              </w:rPr>
            </w:pPr>
            <w:r w:rsidRPr="00156B9D">
              <w:rPr>
                <w:bCs/>
                <w:lang w:val="en-GB"/>
              </w:rPr>
              <w:t>b)</w:t>
            </w:r>
            <w:r w:rsidRPr="00156B9D">
              <w:rPr>
                <w:b/>
                <w:bCs/>
                <w:lang w:val="en-GB"/>
              </w:rPr>
              <w:t xml:space="preserve"> </w:t>
            </w:r>
            <w:r w:rsidR="0055658E">
              <w:rPr>
                <w:bCs/>
                <w:lang w:val="en-GB"/>
              </w:rPr>
              <w:t>P</w:t>
            </w:r>
            <w:r w:rsidR="0055658E" w:rsidRPr="00156B9D">
              <w:rPr>
                <w:bCs/>
                <w:lang w:val="en-GB"/>
              </w:rPr>
              <w:t xml:space="preserve">ublic </w:t>
            </w:r>
            <w:r w:rsidRPr="00156B9D">
              <w:rPr>
                <w:bCs/>
                <w:lang w:val="en-GB"/>
              </w:rPr>
              <w:t>service:</w:t>
            </w:r>
          </w:p>
          <w:p w14:paraId="0CEB4DC6" w14:textId="7D7A6FCF" w:rsidR="0059376D" w:rsidRPr="00156B9D" w:rsidRDefault="0059376D" w:rsidP="00EE5CD5">
            <w:pPr>
              <w:jc w:val="both"/>
              <w:rPr>
                <w:bCs/>
                <w:lang w:val="en-GB"/>
              </w:rPr>
            </w:pPr>
            <w:r w:rsidRPr="00156B9D">
              <w:rPr>
                <w:bCs/>
                <w:lang w:val="en-GB"/>
              </w:rPr>
              <w:t>Men-68</w:t>
            </w:r>
            <w:r w:rsidR="0055658E">
              <w:rPr>
                <w:bCs/>
                <w:lang w:val="en-GB"/>
              </w:rPr>
              <w:t>.</w:t>
            </w:r>
            <w:r w:rsidRPr="00156B9D">
              <w:rPr>
                <w:bCs/>
                <w:lang w:val="en-GB"/>
              </w:rPr>
              <w:t>8%      Women-31</w:t>
            </w:r>
            <w:r w:rsidR="0055658E">
              <w:rPr>
                <w:bCs/>
                <w:lang w:val="en-GB"/>
              </w:rPr>
              <w:t>.</w:t>
            </w:r>
            <w:r w:rsidRPr="00156B9D">
              <w:rPr>
                <w:bCs/>
                <w:lang w:val="en-GB"/>
              </w:rPr>
              <w:t>2%</w:t>
            </w:r>
          </w:p>
          <w:p w14:paraId="3A13599B" w14:textId="5D205E2B" w:rsidR="0059376D" w:rsidRPr="00156B9D" w:rsidRDefault="0059376D" w:rsidP="00EE5CD5">
            <w:pPr>
              <w:jc w:val="both"/>
              <w:rPr>
                <w:bCs/>
                <w:lang w:val="en-GB"/>
              </w:rPr>
            </w:pPr>
            <w:r w:rsidRPr="00156B9D">
              <w:rPr>
                <w:bCs/>
                <w:lang w:val="en-GB"/>
              </w:rPr>
              <w:t xml:space="preserve">c) </w:t>
            </w:r>
            <w:r w:rsidR="0055658E">
              <w:rPr>
                <w:bCs/>
                <w:lang w:val="en-GB"/>
              </w:rPr>
              <w:t>J</w:t>
            </w:r>
            <w:r w:rsidR="0055658E" w:rsidRPr="00156B9D">
              <w:rPr>
                <w:bCs/>
                <w:lang w:val="en-GB"/>
              </w:rPr>
              <w:t xml:space="preserve">udicial </w:t>
            </w:r>
            <w:r w:rsidRPr="00156B9D">
              <w:rPr>
                <w:bCs/>
                <w:lang w:val="en-GB"/>
              </w:rPr>
              <w:t>bodies:</w:t>
            </w:r>
          </w:p>
          <w:p w14:paraId="13615D63" w14:textId="7884DA53" w:rsidR="0059376D" w:rsidRPr="00156B9D" w:rsidRDefault="0059376D" w:rsidP="00EE5CD5">
            <w:pPr>
              <w:jc w:val="both"/>
              <w:rPr>
                <w:bCs/>
                <w:lang w:val="en-GB"/>
              </w:rPr>
            </w:pPr>
            <w:r w:rsidRPr="00156B9D">
              <w:rPr>
                <w:bCs/>
                <w:lang w:val="en-GB"/>
              </w:rPr>
              <w:lastRenderedPageBreak/>
              <w:t>Men-93</w:t>
            </w:r>
            <w:r w:rsidR="0055658E">
              <w:rPr>
                <w:bCs/>
                <w:lang w:val="en-GB"/>
              </w:rPr>
              <w:t>.</w:t>
            </w:r>
            <w:r w:rsidRPr="00156B9D">
              <w:rPr>
                <w:bCs/>
                <w:lang w:val="en-GB"/>
              </w:rPr>
              <w:t>8%      Women-6</w:t>
            </w:r>
            <w:r w:rsidR="0055658E">
              <w:rPr>
                <w:bCs/>
                <w:lang w:val="en-GB"/>
              </w:rPr>
              <w:t>.</w:t>
            </w:r>
            <w:r w:rsidRPr="00156B9D">
              <w:rPr>
                <w:bCs/>
                <w:lang w:val="en-GB"/>
              </w:rPr>
              <w:t>2%</w:t>
            </w:r>
          </w:p>
          <w:p w14:paraId="19485CC9" w14:textId="77777777" w:rsidR="0059376D" w:rsidRPr="00156B9D" w:rsidRDefault="0059376D" w:rsidP="00EE5CD5">
            <w:pPr>
              <w:jc w:val="both"/>
              <w:rPr>
                <w:b/>
                <w:lang w:val="en-GB"/>
              </w:rPr>
            </w:pPr>
            <w:r w:rsidRPr="00156B9D">
              <w:rPr>
                <w:b/>
                <w:lang w:val="en-GB"/>
              </w:rPr>
              <w:t xml:space="preserve">Target (2028): </w:t>
            </w:r>
          </w:p>
          <w:p w14:paraId="081C38E1" w14:textId="1BB88D3A" w:rsidR="0059376D" w:rsidRPr="00156B9D" w:rsidRDefault="0059376D" w:rsidP="00EE5CD5">
            <w:pPr>
              <w:jc w:val="both"/>
              <w:rPr>
                <w:lang w:val="en-GB"/>
              </w:rPr>
            </w:pPr>
            <w:r w:rsidRPr="00156B9D">
              <w:rPr>
                <w:lang w:val="en-GB"/>
              </w:rPr>
              <w:t xml:space="preserve">a) </w:t>
            </w:r>
            <w:r w:rsidR="0055658E">
              <w:rPr>
                <w:lang w:val="en-GB"/>
              </w:rPr>
              <w:t>L</w:t>
            </w:r>
            <w:r w:rsidR="0055658E" w:rsidRPr="00156B9D">
              <w:rPr>
                <w:lang w:val="en-GB"/>
              </w:rPr>
              <w:t xml:space="preserve">egislative </w:t>
            </w:r>
            <w:r w:rsidRPr="00156B9D">
              <w:rPr>
                <w:lang w:val="en-GB"/>
              </w:rPr>
              <w:t xml:space="preserve">bodies: </w:t>
            </w:r>
          </w:p>
          <w:p w14:paraId="3DBEC982" w14:textId="77777777" w:rsidR="0059376D" w:rsidRPr="00156B9D" w:rsidRDefault="0059376D" w:rsidP="00EE5CD5">
            <w:pPr>
              <w:jc w:val="both"/>
              <w:rPr>
                <w:lang w:val="en-GB"/>
              </w:rPr>
            </w:pPr>
            <w:r w:rsidRPr="00156B9D">
              <w:rPr>
                <w:lang w:val="en-GB"/>
              </w:rPr>
              <w:t>Men-70%       Women-30%</w:t>
            </w:r>
          </w:p>
          <w:p w14:paraId="5B455BCA" w14:textId="120EB347" w:rsidR="0059376D" w:rsidRPr="00156B9D" w:rsidRDefault="0059376D" w:rsidP="00EE5CD5">
            <w:pPr>
              <w:jc w:val="both"/>
              <w:rPr>
                <w:lang w:val="en-GB"/>
              </w:rPr>
            </w:pPr>
            <w:r w:rsidRPr="00156B9D">
              <w:rPr>
                <w:lang w:val="en-GB"/>
              </w:rPr>
              <w:t xml:space="preserve">b) </w:t>
            </w:r>
            <w:r w:rsidR="0055658E">
              <w:rPr>
                <w:lang w:val="en-GB"/>
              </w:rPr>
              <w:t>P</w:t>
            </w:r>
            <w:r w:rsidR="0055658E" w:rsidRPr="00156B9D">
              <w:rPr>
                <w:lang w:val="en-GB"/>
              </w:rPr>
              <w:t xml:space="preserve">ublic </w:t>
            </w:r>
            <w:r w:rsidRPr="00156B9D">
              <w:rPr>
                <w:lang w:val="en-GB"/>
              </w:rPr>
              <w:t>service:</w:t>
            </w:r>
          </w:p>
          <w:p w14:paraId="0EDF2CE0" w14:textId="77777777" w:rsidR="0059376D" w:rsidRPr="00156B9D" w:rsidRDefault="0059376D" w:rsidP="00EE5CD5">
            <w:pPr>
              <w:jc w:val="both"/>
              <w:rPr>
                <w:lang w:val="en-GB"/>
              </w:rPr>
            </w:pPr>
            <w:r w:rsidRPr="00156B9D">
              <w:rPr>
                <w:lang w:val="en-GB"/>
              </w:rPr>
              <w:t>Men-60%     Women-38%</w:t>
            </w:r>
          </w:p>
          <w:p w14:paraId="22C954B5" w14:textId="59007007" w:rsidR="0059376D" w:rsidRPr="00156B9D" w:rsidRDefault="0059376D" w:rsidP="00EE5CD5">
            <w:pPr>
              <w:jc w:val="both"/>
              <w:rPr>
                <w:lang w:val="en-GB"/>
              </w:rPr>
            </w:pPr>
            <w:r w:rsidRPr="00156B9D">
              <w:rPr>
                <w:lang w:val="en-GB"/>
              </w:rPr>
              <w:t xml:space="preserve">c) </w:t>
            </w:r>
            <w:r w:rsidR="0055658E">
              <w:rPr>
                <w:lang w:val="en-GB"/>
              </w:rPr>
              <w:t>J</w:t>
            </w:r>
            <w:r w:rsidR="0055658E" w:rsidRPr="00156B9D">
              <w:rPr>
                <w:lang w:val="en-GB"/>
              </w:rPr>
              <w:t xml:space="preserve">udicial </w:t>
            </w:r>
            <w:r w:rsidRPr="00156B9D">
              <w:rPr>
                <w:lang w:val="en-GB"/>
              </w:rPr>
              <w:t>bodies:</w:t>
            </w:r>
          </w:p>
          <w:p w14:paraId="20C37A99" w14:textId="77777777" w:rsidR="0059376D" w:rsidRPr="00156B9D" w:rsidRDefault="0059376D" w:rsidP="00EE5CD5">
            <w:pPr>
              <w:jc w:val="both"/>
              <w:rPr>
                <w:lang w:val="en-GB"/>
              </w:rPr>
            </w:pPr>
            <w:r w:rsidRPr="00156B9D">
              <w:rPr>
                <w:lang w:val="en-GB"/>
              </w:rPr>
              <w:t>Men-70%     Women-30%</w:t>
            </w:r>
          </w:p>
          <w:p w14:paraId="06430711" w14:textId="77777777" w:rsidR="0059376D" w:rsidRPr="00156B9D" w:rsidRDefault="0059376D" w:rsidP="00EE5CD5">
            <w:pPr>
              <w:jc w:val="both"/>
              <w:rPr>
                <w:lang w:val="en-GB"/>
              </w:rPr>
            </w:pPr>
          </w:p>
          <w:p w14:paraId="5472D597" w14:textId="77777777" w:rsidR="0059376D" w:rsidRPr="00156B9D" w:rsidRDefault="0059376D" w:rsidP="00EE5CD5">
            <w:pPr>
              <w:jc w:val="both"/>
              <w:rPr>
                <w:lang w:val="en-GB"/>
              </w:rPr>
            </w:pPr>
          </w:p>
          <w:p w14:paraId="5478E775" w14:textId="77777777" w:rsidR="0059376D" w:rsidRPr="00156B9D" w:rsidRDefault="0059376D" w:rsidP="00EE5CD5">
            <w:pPr>
              <w:jc w:val="both"/>
              <w:rPr>
                <w:lang w:val="en-GB"/>
              </w:rPr>
            </w:pPr>
          </w:p>
          <w:p w14:paraId="3D545908" w14:textId="77777777" w:rsidR="0059376D" w:rsidRPr="00156B9D" w:rsidRDefault="0059376D" w:rsidP="00EE5CD5">
            <w:pPr>
              <w:jc w:val="both"/>
              <w:rPr>
                <w:lang w:val="en-GB"/>
              </w:rPr>
            </w:pPr>
          </w:p>
          <w:p w14:paraId="67E86677" w14:textId="77777777" w:rsidR="0059376D" w:rsidRPr="00156B9D" w:rsidRDefault="0059376D" w:rsidP="00EE5CD5">
            <w:pPr>
              <w:jc w:val="both"/>
              <w:rPr>
                <w:b/>
                <w:bCs/>
                <w:lang w:val="en-GB"/>
              </w:rPr>
            </w:pPr>
          </w:p>
          <w:p w14:paraId="59AFC5E9" w14:textId="77777777" w:rsidR="0059376D" w:rsidRPr="00156B9D" w:rsidRDefault="0059376D" w:rsidP="00EE5CD5">
            <w:pPr>
              <w:jc w:val="both"/>
              <w:rPr>
                <w:bCs/>
                <w:lang w:val="en-GB"/>
              </w:rPr>
            </w:pPr>
          </w:p>
          <w:p w14:paraId="47485DF3" w14:textId="77777777" w:rsidR="0059376D" w:rsidRPr="00156B9D" w:rsidRDefault="0059376D" w:rsidP="00EE5CD5">
            <w:pPr>
              <w:autoSpaceDE w:val="0"/>
              <w:autoSpaceDN w:val="0"/>
              <w:adjustRightInd w:val="0"/>
              <w:jc w:val="both"/>
              <w:rPr>
                <w:bCs/>
                <w:lang w:val="en-GB"/>
              </w:rPr>
            </w:pPr>
          </w:p>
          <w:p w14:paraId="3E49191B" w14:textId="77777777" w:rsidR="0059376D" w:rsidRPr="00156B9D" w:rsidRDefault="0059376D" w:rsidP="00EE5CD5">
            <w:pPr>
              <w:jc w:val="both"/>
              <w:rPr>
                <w:bCs/>
                <w:lang w:val="en-GB"/>
              </w:rPr>
            </w:pPr>
          </w:p>
          <w:p w14:paraId="1554F4E2" w14:textId="77777777" w:rsidR="0059376D" w:rsidRPr="00156B9D" w:rsidRDefault="0059376D" w:rsidP="00EE5CD5">
            <w:pPr>
              <w:jc w:val="both"/>
              <w:rPr>
                <w:bCs/>
                <w:lang w:val="en-GB"/>
              </w:rPr>
            </w:pPr>
          </w:p>
          <w:p w14:paraId="77432DEE" w14:textId="77777777" w:rsidR="0059376D" w:rsidRPr="00156B9D" w:rsidRDefault="0059376D" w:rsidP="00EE5CD5">
            <w:pPr>
              <w:jc w:val="both"/>
              <w:rPr>
                <w:bCs/>
                <w:lang w:val="en-GB"/>
              </w:rPr>
            </w:pPr>
          </w:p>
          <w:p w14:paraId="67460DA0" w14:textId="77777777" w:rsidR="0059376D" w:rsidRPr="00156B9D" w:rsidRDefault="0059376D" w:rsidP="00EE5CD5">
            <w:pPr>
              <w:jc w:val="both"/>
              <w:rPr>
                <w:bCs/>
                <w:lang w:val="en-GB"/>
              </w:rPr>
            </w:pPr>
          </w:p>
          <w:p w14:paraId="0585B13C" w14:textId="77777777" w:rsidR="0059376D" w:rsidRPr="00156B9D" w:rsidRDefault="0059376D" w:rsidP="00EE5CD5">
            <w:pPr>
              <w:jc w:val="both"/>
              <w:rPr>
                <w:bCs/>
                <w:lang w:val="en-GB"/>
              </w:rPr>
            </w:pPr>
          </w:p>
          <w:p w14:paraId="74ECF2CE" w14:textId="77777777" w:rsidR="0059376D" w:rsidRPr="00156B9D" w:rsidRDefault="0059376D" w:rsidP="00EE5CD5">
            <w:pPr>
              <w:jc w:val="both"/>
              <w:rPr>
                <w:bCs/>
                <w:lang w:val="en-GB"/>
              </w:rPr>
            </w:pPr>
          </w:p>
          <w:p w14:paraId="412BC8E3" w14:textId="77777777" w:rsidR="0059376D" w:rsidRPr="00156B9D" w:rsidRDefault="0059376D" w:rsidP="00EE5CD5">
            <w:pPr>
              <w:jc w:val="both"/>
              <w:rPr>
                <w:bCs/>
                <w:lang w:val="en-GB"/>
              </w:rPr>
            </w:pPr>
          </w:p>
          <w:p w14:paraId="47C696A3" w14:textId="77777777" w:rsidR="0059376D" w:rsidRPr="00156B9D" w:rsidRDefault="0059376D" w:rsidP="00EE5CD5">
            <w:pPr>
              <w:jc w:val="both"/>
              <w:rPr>
                <w:bCs/>
                <w:lang w:val="en-GB"/>
              </w:rPr>
            </w:pPr>
          </w:p>
          <w:p w14:paraId="288DD3D1" w14:textId="77777777" w:rsidR="0059376D" w:rsidRPr="00156B9D" w:rsidRDefault="0059376D" w:rsidP="00EE5CD5">
            <w:pPr>
              <w:autoSpaceDE w:val="0"/>
              <w:autoSpaceDN w:val="0"/>
              <w:adjustRightInd w:val="0"/>
              <w:jc w:val="both"/>
              <w:rPr>
                <w:bCs/>
                <w:lang w:val="en-GB"/>
              </w:rPr>
            </w:pPr>
          </w:p>
        </w:tc>
        <w:tc>
          <w:tcPr>
            <w:tcW w:w="2835" w:type="dxa"/>
            <w:vMerge w:val="restart"/>
            <w:shd w:val="clear" w:color="auto" w:fill="auto"/>
          </w:tcPr>
          <w:p w14:paraId="6403C247" w14:textId="77777777" w:rsidR="0059376D" w:rsidRPr="00156B9D" w:rsidRDefault="0059376D" w:rsidP="00EE5CD5">
            <w:pPr>
              <w:jc w:val="both"/>
              <w:rPr>
                <w:bCs/>
                <w:lang w:val="en-GB"/>
              </w:rPr>
            </w:pPr>
            <w:r w:rsidRPr="00156B9D">
              <w:rPr>
                <w:b/>
                <w:lang w:val="en-GB"/>
              </w:rPr>
              <w:lastRenderedPageBreak/>
              <w:t>Source</w:t>
            </w:r>
            <w:r w:rsidRPr="00156B9D">
              <w:rPr>
                <w:bCs/>
                <w:lang w:val="en-GB"/>
              </w:rPr>
              <w:t xml:space="preserve">: Mo Ibrahim Report </w:t>
            </w:r>
          </w:p>
          <w:p w14:paraId="7F411753" w14:textId="00D69018" w:rsidR="0059376D" w:rsidRPr="00156B9D" w:rsidRDefault="0059376D" w:rsidP="00EE5CD5">
            <w:pPr>
              <w:jc w:val="both"/>
              <w:rPr>
                <w:lang w:val="en-GB"/>
              </w:rPr>
            </w:pPr>
            <w:r w:rsidRPr="00156B9D">
              <w:rPr>
                <w:b/>
                <w:bCs/>
                <w:lang w:val="en-GB"/>
              </w:rPr>
              <w:t>Frequency</w:t>
            </w:r>
            <w:r w:rsidRPr="00156B9D">
              <w:rPr>
                <w:lang w:val="en-GB"/>
              </w:rPr>
              <w:t>: Bi-</w:t>
            </w:r>
            <w:r w:rsidR="00EE3D15">
              <w:rPr>
                <w:lang w:val="en-GB"/>
              </w:rPr>
              <w:t>a</w:t>
            </w:r>
            <w:r w:rsidR="00EE3D15" w:rsidRPr="00156B9D">
              <w:rPr>
                <w:lang w:val="en-GB"/>
              </w:rPr>
              <w:t xml:space="preserve">nnual </w:t>
            </w:r>
          </w:p>
          <w:p w14:paraId="7F28BCD1" w14:textId="77777777" w:rsidR="0059376D" w:rsidRPr="00156B9D" w:rsidRDefault="0059376D" w:rsidP="00EE5CD5">
            <w:pPr>
              <w:jc w:val="both"/>
              <w:rPr>
                <w:lang w:val="en-GB"/>
              </w:rPr>
            </w:pPr>
            <w:r w:rsidRPr="00156B9D">
              <w:rPr>
                <w:b/>
                <w:bCs/>
                <w:lang w:val="en-GB"/>
              </w:rPr>
              <w:t>Responsible</w:t>
            </w:r>
            <w:r w:rsidRPr="00156B9D">
              <w:rPr>
                <w:lang w:val="en-GB"/>
              </w:rPr>
              <w:t>: Ministry of Planning</w:t>
            </w:r>
          </w:p>
          <w:p w14:paraId="58E08CE5" w14:textId="77777777" w:rsidR="0059376D" w:rsidRPr="00156B9D" w:rsidRDefault="0059376D" w:rsidP="00EE5CD5">
            <w:pPr>
              <w:jc w:val="both"/>
              <w:rPr>
                <w:b/>
                <w:lang w:val="en-GB"/>
              </w:rPr>
            </w:pPr>
          </w:p>
          <w:p w14:paraId="398A077B" w14:textId="77777777" w:rsidR="0059376D" w:rsidRPr="00156B9D" w:rsidRDefault="0059376D" w:rsidP="00EE5CD5">
            <w:pPr>
              <w:jc w:val="both"/>
              <w:rPr>
                <w:b/>
                <w:lang w:val="en-GB"/>
              </w:rPr>
            </w:pPr>
          </w:p>
          <w:p w14:paraId="7F4DCECC" w14:textId="77777777" w:rsidR="0059376D" w:rsidRPr="00156B9D" w:rsidRDefault="0059376D" w:rsidP="00EE5CD5">
            <w:pPr>
              <w:jc w:val="both"/>
              <w:rPr>
                <w:b/>
                <w:lang w:val="en-GB"/>
              </w:rPr>
            </w:pPr>
          </w:p>
          <w:p w14:paraId="6703757F" w14:textId="77777777" w:rsidR="0059376D" w:rsidRPr="00156B9D" w:rsidRDefault="0059376D" w:rsidP="00EE5CD5">
            <w:pPr>
              <w:jc w:val="both"/>
              <w:rPr>
                <w:lang w:val="en-GB"/>
              </w:rPr>
            </w:pPr>
            <w:r w:rsidRPr="00156B9D">
              <w:rPr>
                <w:b/>
                <w:lang w:val="en-GB"/>
              </w:rPr>
              <w:t xml:space="preserve">Source: </w:t>
            </w:r>
            <w:r w:rsidRPr="00156B9D">
              <w:rPr>
                <w:lang w:val="en-GB"/>
              </w:rPr>
              <w:t>Constitutional Court</w:t>
            </w:r>
          </w:p>
          <w:p w14:paraId="0ABF800D" w14:textId="42628A23" w:rsidR="0059376D" w:rsidRPr="00156B9D" w:rsidRDefault="0059376D" w:rsidP="00EE5CD5">
            <w:pPr>
              <w:jc w:val="both"/>
              <w:rPr>
                <w:b/>
                <w:lang w:val="en-GB"/>
              </w:rPr>
            </w:pPr>
            <w:r w:rsidRPr="00156B9D">
              <w:rPr>
                <w:b/>
                <w:bCs/>
                <w:lang w:val="en-GB"/>
              </w:rPr>
              <w:t>Frequency</w:t>
            </w:r>
            <w:r w:rsidRPr="00156B9D">
              <w:rPr>
                <w:lang w:val="en-GB"/>
              </w:rPr>
              <w:t xml:space="preserve">: </w:t>
            </w:r>
            <w:r w:rsidR="00EE3D15">
              <w:rPr>
                <w:rStyle w:val="rynqvb"/>
                <w:lang w:val="en-GB"/>
              </w:rPr>
              <w:t>Q</w:t>
            </w:r>
            <w:r w:rsidR="00EE3D15" w:rsidRPr="00156B9D">
              <w:rPr>
                <w:rStyle w:val="rynqvb"/>
                <w:lang w:val="en-GB"/>
              </w:rPr>
              <w:t>uinquennial</w:t>
            </w:r>
          </w:p>
          <w:p w14:paraId="6FA03050" w14:textId="77777777" w:rsidR="0059376D" w:rsidRPr="00156B9D" w:rsidRDefault="0059376D" w:rsidP="00EE5CD5">
            <w:pPr>
              <w:jc w:val="both"/>
              <w:rPr>
                <w:b/>
                <w:lang w:val="en-GB"/>
              </w:rPr>
            </w:pPr>
            <w:r w:rsidRPr="00156B9D">
              <w:rPr>
                <w:b/>
                <w:lang w:val="en-GB"/>
              </w:rPr>
              <w:t xml:space="preserve">Responsible: </w:t>
            </w:r>
            <w:r w:rsidRPr="00156B9D">
              <w:rPr>
                <w:bCs/>
                <w:lang w:val="en-GB"/>
              </w:rPr>
              <w:t>Ministry of Decentralization</w:t>
            </w:r>
          </w:p>
          <w:p w14:paraId="6F6A52BD" w14:textId="77777777" w:rsidR="0059376D" w:rsidRPr="00156B9D" w:rsidRDefault="0059376D" w:rsidP="00EE5CD5">
            <w:pPr>
              <w:jc w:val="both"/>
              <w:rPr>
                <w:b/>
                <w:lang w:val="en-GB"/>
              </w:rPr>
            </w:pPr>
          </w:p>
          <w:p w14:paraId="5CF5093B" w14:textId="77777777" w:rsidR="0059376D" w:rsidRPr="00156B9D" w:rsidRDefault="0059376D" w:rsidP="00EE5CD5">
            <w:pPr>
              <w:jc w:val="both"/>
              <w:rPr>
                <w:b/>
                <w:lang w:val="en-GB"/>
              </w:rPr>
            </w:pPr>
          </w:p>
          <w:p w14:paraId="3F6FFDEA" w14:textId="77777777" w:rsidR="0059376D" w:rsidRPr="00156B9D" w:rsidRDefault="0059376D" w:rsidP="00EE5CD5">
            <w:pPr>
              <w:jc w:val="both"/>
              <w:rPr>
                <w:b/>
                <w:lang w:val="en-GB"/>
              </w:rPr>
            </w:pPr>
          </w:p>
          <w:p w14:paraId="466CDFE9" w14:textId="77777777" w:rsidR="0059376D" w:rsidRPr="00156B9D" w:rsidRDefault="0059376D" w:rsidP="00EE5CD5">
            <w:pPr>
              <w:jc w:val="both"/>
              <w:rPr>
                <w:b/>
                <w:lang w:val="en-GB"/>
              </w:rPr>
            </w:pPr>
          </w:p>
          <w:p w14:paraId="59D6C8AE" w14:textId="77777777" w:rsidR="0059376D" w:rsidRPr="00156B9D" w:rsidRDefault="0059376D" w:rsidP="00EE5CD5">
            <w:pPr>
              <w:jc w:val="both"/>
              <w:rPr>
                <w:b/>
                <w:lang w:val="en-GB"/>
              </w:rPr>
            </w:pPr>
          </w:p>
          <w:p w14:paraId="1FDDAFA7" w14:textId="77777777" w:rsidR="0059376D" w:rsidRPr="00156B9D" w:rsidRDefault="0059376D" w:rsidP="00EE5CD5">
            <w:pPr>
              <w:jc w:val="both"/>
              <w:rPr>
                <w:b/>
                <w:lang w:val="en-GB"/>
              </w:rPr>
            </w:pPr>
          </w:p>
          <w:p w14:paraId="16A8577D" w14:textId="595A3B01" w:rsidR="0059376D" w:rsidRPr="00156B9D" w:rsidRDefault="0059376D" w:rsidP="00EE5CD5">
            <w:pPr>
              <w:pStyle w:val="HTMLPreformatted"/>
              <w:jc w:val="both"/>
              <w:rPr>
                <w:rFonts w:ascii="Times New Roman" w:hAnsi="Times New Roman"/>
                <w:lang w:val="en-GB"/>
              </w:rPr>
            </w:pPr>
            <w:r w:rsidRPr="00156B9D">
              <w:rPr>
                <w:rFonts w:ascii="Times New Roman" w:hAnsi="Times New Roman"/>
                <w:b/>
                <w:bCs/>
                <w:lang w:val="en-GB"/>
              </w:rPr>
              <w:t>Source</w:t>
            </w:r>
            <w:r w:rsidR="00AB2456">
              <w:rPr>
                <w:rFonts w:ascii="Times New Roman" w:hAnsi="Times New Roman"/>
                <w:b/>
                <w:bCs/>
                <w:lang w:val="en-GB"/>
              </w:rPr>
              <w:t>s</w:t>
            </w:r>
            <w:r w:rsidRPr="00156B9D">
              <w:rPr>
                <w:rFonts w:ascii="Times New Roman" w:hAnsi="Times New Roman"/>
                <w:lang w:val="en-GB"/>
              </w:rPr>
              <w:t>: Ministry of Civil Service report</w:t>
            </w:r>
            <w:r w:rsidR="00AB2456">
              <w:rPr>
                <w:rFonts w:ascii="Times New Roman" w:hAnsi="Times New Roman"/>
                <w:lang w:val="en-GB"/>
              </w:rPr>
              <w:t>,</w:t>
            </w:r>
            <w:r w:rsidR="00AB2456" w:rsidRPr="00156B9D">
              <w:rPr>
                <w:rFonts w:ascii="Times New Roman" w:hAnsi="Times New Roman"/>
                <w:lang w:val="en-GB"/>
              </w:rPr>
              <w:t xml:space="preserve"> </w:t>
            </w:r>
            <w:r w:rsidRPr="00156B9D">
              <w:rPr>
                <w:rFonts w:ascii="Times New Roman" w:hAnsi="Times New Roman"/>
                <w:lang w:val="en-GB"/>
              </w:rPr>
              <w:t xml:space="preserve">Parliament </w:t>
            </w:r>
          </w:p>
          <w:p w14:paraId="53310444" w14:textId="759675F1" w:rsidR="0059376D" w:rsidRPr="00156B9D" w:rsidRDefault="0059376D" w:rsidP="00EE5CD5">
            <w:pPr>
              <w:jc w:val="both"/>
              <w:rPr>
                <w:b/>
                <w:lang w:val="en-GB"/>
              </w:rPr>
            </w:pPr>
            <w:r w:rsidRPr="00156B9D">
              <w:rPr>
                <w:b/>
                <w:bCs/>
                <w:lang w:val="en-GB"/>
              </w:rPr>
              <w:t>Frequency</w:t>
            </w:r>
            <w:r w:rsidRPr="00156B9D">
              <w:rPr>
                <w:lang w:val="en-GB"/>
              </w:rPr>
              <w:t xml:space="preserve">: </w:t>
            </w:r>
            <w:r w:rsidR="00EE3D15" w:rsidRPr="00156B9D">
              <w:rPr>
                <w:lang w:val="en-GB"/>
              </w:rPr>
              <w:t>Bi</w:t>
            </w:r>
            <w:r w:rsidR="00EE3D15">
              <w:rPr>
                <w:lang w:val="en-GB"/>
              </w:rPr>
              <w:t>-</w:t>
            </w:r>
            <w:r w:rsidRPr="00156B9D">
              <w:rPr>
                <w:lang w:val="en-GB"/>
              </w:rPr>
              <w:t xml:space="preserve">annual </w:t>
            </w:r>
          </w:p>
          <w:p w14:paraId="1A7D84D7" w14:textId="77777777" w:rsidR="0059376D" w:rsidRPr="00156B9D" w:rsidRDefault="0059376D" w:rsidP="00EE5CD5">
            <w:pPr>
              <w:pStyle w:val="HTMLPreformatted"/>
              <w:jc w:val="both"/>
              <w:rPr>
                <w:rFonts w:ascii="Times New Roman" w:hAnsi="Times New Roman"/>
                <w:lang w:val="en-GB"/>
              </w:rPr>
            </w:pPr>
            <w:r w:rsidRPr="00156B9D">
              <w:rPr>
                <w:rFonts w:ascii="Times New Roman" w:hAnsi="Times New Roman"/>
                <w:b/>
                <w:lang w:val="en-GB"/>
              </w:rPr>
              <w:t xml:space="preserve">Responsible: </w:t>
            </w:r>
            <w:r w:rsidRPr="00156B9D">
              <w:rPr>
                <w:rFonts w:ascii="Times New Roman" w:hAnsi="Times New Roman"/>
                <w:lang w:val="en-GB"/>
              </w:rPr>
              <w:t xml:space="preserve">Ministry of Civil Service, Parliament  </w:t>
            </w:r>
          </w:p>
          <w:p w14:paraId="5C5DE14E" w14:textId="77777777" w:rsidR="0059376D" w:rsidRPr="00156B9D" w:rsidRDefault="0059376D" w:rsidP="00EE5CD5">
            <w:pPr>
              <w:jc w:val="both"/>
              <w:rPr>
                <w:b/>
                <w:lang w:val="en-GB"/>
              </w:rPr>
            </w:pPr>
          </w:p>
          <w:p w14:paraId="189945D4" w14:textId="77777777" w:rsidR="0059376D" w:rsidRPr="00156B9D" w:rsidRDefault="0059376D" w:rsidP="00EE5CD5">
            <w:pPr>
              <w:jc w:val="both"/>
              <w:rPr>
                <w:rStyle w:val="rynqvb"/>
                <w:lang w:val="en-GB"/>
              </w:rPr>
            </w:pPr>
          </w:p>
          <w:p w14:paraId="4B189D59" w14:textId="77777777" w:rsidR="0059376D" w:rsidRPr="00156B9D" w:rsidRDefault="0059376D" w:rsidP="00EE5CD5">
            <w:pPr>
              <w:jc w:val="both"/>
              <w:rPr>
                <w:rStyle w:val="rynqvb"/>
                <w:lang w:val="en-GB"/>
              </w:rPr>
            </w:pPr>
          </w:p>
          <w:p w14:paraId="0A59362D" w14:textId="77777777" w:rsidR="0059376D" w:rsidRPr="00156B9D" w:rsidRDefault="0059376D" w:rsidP="00EE5CD5">
            <w:pPr>
              <w:jc w:val="both"/>
              <w:rPr>
                <w:rStyle w:val="rynqvb"/>
                <w:lang w:val="en-GB"/>
              </w:rPr>
            </w:pPr>
          </w:p>
          <w:p w14:paraId="1B8023D5" w14:textId="77777777" w:rsidR="0059376D" w:rsidRPr="00156B9D" w:rsidRDefault="0059376D" w:rsidP="00EE5CD5">
            <w:pPr>
              <w:jc w:val="both"/>
              <w:rPr>
                <w:rStyle w:val="rynqvb"/>
                <w:lang w:val="en-GB"/>
              </w:rPr>
            </w:pPr>
          </w:p>
          <w:p w14:paraId="1DEB60CC" w14:textId="77777777" w:rsidR="0059376D" w:rsidRPr="00156B9D" w:rsidRDefault="0059376D" w:rsidP="00EE5CD5">
            <w:pPr>
              <w:jc w:val="both"/>
              <w:rPr>
                <w:rStyle w:val="rynqvb"/>
                <w:lang w:val="en-GB"/>
              </w:rPr>
            </w:pPr>
          </w:p>
          <w:p w14:paraId="69ED3159" w14:textId="77777777" w:rsidR="0059376D" w:rsidRPr="00156B9D" w:rsidRDefault="0059376D" w:rsidP="00EE5CD5">
            <w:pPr>
              <w:jc w:val="both"/>
              <w:rPr>
                <w:rStyle w:val="rynqvb"/>
                <w:lang w:val="en-GB"/>
              </w:rPr>
            </w:pPr>
          </w:p>
          <w:p w14:paraId="4B8B08DC" w14:textId="77777777" w:rsidR="0059376D" w:rsidRPr="00156B9D" w:rsidRDefault="0059376D" w:rsidP="00EE5CD5">
            <w:pPr>
              <w:jc w:val="both"/>
              <w:rPr>
                <w:rStyle w:val="rynqvb"/>
                <w:lang w:val="en-GB"/>
              </w:rPr>
            </w:pPr>
          </w:p>
          <w:p w14:paraId="2FDFBE7C" w14:textId="77777777" w:rsidR="0059376D" w:rsidRPr="00156B9D" w:rsidRDefault="0059376D" w:rsidP="00EE5CD5">
            <w:pPr>
              <w:jc w:val="both"/>
              <w:rPr>
                <w:rStyle w:val="rynqvb"/>
                <w:lang w:val="en-GB"/>
              </w:rPr>
            </w:pPr>
          </w:p>
          <w:p w14:paraId="359B575D" w14:textId="77777777" w:rsidR="0059376D" w:rsidRPr="00156B9D" w:rsidRDefault="0059376D" w:rsidP="00EE5CD5">
            <w:pPr>
              <w:jc w:val="both"/>
              <w:rPr>
                <w:rStyle w:val="rynqvb"/>
                <w:lang w:val="en-GB"/>
              </w:rPr>
            </w:pPr>
          </w:p>
          <w:p w14:paraId="23736D18" w14:textId="77777777" w:rsidR="0059376D" w:rsidRPr="00156B9D" w:rsidRDefault="0059376D" w:rsidP="00EE5CD5">
            <w:pPr>
              <w:jc w:val="both"/>
              <w:rPr>
                <w:rStyle w:val="rynqvb"/>
                <w:lang w:val="en-GB"/>
              </w:rPr>
            </w:pPr>
          </w:p>
          <w:p w14:paraId="1E2CF12F" w14:textId="77777777" w:rsidR="0059376D" w:rsidRPr="00156B9D" w:rsidRDefault="0059376D" w:rsidP="00EE5CD5">
            <w:pPr>
              <w:jc w:val="both"/>
              <w:rPr>
                <w:rStyle w:val="rynqvb"/>
                <w:lang w:val="en-GB"/>
              </w:rPr>
            </w:pPr>
          </w:p>
          <w:p w14:paraId="3D2D6C25" w14:textId="77777777" w:rsidR="0059376D" w:rsidRPr="00156B9D" w:rsidRDefault="0059376D" w:rsidP="00EE5CD5">
            <w:pPr>
              <w:jc w:val="both"/>
              <w:rPr>
                <w:rStyle w:val="rynqvb"/>
                <w:lang w:val="en-GB"/>
              </w:rPr>
            </w:pPr>
          </w:p>
          <w:p w14:paraId="129A99A4" w14:textId="77777777" w:rsidR="0059376D" w:rsidRPr="00156B9D" w:rsidRDefault="0059376D" w:rsidP="00EE5CD5">
            <w:pPr>
              <w:jc w:val="both"/>
              <w:rPr>
                <w:rStyle w:val="rynqvb"/>
                <w:lang w:val="en-GB"/>
              </w:rPr>
            </w:pPr>
          </w:p>
          <w:p w14:paraId="5004E605" w14:textId="77777777" w:rsidR="0059376D" w:rsidRPr="00156B9D" w:rsidRDefault="0059376D" w:rsidP="00EE5CD5">
            <w:pPr>
              <w:jc w:val="both"/>
              <w:rPr>
                <w:rStyle w:val="rynqvb"/>
                <w:lang w:val="en-GB"/>
              </w:rPr>
            </w:pPr>
          </w:p>
          <w:p w14:paraId="66F9258E" w14:textId="77777777" w:rsidR="0059376D" w:rsidRPr="00156B9D" w:rsidRDefault="0059376D" w:rsidP="00EE5CD5">
            <w:pPr>
              <w:jc w:val="both"/>
              <w:rPr>
                <w:rStyle w:val="rynqvb"/>
                <w:lang w:val="en-GB"/>
              </w:rPr>
            </w:pPr>
          </w:p>
          <w:p w14:paraId="7F22AD52" w14:textId="77777777" w:rsidR="0059376D" w:rsidRPr="00156B9D" w:rsidRDefault="0059376D" w:rsidP="00EE5CD5">
            <w:pPr>
              <w:jc w:val="both"/>
              <w:rPr>
                <w:rStyle w:val="rynqvb"/>
                <w:lang w:val="en-GB"/>
              </w:rPr>
            </w:pPr>
          </w:p>
          <w:p w14:paraId="706022D7" w14:textId="77777777" w:rsidR="0059376D" w:rsidRPr="00156B9D" w:rsidRDefault="0059376D" w:rsidP="00EE5CD5">
            <w:pPr>
              <w:jc w:val="both"/>
              <w:rPr>
                <w:rStyle w:val="rynqvb"/>
                <w:lang w:val="en-GB"/>
              </w:rPr>
            </w:pPr>
          </w:p>
          <w:p w14:paraId="33257C48" w14:textId="77777777" w:rsidR="0059376D" w:rsidRPr="00156B9D" w:rsidRDefault="0059376D" w:rsidP="00EE5CD5">
            <w:pPr>
              <w:jc w:val="both"/>
              <w:rPr>
                <w:rStyle w:val="rynqvb"/>
                <w:lang w:val="en-GB"/>
              </w:rPr>
            </w:pPr>
          </w:p>
          <w:p w14:paraId="401D9878" w14:textId="77777777" w:rsidR="0059376D" w:rsidRPr="00156B9D" w:rsidRDefault="0059376D" w:rsidP="00EE5CD5">
            <w:pPr>
              <w:jc w:val="both"/>
              <w:rPr>
                <w:rStyle w:val="rynqvb"/>
                <w:lang w:val="en-GB"/>
              </w:rPr>
            </w:pPr>
          </w:p>
          <w:p w14:paraId="4A6F03EB" w14:textId="77777777" w:rsidR="0059376D" w:rsidRPr="00156B9D" w:rsidRDefault="0059376D" w:rsidP="00EE5CD5">
            <w:pPr>
              <w:jc w:val="both"/>
              <w:rPr>
                <w:rStyle w:val="rynqvb"/>
                <w:lang w:val="en-GB"/>
              </w:rPr>
            </w:pPr>
          </w:p>
          <w:p w14:paraId="1FF61D6C" w14:textId="77777777" w:rsidR="0059376D" w:rsidRPr="00156B9D" w:rsidRDefault="0059376D" w:rsidP="00EE5CD5">
            <w:pPr>
              <w:jc w:val="both"/>
              <w:rPr>
                <w:rStyle w:val="rynqvb"/>
                <w:lang w:val="en-GB"/>
              </w:rPr>
            </w:pPr>
          </w:p>
          <w:p w14:paraId="3FD383EA" w14:textId="77777777" w:rsidR="0059376D" w:rsidRPr="00156B9D" w:rsidRDefault="0059376D" w:rsidP="00EE5CD5">
            <w:pPr>
              <w:jc w:val="both"/>
              <w:rPr>
                <w:rStyle w:val="rynqvb"/>
                <w:lang w:val="en-GB"/>
              </w:rPr>
            </w:pPr>
          </w:p>
          <w:p w14:paraId="30786D05" w14:textId="77777777" w:rsidR="0059376D" w:rsidRPr="00156B9D" w:rsidRDefault="0059376D" w:rsidP="00EE5CD5">
            <w:pPr>
              <w:jc w:val="both"/>
              <w:rPr>
                <w:rStyle w:val="rynqvb"/>
                <w:lang w:val="en-GB"/>
              </w:rPr>
            </w:pPr>
          </w:p>
          <w:p w14:paraId="16FB1776" w14:textId="77777777" w:rsidR="0059376D" w:rsidRPr="00156B9D" w:rsidRDefault="0059376D" w:rsidP="00EE5CD5">
            <w:pPr>
              <w:jc w:val="both"/>
              <w:rPr>
                <w:rStyle w:val="rynqvb"/>
                <w:lang w:val="en-GB"/>
              </w:rPr>
            </w:pPr>
          </w:p>
          <w:p w14:paraId="39BFB7A6" w14:textId="77777777" w:rsidR="0059376D" w:rsidRPr="00156B9D" w:rsidRDefault="0059376D" w:rsidP="00EE5CD5">
            <w:pPr>
              <w:jc w:val="both"/>
              <w:rPr>
                <w:rStyle w:val="rynqvb"/>
                <w:lang w:val="en-GB"/>
              </w:rPr>
            </w:pPr>
          </w:p>
          <w:p w14:paraId="0AF53479" w14:textId="77777777" w:rsidR="0059376D" w:rsidRPr="00156B9D" w:rsidRDefault="0059376D" w:rsidP="00EE5CD5">
            <w:pPr>
              <w:jc w:val="both"/>
              <w:rPr>
                <w:rStyle w:val="rynqvb"/>
                <w:lang w:val="en-GB"/>
              </w:rPr>
            </w:pPr>
          </w:p>
          <w:p w14:paraId="7BEABF46" w14:textId="77777777" w:rsidR="0059376D" w:rsidRPr="00156B9D" w:rsidRDefault="0059376D" w:rsidP="00EE5CD5">
            <w:pPr>
              <w:jc w:val="both"/>
              <w:rPr>
                <w:rStyle w:val="rynqvb"/>
                <w:lang w:val="en-GB"/>
              </w:rPr>
            </w:pPr>
          </w:p>
          <w:p w14:paraId="77B8DEE8" w14:textId="77777777" w:rsidR="0059376D" w:rsidRPr="00156B9D" w:rsidRDefault="0059376D" w:rsidP="00EE5CD5">
            <w:pPr>
              <w:jc w:val="both"/>
              <w:rPr>
                <w:rStyle w:val="rynqvb"/>
                <w:lang w:val="en-GB"/>
              </w:rPr>
            </w:pPr>
          </w:p>
          <w:p w14:paraId="0A4C5B80" w14:textId="77777777" w:rsidR="0059376D" w:rsidRPr="00156B9D" w:rsidRDefault="0059376D" w:rsidP="00EE5CD5">
            <w:pPr>
              <w:jc w:val="both"/>
              <w:rPr>
                <w:rStyle w:val="rynqvb"/>
                <w:lang w:val="en-GB"/>
              </w:rPr>
            </w:pPr>
          </w:p>
          <w:p w14:paraId="2E5F02A9" w14:textId="77777777" w:rsidR="0059376D" w:rsidRPr="00156B9D" w:rsidRDefault="0059376D" w:rsidP="00EE5CD5">
            <w:pPr>
              <w:jc w:val="both"/>
              <w:rPr>
                <w:rStyle w:val="rynqvb"/>
                <w:lang w:val="en-GB"/>
              </w:rPr>
            </w:pPr>
          </w:p>
          <w:p w14:paraId="0DF5D9FA" w14:textId="77777777" w:rsidR="0059376D" w:rsidRPr="00156B9D" w:rsidRDefault="0059376D" w:rsidP="00EE5CD5">
            <w:pPr>
              <w:jc w:val="both"/>
              <w:rPr>
                <w:b/>
                <w:bCs/>
                <w:lang w:val="en-GB"/>
              </w:rPr>
            </w:pPr>
          </w:p>
        </w:tc>
        <w:tc>
          <w:tcPr>
            <w:tcW w:w="4819" w:type="dxa"/>
            <w:shd w:val="clear" w:color="auto" w:fill="auto"/>
          </w:tcPr>
          <w:p w14:paraId="2BB7F15C" w14:textId="2837A3ED" w:rsidR="0059376D" w:rsidRPr="00156B9D" w:rsidRDefault="0059376D" w:rsidP="00EE5CD5">
            <w:pPr>
              <w:jc w:val="both"/>
              <w:rPr>
                <w:b/>
                <w:bCs/>
                <w:lang w:val="en-GB"/>
              </w:rPr>
            </w:pPr>
            <w:bookmarkStart w:id="4" w:name="_Hlk146295989"/>
            <w:r w:rsidRPr="00156B9D">
              <w:rPr>
                <w:b/>
                <w:bCs/>
                <w:lang w:val="en-GB"/>
              </w:rPr>
              <w:lastRenderedPageBreak/>
              <w:t xml:space="preserve">Output 1.1: </w:t>
            </w:r>
            <w:bookmarkStart w:id="5" w:name="_Hlk143502197"/>
            <w:r w:rsidRPr="00156B9D">
              <w:rPr>
                <w:b/>
                <w:bCs/>
                <w:lang w:val="en-GB"/>
              </w:rPr>
              <w:t>Republican, judicial</w:t>
            </w:r>
            <w:r w:rsidR="00EE3D15">
              <w:rPr>
                <w:b/>
                <w:bCs/>
                <w:lang w:val="en-GB"/>
              </w:rPr>
              <w:t xml:space="preserve"> and</w:t>
            </w:r>
            <w:r w:rsidR="00EE3D15" w:rsidRPr="00156B9D">
              <w:rPr>
                <w:b/>
                <w:bCs/>
                <w:lang w:val="en-GB"/>
              </w:rPr>
              <w:t xml:space="preserve"> </w:t>
            </w:r>
            <w:r w:rsidRPr="00156B9D">
              <w:rPr>
                <w:b/>
                <w:bCs/>
                <w:lang w:val="en-GB"/>
              </w:rPr>
              <w:t xml:space="preserve">security institutions, </w:t>
            </w:r>
            <w:r w:rsidR="00EE3D15">
              <w:rPr>
                <w:b/>
                <w:bCs/>
                <w:lang w:val="en-GB"/>
              </w:rPr>
              <w:t xml:space="preserve">and </w:t>
            </w:r>
            <w:r w:rsidRPr="00156B9D">
              <w:rPr>
                <w:b/>
                <w:bCs/>
                <w:lang w:val="en-GB"/>
              </w:rPr>
              <w:t>central, deconcentrated and decentralized entities</w:t>
            </w:r>
            <w:r w:rsidR="00EE3D15">
              <w:rPr>
                <w:b/>
                <w:bCs/>
                <w:lang w:val="en-GB"/>
              </w:rPr>
              <w:t>,</w:t>
            </w:r>
            <w:r w:rsidRPr="00156B9D">
              <w:rPr>
                <w:b/>
                <w:bCs/>
                <w:lang w:val="en-GB"/>
              </w:rPr>
              <w:t xml:space="preserve"> have more technical, technological and operational capacities to provide quality, accessible and equitable </w:t>
            </w:r>
            <w:bookmarkEnd w:id="5"/>
            <w:r w:rsidRPr="00156B9D">
              <w:rPr>
                <w:b/>
                <w:bCs/>
                <w:lang w:val="en-GB"/>
              </w:rPr>
              <w:t>services.</w:t>
            </w:r>
          </w:p>
          <w:p w14:paraId="4AB33056" w14:textId="77777777" w:rsidR="0059376D" w:rsidRPr="00156B9D" w:rsidRDefault="0059376D" w:rsidP="00EE5CD5">
            <w:pPr>
              <w:jc w:val="both"/>
              <w:rPr>
                <w:lang w:val="en-GB"/>
              </w:rPr>
            </w:pPr>
          </w:p>
          <w:p w14:paraId="57522BE2" w14:textId="77777777" w:rsidR="0059376D" w:rsidRPr="00156B9D" w:rsidRDefault="0059376D" w:rsidP="00EE5CD5">
            <w:pPr>
              <w:jc w:val="both"/>
              <w:textAlignment w:val="baseline"/>
              <w:rPr>
                <w:b/>
                <w:lang w:val="en-GB"/>
              </w:rPr>
            </w:pPr>
            <w:bookmarkStart w:id="6" w:name="_Hlk143502629"/>
            <w:bookmarkEnd w:id="4"/>
            <w:r w:rsidRPr="00156B9D">
              <w:rPr>
                <w:b/>
                <w:lang w:val="en-GB"/>
              </w:rPr>
              <w:t>Indicator 1.1.1</w:t>
            </w:r>
            <w:r w:rsidRPr="00156B9D">
              <w:rPr>
                <w:bCs/>
                <w:lang w:val="en-GB"/>
              </w:rPr>
              <w:t xml:space="preserve">: Number of institutions with technical, technological and operational capacity to provide quality service </w:t>
            </w:r>
          </w:p>
          <w:p w14:paraId="066A5260" w14:textId="0AEC59F4" w:rsidR="0059376D" w:rsidRPr="00156B9D" w:rsidRDefault="0059376D" w:rsidP="00EE5CD5">
            <w:pPr>
              <w:jc w:val="both"/>
              <w:textAlignment w:val="baseline"/>
              <w:rPr>
                <w:bCs/>
                <w:lang w:val="en-GB"/>
              </w:rPr>
            </w:pPr>
            <w:r w:rsidRPr="00156B9D">
              <w:rPr>
                <w:b/>
                <w:lang w:val="en-GB"/>
              </w:rPr>
              <w:t>Baseline</w:t>
            </w:r>
            <w:r w:rsidR="00022AF1">
              <w:rPr>
                <w:b/>
                <w:lang w:val="en-GB"/>
              </w:rPr>
              <w:t xml:space="preserve"> </w:t>
            </w:r>
            <w:r w:rsidRPr="00156B9D">
              <w:rPr>
                <w:b/>
                <w:lang w:val="en-GB"/>
              </w:rPr>
              <w:t>(2022)</w:t>
            </w:r>
            <w:r w:rsidRPr="00156B9D">
              <w:rPr>
                <w:bCs/>
                <w:lang w:val="en-GB"/>
              </w:rPr>
              <w:t>:</w:t>
            </w:r>
          </w:p>
          <w:p w14:paraId="37E6D51D" w14:textId="77777777" w:rsidR="0059376D" w:rsidRPr="00156B9D" w:rsidRDefault="0059376D" w:rsidP="00EE5CD5">
            <w:pPr>
              <w:jc w:val="both"/>
              <w:rPr>
                <w:lang w:val="en-GB"/>
              </w:rPr>
            </w:pPr>
            <w:r w:rsidRPr="00156B9D">
              <w:rPr>
                <w:lang w:val="en-GB"/>
              </w:rPr>
              <w:t>Republican institutions: 2</w:t>
            </w:r>
          </w:p>
          <w:p w14:paraId="2D8A81C4" w14:textId="77777777" w:rsidR="0059376D" w:rsidRPr="00156B9D" w:rsidRDefault="0059376D" w:rsidP="00EE5CD5">
            <w:pPr>
              <w:jc w:val="both"/>
              <w:rPr>
                <w:lang w:val="en-GB"/>
              </w:rPr>
            </w:pPr>
            <w:r w:rsidRPr="00156B9D">
              <w:rPr>
                <w:lang w:val="en-GB"/>
              </w:rPr>
              <w:t>Judicial institutions: 2</w:t>
            </w:r>
          </w:p>
          <w:p w14:paraId="35A119F0" w14:textId="77777777" w:rsidR="0059376D" w:rsidRPr="00156B9D" w:rsidRDefault="0059376D" w:rsidP="00EE5CD5">
            <w:pPr>
              <w:jc w:val="both"/>
              <w:rPr>
                <w:lang w:val="en-GB"/>
              </w:rPr>
            </w:pPr>
            <w:r w:rsidRPr="00156B9D">
              <w:rPr>
                <w:lang w:val="en-GB"/>
              </w:rPr>
              <w:t>Security institutions: 4</w:t>
            </w:r>
          </w:p>
          <w:p w14:paraId="006CEEF2" w14:textId="215D353A" w:rsidR="0059376D" w:rsidRPr="00156B9D" w:rsidRDefault="0059376D" w:rsidP="00EE5CD5">
            <w:pPr>
              <w:jc w:val="both"/>
              <w:rPr>
                <w:lang w:val="en-GB"/>
              </w:rPr>
            </w:pPr>
            <w:r w:rsidRPr="00156B9D">
              <w:rPr>
                <w:lang w:val="en-GB"/>
              </w:rPr>
              <w:t>Central entities:</w:t>
            </w:r>
            <w:r w:rsidR="00EE3D15">
              <w:rPr>
                <w:lang w:val="en-GB"/>
              </w:rPr>
              <w:t xml:space="preserve"> </w:t>
            </w:r>
            <w:r w:rsidRPr="00156B9D">
              <w:rPr>
                <w:lang w:val="en-GB"/>
              </w:rPr>
              <w:t>7</w:t>
            </w:r>
          </w:p>
          <w:p w14:paraId="6E177CD3" w14:textId="77777777" w:rsidR="0059376D" w:rsidRPr="00156B9D" w:rsidRDefault="0059376D" w:rsidP="00EE5CD5">
            <w:pPr>
              <w:jc w:val="both"/>
              <w:rPr>
                <w:lang w:val="en-GB"/>
              </w:rPr>
            </w:pPr>
            <w:r w:rsidRPr="00156B9D">
              <w:rPr>
                <w:lang w:val="en-GB"/>
              </w:rPr>
              <w:t>Deconcentrated/decentralized entities: 30</w:t>
            </w:r>
          </w:p>
          <w:p w14:paraId="161C8C5D" w14:textId="11B20EA3" w:rsidR="0059376D" w:rsidRPr="00156B9D" w:rsidRDefault="0059376D" w:rsidP="00EE5CD5">
            <w:pPr>
              <w:jc w:val="both"/>
              <w:rPr>
                <w:bCs/>
                <w:lang w:val="en-GB"/>
              </w:rPr>
            </w:pPr>
            <w:r w:rsidRPr="00156B9D">
              <w:rPr>
                <w:b/>
                <w:lang w:val="en-GB"/>
              </w:rPr>
              <w:t>Target</w:t>
            </w:r>
            <w:r w:rsidR="00022AF1">
              <w:rPr>
                <w:b/>
                <w:lang w:val="en-GB"/>
              </w:rPr>
              <w:t xml:space="preserve"> </w:t>
            </w:r>
            <w:r w:rsidRPr="00156B9D">
              <w:rPr>
                <w:b/>
                <w:lang w:val="en-GB"/>
              </w:rPr>
              <w:t>(2028)</w:t>
            </w:r>
            <w:r w:rsidRPr="00156B9D">
              <w:rPr>
                <w:bCs/>
                <w:lang w:val="en-GB"/>
              </w:rPr>
              <w:t xml:space="preserve">: </w:t>
            </w:r>
          </w:p>
          <w:p w14:paraId="60418567" w14:textId="74C4ED0A" w:rsidR="0059376D" w:rsidRPr="00156B9D" w:rsidRDefault="0059376D" w:rsidP="00EE5CD5">
            <w:pPr>
              <w:jc w:val="both"/>
              <w:rPr>
                <w:lang w:val="en-GB"/>
              </w:rPr>
            </w:pPr>
            <w:r w:rsidRPr="00156B9D">
              <w:rPr>
                <w:lang w:val="en-GB"/>
              </w:rPr>
              <w:t>Republican institutions:</w:t>
            </w:r>
            <w:r w:rsidR="00EE3D15">
              <w:rPr>
                <w:lang w:val="en-GB"/>
              </w:rPr>
              <w:t xml:space="preserve"> </w:t>
            </w:r>
            <w:r w:rsidRPr="00156B9D">
              <w:rPr>
                <w:lang w:val="en-GB"/>
              </w:rPr>
              <w:t>9</w:t>
            </w:r>
          </w:p>
          <w:p w14:paraId="4CA7B468" w14:textId="4E8347CB" w:rsidR="0059376D" w:rsidRPr="00156B9D" w:rsidRDefault="0059376D" w:rsidP="00EE5CD5">
            <w:pPr>
              <w:jc w:val="both"/>
              <w:rPr>
                <w:lang w:val="en-GB"/>
              </w:rPr>
            </w:pPr>
            <w:r w:rsidRPr="00156B9D">
              <w:rPr>
                <w:lang w:val="en-GB"/>
              </w:rPr>
              <w:t>Judicial institutions:</w:t>
            </w:r>
            <w:r w:rsidR="00EE3D15">
              <w:rPr>
                <w:lang w:val="en-GB"/>
              </w:rPr>
              <w:t xml:space="preserve"> </w:t>
            </w:r>
            <w:r w:rsidRPr="00156B9D">
              <w:rPr>
                <w:lang w:val="en-GB"/>
              </w:rPr>
              <w:t>8</w:t>
            </w:r>
          </w:p>
          <w:p w14:paraId="58C0DA83" w14:textId="66F7625A" w:rsidR="0059376D" w:rsidRPr="00156B9D" w:rsidRDefault="0059376D" w:rsidP="00EE5CD5">
            <w:pPr>
              <w:jc w:val="both"/>
              <w:rPr>
                <w:lang w:val="en-GB"/>
              </w:rPr>
            </w:pPr>
            <w:r w:rsidRPr="00156B9D">
              <w:rPr>
                <w:lang w:val="en-GB"/>
              </w:rPr>
              <w:t>Security institutions:</w:t>
            </w:r>
            <w:r w:rsidR="00EE3D15">
              <w:rPr>
                <w:lang w:val="en-GB"/>
              </w:rPr>
              <w:t xml:space="preserve"> </w:t>
            </w:r>
            <w:r w:rsidRPr="00156B9D">
              <w:rPr>
                <w:lang w:val="en-GB"/>
              </w:rPr>
              <w:t>11</w:t>
            </w:r>
          </w:p>
          <w:p w14:paraId="798BC088" w14:textId="4B89BA7D" w:rsidR="0059376D" w:rsidRPr="00156B9D" w:rsidRDefault="0059376D" w:rsidP="00EE5CD5">
            <w:pPr>
              <w:jc w:val="both"/>
              <w:rPr>
                <w:lang w:val="en-GB"/>
              </w:rPr>
            </w:pPr>
            <w:r w:rsidRPr="00156B9D">
              <w:rPr>
                <w:lang w:val="en-GB"/>
              </w:rPr>
              <w:t>Central entities:</w:t>
            </w:r>
            <w:r w:rsidR="00EE3D15">
              <w:rPr>
                <w:lang w:val="en-GB"/>
              </w:rPr>
              <w:t xml:space="preserve"> </w:t>
            </w:r>
            <w:r w:rsidRPr="00156B9D">
              <w:rPr>
                <w:lang w:val="en-GB"/>
              </w:rPr>
              <w:t>16</w:t>
            </w:r>
          </w:p>
          <w:p w14:paraId="016625A9" w14:textId="77777777" w:rsidR="0059376D" w:rsidRPr="00156B9D" w:rsidRDefault="0059376D" w:rsidP="00EE5CD5">
            <w:pPr>
              <w:jc w:val="both"/>
              <w:rPr>
                <w:lang w:val="en-GB"/>
              </w:rPr>
            </w:pPr>
            <w:r w:rsidRPr="00156B9D">
              <w:rPr>
                <w:lang w:val="en-GB"/>
              </w:rPr>
              <w:t>Deconcentrated/decentralized entities: 130</w:t>
            </w:r>
          </w:p>
          <w:p w14:paraId="46BF686F" w14:textId="70969DB9" w:rsidR="0059376D" w:rsidRPr="00156B9D" w:rsidRDefault="0059376D" w:rsidP="00EE5CD5">
            <w:pPr>
              <w:jc w:val="both"/>
              <w:rPr>
                <w:bCs/>
                <w:lang w:val="en-GB"/>
              </w:rPr>
            </w:pPr>
            <w:r w:rsidRPr="00156B9D">
              <w:rPr>
                <w:b/>
                <w:lang w:val="en-GB"/>
              </w:rPr>
              <w:t>Source</w:t>
            </w:r>
            <w:r w:rsidRPr="00156B9D">
              <w:rPr>
                <w:bCs/>
                <w:lang w:val="en-GB"/>
              </w:rPr>
              <w:t xml:space="preserve">:  </w:t>
            </w:r>
            <w:r w:rsidR="00AB2456" w:rsidRPr="00156B9D">
              <w:rPr>
                <w:bCs/>
                <w:lang w:val="en-GB"/>
              </w:rPr>
              <w:t>Ministr</w:t>
            </w:r>
            <w:r w:rsidR="00AB2456">
              <w:rPr>
                <w:bCs/>
                <w:lang w:val="en-GB"/>
              </w:rPr>
              <w:t>ies</w:t>
            </w:r>
            <w:r w:rsidR="00AB2456" w:rsidRPr="00156B9D">
              <w:rPr>
                <w:bCs/>
                <w:lang w:val="en-GB"/>
              </w:rPr>
              <w:t xml:space="preserve"> </w:t>
            </w:r>
            <w:r w:rsidRPr="00156B9D">
              <w:rPr>
                <w:bCs/>
                <w:lang w:val="en-GB"/>
              </w:rPr>
              <w:t>of Justice</w:t>
            </w:r>
            <w:r w:rsidR="00022AF1">
              <w:rPr>
                <w:bCs/>
                <w:lang w:val="en-GB"/>
              </w:rPr>
              <w:t xml:space="preserve"> </w:t>
            </w:r>
            <w:r w:rsidR="00AB2456">
              <w:rPr>
                <w:bCs/>
                <w:lang w:val="en-GB"/>
              </w:rPr>
              <w:t>and</w:t>
            </w:r>
            <w:r w:rsidR="00AB2456" w:rsidRPr="00156B9D">
              <w:rPr>
                <w:bCs/>
                <w:lang w:val="en-GB"/>
              </w:rPr>
              <w:t xml:space="preserve"> </w:t>
            </w:r>
            <w:r w:rsidRPr="00156B9D">
              <w:rPr>
                <w:bCs/>
                <w:lang w:val="en-GB"/>
              </w:rPr>
              <w:t xml:space="preserve">Territorial Administration  </w:t>
            </w:r>
          </w:p>
          <w:p w14:paraId="38165254" w14:textId="77777777" w:rsidR="0059376D" w:rsidRPr="00156B9D" w:rsidRDefault="0059376D" w:rsidP="00EE5CD5">
            <w:pPr>
              <w:jc w:val="both"/>
              <w:rPr>
                <w:lang w:val="en-GB"/>
              </w:rPr>
            </w:pPr>
            <w:r w:rsidRPr="00156B9D">
              <w:rPr>
                <w:b/>
                <w:bCs/>
                <w:lang w:val="en-GB"/>
              </w:rPr>
              <w:t>Frequency</w:t>
            </w:r>
            <w:r w:rsidRPr="00156B9D">
              <w:rPr>
                <w:lang w:val="en-GB"/>
              </w:rPr>
              <w:t>: Annual</w:t>
            </w:r>
          </w:p>
          <w:p w14:paraId="4B6123F3" w14:textId="77777777" w:rsidR="0059376D" w:rsidRPr="00156B9D" w:rsidRDefault="0059376D" w:rsidP="00EE5CD5">
            <w:pPr>
              <w:jc w:val="both"/>
              <w:rPr>
                <w:bCs/>
                <w:lang w:val="en-GB"/>
              </w:rPr>
            </w:pPr>
            <w:bookmarkStart w:id="7" w:name="_Hlk146292649"/>
          </w:p>
          <w:p w14:paraId="68AD0D66" w14:textId="550C5A3E" w:rsidR="0059376D" w:rsidRPr="00156B9D" w:rsidRDefault="0059376D" w:rsidP="00EE5CD5">
            <w:pPr>
              <w:jc w:val="both"/>
              <w:rPr>
                <w:lang w:val="en-GB"/>
              </w:rPr>
            </w:pPr>
            <w:bookmarkStart w:id="8" w:name="_Hlk146557998"/>
            <w:bookmarkEnd w:id="6"/>
            <w:bookmarkEnd w:id="7"/>
            <w:r w:rsidRPr="00156B9D">
              <w:rPr>
                <w:b/>
                <w:lang w:val="en-GB"/>
              </w:rPr>
              <w:t>Indicator 1.1.2</w:t>
            </w:r>
            <w:r w:rsidRPr="00156B9D">
              <w:rPr>
                <w:bCs/>
                <w:lang w:val="en-GB"/>
              </w:rPr>
              <w:t xml:space="preserve">: </w:t>
            </w:r>
            <w:r w:rsidRPr="00156B9D">
              <w:rPr>
                <w:lang w:val="en-GB"/>
              </w:rPr>
              <w:t xml:space="preserve">Number of law enforcement personnel and other actors (Parliament, public administration, judicial institutions, human rights institutions, </w:t>
            </w:r>
            <w:r w:rsidR="007E5216">
              <w:rPr>
                <w:lang w:val="en-GB"/>
              </w:rPr>
              <w:t xml:space="preserve">civil </w:t>
            </w:r>
            <w:r w:rsidR="007E5216">
              <w:rPr>
                <w:lang w:val="en-GB"/>
              </w:rPr>
              <w:lastRenderedPageBreak/>
              <w:t>society organi</w:t>
            </w:r>
            <w:r w:rsidR="00A51775">
              <w:rPr>
                <w:lang w:val="en-GB"/>
              </w:rPr>
              <w:t>z</w:t>
            </w:r>
            <w:r w:rsidR="007E5216">
              <w:rPr>
                <w:lang w:val="en-GB"/>
              </w:rPr>
              <w:t>ation</w:t>
            </w:r>
            <w:r w:rsidR="007E5216" w:rsidRPr="00156B9D">
              <w:rPr>
                <w:lang w:val="en-GB"/>
              </w:rPr>
              <w:t>s</w:t>
            </w:r>
            <w:r w:rsidRPr="00156B9D">
              <w:rPr>
                <w:lang w:val="en-GB"/>
              </w:rPr>
              <w:t xml:space="preserve">) with </w:t>
            </w:r>
            <w:r w:rsidR="0044457F" w:rsidRPr="00156B9D">
              <w:rPr>
                <w:lang w:val="en-GB"/>
              </w:rPr>
              <w:t xml:space="preserve">strengthened </w:t>
            </w:r>
            <w:r w:rsidRPr="00156B9D">
              <w:rPr>
                <w:lang w:val="en-GB"/>
              </w:rPr>
              <w:t>capacities in gender and human rights issues.</w:t>
            </w:r>
          </w:p>
          <w:p w14:paraId="51E7E004" w14:textId="3B7E8F46" w:rsidR="0059376D" w:rsidRPr="00156B9D" w:rsidRDefault="0059376D" w:rsidP="00EE5CD5">
            <w:pPr>
              <w:jc w:val="both"/>
              <w:rPr>
                <w:bCs/>
                <w:lang w:val="en-GB"/>
              </w:rPr>
            </w:pPr>
            <w:r w:rsidRPr="00156B9D">
              <w:rPr>
                <w:b/>
                <w:lang w:val="en-GB"/>
              </w:rPr>
              <w:t>Baseline</w:t>
            </w:r>
            <w:r w:rsidR="007E5216">
              <w:rPr>
                <w:b/>
                <w:lang w:val="en-GB"/>
              </w:rPr>
              <w:t xml:space="preserve"> </w:t>
            </w:r>
            <w:r w:rsidRPr="00156B9D">
              <w:rPr>
                <w:b/>
                <w:lang w:val="en-GB"/>
              </w:rPr>
              <w:t>(2022)</w:t>
            </w:r>
            <w:r w:rsidRPr="00156B9D">
              <w:rPr>
                <w:bCs/>
                <w:lang w:val="en-GB"/>
              </w:rPr>
              <w:t>:</w:t>
            </w:r>
          </w:p>
          <w:p w14:paraId="4789CAC0" w14:textId="765AB510" w:rsidR="0059376D" w:rsidRPr="00156B9D" w:rsidRDefault="0059376D" w:rsidP="00EE5CD5">
            <w:pPr>
              <w:jc w:val="both"/>
              <w:rPr>
                <w:lang w:val="en-GB"/>
              </w:rPr>
            </w:pPr>
            <w:r w:rsidRPr="00156B9D">
              <w:rPr>
                <w:lang w:val="en-GB"/>
              </w:rPr>
              <w:t>Parliament:</w:t>
            </w:r>
            <w:r w:rsidR="007E5216">
              <w:rPr>
                <w:lang w:val="en-GB"/>
              </w:rPr>
              <w:t xml:space="preserve"> </w:t>
            </w:r>
            <w:r w:rsidRPr="00156B9D">
              <w:rPr>
                <w:lang w:val="en-GB"/>
              </w:rPr>
              <w:t>34</w:t>
            </w:r>
          </w:p>
          <w:p w14:paraId="0C3404AA" w14:textId="2BD1BE79" w:rsidR="0059376D" w:rsidRPr="00156B9D" w:rsidRDefault="0059376D" w:rsidP="00EE5CD5">
            <w:pPr>
              <w:jc w:val="both"/>
              <w:rPr>
                <w:lang w:val="en-GB"/>
              </w:rPr>
            </w:pPr>
            <w:r w:rsidRPr="00156B9D">
              <w:rPr>
                <w:lang w:val="en-GB"/>
              </w:rPr>
              <w:t>Public administration:</w:t>
            </w:r>
            <w:r w:rsidR="007E5216">
              <w:rPr>
                <w:lang w:val="en-GB"/>
              </w:rPr>
              <w:t xml:space="preserve"> </w:t>
            </w:r>
            <w:r w:rsidRPr="00156B9D">
              <w:rPr>
                <w:lang w:val="en-GB"/>
              </w:rPr>
              <w:t>100</w:t>
            </w:r>
          </w:p>
          <w:p w14:paraId="42A3AA3A" w14:textId="5C95750D" w:rsidR="0059376D" w:rsidRPr="00156B9D" w:rsidRDefault="0059376D" w:rsidP="00EE5CD5">
            <w:pPr>
              <w:jc w:val="both"/>
              <w:rPr>
                <w:lang w:val="en-GB"/>
              </w:rPr>
            </w:pPr>
            <w:r w:rsidRPr="00156B9D">
              <w:rPr>
                <w:lang w:val="en-GB"/>
              </w:rPr>
              <w:t>Judicial institutions:</w:t>
            </w:r>
            <w:r w:rsidR="007E5216">
              <w:rPr>
                <w:lang w:val="en-GB"/>
              </w:rPr>
              <w:t xml:space="preserve"> </w:t>
            </w:r>
            <w:r w:rsidRPr="00156B9D">
              <w:rPr>
                <w:lang w:val="en-GB"/>
              </w:rPr>
              <w:t>50</w:t>
            </w:r>
          </w:p>
          <w:p w14:paraId="1BC63CF4" w14:textId="522B58D3" w:rsidR="0059376D" w:rsidRPr="00156B9D" w:rsidRDefault="0059376D" w:rsidP="00EE5CD5">
            <w:pPr>
              <w:jc w:val="both"/>
              <w:rPr>
                <w:lang w:val="en-GB"/>
              </w:rPr>
            </w:pPr>
            <w:r w:rsidRPr="00156B9D">
              <w:rPr>
                <w:lang w:val="en-GB"/>
              </w:rPr>
              <w:t>Human rights institutions:</w:t>
            </w:r>
            <w:r w:rsidR="007E5216">
              <w:rPr>
                <w:lang w:val="en-GB"/>
              </w:rPr>
              <w:t xml:space="preserve"> </w:t>
            </w:r>
            <w:r w:rsidRPr="00156B9D">
              <w:rPr>
                <w:lang w:val="en-GB"/>
              </w:rPr>
              <w:t>15</w:t>
            </w:r>
          </w:p>
          <w:p w14:paraId="1F1D13DD" w14:textId="553A3DCD" w:rsidR="0059376D" w:rsidRPr="00156B9D" w:rsidRDefault="0059376D" w:rsidP="00EE5CD5">
            <w:pPr>
              <w:jc w:val="both"/>
              <w:rPr>
                <w:b/>
                <w:lang w:val="en-GB"/>
              </w:rPr>
            </w:pPr>
            <w:r w:rsidRPr="00156B9D">
              <w:rPr>
                <w:lang w:val="en-GB"/>
              </w:rPr>
              <w:t xml:space="preserve">Civil </w:t>
            </w:r>
            <w:r w:rsidR="007E5216">
              <w:rPr>
                <w:lang w:val="en-GB"/>
              </w:rPr>
              <w:t>s</w:t>
            </w:r>
            <w:r w:rsidR="007E5216" w:rsidRPr="00156B9D">
              <w:rPr>
                <w:lang w:val="en-GB"/>
              </w:rPr>
              <w:t xml:space="preserve">ociety </w:t>
            </w:r>
            <w:r w:rsidR="007E5216">
              <w:rPr>
                <w:lang w:val="en-GB"/>
              </w:rPr>
              <w:t>o</w:t>
            </w:r>
            <w:r w:rsidR="007E5216" w:rsidRPr="00156B9D">
              <w:rPr>
                <w:lang w:val="en-GB"/>
              </w:rPr>
              <w:t>rganizations</w:t>
            </w:r>
            <w:r w:rsidRPr="00156B9D">
              <w:rPr>
                <w:lang w:val="en-GB"/>
              </w:rPr>
              <w:t>:</w:t>
            </w:r>
            <w:r w:rsidR="007E5216">
              <w:rPr>
                <w:lang w:val="en-GB"/>
              </w:rPr>
              <w:t xml:space="preserve"> </w:t>
            </w:r>
            <w:r w:rsidRPr="00156B9D">
              <w:rPr>
                <w:lang w:val="en-GB"/>
              </w:rPr>
              <w:t>60</w:t>
            </w:r>
          </w:p>
          <w:p w14:paraId="398FDA1B" w14:textId="00C5D428" w:rsidR="0059376D" w:rsidRPr="00156B9D" w:rsidRDefault="0059376D" w:rsidP="00EE5CD5">
            <w:pPr>
              <w:jc w:val="both"/>
              <w:rPr>
                <w:b/>
                <w:lang w:val="en-GB"/>
              </w:rPr>
            </w:pPr>
            <w:r w:rsidRPr="00156B9D">
              <w:rPr>
                <w:b/>
                <w:lang w:val="en-GB"/>
              </w:rPr>
              <w:t>Target</w:t>
            </w:r>
            <w:bookmarkEnd w:id="8"/>
            <w:r w:rsidR="007E5216">
              <w:rPr>
                <w:b/>
                <w:lang w:val="en-GB"/>
              </w:rPr>
              <w:t xml:space="preserve"> </w:t>
            </w:r>
            <w:r w:rsidRPr="00156B9D">
              <w:rPr>
                <w:b/>
                <w:lang w:val="en-GB"/>
              </w:rPr>
              <w:t>(2028):</w:t>
            </w:r>
          </w:p>
          <w:p w14:paraId="5EAF08F6" w14:textId="77777777" w:rsidR="0059376D" w:rsidRPr="00156B9D" w:rsidRDefault="0059376D" w:rsidP="00EE5CD5">
            <w:pPr>
              <w:jc w:val="both"/>
              <w:rPr>
                <w:lang w:val="en-GB"/>
              </w:rPr>
            </w:pPr>
            <w:r w:rsidRPr="00156B9D">
              <w:rPr>
                <w:lang w:val="en-GB"/>
              </w:rPr>
              <w:t>Parliament: 76</w:t>
            </w:r>
          </w:p>
          <w:p w14:paraId="7BF7A652" w14:textId="403CD5A2" w:rsidR="0059376D" w:rsidRPr="00156B9D" w:rsidRDefault="0059376D" w:rsidP="00EE5CD5">
            <w:pPr>
              <w:jc w:val="both"/>
              <w:rPr>
                <w:lang w:val="en-GB"/>
              </w:rPr>
            </w:pPr>
            <w:r w:rsidRPr="00156B9D">
              <w:rPr>
                <w:lang w:val="en-GB"/>
              </w:rPr>
              <w:t>Public administration:</w:t>
            </w:r>
            <w:r w:rsidR="007E5216">
              <w:rPr>
                <w:lang w:val="en-GB"/>
              </w:rPr>
              <w:t xml:space="preserve"> </w:t>
            </w:r>
            <w:r w:rsidRPr="00156B9D">
              <w:rPr>
                <w:lang w:val="en-GB"/>
              </w:rPr>
              <w:t>200</w:t>
            </w:r>
          </w:p>
          <w:p w14:paraId="66B499A3" w14:textId="4859128B" w:rsidR="0059376D" w:rsidRPr="00156B9D" w:rsidRDefault="0059376D" w:rsidP="00EE5CD5">
            <w:pPr>
              <w:jc w:val="both"/>
              <w:rPr>
                <w:lang w:val="en-GB"/>
              </w:rPr>
            </w:pPr>
            <w:r w:rsidRPr="00156B9D">
              <w:rPr>
                <w:lang w:val="en-GB"/>
              </w:rPr>
              <w:t>Judicial institutions:</w:t>
            </w:r>
            <w:r w:rsidR="00DB4C4C">
              <w:rPr>
                <w:lang w:val="en-GB"/>
              </w:rPr>
              <w:t xml:space="preserve"> </w:t>
            </w:r>
            <w:r w:rsidRPr="00156B9D">
              <w:rPr>
                <w:lang w:val="en-GB"/>
              </w:rPr>
              <w:t>150</w:t>
            </w:r>
          </w:p>
          <w:p w14:paraId="3976FA2D" w14:textId="7E86E77F" w:rsidR="0059376D" w:rsidRPr="00156B9D" w:rsidRDefault="0059376D" w:rsidP="00EE5CD5">
            <w:pPr>
              <w:jc w:val="both"/>
              <w:rPr>
                <w:lang w:val="en-GB"/>
              </w:rPr>
            </w:pPr>
            <w:r w:rsidRPr="00156B9D">
              <w:rPr>
                <w:lang w:val="en-GB"/>
              </w:rPr>
              <w:t>Human rights institutions:</w:t>
            </w:r>
            <w:r w:rsidR="00DB4C4C">
              <w:rPr>
                <w:lang w:val="en-GB"/>
              </w:rPr>
              <w:t xml:space="preserve"> </w:t>
            </w:r>
            <w:r w:rsidRPr="00156B9D">
              <w:rPr>
                <w:lang w:val="en-GB"/>
              </w:rPr>
              <w:t>20</w:t>
            </w:r>
          </w:p>
          <w:p w14:paraId="246862C5" w14:textId="75433516" w:rsidR="0059376D" w:rsidRPr="00156B9D" w:rsidRDefault="0059376D" w:rsidP="00EE5CD5">
            <w:pPr>
              <w:jc w:val="both"/>
              <w:rPr>
                <w:b/>
                <w:lang w:val="en-GB"/>
              </w:rPr>
            </w:pPr>
            <w:r w:rsidRPr="00156B9D">
              <w:rPr>
                <w:lang w:val="en-GB"/>
              </w:rPr>
              <w:t xml:space="preserve">Civil </w:t>
            </w:r>
            <w:r w:rsidR="00DB4C4C">
              <w:rPr>
                <w:lang w:val="en-GB"/>
              </w:rPr>
              <w:t>s</w:t>
            </w:r>
            <w:r w:rsidR="00DB4C4C" w:rsidRPr="00156B9D">
              <w:rPr>
                <w:lang w:val="en-GB"/>
              </w:rPr>
              <w:t xml:space="preserve">ociety </w:t>
            </w:r>
            <w:r w:rsidR="00DB4C4C">
              <w:rPr>
                <w:lang w:val="en-GB"/>
              </w:rPr>
              <w:t>o</w:t>
            </w:r>
            <w:r w:rsidR="00DB4C4C" w:rsidRPr="00156B9D">
              <w:rPr>
                <w:lang w:val="en-GB"/>
              </w:rPr>
              <w:t>rganizations</w:t>
            </w:r>
            <w:r w:rsidRPr="00156B9D">
              <w:rPr>
                <w:lang w:val="en-GB"/>
              </w:rPr>
              <w:t>:</w:t>
            </w:r>
            <w:r w:rsidR="00DB4C4C">
              <w:rPr>
                <w:lang w:val="en-GB"/>
              </w:rPr>
              <w:t xml:space="preserve"> </w:t>
            </w:r>
            <w:r w:rsidRPr="00156B9D">
              <w:rPr>
                <w:lang w:val="en-GB"/>
              </w:rPr>
              <w:t>160</w:t>
            </w:r>
          </w:p>
          <w:p w14:paraId="53A1F1E9" w14:textId="77777777" w:rsidR="0059376D" w:rsidRPr="00156B9D" w:rsidRDefault="0059376D" w:rsidP="00EE5CD5">
            <w:pPr>
              <w:jc w:val="both"/>
              <w:rPr>
                <w:bCs/>
                <w:lang w:val="en-GB"/>
              </w:rPr>
            </w:pPr>
            <w:r w:rsidRPr="00156B9D">
              <w:rPr>
                <w:b/>
                <w:lang w:val="en-GB"/>
              </w:rPr>
              <w:t>Source</w:t>
            </w:r>
            <w:r w:rsidRPr="00156B9D">
              <w:rPr>
                <w:bCs/>
                <w:lang w:val="en-GB"/>
              </w:rPr>
              <w:t xml:space="preserve">: Ministry of Planning </w:t>
            </w:r>
          </w:p>
          <w:p w14:paraId="06CA6964"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p w14:paraId="1E39CA77" w14:textId="77777777" w:rsidR="0059376D" w:rsidRPr="00156B9D" w:rsidRDefault="0059376D" w:rsidP="00EE5CD5">
            <w:pPr>
              <w:jc w:val="both"/>
              <w:rPr>
                <w:bCs/>
                <w:lang w:val="en-GB"/>
              </w:rPr>
            </w:pPr>
          </w:p>
          <w:p w14:paraId="2A19065B" w14:textId="7E5187D0" w:rsidR="0059376D" w:rsidRPr="00156B9D" w:rsidRDefault="0059376D" w:rsidP="00EE5CD5">
            <w:pPr>
              <w:jc w:val="both"/>
              <w:rPr>
                <w:lang w:val="en-GB"/>
              </w:rPr>
            </w:pPr>
            <w:r w:rsidRPr="00156B9D">
              <w:rPr>
                <w:b/>
                <w:lang w:val="en-GB"/>
              </w:rPr>
              <w:t>Indicator 1.1.2</w:t>
            </w:r>
            <w:r w:rsidRPr="00156B9D">
              <w:rPr>
                <w:lang w:val="en-GB"/>
              </w:rPr>
              <w:t xml:space="preserve">: Number of national institutions with strengthened public administration and </w:t>
            </w:r>
            <w:r w:rsidR="004E079D">
              <w:rPr>
                <w:lang w:val="en-GB"/>
              </w:rPr>
              <w:t>core</w:t>
            </w:r>
            <w:r w:rsidR="00AB2456" w:rsidRPr="00156B9D">
              <w:rPr>
                <w:lang w:val="en-GB"/>
              </w:rPr>
              <w:t xml:space="preserve"> </w:t>
            </w:r>
            <w:r w:rsidRPr="00156B9D">
              <w:rPr>
                <w:lang w:val="en-GB"/>
              </w:rPr>
              <w:t>government functions for improved service delivery</w:t>
            </w:r>
            <w:r w:rsidR="00EF67A6">
              <w:rPr>
                <w:lang w:val="en-GB"/>
              </w:rPr>
              <w:t xml:space="preserve"> and</w:t>
            </w:r>
            <w:r w:rsidR="00EF67A6" w:rsidRPr="00156B9D">
              <w:rPr>
                <w:lang w:val="en-GB"/>
              </w:rPr>
              <w:t xml:space="preserve"> </w:t>
            </w:r>
            <w:r w:rsidRPr="00156B9D">
              <w:rPr>
                <w:lang w:val="en-GB"/>
              </w:rPr>
              <w:t>community security (S</w:t>
            </w:r>
            <w:r w:rsidR="00DB4C4C">
              <w:rPr>
                <w:lang w:val="en-GB"/>
              </w:rPr>
              <w:t xml:space="preserve">trategic </w:t>
            </w:r>
            <w:r w:rsidRPr="00156B9D">
              <w:rPr>
                <w:lang w:val="en-GB"/>
              </w:rPr>
              <w:t>P</w:t>
            </w:r>
            <w:r w:rsidR="00DB4C4C">
              <w:rPr>
                <w:lang w:val="en-GB"/>
              </w:rPr>
              <w:t>lan</w:t>
            </w:r>
            <w:r w:rsidRPr="00156B9D">
              <w:rPr>
                <w:lang w:val="en-GB"/>
              </w:rPr>
              <w:t xml:space="preserve"> Indicator 2.3.1)</w:t>
            </w:r>
            <w:r w:rsidR="00DB4C4C">
              <w:rPr>
                <w:lang w:val="en-GB"/>
              </w:rPr>
              <w:t>.</w:t>
            </w:r>
          </w:p>
          <w:p w14:paraId="1D15A3B5" w14:textId="40017B10" w:rsidR="0059376D" w:rsidRPr="00156B9D" w:rsidRDefault="0059376D" w:rsidP="00EE5CD5">
            <w:pPr>
              <w:jc w:val="both"/>
              <w:rPr>
                <w:bCs/>
                <w:lang w:val="en-GB"/>
              </w:rPr>
            </w:pPr>
            <w:r w:rsidRPr="00156B9D">
              <w:rPr>
                <w:b/>
                <w:lang w:val="en-GB"/>
              </w:rPr>
              <w:t>Baseline</w:t>
            </w:r>
            <w:r w:rsidR="00DB4C4C">
              <w:rPr>
                <w:b/>
                <w:lang w:val="en-GB"/>
              </w:rPr>
              <w:t xml:space="preserve"> </w:t>
            </w:r>
            <w:r w:rsidRPr="00156B9D">
              <w:rPr>
                <w:b/>
                <w:lang w:val="en-GB"/>
              </w:rPr>
              <w:t>(2022)</w:t>
            </w:r>
            <w:r w:rsidRPr="00156B9D">
              <w:rPr>
                <w:bCs/>
                <w:lang w:val="en-GB"/>
              </w:rPr>
              <w:t>: 30</w:t>
            </w:r>
          </w:p>
          <w:p w14:paraId="623617A4" w14:textId="3D261DE8" w:rsidR="0059376D" w:rsidRPr="00156B9D" w:rsidRDefault="0059376D" w:rsidP="00EE5CD5">
            <w:pPr>
              <w:jc w:val="both"/>
              <w:rPr>
                <w:b/>
                <w:lang w:val="en-GB"/>
              </w:rPr>
            </w:pPr>
            <w:r w:rsidRPr="00156B9D">
              <w:rPr>
                <w:b/>
                <w:lang w:val="en-GB"/>
              </w:rPr>
              <w:t>Target</w:t>
            </w:r>
            <w:r w:rsidR="00DB4C4C">
              <w:rPr>
                <w:b/>
                <w:lang w:val="en-GB"/>
              </w:rPr>
              <w:t xml:space="preserve"> </w:t>
            </w:r>
            <w:r w:rsidRPr="00156B9D">
              <w:rPr>
                <w:b/>
                <w:lang w:val="en-GB"/>
              </w:rPr>
              <w:t xml:space="preserve">(2028): </w:t>
            </w:r>
            <w:r w:rsidRPr="00156B9D">
              <w:rPr>
                <w:bCs/>
                <w:lang w:val="en-GB"/>
              </w:rPr>
              <w:t>130</w:t>
            </w:r>
          </w:p>
          <w:p w14:paraId="5035D3F5" w14:textId="51F93882" w:rsidR="0059376D" w:rsidRPr="00156B9D" w:rsidRDefault="0059376D" w:rsidP="00EE5CD5">
            <w:pPr>
              <w:jc w:val="both"/>
              <w:rPr>
                <w:bCs/>
                <w:lang w:val="en-GB"/>
              </w:rPr>
            </w:pPr>
            <w:r w:rsidRPr="00156B9D">
              <w:rPr>
                <w:b/>
                <w:lang w:val="en-GB"/>
              </w:rPr>
              <w:t>Source</w:t>
            </w:r>
            <w:r w:rsidRPr="00156B9D">
              <w:rPr>
                <w:bCs/>
                <w:lang w:val="en-GB"/>
              </w:rPr>
              <w:t xml:space="preserve">: </w:t>
            </w:r>
            <w:r w:rsidR="00AB2456" w:rsidRPr="00156B9D">
              <w:rPr>
                <w:bCs/>
                <w:lang w:val="en-GB"/>
              </w:rPr>
              <w:t>Ministr</w:t>
            </w:r>
            <w:r w:rsidR="00AB2456">
              <w:rPr>
                <w:bCs/>
                <w:lang w:val="en-GB"/>
              </w:rPr>
              <w:t>ies</w:t>
            </w:r>
            <w:r w:rsidR="00AB2456" w:rsidRPr="00156B9D">
              <w:rPr>
                <w:bCs/>
                <w:lang w:val="en-GB"/>
              </w:rPr>
              <w:t xml:space="preserve"> </w:t>
            </w:r>
            <w:r w:rsidRPr="00156B9D">
              <w:rPr>
                <w:bCs/>
                <w:lang w:val="en-GB"/>
              </w:rPr>
              <w:t xml:space="preserve">of Planning and </w:t>
            </w:r>
            <w:r w:rsidR="007E5216">
              <w:rPr>
                <w:bCs/>
                <w:lang w:val="en-GB"/>
              </w:rPr>
              <w:t>D</w:t>
            </w:r>
            <w:r w:rsidR="007E5216" w:rsidRPr="00156B9D">
              <w:rPr>
                <w:bCs/>
                <w:lang w:val="en-GB"/>
              </w:rPr>
              <w:t>ecentralization</w:t>
            </w:r>
          </w:p>
          <w:p w14:paraId="3C112EA1"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tc>
        <w:tc>
          <w:tcPr>
            <w:tcW w:w="2552" w:type="dxa"/>
            <w:vMerge w:val="restart"/>
            <w:shd w:val="clear" w:color="auto" w:fill="auto"/>
          </w:tcPr>
          <w:p w14:paraId="7A369B0B" w14:textId="77777777" w:rsidR="0059376D" w:rsidRPr="00156B9D" w:rsidRDefault="0059376D" w:rsidP="00EE5CD5">
            <w:pPr>
              <w:jc w:val="both"/>
              <w:rPr>
                <w:lang w:val="en-GB"/>
              </w:rPr>
            </w:pPr>
            <w:r w:rsidRPr="00156B9D">
              <w:rPr>
                <w:lang w:val="en-GB"/>
              </w:rPr>
              <w:lastRenderedPageBreak/>
              <w:t>Republican institutions</w:t>
            </w:r>
          </w:p>
          <w:p w14:paraId="0F991366" w14:textId="413E4D6E" w:rsidR="0059376D" w:rsidRPr="00156B9D" w:rsidRDefault="0059376D" w:rsidP="006307FC">
            <w:pPr>
              <w:jc w:val="both"/>
              <w:rPr>
                <w:lang w:val="en-GB"/>
              </w:rPr>
            </w:pPr>
            <w:r w:rsidRPr="00156B9D">
              <w:rPr>
                <w:lang w:val="en-GB"/>
              </w:rPr>
              <w:t xml:space="preserve">Ministries </w:t>
            </w:r>
            <w:r w:rsidR="00DE5BC1">
              <w:rPr>
                <w:lang w:val="en-GB"/>
              </w:rPr>
              <w:t xml:space="preserve">in charge </w:t>
            </w:r>
            <w:proofErr w:type="gramStart"/>
            <w:r w:rsidR="00DE5BC1">
              <w:rPr>
                <w:lang w:val="en-GB"/>
              </w:rPr>
              <w:t>of</w:t>
            </w:r>
            <w:r w:rsidRPr="00156B9D">
              <w:rPr>
                <w:lang w:val="en-GB"/>
              </w:rPr>
              <w:t xml:space="preserve">  </w:t>
            </w:r>
            <w:r w:rsidR="006307FC">
              <w:rPr>
                <w:lang w:val="en-GB"/>
              </w:rPr>
              <w:t>j</w:t>
            </w:r>
            <w:r w:rsidR="00A435BF" w:rsidRPr="00156B9D">
              <w:rPr>
                <w:lang w:val="en-GB"/>
              </w:rPr>
              <w:t>ustice</w:t>
            </w:r>
            <w:proofErr w:type="gramEnd"/>
            <w:r w:rsidRPr="00156B9D">
              <w:rPr>
                <w:lang w:val="en-GB"/>
              </w:rPr>
              <w:t xml:space="preserve">, </w:t>
            </w:r>
            <w:r w:rsidR="0089306F">
              <w:rPr>
                <w:lang w:val="en-GB"/>
              </w:rPr>
              <w:t xml:space="preserve"> </w:t>
            </w:r>
            <w:r w:rsidR="006307FC">
              <w:rPr>
                <w:lang w:val="en-GB"/>
              </w:rPr>
              <w:t>s</w:t>
            </w:r>
            <w:r w:rsidR="00A435BF" w:rsidRPr="00156B9D">
              <w:rPr>
                <w:lang w:val="en-GB"/>
              </w:rPr>
              <w:t>ecurity</w:t>
            </w:r>
            <w:r w:rsidRPr="00156B9D">
              <w:rPr>
                <w:lang w:val="en-GB"/>
              </w:rPr>
              <w:t xml:space="preserve">, </w:t>
            </w:r>
          </w:p>
          <w:p w14:paraId="184F0353" w14:textId="38BCC251" w:rsidR="0059376D" w:rsidRPr="00156B9D" w:rsidRDefault="00A435BF" w:rsidP="006307FC">
            <w:pPr>
              <w:jc w:val="both"/>
              <w:rPr>
                <w:lang w:val="en-GB"/>
              </w:rPr>
            </w:pPr>
            <w:r>
              <w:rPr>
                <w:lang w:val="en-GB"/>
              </w:rPr>
              <w:t xml:space="preserve">the </w:t>
            </w:r>
            <w:r w:rsidR="006307FC">
              <w:rPr>
                <w:lang w:val="en-GB"/>
              </w:rPr>
              <w:t>p</w:t>
            </w:r>
            <w:r w:rsidRPr="00156B9D">
              <w:rPr>
                <w:lang w:val="en-GB"/>
              </w:rPr>
              <w:t xml:space="preserve">romotion </w:t>
            </w:r>
            <w:r w:rsidR="0059376D" w:rsidRPr="00156B9D">
              <w:rPr>
                <w:lang w:val="en-GB"/>
              </w:rPr>
              <w:t xml:space="preserve">of </w:t>
            </w:r>
            <w:r w:rsidR="006307FC">
              <w:rPr>
                <w:lang w:val="en-GB"/>
              </w:rPr>
              <w:t>w</w:t>
            </w:r>
            <w:r w:rsidRPr="00156B9D">
              <w:rPr>
                <w:lang w:val="en-GB"/>
              </w:rPr>
              <w:t>omen</w:t>
            </w:r>
            <w:r w:rsidR="0059376D" w:rsidRPr="00156B9D">
              <w:rPr>
                <w:lang w:val="en-GB"/>
              </w:rPr>
              <w:t xml:space="preserve">, </w:t>
            </w:r>
            <w:r w:rsidR="006307FC">
              <w:rPr>
                <w:lang w:val="en-GB"/>
              </w:rPr>
              <w:t>y</w:t>
            </w:r>
            <w:r w:rsidRPr="00156B9D">
              <w:rPr>
                <w:lang w:val="en-GB"/>
              </w:rPr>
              <w:t>outh</w:t>
            </w:r>
            <w:r w:rsidR="0059376D" w:rsidRPr="00156B9D">
              <w:rPr>
                <w:lang w:val="en-GB"/>
              </w:rPr>
              <w:t xml:space="preserve">, </w:t>
            </w:r>
            <w:r w:rsidR="006307FC">
              <w:rPr>
                <w:lang w:val="en-GB"/>
              </w:rPr>
              <w:t>t</w:t>
            </w:r>
            <w:r w:rsidRPr="00156B9D">
              <w:rPr>
                <w:lang w:val="en-GB"/>
              </w:rPr>
              <w:t xml:space="preserve">erritorial </w:t>
            </w:r>
            <w:r w:rsidR="006307FC">
              <w:rPr>
                <w:lang w:val="en-GB"/>
              </w:rPr>
              <w:t>a</w:t>
            </w:r>
            <w:r w:rsidRPr="00156B9D">
              <w:rPr>
                <w:lang w:val="en-GB"/>
              </w:rPr>
              <w:t>dministration</w:t>
            </w:r>
            <w:r w:rsidR="0059376D" w:rsidRPr="00156B9D">
              <w:rPr>
                <w:lang w:val="en-GB"/>
              </w:rPr>
              <w:t xml:space="preserve">, </w:t>
            </w:r>
            <w:r w:rsidR="006307FC">
              <w:rPr>
                <w:lang w:val="en-GB"/>
              </w:rPr>
              <w:t>d</w:t>
            </w:r>
            <w:r w:rsidRPr="00156B9D">
              <w:rPr>
                <w:lang w:val="en-GB"/>
              </w:rPr>
              <w:t>efence</w:t>
            </w:r>
            <w:r w:rsidR="0059376D" w:rsidRPr="00156B9D">
              <w:rPr>
                <w:lang w:val="en-GB"/>
              </w:rPr>
              <w:t xml:space="preserve">, </w:t>
            </w:r>
          </w:p>
          <w:p w14:paraId="57851AFA" w14:textId="26907F9D" w:rsidR="0059376D" w:rsidRPr="00156B9D" w:rsidRDefault="006307FC" w:rsidP="006307FC">
            <w:pPr>
              <w:jc w:val="both"/>
              <w:rPr>
                <w:lang w:val="en-GB"/>
              </w:rPr>
            </w:pPr>
            <w:r>
              <w:rPr>
                <w:lang w:val="en-GB"/>
              </w:rPr>
              <w:t>f</w:t>
            </w:r>
            <w:r w:rsidR="00A435BF" w:rsidRPr="00156B9D">
              <w:rPr>
                <w:lang w:val="en-GB"/>
              </w:rPr>
              <w:t xml:space="preserve">oreign </w:t>
            </w:r>
            <w:r>
              <w:rPr>
                <w:lang w:val="en-GB"/>
              </w:rPr>
              <w:t>a</w:t>
            </w:r>
            <w:r w:rsidR="00A435BF" w:rsidRPr="00156B9D">
              <w:rPr>
                <w:lang w:val="en-GB"/>
              </w:rPr>
              <w:t>ffairs</w:t>
            </w:r>
            <w:r w:rsidR="00A435BF">
              <w:rPr>
                <w:lang w:val="en-GB"/>
              </w:rPr>
              <w:t>,</w:t>
            </w:r>
            <w:r w:rsidR="002650A0">
              <w:rPr>
                <w:lang w:val="en-GB"/>
              </w:rPr>
              <w:t xml:space="preserve"> </w:t>
            </w:r>
            <w:r>
              <w:rPr>
                <w:lang w:val="en-GB"/>
              </w:rPr>
              <w:t>p</w:t>
            </w:r>
            <w:r w:rsidR="00A435BF" w:rsidRPr="00156B9D">
              <w:rPr>
                <w:lang w:val="en-GB"/>
              </w:rPr>
              <w:t>lanning</w:t>
            </w:r>
          </w:p>
          <w:p w14:paraId="2868D086" w14:textId="103B83D3" w:rsidR="0059376D" w:rsidRPr="00156B9D" w:rsidRDefault="0059376D" w:rsidP="00EE5CD5">
            <w:pPr>
              <w:jc w:val="both"/>
              <w:rPr>
                <w:lang w:val="en-GB"/>
              </w:rPr>
            </w:pPr>
            <w:r w:rsidRPr="00156B9D">
              <w:rPr>
                <w:lang w:val="en-GB"/>
              </w:rPr>
              <w:t>Non-</w:t>
            </w:r>
            <w:r w:rsidR="00F063E8">
              <w:rPr>
                <w:lang w:val="en-GB"/>
              </w:rPr>
              <w:t>g</w:t>
            </w:r>
            <w:r w:rsidR="00F063E8" w:rsidRPr="00156B9D">
              <w:rPr>
                <w:lang w:val="en-GB"/>
              </w:rPr>
              <w:t xml:space="preserve">overnmental </w:t>
            </w:r>
            <w:r w:rsidR="00F063E8">
              <w:rPr>
                <w:lang w:val="en-GB"/>
              </w:rPr>
              <w:t>o</w:t>
            </w:r>
            <w:r w:rsidR="00F063E8" w:rsidRPr="00156B9D">
              <w:rPr>
                <w:lang w:val="en-GB"/>
              </w:rPr>
              <w:t>rganizations</w:t>
            </w:r>
          </w:p>
          <w:p w14:paraId="58146724" w14:textId="0F4C61DB" w:rsidR="0059376D" w:rsidRPr="00156B9D" w:rsidRDefault="0059376D" w:rsidP="00EE5CD5">
            <w:pPr>
              <w:jc w:val="both"/>
              <w:rPr>
                <w:lang w:val="en-GB"/>
              </w:rPr>
            </w:pPr>
            <w:r w:rsidRPr="00156B9D">
              <w:rPr>
                <w:lang w:val="en-GB"/>
              </w:rPr>
              <w:t>USAID</w:t>
            </w:r>
          </w:p>
          <w:p w14:paraId="21C5AE57" w14:textId="77777777" w:rsidR="0059376D" w:rsidRPr="00156B9D" w:rsidRDefault="0059376D" w:rsidP="00EE5CD5">
            <w:pPr>
              <w:jc w:val="both"/>
              <w:rPr>
                <w:lang w:val="en-GB"/>
              </w:rPr>
            </w:pPr>
            <w:r w:rsidRPr="00156B9D">
              <w:rPr>
                <w:lang w:val="en-GB"/>
              </w:rPr>
              <w:t>Japan</w:t>
            </w:r>
          </w:p>
          <w:p w14:paraId="37BE066A" w14:textId="77777777" w:rsidR="0059376D" w:rsidRPr="00156B9D" w:rsidRDefault="0059376D" w:rsidP="00EE5CD5">
            <w:pPr>
              <w:jc w:val="both"/>
              <w:rPr>
                <w:lang w:val="en-GB"/>
              </w:rPr>
            </w:pPr>
            <w:r w:rsidRPr="00156B9D">
              <w:rPr>
                <w:lang w:val="en-GB"/>
              </w:rPr>
              <w:t>European Union</w:t>
            </w:r>
          </w:p>
          <w:p w14:paraId="1008DCF0" w14:textId="3E1B5C63" w:rsidR="0059376D" w:rsidRPr="00156B9D" w:rsidRDefault="00F063E8" w:rsidP="00EE5CD5">
            <w:pPr>
              <w:jc w:val="both"/>
              <w:rPr>
                <w:lang w:val="en-GB"/>
              </w:rPr>
            </w:pPr>
            <w:r w:rsidRPr="006307FC">
              <w:rPr>
                <w:lang w:val="en-GB"/>
              </w:rPr>
              <w:t>O</w:t>
            </w:r>
            <w:r w:rsidR="00F94606" w:rsidRPr="003732A0">
              <w:rPr>
                <w:lang w:val="en-GB"/>
              </w:rPr>
              <w:t>HCHR</w:t>
            </w:r>
            <w:r w:rsidR="0059376D" w:rsidRPr="006307FC">
              <w:rPr>
                <w:lang w:val="en-GB"/>
              </w:rPr>
              <w:t xml:space="preserve">  </w:t>
            </w:r>
          </w:p>
          <w:p w14:paraId="3F10A127" w14:textId="3AB4209A" w:rsidR="0059376D" w:rsidRPr="00156B9D" w:rsidRDefault="0059376D" w:rsidP="00EE5CD5">
            <w:pPr>
              <w:jc w:val="both"/>
              <w:rPr>
                <w:lang w:val="en-GB"/>
              </w:rPr>
            </w:pPr>
            <w:r w:rsidRPr="00156B9D">
              <w:rPr>
                <w:lang w:val="en-GB"/>
              </w:rPr>
              <w:t>UN</w:t>
            </w:r>
            <w:r w:rsidR="00A435BF">
              <w:rPr>
                <w:lang w:val="en-GB"/>
              </w:rPr>
              <w:t>-</w:t>
            </w:r>
            <w:r w:rsidRPr="00156B9D">
              <w:rPr>
                <w:lang w:val="en-GB"/>
              </w:rPr>
              <w:t>Women</w:t>
            </w:r>
          </w:p>
          <w:p w14:paraId="7C033752" w14:textId="77777777" w:rsidR="0059376D" w:rsidRPr="003732A0" w:rsidRDefault="0059376D" w:rsidP="00EE5CD5">
            <w:pPr>
              <w:jc w:val="both"/>
              <w:rPr>
                <w:rFonts w:asciiTheme="majorBidi" w:hAnsiTheme="majorBidi" w:cstheme="majorBidi"/>
                <w:lang w:val="en-GB"/>
              </w:rPr>
            </w:pPr>
            <w:r w:rsidRPr="003732A0">
              <w:rPr>
                <w:rStyle w:val="cf01"/>
                <w:rFonts w:asciiTheme="majorBidi" w:hAnsiTheme="majorBidi" w:cstheme="majorBidi"/>
                <w:sz w:val="20"/>
                <w:szCs w:val="20"/>
                <w:lang w:val="en-GB"/>
              </w:rPr>
              <w:t xml:space="preserve">Peacebuilding Fund </w:t>
            </w:r>
          </w:p>
          <w:p w14:paraId="226E430C" w14:textId="77777777" w:rsidR="0059376D" w:rsidRPr="00156B9D" w:rsidRDefault="0059376D" w:rsidP="00EE5CD5">
            <w:pPr>
              <w:jc w:val="both"/>
              <w:rPr>
                <w:lang w:val="en-GB"/>
              </w:rPr>
            </w:pPr>
            <w:r w:rsidRPr="00156B9D">
              <w:rPr>
                <w:lang w:val="en-GB"/>
              </w:rPr>
              <w:t>UNICEF</w:t>
            </w:r>
          </w:p>
          <w:p w14:paraId="7B0ED961" w14:textId="3C11F09E" w:rsidR="0059376D" w:rsidRPr="00156B9D" w:rsidRDefault="0059376D" w:rsidP="00EE5CD5">
            <w:pPr>
              <w:jc w:val="both"/>
              <w:rPr>
                <w:lang w:val="en-GB"/>
              </w:rPr>
            </w:pPr>
            <w:r w:rsidRPr="00156B9D">
              <w:rPr>
                <w:lang w:val="en-GB"/>
              </w:rPr>
              <w:t>UN</w:t>
            </w:r>
            <w:r w:rsidR="00A94D72">
              <w:rPr>
                <w:lang w:val="en-GB"/>
              </w:rPr>
              <w:t>FPA</w:t>
            </w:r>
          </w:p>
          <w:p w14:paraId="03B65D05" w14:textId="0E02B9E6" w:rsidR="0059376D" w:rsidRPr="00156B9D" w:rsidRDefault="0059376D" w:rsidP="00EE5CD5">
            <w:pPr>
              <w:jc w:val="both"/>
              <w:rPr>
                <w:lang w:val="en-GB"/>
              </w:rPr>
            </w:pPr>
            <w:r w:rsidRPr="00156B9D">
              <w:rPr>
                <w:lang w:val="en-GB"/>
              </w:rPr>
              <w:t>UNV</w:t>
            </w:r>
          </w:p>
          <w:p w14:paraId="061B492F" w14:textId="77777777" w:rsidR="0059376D" w:rsidRPr="00156B9D" w:rsidRDefault="0059376D" w:rsidP="00EE5CD5">
            <w:pPr>
              <w:jc w:val="both"/>
              <w:rPr>
                <w:lang w:val="en-GB"/>
              </w:rPr>
            </w:pPr>
          </w:p>
          <w:p w14:paraId="5FD344AC" w14:textId="77777777" w:rsidR="0059376D" w:rsidRPr="00156B9D" w:rsidRDefault="0059376D" w:rsidP="00EE5CD5">
            <w:pPr>
              <w:jc w:val="both"/>
              <w:rPr>
                <w:lang w:val="en-GB"/>
              </w:rPr>
            </w:pPr>
          </w:p>
          <w:p w14:paraId="46FE67F4" w14:textId="77777777" w:rsidR="0059376D" w:rsidRPr="00156B9D" w:rsidRDefault="0059376D" w:rsidP="00EE5CD5">
            <w:pPr>
              <w:jc w:val="both"/>
              <w:rPr>
                <w:lang w:val="en-GB"/>
              </w:rPr>
            </w:pPr>
          </w:p>
          <w:p w14:paraId="28E6E3F1" w14:textId="77777777" w:rsidR="0059376D" w:rsidRPr="00156B9D" w:rsidRDefault="0059376D" w:rsidP="00EE5CD5">
            <w:pPr>
              <w:jc w:val="both"/>
              <w:rPr>
                <w:lang w:val="en-GB"/>
              </w:rPr>
            </w:pPr>
          </w:p>
          <w:p w14:paraId="3CC36865" w14:textId="77777777" w:rsidR="0059376D" w:rsidRPr="00156B9D" w:rsidRDefault="0059376D" w:rsidP="00EE5CD5">
            <w:pPr>
              <w:jc w:val="both"/>
              <w:rPr>
                <w:lang w:val="en-GB"/>
              </w:rPr>
            </w:pPr>
          </w:p>
          <w:p w14:paraId="2F88CE59" w14:textId="77777777" w:rsidR="0059376D" w:rsidRPr="00156B9D" w:rsidRDefault="0059376D" w:rsidP="00EE5CD5">
            <w:pPr>
              <w:jc w:val="both"/>
              <w:rPr>
                <w:lang w:val="en-GB"/>
              </w:rPr>
            </w:pPr>
          </w:p>
          <w:p w14:paraId="2E60F623" w14:textId="77777777" w:rsidR="0059376D" w:rsidRPr="00156B9D" w:rsidRDefault="0059376D" w:rsidP="00EE5CD5">
            <w:pPr>
              <w:jc w:val="both"/>
              <w:rPr>
                <w:lang w:val="en-GB"/>
              </w:rPr>
            </w:pPr>
          </w:p>
          <w:p w14:paraId="58CF7355" w14:textId="77777777" w:rsidR="0059376D" w:rsidRPr="00156B9D" w:rsidRDefault="0059376D" w:rsidP="00EE5CD5">
            <w:pPr>
              <w:jc w:val="both"/>
              <w:rPr>
                <w:lang w:val="en-GB"/>
              </w:rPr>
            </w:pPr>
          </w:p>
          <w:p w14:paraId="29885CD2" w14:textId="77777777" w:rsidR="0059376D" w:rsidRPr="00156B9D" w:rsidRDefault="0059376D" w:rsidP="00EE5CD5">
            <w:pPr>
              <w:jc w:val="both"/>
              <w:rPr>
                <w:lang w:val="en-GB"/>
              </w:rPr>
            </w:pPr>
          </w:p>
          <w:p w14:paraId="6F5DAF11" w14:textId="77777777" w:rsidR="0059376D" w:rsidRPr="00156B9D" w:rsidRDefault="0059376D" w:rsidP="00EE5CD5">
            <w:pPr>
              <w:jc w:val="both"/>
              <w:rPr>
                <w:lang w:val="en-GB"/>
              </w:rPr>
            </w:pPr>
          </w:p>
          <w:p w14:paraId="781203A7" w14:textId="77777777" w:rsidR="0059376D" w:rsidRPr="00156B9D" w:rsidRDefault="0059376D" w:rsidP="00EE5CD5">
            <w:pPr>
              <w:jc w:val="both"/>
              <w:rPr>
                <w:lang w:val="en-GB"/>
              </w:rPr>
            </w:pPr>
          </w:p>
          <w:p w14:paraId="66230DD5" w14:textId="77777777" w:rsidR="0059376D" w:rsidRPr="00156B9D" w:rsidRDefault="0059376D" w:rsidP="00EE5CD5">
            <w:pPr>
              <w:jc w:val="both"/>
              <w:rPr>
                <w:lang w:val="en-GB"/>
              </w:rPr>
            </w:pPr>
          </w:p>
          <w:p w14:paraId="69D6A16F" w14:textId="77777777" w:rsidR="0059376D" w:rsidRPr="00156B9D" w:rsidRDefault="0059376D" w:rsidP="00EE5CD5">
            <w:pPr>
              <w:jc w:val="both"/>
              <w:rPr>
                <w:lang w:val="en-GB"/>
              </w:rPr>
            </w:pPr>
          </w:p>
          <w:p w14:paraId="69FBFF3B" w14:textId="77777777" w:rsidR="0059376D" w:rsidRPr="00156B9D" w:rsidRDefault="0059376D" w:rsidP="00EE5CD5">
            <w:pPr>
              <w:jc w:val="both"/>
              <w:rPr>
                <w:lang w:val="en-GB"/>
              </w:rPr>
            </w:pPr>
          </w:p>
          <w:p w14:paraId="037B6775" w14:textId="77777777" w:rsidR="0059376D" w:rsidRPr="00156B9D" w:rsidRDefault="0059376D" w:rsidP="00EE5CD5">
            <w:pPr>
              <w:jc w:val="both"/>
              <w:rPr>
                <w:lang w:val="en-GB"/>
              </w:rPr>
            </w:pPr>
          </w:p>
          <w:p w14:paraId="303CB1FF" w14:textId="77777777" w:rsidR="0059376D" w:rsidRPr="00156B9D" w:rsidRDefault="0059376D" w:rsidP="00EE5CD5">
            <w:pPr>
              <w:jc w:val="both"/>
              <w:rPr>
                <w:lang w:val="en-GB"/>
              </w:rPr>
            </w:pPr>
          </w:p>
          <w:p w14:paraId="238549D9" w14:textId="77777777" w:rsidR="0059376D" w:rsidRPr="00156B9D" w:rsidRDefault="0059376D" w:rsidP="00EE5CD5">
            <w:pPr>
              <w:jc w:val="both"/>
              <w:rPr>
                <w:lang w:val="en-GB"/>
              </w:rPr>
            </w:pPr>
          </w:p>
          <w:p w14:paraId="4B6EC4E0" w14:textId="77777777" w:rsidR="0059376D" w:rsidRPr="00156B9D" w:rsidRDefault="0059376D" w:rsidP="00EE5CD5">
            <w:pPr>
              <w:jc w:val="both"/>
              <w:rPr>
                <w:lang w:val="en-GB"/>
              </w:rPr>
            </w:pPr>
          </w:p>
          <w:p w14:paraId="7383A44E" w14:textId="77777777" w:rsidR="0059376D" w:rsidRPr="00156B9D" w:rsidRDefault="0059376D" w:rsidP="00EE5CD5">
            <w:pPr>
              <w:jc w:val="both"/>
              <w:rPr>
                <w:lang w:val="en-GB"/>
              </w:rPr>
            </w:pPr>
          </w:p>
          <w:p w14:paraId="1C4349DC" w14:textId="77777777" w:rsidR="0059376D" w:rsidRPr="00156B9D" w:rsidRDefault="0059376D" w:rsidP="00EE5CD5">
            <w:pPr>
              <w:jc w:val="both"/>
              <w:rPr>
                <w:lang w:val="en-GB"/>
              </w:rPr>
            </w:pPr>
          </w:p>
          <w:p w14:paraId="5C754AC5" w14:textId="77777777" w:rsidR="0059376D" w:rsidRPr="00156B9D" w:rsidRDefault="0059376D" w:rsidP="00EE5CD5">
            <w:pPr>
              <w:jc w:val="both"/>
              <w:rPr>
                <w:lang w:val="en-GB"/>
              </w:rPr>
            </w:pPr>
          </w:p>
          <w:p w14:paraId="1AC25D35" w14:textId="77777777" w:rsidR="0059376D" w:rsidRPr="00156B9D" w:rsidRDefault="0059376D" w:rsidP="00EE5CD5">
            <w:pPr>
              <w:jc w:val="both"/>
              <w:rPr>
                <w:lang w:val="en-GB"/>
              </w:rPr>
            </w:pPr>
          </w:p>
          <w:p w14:paraId="2D7E747A" w14:textId="77777777" w:rsidR="0059376D" w:rsidRPr="00156B9D" w:rsidRDefault="0059376D" w:rsidP="00EE5CD5">
            <w:pPr>
              <w:jc w:val="both"/>
              <w:rPr>
                <w:lang w:val="en-GB"/>
              </w:rPr>
            </w:pPr>
          </w:p>
          <w:p w14:paraId="674724F7" w14:textId="77777777" w:rsidR="0059376D" w:rsidRPr="00156B9D" w:rsidRDefault="0059376D" w:rsidP="00EE5CD5">
            <w:pPr>
              <w:jc w:val="both"/>
              <w:rPr>
                <w:lang w:val="en-GB"/>
              </w:rPr>
            </w:pPr>
          </w:p>
          <w:p w14:paraId="2F61FDDC" w14:textId="77777777" w:rsidR="0059376D" w:rsidRPr="00156B9D" w:rsidRDefault="0059376D" w:rsidP="00EE5CD5">
            <w:pPr>
              <w:jc w:val="both"/>
              <w:rPr>
                <w:lang w:val="en-GB"/>
              </w:rPr>
            </w:pPr>
          </w:p>
          <w:p w14:paraId="5D54AA80" w14:textId="77777777" w:rsidR="0059376D" w:rsidRPr="00156B9D" w:rsidRDefault="0059376D" w:rsidP="00EE5CD5">
            <w:pPr>
              <w:jc w:val="both"/>
              <w:rPr>
                <w:lang w:val="en-GB"/>
              </w:rPr>
            </w:pPr>
          </w:p>
          <w:p w14:paraId="141DD894" w14:textId="77777777" w:rsidR="0059376D" w:rsidRPr="00156B9D" w:rsidRDefault="0059376D" w:rsidP="00EE5CD5">
            <w:pPr>
              <w:jc w:val="both"/>
              <w:rPr>
                <w:lang w:val="en-GB"/>
              </w:rPr>
            </w:pPr>
          </w:p>
          <w:p w14:paraId="580A64B4" w14:textId="77777777" w:rsidR="0059376D" w:rsidRPr="00156B9D" w:rsidRDefault="0059376D" w:rsidP="00EE5CD5">
            <w:pPr>
              <w:jc w:val="both"/>
              <w:rPr>
                <w:lang w:val="en-GB"/>
              </w:rPr>
            </w:pPr>
          </w:p>
          <w:p w14:paraId="21C63D69" w14:textId="77777777" w:rsidR="0059376D" w:rsidRPr="00156B9D" w:rsidRDefault="0059376D" w:rsidP="00EE5CD5">
            <w:pPr>
              <w:jc w:val="both"/>
              <w:rPr>
                <w:lang w:val="en-GB"/>
              </w:rPr>
            </w:pPr>
          </w:p>
          <w:p w14:paraId="4D2EADD3" w14:textId="77777777" w:rsidR="0059376D" w:rsidRPr="00156B9D" w:rsidRDefault="0059376D" w:rsidP="00EE5CD5">
            <w:pPr>
              <w:jc w:val="both"/>
              <w:rPr>
                <w:lang w:val="en-GB"/>
              </w:rPr>
            </w:pPr>
          </w:p>
          <w:p w14:paraId="12CF58D6" w14:textId="77777777" w:rsidR="0059376D" w:rsidRPr="00156B9D" w:rsidRDefault="0059376D" w:rsidP="00EE5CD5">
            <w:pPr>
              <w:jc w:val="both"/>
              <w:rPr>
                <w:lang w:val="en-GB"/>
              </w:rPr>
            </w:pPr>
          </w:p>
          <w:p w14:paraId="378FD3C6" w14:textId="77777777" w:rsidR="0059376D" w:rsidRPr="00156B9D" w:rsidRDefault="0059376D" w:rsidP="00EE5CD5">
            <w:pPr>
              <w:jc w:val="both"/>
              <w:rPr>
                <w:lang w:val="en-GB"/>
              </w:rPr>
            </w:pPr>
          </w:p>
          <w:p w14:paraId="23BC1817" w14:textId="77777777" w:rsidR="0059376D" w:rsidRPr="00156B9D" w:rsidRDefault="0059376D" w:rsidP="00EE5CD5">
            <w:pPr>
              <w:jc w:val="both"/>
              <w:rPr>
                <w:lang w:val="en-GB"/>
              </w:rPr>
            </w:pPr>
          </w:p>
          <w:p w14:paraId="01F4F6F0" w14:textId="77777777" w:rsidR="0059376D" w:rsidRPr="00156B9D" w:rsidRDefault="0059376D" w:rsidP="00EE5CD5">
            <w:pPr>
              <w:jc w:val="both"/>
              <w:rPr>
                <w:lang w:val="en-GB"/>
              </w:rPr>
            </w:pPr>
          </w:p>
          <w:p w14:paraId="2DB1FABA" w14:textId="77777777" w:rsidR="0059376D" w:rsidRPr="00156B9D" w:rsidRDefault="0059376D" w:rsidP="00EE5CD5">
            <w:pPr>
              <w:jc w:val="both"/>
              <w:rPr>
                <w:lang w:val="en-GB"/>
              </w:rPr>
            </w:pPr>
          </w:p>
          <w:p w14:paraId="1FEC8B7D" w14:textId="77777777" w:rsidR="0059376D" w:rsidRPr="00156B9D" w:rsidRDefault="0059376D" w:rsidP="00EE5CD5">
            <w:pPr>
              <w:jc w:val="both"/>
              <w:rPr>
                <w:lang w:val="en-GB"/>
              </w:rPr>
            </w:pPr>
          </w:p>
          <w:p w14:paraId="50B003B0" w14:textId="77777777" w:rsidR="0059376D" w:rsidRPr="00156B9D" w:rsidRDefault="0059376D" w:rsidP="00EE5CD5">
            <w:pPr>
              <w:jc w:val="both"/>
              <w:rPr>
                <w:lang w:val="en-GB"/>
              </w:rPr>
            </w:pPr>
          </w:p>
          <w:p w14:paraId="0B8A6982" w14:textId="77777777" w:rsidR="0059376D" w:rsidRPr="00156B9D" w:rsidRDefault="0059376D" w:rsidP="00EE5CD5">
            <w:pPr>
              <w:jc w:val="both"/>
              <w:rPr>
                <w:lang w:val="en-GB"/>
              </w:rPr>
            </w:pPr>
          </w:p>
          <w:p w14:paraId="57FE4949" w14:textId="77777777" w:rsidR="0059376D" w:rsidRPr="00156B9D" w:rsidRDefault="0059376D" w:rsidP="00EE5CD5">
            <w:pPr>
              <w:jc w:val="both"/>
              <w:rPr>
                <w:lang w:val="en-GB"/>
              </w:rPr>
            </w:pPr>
          </w:p>
          <w:p w14:paraId="514E640A" w14:textId="77777777" w:rsidR="0059376D" w:rsidRPr="00156B9D" w:rsidRDefault="0059376D" w:rsidP="00EE5CD5">
            <w:pPr>
              <w:jc w:val="both"/>
              <w:rPr>
                <w:lang w:val="en-GB"/>
              </w:rPr>
            </w:pPr>
          </w:p>
          <w:p w14:paraId="4760AA66" w14:textId="77777777" w:rsidR="0059376D" w:rsidRPr="00156B9D" w:rsidRDefault="0059376D" w:rsidP="00EE5CD5">
            <w:pPr>
              <w:jc w:val="both"/>
              <w:rPr>
                <w:lang w:val="en-GB"/>
              </w:rPr>
            </w:pPr>
          </w:p>
          <w:p w14:paraId="6275F1EE" w14:textId="77777777" w:rsidR="0059376D" w:rsidRPr="00156B9D" w:rsidRDefault="0059376D" w:rsidP="00EE5CD5">
            <w:pPr>
              <w:jc w:val="both"/>
              <w:rPr>
                <w:lang w:val="en-GB"/>
              </w:rPr>
            </w:pPr>
          </w:p>
          <w:p w14:paraId="61CF205C" w14:textId="77777777" w:rsidR="0059376D" w:rsidRPr="00156B9D" w:rsidRDefault="0059376D" w:rsidP="00EE5CD5">
            <w:pPr>
              <w:jc w:val="both"/>
              <w:rPr>
                <w:lang w:val="en-GB"/>
              </w:rPr>
            </w:pPr>
          </w:p>
          <w:p w14:paraId="62194EA6" w14:textId="77777777" w:rsidR="0059376D" w:rsidRPr="00156B9D" w:rsidRDefault="0059376D" w:rsidP="00EE5CD5">
            <w:pPr>
              <w:jc w:val="both"/>
              <w:rPr>
                <w:lang w:val="en-GB"/>
              </w:rPr>
            </w:pPr>
          </w:p>
          <w:p w14:paraId="7FEB1F5A" w14:textId="77777777" w:rsidR="0059376D" w:rsidRPr="00156B9D" w:rsidRDefault="0059376D" w:rsidP="00EE5CD5">
            <w:pPr>
              <w:jc w:val="both"/>
              <w:rPr>
                <w:lang w:val="en-GB"/>
              </w:rPr>
            </w:pPr>
          </w:p>
          <w:p w14:paraId="7A1EB2DB" w14:textId="77777777" w:rsidR="0059376D" w:rsidRPr="00156B9D" w:rsidRDefault="0059376D" w:rsidP="00EE5CD5">
            <w:pPr>
              <w:jc w:val="both"/>
              <w:rPr>
                <w:lang w:val="en-GB"/>
              </w:rPr>
            </w:pPr>
          </w:p>
          <w:p w14:paraId="06C082CF" w14:textId="77777777" w:rsidR="0059376D" w:rsidRPr="00156B9D" w:rsidRDefault="0059376D" w:rsidP="00EE5CD5">
            <w:pPr>
              <w:jc w:val="both"/>
              <w:rPr>
                <w:lang w:val="en-GB"/>
              </w:rPr>
            </w:pPr>
          </w:p>
          <w:p w14:paraId="2266ED6F" w14:textId="77777777" w:rsidR="0059376D" w:rsidRPr="00156B9D" w:rsidRDefault="0059376D" w:rsidP="00EE5CD5">
            <w:pPr>
              <w:jc w:val="both"/>
              <w:rPr>
                <w:lang w:val="en-GB"/>
              </w:rPr>
            </w:pPr>
          </w:p>
          <w:p w14:paraId="61AF7192" w14:textId="77777777" w:rsidR="0059376D" w:rsidRPr="00156B9D" w:rsidRDefault="0059376D" w:rsidP="00EE5CD5">
            <w:pPr>
              <w:jc w:val="both"/>
              <w:rPr>
                <w:lang w:val="en-GB"/>
              </w:rPr>
            </w:pPr>
          </w:p>
          <w:p w14:paraId="22A4DB5D" w14:textId="77777777" w:rsidR="0059376D" w:rsidRPr="00156B9D" w:rsidRDefault="0059376D" w:rsidP="00EE5CD5">
            <w:pPr>
              <w:jc w:val="both"/>
              <w:rPr>
                <w:lang w:val="en-GB"/>
              </w:rPr>
            </w:pPr>
          </w:p>
          <w:p w14:paraId="298032C9" w14:textId="77777777" w:rsidR="0059376D" w:rsidRPr="00156B9D" w:rsidRDefault="0059376D" w:rsidP="00EE5CD5">
            <w:pPr>
              <w:jc w:val="both"/>
              <w:rPr>
                <w:lang w:val="en-GB"/>
              </w:rPr>
            </w:pPr>
          </w:p>
          <w:p w14:paraId="3629251B" w14:textId="77777777" w:rsidR="0059376D" w:rsidRPr="00156B9D" w:rsidRDefault="0059376D" w:rsidP="00EE5CD5">
            <w:pPr>
              <w:jc w:val="both"/>
              <w:rPr>
                <w:lang w:val="en-GB"/>
              </w:rPr>
            </w:pPr>
          </w:p>
          <w:p w14:paraId="63815FB6" w14:textId="77777777" w:rsidR="0059376D" w:rsidRPr="00156B9D" w:rsidRDefault="0059376D" w:rsidP="00EE5CD5">
            <w:pPr>
              <w:jc w:val="both"/>
              <w:rPr>
                <w:lang w:val="en-GB"/>
              </w:rPr>
            </w:pPr>
          </w:p>
          <w:p w14:paraId="7541C053" w14:textId="77777777" w:rsidR="0059376D" w:rsidRPr="00156B9D" w:rsidRDefault="0059376D" w:rsidP="00EE5CD5">
            <w:pPr>
              <w:jc w:val="both"/>
              <w:rPr>
                <w:lang w:val="en-GB"/>
              </w:rPr>
            </w:pPr>
          </w:p>
          <w:p w14:paraId="767C2FFA" w14:textId="77777777" w:rsidR="0059376D" w:rsidRPr="00156B9D" w:rsidRDefault="0059376D" w:rsidP="00EE5CD5">
            <w:pPr>
              <w:jc w:val="both"/>
              <w:rPr>
                <w:lang w:val="en-GB"/>
              </w:rPr>
            </w:pPr>
          </w:p>
          <w:p w14:paraId="15498588" w14:textId="77777777" w:rsidR="0059376D" w:rsidRPr="00156B9D" w:rsidRDefault="0059376D" w:rsidP="00EE5CD5">
            <w:pPr>
              <w:jc w:val="both"/>
              <w:rPr>
                <w:lang w:val="en-GB"/>
              </w:rPr>
            </w:pPr>
          </w:p>
          <w:p w14:paraId="409461B0" w14:textId="77777777" w:rsidR="0059376D" w:rsidRPr="00156B9D" w:rsidRDefault="0059376D" w:rsidP="00EE5CD5">
            <w:pPr>
              <w:jc w:val="both"/>
              <w:rPr>
                <w:lang w:val="en-GB"/>
              </w:rPr>
            </w:pPr>
          </w:p>
          <w:p w14:paraId="17746805" w14:textId="77777777" w:rsidR="0059376D" w:rsidRPr="00156B9D" w:rsidRDefault="0059376D" w:rsidP="00EE5CD5">
            <w:pPr>
              <w:jc w:val="both"/>
              <w:rPr>
                <w:lang w:val="en-GB"/>
              </w:rPr>
            </w:pPr>
          </w:p>
          <w:p w14:paraId="67C73B71" w14:textId="77777777" w:rsidR="0059376D" w:rsidRPr="00156B9D" w:rsidRDefault="0059376D" w:rsidP="00EE5CD5">
            <w:pPr>
              <w:jc w:val="both"/>
              <w:rPr>
                <w:lang w:val="en-GB"/>
              </w:rPr>
            </w:pPr>
          </w:p>
          <w:p w14:paraId="61403DA8" w14:textId="77777777" w:rsidR="0059376D" w:rsidRPr="00156B9D" w:rsidRDefault="0059376D" w:rsidP="00EE5CD5">
            <w:pPr>
              <w:jc w:val="both"/>
              <w:rPr>
                <w:lang w:val="en-GB"/>
              </w:rPr>
            </w:pPr>
          </w:p>
          <w:p w14:paraId="788A4D8A" w14:textId="77777777" w:rsidR="0059376D" w:rsidRPr="00156B9D" w:rsidRDefault="0059376D" w:rsidP="00EE5CD5">
            <w:pPr>
              <w:jc w:val="both"/>
              <w:rPr>
                <w:lang w:val="en-GB"/>
              </w:rPr>
            </w:pPr>
          </w:p>
          <w:p w14:paraId="6CCD9C78" w14:textId="77777777" w:rsidR="0059376D" w:rsidRPr="00156B9D" w:rsidRDefault="0059376D" w:rsidP="00EE5CD5">
            <w:pPr>
              <w:jc w:val="both"/>
              <w:rPr>
                <w:lang w:val="en-GB"/>
              </w:rPr>
            </w:pPr>
          </w:p>
          <w:p w14:paraId="26F892D1" w14:textId="77777777" w:rsidR="0059376D" w:rsidRPr="00156B9D" w:rsidRDefault="0059376D" w:rsidP="00EE5CD5">
            <w:pPr>
              <w:jc w:val="both"/>
              <w:rPr>
                <w:lang w:val="en-GB"/>
              </w:rPr>
            </w:pPr>
          </w:p>
        </w:tc>
        <w:tc>
          <w:tcPr>
            <w:tcW w:w="1559" w:type="dxa"/>
            <w:vMerge w:val="restart"/>
            <w:shd w:val="clear" w:color="auto" w:fill="auto"/>
          </w:tcPr>
          <w:p w14:paraId="29253312" w14:textId="77777777" w:rsidR="0059376D" w:rsidRPr="007A02D4" w:rsidRDefault="0059376D" w:rsidP="00EE5CD5">
            <w:pPr>
              <w:jc w:val="both"/>
              <w:rPr>
                <w:b/>
                <w:lang w:val="en-GB"/>
              </w:rPr>
            </w:pPr>
            <w:r w:rsidRPr="007A02D4">
              <w:rPr>
                <w:b/>
                <w:lang w:val="en-GB"/>
              </w:rPr>
              <w:lastRenderedPageBreak/>
              <w:t xml:space="preserve">Regular resources </w:t>
            </w:r>
          </w:p>
          <w:p w14:paraId="19B7276B" w14:textId="77777777" w:rsidR="00BB77E7" w:rsidRPr="00156B9D" w:rsidRDefault="00BB77E7" w:rsidP="00BB77E7">
            <w:pPr>
              <w:jc w:val="both"/>
              <w:rPr>
                <w:lang w:val="en-GB"/>
              </w:rPr>
            </w:pPr>
            <w:r w:rsidRPr="00156B9D">
              <w:rPr>
                <w:lang w:val="en-GB"/>
              </w:rPr>
              <w:t>22,361.75</w:t>
            </w:r>
          </w:p>
          <w:p w14:paraId="7ADA595C" w14:textId="77777777" w:rsidR="0019541D" w:rsidRPr="003732A0" w:rsidRDefault="0019541D" w:rsidP="00EE5CD5">
            <w:pPr>
              <w:jc w:val="both"/>
              <w:rPr>
                <w:highlight w:val="yellow"/>
                <w:lang w:val="en-GB"/>
              </w:rPr>
            </w:pPr>
          </w:p>
          <w:p w14:paraId="6B5C7571" w14:textId="77777777" w:rsidR="0019541D" w:rsidRPr="003732A0" w:rsidRDefault="0059376D" w:rsidP="00EE5CD5">
            <w:pPr>
              <w:jc w:val="both"/>
              <w:rPr>
                <w:b/>
                <w:lang w:val="en-GB"/>
              </w:rPr>
            </w:pPr>
            <w:r w:rsidRPr="007A02D4">
              <w:rPr>
                <w:b/>
                <w:lang w:val="en-GB"/>
              </w:rPr>
              <w:t>Other resources</w:t>
            </w:r>
          </w:p>
          <w:p w14:paraId="3FB92121" w14:textId="1A0CAAA8" w:rsidR="0059376D" w:rsidRPr="0019541D" w:rsidRDefault="0019541D" w:rsidP="00EE5CD5">
            <w:pPr>
              <w:jc w:val="both"/>
              <w:rPr>
                <w:b/>
                <w:highlight w:val="yellow"/>
                <w:lang w:val="en-GB"/>
              </w:rPr>
            </w:pPr>
            <w:r w:rsidRPr="00156B9D">
              <w:rPr>
                <w:lang w:val="en-GB"/>
              </w:rPr>
              <w:t>31,448.95</w:t>
            </w:r>
            <w:r w:rsidR="0059376D" w:rsidRPr="0019541D">
              <w:rPr>
                <w:b/>
                <w:highlight w:val="yellow"/>
                <w:lang w:val="en-GB"/>
              </w:rPr>
              <w:t xml:space="preserve"> </w:t>
            </w:r>
          </w:p>
          <w:p w14:paraId="3C38C66E" w14:textId="29DF56B1" w:rsidR="0059376D" w:rsidRPr="00156B9D" w:rsidRDefault="0059376D" w:rsidP="00EE5CD5">
            <w:pPr>
              <w:jc w:val="both"/>
              <w:rPr>
                <w:lang w:val="en-GB"/>
              </w:rPr>
            </w:pPr>
          </w:p>
        </w:tc>
      </w:tr>
      <w:tr w:rsidR="0059376D" w:rsidRPr="00156B9D" w14:paraId="5A706D16" w14:textId="77777777" w:rsidTr="0059376D">
        <w:trPr>
          <w:trHeight w:val="300"/>
        </w:trPr>
        <w:tc>
          <w:tcPr>
            <w:tcW w:w="3545" w:type="dxa"/>
            <w:vMerge/>
          </w:tcPr>
          <w:p w14:paraId="3C0D82D4" w14:textId="77777777" w:rsidR="0059376D" w:rsidRPr="00156B9D" w:rsidRDefault="0059376D" w:rsidP="00EE5CD5">
            <w:pPr>
              <w:jc w:val="both"/>
              <w:rPr>
                <w:lang w:val="en-GB"/>
              </w:rPr>
            </w:pPr>
          </w:p>
        </w:tc>
        <w:tc>
          <w:tcPr>
            <w:tcW w:w="2835" w:type="dxa"/>
            <w:vMerge/>
          </w:tcPr>
          <w:p w14:paraId="6D60C140" w14:textId="77777777" w:rsidR="0059376D" w:rsidRPr="00156B9D" w:rsidRDefault="0059376D" w:rsidP="00EE5CD5">
            <w:pPr>
              <w:jc w:val="both"/>
              <w:rPr>
                <w:lang w:val="en-GB"/>
              </w:rPr>
            </w:pPr>
          </w:p>
        </w:tc>
        <w:tc>
          <w:tcPr>
            <w:tcW w:w="4819" w:type="dxa"/>
            <w:shd w:val="clear" w:color="auto" w:fill="auto"/>
          </w:tcPr>
          <w:p w14:paraId="33E2A3F8" w14:textId="780D7CB8" w:rsidR="0059376D" w:rsidRPr="00156B9D" w:rsidRDefault="0059376D" w:rsidP="00EE5CD5">
            <w:pPr>
              <w:jc w:val="both"/>
              <w:rPr>
                <w:b/>
                <w:bCs/>
                <w:lang w:val="en-GB"/>
              </w:rPr>
            </w:pPr>
            <w:bookmarkStart w:id="9" w:name="_Hlk146297812"/>
            <w:r w:rsidRPr="00156B9D">
              <w:rPr>
                <w:b/>
                <w:bCs/>
                <w:lang w:val="en-GB"/>
              </w:rPr>
              <w:t xml:space="preserve">Output 1.2:  </w:t>
            </w:r>
            <w:bookmarkStart w:id="10" w:name="_Hlk146297407"/>
            <w:r w:rsidRPr="00156B9D">
              <w:rPr>
                <w:b/>
                <w:bCs/>
                <w:lang w:val="en-GB"/>
              </w:rPr>
              <w:t>Population, especially women and youth</w:t>
            </w:r>
            <w:r w:rsidR="007E5216">
              <w:rPr>
                <w:b/>
                <w:bCs/>
                <w:lang w:val="en-GB"/>
              </w:rPr>
              <w:t>,</w:t>
            </w:r>
            <w:r w:rsidRPr="00156B9D">
              <w:rPr>
                <w:b/>
                <w:bCs/>
                <w:lang w:val="en-GB"/>
              </w:rPr>
              <w:t xml:space="preserve"> strengthened to participate in decision-making and promoting dialogue for sustainable social cohesion.</w:t>
            </w:r>
          </w:p>
          <w:p w14:paraId="18B93458" w14:textId="77777777" w:rsidR="0059376D" w:rsidRPr="00156B9D" w:rsidRDefault="0059376D" w:rsidP="00EE5CD5">
            <w:pPr>
              <w:jc w:val="both"/>
              <w:rPr>
                <w:bCs/>
                <w:lang w:val="en-GB"/>
              </w:rPr>
            </w:pPr>
          </w:p>
          <w:bookmarkEnd w:id="10"/>
          <w:p w14:paraId="1419BFE1" w14:textId="3875CFE8" w:rsidR="0059376D" w:rsidRPr="00156B9D" w:rsidRDefault="0059376D" w:rsidP="00EE5CD5">
            <w:pPr>
              <w:jc w:val="both"/>
              <w:textAlignment w:val="baseline"/>
              <w:rPr>
                <w:b/>
                <w:bCs/>
                <w:lang w:val="en-GB"/>
              </w:rPr>
            </w:pPr>
            <w:r w:rsidRPr="00156B9D">
              <w:rPr>
                <w:b/>
                <w:lang w:val="en-GB"/>
              </w:rPr>
              <w:t>Indicator 1.2.1</w:t>
            </w:r>
            <w:r w:rsidRPr="00156B9D">
              <w:rPr>
                <w:bCs/>
                <w:lang w:val="en-GB"/>
              </w:rPr>
              <w:t xml:space="preserve">: </w:t>
            </w:r>
            <w:r w:rsidRPr="00156B9D">
              <w:rPr>
                <w:lang w:val="en-GB"/>
              </w:rPr>
              <w:t xml:space="preserve">Number of national and local initiatives, policies and strategies to protect and promote: a) civil society to function in the public sphere and contribute to sustainable development, b) inclusive spaces, mechanisms and capacities for public and public-private dialogue, c) access to reliable information on </w:t>
            </w:r>
            <w:r w:rsidRPr="00156B9D" w:rsidDel="00BC298B">
              <w:rPr>
                <w:lang w:val="en-GB"/>
              </w:rPr>
              <w:t xml:space="preserve">issues of </w:t>
            </w:r>
            <w:r w:rsidRPr="00156B9D">
              <w:rPr>
                <w:lang w:val="en-GB"/>
              </w:rPr>
              <w:t>public concern (S</w:t>
            </w:r>
            <w:r w:rsidR="007E5216">
              <w:rPr>
                <w:lang w:val="en-GB"/>
              </w:rPr>
              <w:t xml:space="preserve">trategic </w:t>
            </w:r>
            <w:r w:rsidRPr="00156B9D">
              <w:rPr>
                <w:lang w:val="en-GB"/>
              </w:rPr>
              <w:t>P</w:t>
            </w:r>
            <w:r w:rsidR="007E5216">
              <w:rPr>
                <w:lang w:val="en-GB"/>
              </w:rPr>
              <w:t>lan</w:t>
            </w:r>
            <w:r w:rsidRPr="00156B9D">
              <w:rPr>
                <w:lang w:val="en-GB"/>
              </w:rPr>
              <w:t xml:space="preserve"> Indicator 2.4.5)</w:t>
            </w:r>
            <w:r w:rsidR="00846C7D">
              <w:rPr>
                <w:lang w:val="en-GB"/>
              </w:rPr>
              <w:t>.</w:t>
            </w:r>
          </w:p>
          <w:p w14:paraId="3AE2DF26" w14:textId="766F4D98" w:rsidR="0059376D" w:rsidRPr="00156B9D" w:rsidRDefault="0059376D" w:rsidP="00EE5CD5">
            <w:pPr>
              <w:jc w:val="both"/>
              <w:rPr>
                <w:bCs/>
                <w:lang w:val="en-GB"/>
              </w:rPr>
            </w:pPr>
            <w:r w:rsidRPr="00156B9D">
              <w:rPr>
                <w:b/>
                <w:lang w:val="en-GB"/>
              </w:rPr>
              <w:t>Baseline</w:t>
            </w:r>
            <w:r w:rsidR="007E5216">
              <w:rPr>
                <w:b/>
                <w:lang w:val="en-GB"/>
              </w:rPr>
              <w:t xml:space="preserve"> </w:t>
            </w:r>
            <w:r w:rsidRPr="00156B9D">
              <w:rPr>
                <w:b/>
                <w:lang w:val="en-GB"/>
              </w:rPr>
              <w:t>(2022)</w:t>
            </w:r>
            <w:r w:rsidRPr="00156B9D">
              <w:rPr>
                <w:bCs/>
                <w:lang w:val="en-GB"/>
              </w:rPr>
              <w:t>: a) 3; b) 4; c) 2</w:t>
            </w:r>
          </w:p>
          <w:p w14:paraId="2C97886D" w14:textId="6E99F4BD" w:rsidR="0059376D" w:rsidRPr="00156B9D" w:rsidRDefault="0059376D" w:rsidP="00EE5CD5">
            <w:pPr>
              <w:jc w:val="both"/>
              <w:rPr>
                <w:bCs/>
                <w:lang w:val="en-GB"/>
              </w:rPr>
            </w:pPr>
            <w:r w:rsidRPr="00156B9D">
              <w:rPr>
                <w:b/>
                <w:lang w:val="en-GB"/>
              </w:rPr>
              <w:t>Target</w:t>
            </w:r>
            <w:r w:rsidR="007E5216">
              <w:rPr>
                <w:b/>
                <w:lang w:val="en-GB"/>
              </w:rPr>
              <w:t xml:space="preserve"> </w:t>
            </w:r>
            <w:r w:rsidRPr="00156B9D">
              <w:rPr>
                <w:b/>
                <w:lang w:val="en-GB"/>
              </w:rPr>
              <w:t>(2028)</w:t>
            </w:r>
            <w:r w:rsidRPr="00156B9D">
              <w:rPr>
                <w:bCs/>
                <w:lang w:val="en-GB"/>
              </w:rPr>
              <w:t>: a) 8; b) 9; c) 5</w:t>
            </w:r>
          </w:p>
          <w:p w14:paraId="4C598C59" w14:textId="77777777" w:rsidR="0059376D" w:rsidRPr="00156B9D" w:rsidRDefault="0059376D" w:rsidP="00EE5CD5">
            <w:pPr>
              <w:jc w:val="both"/>
              <w:rPr>
                <w:bCs/>
                <w:lang w:val="en-GB"/>
              </w:rPr>
            </w:pPr>
            <w:r w:rsidRPr="00156B9D">
              <w:rPr>
                <w:b/>
                <w:lang w:val="en-GB"/>
              </w:rPr>
              <w:t>Source</w:t>
            </w:r>
            <w:r w:rsidRPr="00156B9D">
              <w:rPr>
                <w:bCs/>
                <w:lang w:val="en-GB"/>
              </w:rPr>
              <w:t xml:space="preserve">: </w:t>
            </w:r>
            <w:r w:rsidRPr="00156B9D">
              <w:rPr>
                <w:lang w:val="en-GB"/>
              </w:rPr>
              <w:t>Ministry of Territorial Administration</w:t>
            </w:r>
          </w:p>
          <w:p w14:paraId="226A0880" w14:textId="77777777" w:rsidR="0059376D" w:rsidRPr="00156B9D" w:rsidRDefault="0059376D" w:rsidP="00EE5CD5">
            <w:pPr>
              <w:jc w:val="both"/>
              <w:rPr>
                <w:bCs/>
                <w:lang w:val="en-GB"/>
              </w:rPr>
            </w:pPr>
            <w:r w:rsidRPr="00156B9D">
              <w:rPr>
                <w:b/>
                <w:lang w:val="en-GB"/>
              </w:rPr>
              <w:t>Frequency:</w:t>
            </w:r>
            <w:r w:rsidRPr="00156B9D">
              <w:rPr>
                <w:bCs/>
                <w:lang w:val="en-GB"/>
              </w:rPr>
              <w:t xml:space="preserve"> </w:t>
            </w:r>
            <w:r w:rsidRPr="00156B9D">
              <w:rPr>
                <w:lang w:val="en-GB"/>
              </w:rPr>
              <w:t>Annual</w:t>
            </w:r>
          </w:p>
          <w:p w14:paraId="58D4EBFE" w14:textId="77777777" w:rsidR="0059376D" w:rsidRPr="00156B9D" w:rsidRDefault="0059376D" w:rsidP="00EE5CD5">
            <w:pPr>
              <w:jc w:val="both"/>
              <w:rPr>
                <w:b/>
                <w:lang w:val="en-GB"/>
              </w:rPr>
            </w:pPr>
          </w:p>
          <w:p w14:paraId="7B6E52C6" w14:textId="77777777" w:rsidR="0059376D" w:rsidRPr="00156B9D" w:rsidRDefault="0059376D" w:rsidP="00EE5CD5">
            <w:pPr>
              <w:jc w:val="both"/>
              <w:rPr>
                <w:bCs/>
                <w:lang w:val="en-GB"/>
              </w:rPr>
            </w:pPr>
            <w:r w:rsidRPr="00156B9D">
              <w:rPr>
                <w:b/>
                <w:lang w:val="en-GB"/>
              </w:rPr>
              <w:t>Indicator 1.2.2</w:t>
            </w:r>
            <w:r w:rsidRPr="00156B9D">
              <w:rPr>
                <w:bCs/>
                <w:lang w:val="en-GB"/>
              </w:rPr>
              <w:t>: Percentage of women in positions of responsibility in public and private administrations</w:t>
            </w:r>
          </w:p>
          <w:p w14:paraId="526A7E86" w14:textId="2E486E80" w:rsidR="0059376D" w:rsidRPr="00156B9D" w:rsidRDefault="0059376D" w:rsidP="00EE5CD5">
            <w:pPr>
              <w:jc w:val="both"/>
              <w:rPr>
                <w:bCs/>
                <w:lang w:val="en-GB"/>
              </w:rPr>
            </w:pPr>
            <w:r w:rsidRPr="00156B9D">
              <w:rPr>
                <w:b/>
                <w:lang w:val="en-GB"/>
              </w:rPr>
              <w:t>Baseline</w:t>
            </w:r>
            <w:r w:rsidR="007E5216">
              <w:rPr>
                <w:b/>
                <w:lang w:val="en-GB"/>
              </w:rPr>
              <w:t xml:space="preserve"> </w:t>
            </w:r>
            <w:r w:rsidRPr="00156B9D">
              <w:rPr>
                <w:b/>
                <w:lang w:val="en-GB"/>
              </w:rPr>
              <w:t>(2022)</w:t>
            </w:r>
            <w:r w:rsidRPr="00156B9D">
              <w:rPr>
                <w:bCs/>
                <w:lang w:val="en-GB"/>
              </w:rPr>
              <w:t>:</w:t>
            </w:r>
            <w:r w:rsidR="007E5216">
              <w:rPr>
                <w:bCs/>
                <w:lang w:val="en-GB"/>
              </w:rPr>
              <w:t xml:space="preserve"> </w:t>
            </w:r>
            <w:r w:rsidRPr="00156B9D">
              <w:rPr>
                <w:bCs/>
                <w:lang w:val="en-GB"/>
              </w:rPr>
              <w:t xml:space="preserve">23% </w:t>
            </w:r>
          </w:p>
          <w:p w14:paraId="5A84B99D" w14:textId="66FFD1FF" w:rsidR="0059376D" w:rsidRPr="00156B9D" w:rsidRDefault="0059376D" w:rsidP="00EE5CD5">
            <w:pPr>
              <w:jc w:val="both"/>
              <w:rPr>
                <w:bCs/>
                <w:lang w:val="en-GB"/>
              </w:rPr>
            </w:pPr>
            <w:r w:rsidRPr="00156B9D">
              <w:rPr>
                <w:b/>
                <w:lang w:val="en-GB"/>
              </w:rPr>
              <w:t>Target</w:t>
            </w:r>
            <w:r w:rsidR="007E5216">
              <w:rPr>
                <w:b/>
                <w:lang w:val="en-GB"/>
              </w:rPr>
              <w:t xml:space="preserve"> </w:t>
            </w:r>
            <w:r w:rsidRPr="00156B9D">
              <w:rPr>
                <w:b/>
                <w:lang w:val="en-GB"/>
              </w:rPr>
              <w:t>(2028)</w:t>
            </w:r>
            <w:r w:rsidRPr="00156B9D">
              <w:rPr>
                <w:bCs/>
                <w:lang w:val="en-GB"/>
              </w:rPr>
              <w:t>:</w:t>
            </w:r>
            <w:r w:rsidR="007E5216">
              <w:rPr>
                <w:bCs/>
                <w:lang w:val="en-GB"/>
              </w:rPr>
              <w:t xml:space="preserve"> </w:t>
            </w:r>
            <w:r w:rsidRPr="00156B9D">
              <w:rPr>
                <w:bCs/>
                <w:lang w:val="en-GB"/>
              </w:rPr>
              <w:t xml:space="preserve">30%   </w:t>
            </w:r>
          </w:p>
          <w:p w14:paraId="30D19B32" w14:textId="485BAF84" w:rsidR="0059376D" w:rsidRPr="00156B9D" w:rsidRDefault="0059376D" w:rsidP="00EE5CD5">
            <w:pPr>
              <w:jc w:val="both"/>
              <w:rPr>
                <w:bCs/>
                <w:lang w:val="en-GB"/>
              </w:rPr>
            </w:pPr>
            <w:r w:rsidRPr="00156B9D">
              <w:rPr>
                <w:b/>
                <w:lang w:val="en-GB"/>
              </w:rPr>
              <w:t>Source:</w:t>
            </w:r>
            <w:r w:rsidRPr="00156B9D">
              <w:rPr>
                <w:bCs/>
                <w:lang w:val="en-GB"/>
              </w:rPr>
              <w:t xml:space="preserve">  Ministry </w:t>
            </w:r>
            <w:r w:rsidR="00C67A0B">
              <w:rPr>
                <w:bCs/>
                <w:lang w:val="en-GB"/>
              </w:rPr>
              <w:t>for</w:t>
            </w:r>
            <w:r w:rsidR="00C67A0B" w:rsidRPr="00156B9D">
              <w:rPr>
                <w:bCs/>
                <w:lang w:val="en-GB"/>
              </w:rPr>
              <w:t xml:space="preserve"> </w:t>
            </w:r>
            <w:r w:rsidR="00DA2DD8">
              <w:rPr>
                <w:bCs/>
                <w:lang w:val="en-GB"/>
              </w:rPr>
              <w:t xml:space="preserve">the </w:t>
            </w:r>
            <w:r w:rsidRPr="00156B9D">
              <w:rPr>
                <w:bCs/>
                <w:lang w:val="en-GB"/>
              </w:rPr>
              <w:t xml:space="preserve">Promotion </w:t>
            </w:r>
            <w:r w:rsidR="00DA2DD8">
              <w:rPr>
                <w:bCs/>
                <w:lang w:val="en-GB"/>
              </w:rPr>
              <w:t xml:space="preserve">of </w:t>
            </w:r>
            <w:r w:rsidR="00DA2DD8" w:rsidRPr="00156B9D">
              <w:rPr>
                <w:bCs/>
                <w:lang w:val="en-GB"/>
              </w:rPr>
              <w:t>Wom</w:t>
            </w:r>
            <w:r w:rsidR="00DA2DD8">
              <w:rPr>
                <w:bCs/>
                <w:lang w:val="en-GB"/>
              </w:rPr>
              <w:t>e</w:t>
            </w:r>
            <w:r w:rsidR="00DA2DD8" w:rsidRPr="00156B9D">
              <w:rPr>
                <w:bCs/>
                <w:lang w:val="en-GB"/>
              </w:rPr>
              <w:t>n</w:t>
            </w:r>
          </w:p>
          <w:p w14:paraId="743B9ADD"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p w14:paraId="2DB0F7FD" w14:textId="77777777" w:rsidR="0059376D" w:rsidRPr="00156B9D" w:rsidRDefault="0059376D" w:rsidP="00EE5CD5">
            <w:pPr>
              <w:jc w:val="both"/>
              <w:rPr>
                <w:i/>
                <w:iCs/>
                <w:lang w:val="en-GB"/>
              </w:rPr>
            </w:pPr>
          </w:p>
          <w:p w14:paraId="7926675E" w14:textId="77777777"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b/>
                <w:sz w:val="20"/>
                <w:szCs w:val="20"/>
                <w:lang w:val="en-GB"/>
              </w:rPr>
              <w:t>Indicator 1.2.3:</w:t>
            </w:r>
            <w:r w:rsidRPr="00156B9D">
              <w:rPr>
                <w:i/>
                <w:iCs/>
                <w:lang w:val="en-GB"/>
              </w:rPr>
              <w:t xml:space="preserve"> </w:t>
            </w:r>
            <w:r w:rsidRPr="00156B9D">
              <w:rPr>
                <w:rFonts w:eastAsia="Calibri"/>
                <w:bCs/>
                <w:sz w:val="20"/>
                <w:szCs w:val="20"/>
                <w:lang w:val="en-GB"/>
              </w:rPr>
              <w:t>Number of youth volunteers involved in conflict prevention, social cohesion, or civic engagement. </w:t>
            </w:r>
          </w:p>
          <w:p w14:paraId="515885C5" w14:textId="77777777"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b/>
                <w:sz w:val="20"/>
                <w:szCs w:val="20"/>
                <w:lang w:val="en-GB"/>
              </w:rPr>
              <w:t>Baseline (2022):</w:t>
            </w:r>
            <w:r w:rsidRPr="00156B9D">
              <w:rPr>
                <w:rFonts w:eastAsia="Calibri"/>
                <w:bCs/>
                <w:sz w:val="20"/>
                <w:szCs w:val="20"/>
                <w:lang w:val="en-GB"/>
              </w:rPr>
              <w:t xml:space="preserve"> </w:t>
            </w:r>
          </w:p>
          <w:p w14:paraId="4C10C3E3" w14:textId="00693C10"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rFonts w:eastAsia="Calibri"/>
                <w:bCs/>
                <w:sz w:val="20"/>
                <w:szCs w:val="20"/>
                <w:lang w:val="en-GB"/>
              </w:rPr>
              <w:t>Women: 2</w:t>
            </w:r>
            <w:r w:rsidR="00FB0F68">
              <w:rPr>
                <w:rFonts w:eastAsia="Calibri"/>
                <w:bCs/>
                <w:sz w:val="20"/>
                <w:szCs w:val="20"/>
                <w:lang w:val="en-GB"/>
              </w:rPr>
              <w:t>,</w:t>
            </w:r>
            <w:r w:rsidRPr="00156B9D">
              <w:rPr>
                <w:rFonts w:eastAsia="Calibri"/>
                <w:bCs/>
                <w:sz w:val="20"/>
                <w:szCs w:val="20"/>
                <w:lang w:val="en-GB"/>
              </w:rPr>
              <w:t xml:space="preserve">840; </w:t>
            </w:r>
            <w:r w:rsidR="00DA2DD8">
              <w:rPr>
                <w:rFonts w:eastAsia="Calibri"/>
                <w:bCs/>
                <w:sz w:val="20"/>
                <w:szCs w:val="20"/>
                <w:lang w:val="en-GB"/>
              </w:rPr>
              <w:t>m</w:t>
            </w:r>
            <w:r w:rsidR="00DA2DD8" w:rsidRPr="00156B9D">
              <w:rPr>
                <w:rFonts w:eastAsia="Calibri"/>
                <w:bCs/>
                <w:sz w:val="20"/>
                <w:szCs w:val="20"/>
                <w:lang w:val="en-GB"/>
              </w:rPr>
              <w:t>en</w:t>
            </w:r>
            <w:r w:rsidRPr="00156B9D">
              <w:rPr>
                <w:rFonts w:eastAsia="Calibri"/>
                <w:bCs/>
                <w:sz w:val="20"/>
                <w:szCs w:val="20"/>
                <w:lang w:val="en-GB"/>
              </w:rPr>
              <w:t>: 3</w:t>
            </w:r>
            <w:r w:rsidR="00FB0F68">
              <w:rPr>
                <w:rFonts w:eastAsia="Calibri"/>
                <w:bCs/>
                <w:sz w:val="20"/>
                <w:szCs w:val="20"/>
                <w:lang w:val="en-GB"/>
              </w:rPr>
              <w:t>,</w:t>
            </w:r>
            <w:r w:rsidRPr="00156B9D">
              <w:rPr>
                <w:rFonts w:eastAsia="Calibri"/>
                <w:bCs/>
                <w:sz w:val="20"/>
                <w:szCs w:val="20"/>
                <w:lang w:val="en-GB"/>
              </w:rPr>
              <w:t>160</w:t>
            </w:r>
          </w:p>
          <w:p w14:paraId="3A37B5D4" w14:textId="1CEB2C09" w:rsidR="0059376D" w:rsidRPr="00156B9D" w:rsidRDefault="0059376D" w:rsidP="00EE5CD5">
            <w:pPr>
              <w:pStyle w:val="NormalWeb"/>
              <w:spacing w:before="0" w:beforeAutospacing="0" w:after="0" w:afterAutospacing="0"/>
              <w:jc w:val="both"/>
              <w:rPr>
                <w:b/>
                <w:sz w:val="20"/>
                <w:szCs w:val="20"/>
                <w:lang w:val="en-GB"/>
              </w:rPr>
            </w:pPr>
            <w:r w:rsidRPr="00156B9D">
              <w:rPr>
                <w:b/>
                <w:sz w:val="20"/>
                <w:szCs w:val="20"/>
                <w:lang w:val="en-GB"/>
              </w:rPr>
              <w:t>Target:</w:t>
            </w:r>
            <w:r w:rsidR="00AB2456">
              <w:rPr>
                <w:b/>
                <w:sz w:val="20"/>
                <w:szCs w:val="20"/>
                <w:lang w:val="en-GB"/>
              </w:rPr>
              <w:t xml:space="preserve"> </w:t>
            </w:r>
            <w:r w:rsidRPr="00156B9D">
              <w:rPr>
                <w:b/>
                <w:sz w:val="20"/>
                <w:szCs w:val="20"/>
                <w:lang w:val="en-GB"/>
              </w:rPr>
              <w:t>(2028)</w:t>
            </w:r>
            <w:r w:rsidRPr="00156B9D">
              <w:rPr>
                <w:bCs/>
                <w:sz w:val="20"/>
                <w:szCs w:val="20"/>
                <w:lang w:val="en-GB"/>
              </w:rPr>
              <w:t>:</w:t>
            </w:r>
          </w:p>
          <w:p w14:paraId="0647621B" w14:textId="6031F4DF"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rFonts w:eastAsia="Calibri"/>
                <w:bCs/>
                <w:sz w:val="20"/>
                <w:szCs w:val="20"/>
                <w:lang w:val="en-GB"/>
              </w:rPr>
              <w:t>Women: 4</w:t>
            </w:r>
            <w:r w:rsidR="00FB0F68">
              <w:rPr>
                <w:rFonts w:eastAsia="Calibri"/>
                <w:bCs/>
                <w:sz w:val="20"/>
                <w:szCs w:val="20"/>
                <w:lang w:val="en-GB"/>
              </w:rPr>
              <w:t>,</w:t>
            </w:r>
            <w:r w:rsidRPr="00156B9D">
              <w:rPr>
                <w:rFonts w:eastAsia="Calibri"/>
                <w:bCs/>
                <w:sz w:val="20"/>
                <w:szCs w:val="20"/>
                <w:lang w:val="en-GB"/>
              </w:rPr>
              <w:t xml:space="preserve">000; </w:t>
            </w:r>
            <w:r w:rsidR="00DA2DD8">
              <w:rPr>
                <w:rFonts w:eastAsia="Calibri"/>
                <w:bCs/>
                <w:sz w:val="20"/>
                <w:szCs w:val="20"/>
                <w:lang w:val="en-GB"/>
              </w:rPr>
              <w:t>m</w:t>
            </w:r>
            <w:r w:rsidR="00DA2DD8" w:rsidRPr="00156B9D">
              <w:rPr>
                <w:rFonts w:eastAsia="Calibri"/>
                <w:bCs/>
                <w:sz w:val="20"/>
                <w:szCs w:val="20"/>
                <w:lang w:val="en-GB"/>
              </w:rPr>
              <w:t>en</w:t>
            </w:r>
            <w:r w:rsidRPr="00156B9D">
              <w:rPr>
                <w:rFonts w:eastAsia="Calibri"/>
                <w:bCs/>
                <w:sz w:val="20"/>
                <w:szCs w:val="20"/>
                <w:lang w:val="en-GB"/>
              </w:rPr>
              <w:t>:</w:t>
            </w:r>
            <w:r w:rsidR="00FB0F68">
              <w:rPr>
                <w:rFonts w:eastAsia="Calibri"/>
                <w:bCs/>
                <w:sz w:val="20"/>
                <w:szCs w:val="20"/>
                <w:lang w:val="en-GB"/>
              </w:rPr>
              <w:t xml:space="preserve"> </w:t>
            </w:r>
            <w:r w:rsidRPr="00156B9D">
              <w:rPr>
                <w:rFonts w:eastAsia="Calibri"/>
                <w:bCs/>
                <w:sz w:val="20"/>
                <w:szCs w:val="20"/>
                <w:lang w:val="en-GB"/>
              </w:rPr>
              <w:t>6</w:t>
            </w:r>
            <w:r w:rsidR="00FB0F68">
              <w:rPr>
                <w:rFonts w:eastAsia="Calibri"/>
                <w:bCs/>
                <w:sz w:val="20"/>
                <w:szCs w:val="20"/>
                <w:lang w:val="en-GB"/>
              </w:rPr>
              <w:t>,</w:t>
            </w:r>
            <w:r w:rsidRPr="00156B9D">
              <w:rPr>
                <w:rFonts w:eastAsia="Calibri"/>
                <w:bCs/>
                <w:sz w:val="20"/>
                <w:szCs w:val="20"/>
                <w:lang w:val="en-GB"/>
              </w:rPr>
              <w:t>000</w:t>
            </w:r>
          </w:p>
          <w:p w14:paraId="7B8B6259" w14:textId="77777777"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b/>
                <w:sz w:val="20"/>
                <w:szCs w:val="20"/>
                <w:lang w:val="en-GB"/>
              </w:rPr>
              <w:t>Source:</w:t>
            </w:r>
            <w:r w:rsidRPr="00156B9D">
              <w:rPr>
                <w:bCs/>
                <w:sz w:val="20"/>
                <w:szCs w:val="20"/>
                <w:lang w:val="en-GB"/>
              </w:rPr>
              <w:t xml:space="preserve"> National Agency for Youth Volunteerism</w:t>
            </w:r>
          </w:p>
          <w:p w14:paraId="2D48E78B" w14:textId="77777777" w:rsidR="0059376D" w:rsidRPr="00156B9D" w:rsidRDefault="0059376D" w:rsidP="00EE5CD5">
            <w:pPr>
              <w:pStyle w:val="NormalWeb"/>
              <w:spacing w:before="0" w:beforeAutospacing="0" w:after="0" w:afterAutospacing="0"/>
              <w:jc w:val="both"/>
              <w:rPr>
                <w:bCs/>
                <w:sz w:val="20"/>
                <w:szCs w:val="20"/>
                <w:lang w:val="en-GB"/>
              </w:rPr>
            </w:pPr>
            <w:r w:rsidRPr="00156B9D">
              <w:rPr>
                <w:rFonts w:eastAsia="Calibri"/>
                <w:b/>
                <w:sz w:val="20"/>
                <w:szCs w:val="20"/>
                <w:lang w:val="en-GB"/>
              </w:rPr>
              <w:t>Frequency</w:t>
            </w:r>
            <w:r w:rsidRPr="00156B9D">
              <w:rPr>
                <w:b/>
                <w:sz w:val="20"/>
                <w:szCs w:val="20"/>
                <w:lang w:val="en-GB"/>
              </w:rPr>
              <w:t>:</w:t>
            </w:r>
            <w:r w:rsidRPr="00156B9D">
              <w:rPr>
                <w:bCs/>
                <w:sz w:val="20"/>
                <w:szCs w:val="20"/>
                <w:lang w:val="en-GB"/>
              </w:rPr>
              <w:t xml:space="preserve"> Annual</w:t>
            </w:r>
          </w:p>
          <w:p w14:paraId="60E79909" w14:textId="77777777" w:rsidR="0059376D" w:rsidRPr="00156B9D" w:rsidRDefault="0059376D" w:rsidP="00EE5CD5">
            <w:pPr>
              <w:pStyle w:val="NormalWeb"/>
              <w:spacing w:before="0" w:beforeAutospacing="0" w:after="0" w:afterAutospacing="0"/>
              <w:jc w:val="both"/>
              <w:rPr>
                <w:i/>
                <w:iCs/>
                <w:lang w:val="en-GB"/>
              </w:rPr>
            </w:pPr>
          </w:p>
          <w:p w14:paraId="2FE6CA6F" w14:textId="12CD33CE" w:rsidR="0059376D" w:rsidRPr="00156B9D" w:rsidRDefault="0059376D" w:rsidP="00EE5CD5">
            <w:pPr>
              <w:jc w:val="both"/>
              <w:rPr>
                <w:lang w:val="en-GB"/>
              </w:rPr>
            </w:pPr>
            <w:r w:rsidRPr="00156B9D">
              <w:rPr>
                <w:b/>
                <w:lang w:val="en-GB"/>
              </w:rPr>
              <w:t>Indicator 1.2.4:</w:t>
            </w:r>
            <w:r w:rsidRPr="00156B9D">
              <w:rPr>
                <w:bCs/>
                <w:lang w:val="en-GB"/>
              </w:rPr>
              <w:t xml:space="preserve"> Number of youth volunteers engage</w:t>
            </w:r>
            <w:r w:rsidR="00DA2DD8">
              <w:rPr>
                <w:bCs/>
                <w:lang w:val="en-GB"/>
              </w:rPr>
              <w:t>d</w:t>
            </w:r>
            <w:r w:rsidRPr="00156B9D">
              <w:rPr>
                <w:bCs/>
                <w:lang w:val="en-GB"/>
              </w:rPr>
              <w:t xml:space="preserve"> in supporting public institutions at national and local level in the fields of justice, local planning and agriculture for inclusive governance and equitable access to basic social services.</w:t>
            </w:r>
          </w:p>
          <w:p w14:paraId="43F0C7D6" w14:textId="45FE2348"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b/>
                <w:sz w:val="20"/>
                <w:szCs w:val="20"/>
                <w:lang w:val="en-GB"/>
              </w:rPr>
              <w:t>Baseline</w:t>
            </w:r>
            <w:r w:rsidR="006D1E65">
              <w:rPr>
                <w:b/>
                <w:sz w:val="20"/>
                <w:szCs w:val="20"/>
                <w:lang w:val="en-GB"/>
              </w:rPr>
              <w:t xml:space="preserve"> </w:t>
            </w:r>
            <w:r w:rsidRPr="00156B9D">
              <w:rPr>
                <w:b/>
                <w:sz w:val="20"/>
                <w:szCs w:val="20"/>
                <w:lang w:val="en-GB"/>
              </w:rPr>
              <w:t>(2022):</w:t>
            </w:r>
            <w:r w:rsidRPr="00156B9D">
              <w:rPr>
                <w:rFonts w:eastAsia="Calibri"/>
                <w:bCs/>
                <w:sz w:val="20"/>
                <w:szCs w:val="20"/>
                <w:lang w:val="en-GB"/>
              </w:rPr>
              <w:t xml:space="preserve"> </w:t>
            </w:r>
          </w:p>
          <w:p w14:paraId="072F2979" w14:textId="778BFEA7"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rFonts w:eastAsia="Calibri"/>
                <w:bCs/>
                <w:sz w:val="20"/>
                <w:szCs w:val="20"/>
                <w:lang w:val="en-GB"/>
              </w:rPr>
              <w:t xml:space="preserve">Women: 330; </w:t>
            </w:r>
            <w:r w:rsidR="00DA2DD8">
              <w:rPr>
                <w:rFonts w:eastAsia="Calibri"/>
                <w:bCs/>
                <w:sz w:val="20"/>
                <w:szCs w:val="20"/>
                <w:lang w:val="en-GB"/>
              </w:rPr>
              <w:t>m</w:t>
            </w:r>
            <w:r w:rsidR="00DA2DD8" w:rsidRPr="00156B9D">
              <w:rPr>
                <w:rFonts w:eastAsia="Calibri"/>
                <w:bCs/>
                <w:sz w:val="20"/>
                <w:szCs w:val="20"/>
                <w:lang w:val="en-GB"/>
              </w:rPr>
              <w:t>en</w:t>
            </w:r>
            <w:r w:rsidRPr="00156B9D">
              <w:rPr>
                <w:rFonts w:eastAsia="Calibri"/>
                <w:bCs/>
                <w:sz w:val="20"/>
                <w:szCs w:val="20"/>
                <w:lang w:val="en-GB"/>
              </w:rPr>
              <w:t>: 478</w:t>
            </w:r>
          </w:p>
          <w:p w14:paraId="3756BA6F" w14:textId="106063BE" w:rsidR="0059376D" w:rsidRPr="00156B9D" w:rsidRDefault="0059376D" w:rsidP="00EE5CD5">
            <w:pPr>
              <w:pStyle w:val="NormalWeb"/>
              <w:spacing w:before="0" w:beforeAutospacing="0" w:after="0" w:afterAutospacing="0"/>
              <w:jc w:val="both"/>
              <w:rPr>
                <w:b/>
                <w:sz w:val="20"/>
                <w:szCs w:val="20"/>
                <w:lang w:val="en-GB"/>
              </w:rPr>
            </w:pPr>
            <w:r w:rsidRPr="00156B9D">
              <w:rPr>
                <w:b/>
                <w:sz w:val="20"/>
                <w:szCs w:val="20"/>
                <w:lang w:val="en-GB"/>
              </w:rPr>
              <w:t>Target</w:t>
            </w:r>
            <w:r w:rsidR="006D1E65">
              <w:rPr>
                <w:b/>
                <w:sz w:val="20"/>
                <w:szCs w:val="20"/>
                <w:lang w:val="en-GB"/>
              </w:rPr>
              <w:t xml:space="preserve"> </w:t>
            </w:r>
            <w:r w:rsidRPr="00156B9D">
              <w:rPr>
                <w:b/>
                <w:sz w:val="20"/>
                <w:szCs w:val="20"/>
                <w:lang w:val="en-GB"/>
              </w:rPr>
              <w:t>(2028)</w:t>
            </w:r>
            <w:r w:rsidRPr="00156B9D">
              <w:rPr>
                <w:bCs/>
                <w:sz w:val="20"/>
                <w:szCs w:val="20"/>
                <w:lang w:val="en-GB"/>
              </w:rPr>
              <w:t>:</w:t>
            </w:r>
          </w:p>
          <w:p w14:paraId="153B0600" w14:textId="50B54D9E"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rFonts w:eastAsia="Calibri"/>
                <w:bCs/>
                <w:sz w:val="20"/>
                <w:szCs w:val="20"/>
                <w:lang w:val="en-GB"/>
              </w:rPr>
              <w:t>Women:</w:t>
            </w:r>
            <w:r w:rsidR="00EF4FAC">
              <w:rPr>
                <w:rFonts w:eastAsia="Calibri"/>
                <w:bCs/>
                <w:sz w:val="20"/>
                <w:szCs w:val="20"/>
                <w:lang w:val="en-GB"/>
              </w:rPr>
              <w:t xml:space="preserve"> </w:t>
            </w:r>
            <w:r w:rsidRPr="00156B9D">
              <w:rPr>
                <w:rFonts w:eastAsia="Calibri"/>
                <w:bCs/>
                <w:sz w:val="20"/>
                <w:szCs w:val="20"/>
                <w:lang w:val="en-GB"/>
              </w:rPr>
              <w:t xml:space="preserve">930; </w:t>
            </w:r>
            <w:r w:rsidR="00DA2DD8">
              <w:rPr>
                <w:rFonts w:eastAsia="Calibri"/>
                <w:bCs/>
                <w:sz w:val="20"/>
                <w:szCs w:val="20"/>
                <w:lang w:val="en-GB"/>
              </w:rPr>
              <w:t>m</w:t>
            </w:r>
            <w:r w:rsidR="00DA2DD8" w:rsidRPr="00156B9D">
              <w:rPr>
                <w:rFonts w:eastAsia="Calibri"/>
                <w:bCs/>
                <w:sz w:val="20"/>
                <w:szCs w:val="20"/>
                <w:lang w:val="en-GB"/>
              </w:rPr>
              <w:t>en</w:t>
            </w:r>
            <w:r w:rsidRPr="00156B9D">
              <w:rPr>
                <w:rFonts w:eastAsia="Calibri"/>
                <w:bCs/>
                <w:sz w:val="20"/>
                <w:szCs w:val="20"/>
                <w:lang w:val="en-GB"/>
              </w:rPr>
              <w:t>:</w:t>
            </w:r>
            <w:r w:rsidR="00BC28A4">
              <w:rPr>
                <w:rFonts w:eastAsia="Calibri"/>
                <w:bCs/>
                <w:sz w:val="20"/>
                <w:szCs w:val="20"/>
                <w:lang w:val="en-GB"/>
              </w:rPr>
              <w:t xml:space="preserve"> </w:t>
            </w:r>
            <w:r w:rsidRPr="00156B9D">
              <w:rPr>
                <w:rFonts w:eastAsia="Calibri"/>
                <w:bCs/>
                <w:sz w:val="20"/>
                <w:szCs w:val="20"/>
                <w:lang w:val="en-GB"/>
              </w:rPr>
              <w:t>1</w:t>
            </w:r>
            <w:r w:rsidR="00BC28A4">
              <w:rPr>
                <w:rFonts w:eastAsia="Calibri"/>
                <w:bCs/>
                <w:sz w:val="20"/>
                <w:szCs w:val="20"/>
                <w:lang w:val="en-GB"/>
              </w:rPr>
              <w:t>,</w:t>
            </w:r>
            <w:r w:rsidRPr="00156B9D">
              <w:rPr>
                <w:rFonts w:eastAsia="Calibri"/>
                <w:bCs/>
                <w:sz w:val="20"/>
                <w:szCs w:val="20"/>
                <w:lang w:val="en-GB"/>
              </w:rPr>
              <w:t>078</w:t>
            </w:r>
          </w:p>
          <w:p w14:paraId="1461E107" w14:textId="77777777" w:rsidR="0059376D" w:rsidRPr="00156B9D" w:rsidRDefault="0059376D" w:rsidP="00EE5CD5">
            <w:pPr>
              <w:pStyle w:val="NormalWeb"/>
              <w:spacing w:before="0" w:beforeAutospacing="0" w:after="0" w:afterAutospacing="0"/>
              <w:jc w:val="both"/>
              <w:rPr>
                <w:rFonts w:eastAsia="Calibri"/>
                <w:bCs/>
                <w:sz w:val="20"/>
                <w:szCs w:val="20"/>
                <w:lang w:val="en-GB"/>
              </w:rPr>
            </w:pPr>
            <w:r w:rsidRPr="00156B9D">
              <w:rPr>
                <w:b/>
                <w:sz w:val="20"/>
                <w:szCs w:val="20"/>
                <w:lang w:val="en-GB"/>
              </w:rPr>
              <w:t>Source:</w:t>
            </w:r>
            <w:r w:rsidRPr="00156B9D">
              <w:rPr>
                <w:bCs/>
                <w:sz w:val="20"/>
                <w:szCs w:val="20"/>
                <w:lang w:val="en-GB"/>
              </w:rPr>
              <w:t xml:space="preserve">  National Agency for Youth Volunteerism</w:t>
            </w:r>
          </w:p>
          <w:p w14:paraId="0A0297C6" w14:textId="566F9777" w:rsidR="0059376D" w:rsidRPr="00156B9D" w:rsidRDefault="0059376D" w:rsidP="00EE5CD5">
            <w:pPr>
              <w:pStyle w:val="NormalWeb"/>
              <w:spacing w:before="0" w:beforeAutospacing="0" w:after="0" w:afterAutospacing="0"/>
              <w:jc w:val="both"/>
              <w:rPr>
                <w:i/>
                <w:iCs/>
                <w:lang w:val="en-GB"/>
              </w:rPr>
            </w:pPr>
            <w:r w:rsidRPr="00156B9D">
              <w:rPr>
                <w:b/>
                <w:sz w:val="20"/>
                <w:szCs w:val="20"/>
                <w:lang w:val="en-GB"/>
              </w:rPr>
              <w:t>Frequency:</w:t>
            </w:r>
            <w:r w:rsidRPr="00156B9D">
              <w:rPr>
                <w:bCs/>
                <w:sz w:val="20"/>
                <w:szCs w:val="20"/>
                <w:lang w:val="en-GB"/>
              </w:rPr>
              <w:t xml:space="preserve"> Annual</w:t>
            </w:r>
            <w:bookmarkEnd w:id="9"/>
          </w:p>
        </w:tc>
        <w:tc>
          <w:tcPr>
            <w:tcW w:w="2552" w:type="dxa"/>
            <w:vMerge/>
          </w:tcPr>
          <w:p w14:paraId="20852C52" w14:textId="77777777" w:rsidR="0059376D" w:rsidRPr="00156B9D" w:rsidRDefault="0059376D" w:rsidP="00EE5CD5">
            <w:pPr>
              <w:jc w:val="both"/>
              <w:rPr>
                <w:lang w:val="en-GB"/>
              </w:rPr>
            </w:pPr>
          </w:p>
        </w:tc>
        <w:tc>
          <w:tcPr>
            <w:tcW w:w="1559" w:type="dxa"/>
            <w:vMerge/>
          </w:tcPr>
          <w:p w14:paraId="300211C5" w14:textId="77777777" w:rsidR="0059376D" w:rsidRPr="00156B9D" w:rsidRDefault="0059376D" w:rsidP="00EE5CD5">
            <w:pPr>
              <w:jc w:val="both"/>
              <w:rPr>
                <w:lang w:val="en-GB"/>
              </w:rPr>
            </w:pPr>
          </w:p>
        </w:tc>
      </w:tr>
      <w:tr w:rsidR="0059376D" w:rsidRPr="00156B9D" w14:paraId="184E9FA3" w14:textId="77777777" w:rsidTr="0059376D">
        <w:trPr>
          <w:trHeight w:val="300"/>
        </w:trPr>
        <w:tc>
          <w:tcPr>
            <w:tcW w:w="3545" w:type="dxa"/>
            <w:vMerge/>
          </w:tcPr>
          <w:p w14:paraId="2615B983" w14:textId="77777777" w:rsidR="0059376D" w:rsidRPr="00156B9D" w:rsidRDefault="0059376D" w:rsidP="00EE5CD5">
            <w:pPr>
              <w:jc w:val="both"/>
              <w:rPr>
                <w:lang w:val="en-GB"/>
              </w:rPr>
            </w:pPr>
          </w:p>
        </w:tc>
        <w:tc>
          <w:tcPr>
            <w:tcW w:w="2835" w:type="dxa"/>
            <w:vMerge/>
          </w:tcPr>
          <w:p w14:paraId="2A7AAC3C" w14:textId="77777777" w:rsidR="0059376D" w:rsidRPr="00156B9D" w:rsidRDefault="0059376D" w:rsidP="00EE5CD5">
            <w:pPr>
              <w:jc w:val="both"/>
              <w:rPr>
                <w:lang w:val="en-GB"/>
              </w:rPr>
            </w:pPr>
          </w:p>
        </w:tc>
        <w:tc>
          <w:tcPr>
            <w:tcW w:w="4819" w:type="dxa"/>
            <w:shd w:val="clear" w:color="auto" w:fill="auto"/>
          </w:tcPr>
          <w:p w14:paraId="3F2E44E0" w14:textId="1F58C4EE" w:rsidR="0059376D" w:rsidRPr="00156B9D" w:rsidRDefault="0059376D" w:rsidP="00EE5CD5">
            <w:pPr>
              <w:jc w:val="both"/>
              <w:rPr>
                <w:b/>
                <w:bCs/>
                <w:lang w:val="en-GB"/>
              </w:rPr>
            </w:pPr>
            <w:r w:rsidRPr="00156B9D">
              <w:rPr>
                <w:b/>
                <w:bCs/>
                <w:lang w:val="en-GB"/>
              </w:rPr>
              <w:t>Output 1.3: Institutions responsible for human security and targeted communities</w:t>
            </w:r>
            <w:r w:rsidR="00EF67A6">
              <w:rPr>
                <w:b/>
                <w:bCs/>
                <w:lang w:val="en-GB"/>
              </w:rPr>
              <w:t>,</w:t>
            </w:r>
            <w:r w:rsidRPr="00156B9D">
              <w:rPr>
                <w:b/>
                <w:bCs/>
                <w:lang w:val="en-GB"/>
              </w:rPr>
              <w:t xml:space="preserve"> including in border areas</w:t>
            </w:r>
            <w:r w:rsidR="00EF67A6">
              <w:rPr>
                <w:b/>
                <w:bCs/>
                <w:lang w:val="en-GB"/>
              </w:rPr>
              <w:t>,</w:t>
            </w:r>
            <w:r w:rsidRPr="00156B9D">
              <w:rPr>
                <w:b/>
                <w:bCs/>
                <w:lang w:val="en-GB"/>
              </w:rPr>
              <w:t xml:space="preserve"> have adequate capacities to mitigate security risks and vulnerability.</w:t>
            </w:r>
          </w:p>
          <w:p w14:paraId="6D151F5D" w14:textId="77777777" w:rsidR="0059376D" w:rsidRPr="00156B9D" w:rsidRDefault="0059376D" w:rsidP="00EE5CD5">
            <w:pPr>
              <w:jc w:val="both"/>
              <w:rPr>
                <w:bCs/>
                <w:lang w:val="en-GB"/>
              </w:rPr>
            </w:pPr>
          </w:p>
          <w:p w14:paraId="5E611264" w14:textId="037DDE64" w:rsidR="0059376D" w:rsidRPr="00156B9D" w:rsidRDefault="0059376D" w:rsidP="00EE5CD5">
            <w:pPr>
              <w:jc w:val="both"/>
              <w:rPr>
                <w:bCs/>
                <w:lang w:val="en-GB"/>
              </w:rPr>
            </w:pPr>
            <w:r w:rsidRPr="00156B9D">
              <w:rPr>
                <w:b/>
                <w:lang w:val="en-GB"/>
              </w:rPr>
              <w:t>Indicator 1.3.1</w:t>
            </w:r>
            <w:r w:rsidRPr="00156B9D">
              <w:rPr>
                <w:bCs/>
                <w:lang w:val="en-GB"/>
              </w:rPr>
              <w:t>: Number of national institutions with the capacities to improve a) community security, and b) conflict, risk and disaster management</w:t>
            </w:r>
            <w:r w:rsidR="006D1E65">
              <w:rPr>
                <w:bCs/>
                <w:color w:val="000000" w:themeColor="text1"/>
                <w:lang w:val="en-GB"/>
              </w:rPr>
              <w:t>.</w:t>
            </w:r>
          </w:p>
          <w:p w14:paraId="4D0B7DD7" w14:textId="7442416E" w:rsidR="0059376D" w:rsidRPr="00156B9D" w:rsidRDefault="0059376D" w:rsidP="00EE5CD5">
            <w:pPr>
              <w:jc w:val="both"/>
              <w:rPr>
                <w:bCs/>
                <w:lang w:val="en-GB"/>
              </w:rPr>
            </w:pPr>
            <w:r w:rsidRPr="00156B9D">
              <w:rPr>
                <w:b/>
                <w:lang w:val="en-GB"/>
              </w:rPr>
              <w:t>Baseline</w:t>
            </w:r>
            <w:r w:rsidR="006D1E65">
              <w:rPr>
                <w:b/>
                <w:lang w:val="en-GB"/>
              </w:rPr>
              <w:t xml:space="preserve"> </w:t>
            </w:r>
            <w:r w:rsidRPr="00156B9D">
              <w:rPr>
                <w:b/>
                <w:lang w:val="en-GB"/>
              </w:rPr>
              <w:t>(2022)</w:t>
            </w:r>
            <w:r w:rsidRPr="00156B9D">
              <w:rPr>
                <w:bCs/>
                <w:lang w:val="en-GB"/>
              </w:rPr>
              <w:t>: a) </w:t>
            </w:r>
            <w:r w:rsidR="00B41B38" w:rsidRPr="00156B9D">
              <w:rPr>
                <w:bCs/>
                <w:lang w:val="en-GB"/>
              </w:rPr>
              <w:t>2; b</w:t>
            </w:r>
            <w:r w:rsidRPr="00156B9D">
              <w:rPr>
                <w:bCs/>
                <w:lang w:val="en-GB"/>
              </w:rPr>
              <w:t xml:space="preserve">) 3                       </w:t>
            </w:r>
          </w:p>
          <w:p w14:paraId="4CE77014" w14:textId="02A6DAE0" w:rsidR="0059376D" w:rsidRPr="00156B9D" w:rsidRDefault="0059376D" w:rsidP="00EE5CD5">
            <w:pPr>
              <w:jc w:val="both"/>
              <w:rPr>
                <w:bCs/>
                <w:lang w:val="en-GB"/>
              </w:rPr>
            </w:pPr>
            <w:r w:rsidRPr="00156B9D">
              <w:rPr>
                <w:b/>
                <w:lang w:val="en-GB"/>
              </w:rPr>
              <w:t>Target</w:t>
            </w:r>
            <w:r w:rsidR="006D1E65">
              <w:rPr>
                <w:b/>
                <w:lang w:val="en-GB"/>
              </w:rPr>
              <w:t xml:space="preserve"> </w:t>
            </w:r>
            <w:r w:rsidRPr="00156B9D">
              <w:rPr>
                <w:b/>
                <w:lang w:val="en-GB"/>
              </w:rPr>
              <w:t>(2028)</w:t>
            </w:r>
            <w:r w:rsidRPr="00156B9D">
              <w:rPr>
                <w:bCs/>
                <w:lang w:val="en-GB"/>
              </w:rPr>
              <w:t>: 8 a) </w:t>
            </w:r>
            <w:r w:rsidR="00B41B38" w:rsidRPr="00156B9D">
              <w:rPr>
                <w:bCs/>
                <w:lang w:val="en-GB"/>
              </w:rPr>
              <w:t>3; b</w:t>
            </w:r>
            <w:r w:rsidRPr="00156B9D">
              <w:rPr>
                <w:bCs/>
                <w:lang w:val="en-GB"/>
              </w:rPr>
              <w:t>) 5</w:t>
            </w:r>
          </w:p>
          <w:p w14:paraId="65C39A56" w14:textId="77777777" w:rsidR="0059376D" w:rsidRPr="00156B9D" w:rsidRDefault="0059376D" w:rsidP="00EE5CD5">
            <w:pPr>
              <w:jc w:val="both"/>
              <w:rPr>
                <w:bCs/>
                <w:lang w:val="en-GB"/>
              </w:rPr>
            </w:pPr>
            <w:r w:rsidRPr="00156B9D">
              <w:rPr>
                <w:b/>
                <w:lang w:val="en-GB"/>
              </w:rPr>
              <w:lastRenderedPageBreak/>
              <w:t>Source</w:t>
            </w:r>
            <w:r w:rsidRPr="00156B9D">
              <w:rPr>
                <w:bCs/>
                <w:lang w:val="en-GB"/>
              </w:rPr>
              <w:t xml:space="preserve">: Ministries of Planning, Security and Decentralization </w:t>
            </w:r>
          </w:p>
          <w:p w14:paraId="1C04C4BD" w14:textId="77777777" w:rsidR="0059376D" w:rsidRPr="00156B9D" w:rsidRDefault="0059376D" w:rsidP="00EE5CD5">
            <w:pPr>
              <w:jc w:val="both"/>
              <w:rPr>
                <w:bCs/>
                <w:lang w:val="en-GB"/>
              </w:rPr>
            </w:pPr>
            <w:r w:rsidRPr="00156B9D">
              <w:rPr>
                <w:b/>
                <w:lang w:val="en-GB"/>
              </w:rPr>
              <w:t>Frequency</w:t>
            </w:r>
            <w:r w:rsidRPr="00156B9D">
              <w:rPr>
                <w:bCs/>
                <w:lang w:val="en-GB"/>
              </w:rPr>
              <w:t>: Annual</w:t>
            </w:r>
          </w:p>
          <w:p w14:paraId="7DFC44EC" w14:textId="77777777" w:rsidR="0059376D" w:rsidRPr="00156B9D" w:rsidRDefault="0059376D" w:rsidP="00EE5CD5">
            <w:pPr>
              <w:jc w:val="both"/>
              <w:rPr>
                <w:bCs/>
                <w:lang w:val="en-GB"/>
              </w:rPr>
            </w:pPr>
          </w:p>
          <w:p w14:paraId="51ED0FC3" w14:textId="1D91CE0A" w:rsidR="0059376D" w:rsidRPr="00156B9D" w:rsidRDefault="0059376D" w:rsidP="00EE5CD5">
            <w:pPr>
              <w:jc w:val="both"/>
              <w:rPr>
                <w:lang w:val="en-GB"/>
              </w:rPr>
            </w:pPr>
            <w:r w:rsidRPr="00156B9D">
              <w:rPr>
                <w:b/>
                <w:bCs/>
                <w:lang w:val="en-GB"/>
              </w:rPr>
              <w:t xml:space="preserve">Indicator 1.3.2: </w:t>
            </w:r>
            <w:r w:rsidRPr="00156B9D">
              <w:rPr>
                <w:lang w:val="en-GB"/>
              </w:rPr>
              <w:t>Number of border localities benefiting from the implementation of action plans for peacebuilding, national reconciliation</w:t>
            </w:r>
            <w:r w:rsidR="00EF67A6">
              <w:rPr>
                <w:lang w:val="en-GB"/>
              </w:rPr>
              <w:t>,</w:t>
            </w:r>
            <w:r w:rsidRPr="00156B9D">
              <w:rPr>
                <w:lang w:val="en-GB"/>
              </w:rPr>
              <w:t xml:space="preserve"> the economic empowerment of women and youth</w:t>
            </w:r>
            <w:r w:rsidR="00EF67A6" w:rsidRPr="00156B9D">
              <w:rPr>
                <w:lang w:val="en-GB"/>
              </w:rPr>
              <w:t xml:space="preserve"> and the prevention of violent extremism</w:t>
            </w:r>
            <w:r w:rsidRPr="00156B9D">
              <w:rPr>
                <w:lang w:val="en-GB"/>
              </w:rPr>
              <w:t>.</w:t>
            </w:r>
          </w:p>
          <w:p w14:paraId="0E8299C3" w14:textId="7DF4DD3A" w:rsidR="0059376D" w:rsidRPr="00156B9D" w:rsidRDefault="0059376D" w:rsidP="00EE5CD5">
            <w:pPr>
              <w:jc w:val="both"/>
              <w:rPr>
                <w:b/>
                <w:bCs/>
                <w:lang w:val="en-GB"/>
              </w:rPr>
            </w:pPr>
            <w:r w:rsidRPr="00156B9D">
              <w:rPr>
                <w:b/>
                <w:bCs/>
                <w:lang w:val="en-GB"/>
              </w:rPr>
              <w:t>Baseline</w:t>
            </w:r>
            <w:r w:rsidR="00BC28A4">
              <w:rPr>
                <w:b/>
                <w:bCs/>
                <w:lang w:val="en-GB"/>
              </w:rPr>
              <w:t xml:space="preserve"> </w:t>
            </w:r>
            <w:r w:rsidRPr="00156B9D">
              <w:rPr>
                <w:b/>
                <w:lang w:val="en-GB"/>
              </w:rPr>
              <w:t>(2022)</w:t>
            </w:r>
            <w:r w:rsidRPr="00156B9D">
              <w:rPr>
                <w:b/>
                <w:bCs/>
                <w:lang w:val="en-GB"/>
              </w:rPr>
              <w:t>:</w:t>
            </w:r>
            <w:r w:rsidR="00BC28A4">
              <w:rPr>
                <w:b/>
                <w:bCs/>
                <w:lang w:val="en-GB"/>
              </w:rPr>
              <w:t xml:space="preserve"> </w:t>
            </w:r>
            <w:r w:rsidRPr="00156B9D">
              <w:rPr>
                <w:lang w:val="en-GB"/>
              </w:rPr>
              <w:t>3</w:t>
            </w:r>
            <w:r w:rsidRPr="00156B9D">
              <w:rPr>
                <w:b/>
                <w:bCs/>
                <w:lang w:val="en-GB"/>
              </w:rPr>
              <w:t xml:space="preserve"> </w:t>
            </w:r>
          </w:p>
          <w:p w14:paraId="43519339" w14:textId="6591B691" w:rsidR="0059376D" w:rsidRPr="00156B9D" w:rsidRDefault="0059376D" w:rsidP="00EE5CD5">
            <w:pPr>
              <w:jc w:val="both"/>
              <w:rPr>
                <w:b/>
                <w:bCs/>
                <w:lang w:val="en-GB"/>
              </w:rPr>
            </w:pPr>
            <w:r w:rsidRPr="00156B9D">
              <w:rPr>
                <w:b/>
                <w:bCs/>
                <w:lang w:val="en-GB"/>
              </w:rPr>
              <w:t>Target</w:t>
            </w:r>
            <w:r w:rsidR="00BC28A4">
              <w:rPr>
                <w:b/>
                <w:bCs/>
                <w:lang w:val="en-GB"/>
              </w:rPr>
              <w:t xml:space="preserve"> </w:t>
            </w:r>
            <w:r w:rsidRPr="00156B9D">
              <w:rPr>
                <w:b/>
                <w:lang w:val="en-GB"/>
              </w:rPr>
              <w:t>(2028)</w:t>
            </w:r>
            <w:r w:rsidRPr="00156B9D">
              <w:rPr>
                <w:b/>
                <w:bCs/>
                <w:lang w:val="en-GB"/>
              </w:rPr>
              <w:t>:</w:t>
            </w:r>
            <w:r w:rsidR="00BC28A4">
              <w:rPr>
                <w:b/>
                <w:bCs/>
                <w:lang w:val="en-GB"/>
              </w:rPr>
              <w:t xml:space="preserve"> </w:t>
            </w:r>
            <w:r w:rsidRPr="00156B9D">
              <w:rPr>
                <w:lang w:val="en-GB"/>
              </w:rPr>
              <w:t>10</w:t>
            </w:r>
            <w:r w:rsidRPr="00156B9D">
              <w:rPr>
                <w:b/>
                <w:bCs/>
                <w:lang w:val="en-GB"/>
              </w:rPr>
              <w:t xml:space="preserve"> </w:t>
            </w:r>
          </w:p>
          <w:p w14:paraId="2B89D331" w14:textId="03D707F3" w:rsidR="0059376D" w:rsidRPr="00156B9D" w:rsidRDefault="0059376D" w:rsidP="00EE5CD5">
            <w:pPr>
              <w:jc w:val="both"/>
              <w:rPr>
                <w:lang w:val="en-GB"/>
              </w:rPr>
            </w:pPr>
            <w:r w:rsidRPr="00156B9D">
              <w:rPr>
                <w:b/>
                <w:bCs/>
                <w:lang w:val="en-GB"/>
              </w:rPr>
              <w:t xml:space="preserve">Source: </w:t>
            </w:r>
            <w:r w:rsidRPr="00156B9D">
              <w:rPr>
                <w:lang w:val="en-GB"/>
              </w:rPr>
              <w:t xml:space="preserve">Ministry of </w:t>
            </w:r>
            <w:r w:rsidR="00B819C0">
              <w:rPr>
                <w:lang w:val="en-GB"/>
              </w:rPr>
              <w:t>D</w:t>
            </w:r>
            <w:r w:rsidRPr="00156B9D">
              <w:rPr>
                <w:lang w:val="en-GB"/>
              </w:rPr>
              <w:t xml:space="preserve">ecentralization </w:t>
            </w:r>
          </w:p>
          <w:p w14:paraId="6177BE57" w14:textId="77777777" w:rsidR="0059376D" w:rsidRPr="00156B9D" w:rsidRDefault="0059376D" w:rsidP="00EE5CD5">
            <w:pPr>
              <w:jc w:val="both"/>
              <w:rPr>
                <w:lang w:val="en-GB"/>
              </w:rPr>
            </w:pPr>
            <w:r w:rsidRPr="00156B9D">
              <w:rPr>
                <w:b/>
                <w:bCs/>
                <w:lang w:val="en-GB"/>
              </w:rPr>
              <w:t xml:space="preserve">Frequency: </w:t>
            </w:r>
            <w:r w:rsidRPr="00156B9D">
              <w:rPr>
                <w:lang w:val="en-GB"/>
              </w:rPr>
              <w:t>Annual</w:t>
            </w:r>
          </w:p>
        </w:tc>
        <w:tc>
          <w:tcPr>
            <w:tcW w:w="2552" w:type="dxa"/>
            <w:vMerge/>
          </w:tcPr>
          <w:p w14:paraId="49CDEAA5" w14:textId="77777777" w:rsidR="0059376D" w:rsidRPr="00156B9D" w:rsidRDefault="0059376D" w:rsidP="00EE5CD5">
            <w:pPr>
              <w:jc w:val="both"/>
              <w:rPr>
                <w:lang w:val="en-GB"/>
              </w:rPr>
            </w:pPr>
          </w:p>
        </w:tc>
        <w:tc>
          <w:tcPr>
            <w:tcW w:w="1559" w:type="dxa"/>
            <w:vMerge/>
          </w:tcPr>
          <w:p w14:paraId="7BAF8A03" w14:textId="77777777" w:rsidR="0059376D" w:rsidRPr="00156B9D" w:rsidRDefault="0059376D" w:rsidP="00EE5CD5">
            <w:pPr>
              <w:jc w:val="both"/>
              <w:rPr>
                <w:lang w:val="en-GB"/>
              </w:rPr>
            </w:pPr>
          </w:p>
        </w:tc>
      </w:tr>
      <w:tr w:rsidR="0059376D" w:rsidRPr="00156B9D" w14:paraId="3A6F29B9" w14:textId="77777777" w:rsidTr="0059376D">
        <w:trPr>
          <w:trHeight w:val="300"/>
        </w:trPr>
        <w:tc>
          <w:tcPr>
            <w:tcW w:w="3545" w:type="dxa"/>
            <w:vMerge/>
          </w:tcPr>
          <w:p w14:paraId="1B4EDE26" w14:textId="77777777" w:rsidR="0059376D" w:rsidRPr="00156B9D" w:rsidRDefault="0059376D" w:rsidP="00EE5CD5">
            <w:pPr>
              <w:jc w:val="both"/>
              <w:rPr>
                <w:lang w:val="en-GB"/>
              </w:rPr>
            </w:pPr>
          </w:p>
        </w:tc>
        <w:tc>
          <w:tcPr>
            <w:tcW w:w="2835" w:type="dxa"/>
            <w:vMerge/>
          </w:tcPr>
          <w:p w14:paraId="3BAD188B" w14:textId="77777777" w:rsidR="0059376D" w:rsidRPr="00156B9D" w:rsidRDefault="0059376D" w:rsidP="00EE5CD5">
            <w:pPr>
              <w:jc w:val="both"/>
              <w:rPr>
                <w:lang w:val="en-GB"/>
              </w:rPr>
            </w:pPr>
          </w:p>
        </w:tc>
        <w:tc>
          <w:tcPr>
            <w:tcW w:w="4819" w:type="dxa"/>
            <w:shd w:val="clear" w:color="auto" w:fill="auto"/>
          </w:tcPr>
          <w:p w14:paraId="7A9363EF" w14:textId="77777777" w:rsidR="0059376D" w:rsidRPr="003732A0" w:rsidRDefault="0059376D" w:rsidP="00EE5CD5">
            <w:pPr>
              <w:pStyle w:val="pf0"/>
              <w:jc w:val="both"/>
              <w:rPr>
                <w:rFonts w:asciiTheme="majorBidi" w:hAnsiTheme="majorBidi" w:cstheme="majorBidi"/>
                <w:b/>
                <w:bCs/>
                <w:sz w:val="20"/>
                <w:szCs w:val="20"/>
                <w:lang w:val="en-GB"/>
              </w:rPr>
            </w:pPr>
            <w:r w:rsidRPr="00156B9D">
              <w:rPr>
                <w:b/>
                <w:bCs/>
                <w:sz w:val="20"/>
                <w:szCs w:val="20"/>
                <w:lang w:val="en-GB"/>
              </w:rPr>
              <w:t>Output 1.4</w:t>
            </w:r>
            <w:r w:rsidRPr="003732A0">
              <w:rPr>
                <w:rFonts w:asciiTheme="majorBidi" w:hAnsiTheme="majorBidi" w:cstheme="majorBidi"/>
                <w:b/>
                <w:bCs/>
                <w:sz w:val="20"/>
                <w:szCs w:val="20"/>
                <w:lang w:val="en-GB"/>
              </w:rPr>
              <w:t xml:space="preserve">: </w:t>
            </w:r>
            <w:r w:rsidRPr="003732A0">
              <w:rPr>
                <w:rStyle w:val="cf01"/>
                <w:rFonts w:asciiTheme="majorBidi" w:hAnsiTheme="majorBidi" w:cstheme="majorBidi"/>
                <w:b/>
                <w:bCs/>
                <w:sz w:val="20"/>
                <w:szCs w:val="20"/>
                <w:lang w:val="en-GB"/>
              </w:rPr>
              <w:t xml:space="preserve">Institutional capacities strengthened to ensure inclusion, transparency, accountability and peace. </w:t>
            </w:r>
          </w:p>
          <w:p w14:paraId="036DC70E" w14:textId="7D9A0F06" w:rsidR="0059376D" w:rsidRPr="00156B9D" w:rsidRDefault="0059376D" w:rsidP="00EE5CD5">
            <w:pPr>
              <w:pStyle w:val="Default"/>
              <w:jc w:val="both"/>
              <w:rPr>
                <w:color w:val="auto"/>
                <w:sz w:val="20"/>
                <w:szCs w:val="20"/>
              </w:rPr>
            </w:pPr>
            <w:r w:rsidRPr="00156B9D">
              <w:rPr>
                <w:b/>
                <w:bCs/>
                <w:color w:val="auto"/>
                <w:sz w:val="20"/>
                <w:szCs w:val="20"/>
              </w:rPr>
              <w:t>Indicator 1.4.1:</w:t>
            </w:r>
            <w:r w:rsidRPr="00156B9D">
              <w:rPr>
                <w:color w:val="auto"/>
                <w:sz w:val="20"/>
                <w:szCs w:val="20"/>
              </w:rPr>
              <w:t xml:space="preserve"> Existence (a) and implementation (b) of a gender-responsive policy to </w:t>
            </w:r>
            <w:r w:rsidR="00EF67A6">
              <w:rPr>
                <w:color w:val="auto"/>
                <w:sz w:val="20"/>
                <w:szCs w:val="20"/>
              </w:rPr>
              <w:t>increase</w:t>
            </w:r>
            <w:r w:rsidR="00EF67A6" w:rsidRPr="00156B9D">
              <w:rPr>
                <w:color w:val="auto"/>
                <w:sz w:val="20"/>
                <w:szCs w:val="20"/>
              </w:rPr>
              <w:t xml:space="preserve"> </w:t>
            </w:r>
            <w:r w:rsidRPr="00156B9D">
              <w:rPr>
                <w:color w:val="auto"/>
                <w:sz w:val="20"/>
                <w:szCs w:val="20"/>
              </w:rPr>
              <w:t>transparency and accountability in democratic processes.</w:t>
            </w:r>
          </w:p>
          <w:p w14:paraId="257A280C" w14:textId="17982852" w:rsidR="0059376D" w:rsidRPr="00156B9D" w:rsidRDefault="0059376D" w:rsidP="00EE5CD5">
            <w:pPr>
              <w:pStyle w:val="Default"/>
              <w:jc w:val="both"/>
              <w:rPr>
                <w:color w:val="auto"/>
                <w:sz w:val="20"/>
                <w:szCs w:val="20"/>
              </w:rPr>
            </w:pPr>
            <w:r w:rsidRPr="00156B9D">
              <w:rPr>
                <w:b/>
                <w:bCs/>
                <w:color w:val="auto"/>
                <w:sz w:val="20"/>
                <w:szCs w:val="20"/>
              </w:rPr>
              <w:t>Baseline</w:t>
            </w:r>
            <w:r w:rsidR="00B819C0">
              <w:rPr>
                <w:b/>
                <w:bCs/>
                <w:color w:val="auto"/>
                <w:sz w:val="20"/>
                <w:szCs w:val="20"/>
              </w:rPr>
              <w:t xml:space="preserve"> </w:t>
            </w:r>
            <w:r w:rsidRPr="00156B9D">
              <w:rPr>
                <w:b/>
                <w:color w:val="auto"/>
                <w:sz w:val="20"/>
                <w:szCs w:val="20"/>
              </w:rPr>
              <w:t>(2022)</w:t>
            </w:r>
            <w:r w:rsidRPr="00156B9D">
              <w:rPr>
                <w:bCs/>
                <w:color w:val="auto"/>
                <w:sz w:val="20"/>
                <w:szCs w:val="20"/>
              </w:rPr>
              <w:t>:</w:t>
            </w:r>
            <w:r w:rsidRPr="00156B9D">
              <w:rPr>
                <w:color w:val="auto"/>
                <w:sz w:val="20"/>
                <w:szCs w:val="20"/>
              </w:rPr>
              <w:t xml:space="preserve"> </w:t>
            </w:r>
          </w:p>
          <w:p w14:paraId="5A5F2488" w14:textId="4409A8E1" w:rsidR="0059376D" w:rsidRPr="00156B9D" w:rsidRDefault="0059376D" w:rsidP="00EE5CD5">
            <w:pPr>
              <w:pStyle w:val="Default"/>
              <w:jc w:val="both"/>
              <w:rPr>
                <w:color w:val="auto"/>
                <w:sz w:val="20"/>
                <w:szCs w:val="20"/>
              </w:rPr>
            </w:pPr>
            <w:r w:rsidRPr="00156B9D">
              <w:rPr>
                <w:color w:val="auto"/>
                <w:sz w:val="20"/>
                <w:szCs w:val="20"/>
              </w:rPr>
              <w:t>a) No, b) No</w:t>
            </w:r>
          </w:p>
          <w:p w14:paraId="0F095CE3" w14:textId="185403F0" w:rsidR="0059376D" w:rsidRPr="00156B9D" w:rsidRDefault="0059376D" w:rsidP="00EE5CD5">
            <w:pPr>
              <w:pStyle w:val="Default"/>
              <w:jc w:val="both"/>
              <w:rPr>
                <w:color w:val="auto"/>
                <w:sz w:val="20"/>
                <w:szCs w:val="20"/>
              </w:rPr>
            </w:pPr>
            <w:r w:rsidRPr="00156B9D">
              <w:rPr>
                <w:b/>
                <w:bCs/>
                <w:color w:val="auto"/>
                <w:sz w:val="20"/>
                <w:szCs w:val="20"/>
              </w:rPr>
              <w:t>Target</w:t>
            </w:r>
            <w:r w:rsidR="00B819C0">
              <w:rPr>
                <w:b/>
                <w:bCs/>
                <w:color w:val="auto"/>
                <w:sz w:val="20"/>
                <w:szCs w:val="20"/>
              </w:rPr>
              <w:t xml:space="preserve"> </w:t>
            </w:r>
            <w:r w:rsidRPr="00156B9D">
              <w:rPr>
                <w:b/>
                <w:color w:val="auto"/>
                <w:sz w:val="20"/>
                <w:szCs w:val="20"/>
              </w:rPr>
              <w:t>(2028)</w:t>
            </w:r>
            <w:r w:rsidRPr="00156B9D">
              <w:rPr>
                <w:color w:val="auto"/>
                <w:sz w:val="20"/>
                <w:szCs w:val="20"/>
              </w:rPr>
              <w:t xml:space="preserve">: </w:t>
            </w:r>
          </w:p>
          <w:p w14:paraId="1267CC27" w14:textId="5F64787F" w:rsidR="005C2A00" w:rsidRPr="00156B9D" w:rsidRDefault="005C2A00" w:rsidP="005C2A00">
            <w:pPr>
              <w:pStyle w:val="Default"/>
              <w:jc w:val="both"/>
              <w:rPr>
                <w:color w:val="auto"/>
                <w:sz w:val="20"/>
                <w:szCs w:val="20"/>
              </w:rPr>
            </w:pPr>
            <w:r w:rsidRPr="005C2A00">
              <w:rPr>
                <w:sz w:val="20"/>
                <w:szCs w:val="20"/>
              </w:rPr>
              <w:t>a)</w:t>
            </w:r>
            <w:r>
              <w:rPr>
                <w:sz w:val="20"/>
                <w:szCs w:val="20"/>
              </w:rPr>
              <w:t xml:space="preserve"> </w:t>
            </w:r>
            <w:r w:rsidR="0059376D" w:rsidRPr="00156B9D">
              <w:rPr>
                <w:sz w:val="20"/>
                <w:szCs w:val="20"/>
              </w:rPr>
              <w:t>Yes, b): Yes</w:t>
            </w:r>
          </w:p>
          <w:p w14:paraId="44B59070" w14:textId="77777777" w:rsidR="0059376D" w:rsidRPr="00156B9D" w:rsidRDefault="0059376D" w:rsidP="00EE5CD5">
            <w:pPr>
              <w:pStyle w:val="Default"/>
              <w:jc w:val="both"/>
              <w:rPr>
                <w:color w:val="auto"/>
                <w:sz w:val="20"/>
                <w:szCs w:val="20"/>
              </w:rPr>
            </w:pPr>
            <w:r w:rsidRPr="00156B9D">
              <w:rPr>
                <w:b/>
                <w:bCs/>
                <w:color w:val="auto"/>
                <w:sz w:val="20"/>
                <w:szCs w:val="20"/>
              </w:rPr>
              <w:t xml:space="preserve">Source: </w:t>
            </w:r>
            <w:r w:rsidRPr="00156B9D">
              <w:rPr>
                <w:color w:val="auto"/>
                <w:sz w:val="20"/>
                <w:szCs w:val="20"/>
              </w:rPr>
              <w:t xml:space="preserve"> Parliament </w:t>
            </w:r>
          </w:p>
          <w:p w14:paraId="047304D0" w14:textId="77777777" w:rsidR="0059376D" w:rsidRPr="00156B9D" w:rsidRDefault="0059376D" w:rsidP="00EE5CD5">
            <w:pPr>
              <w:pStyle w:val="Default"/>
              <w:jc w:val="both"/>
              <w:rPr>
                <w:color w:val="auto"/>
                <w:sz w:val="20"/>
                <w:szCs w:val="20"/>
              </w:rPr>
            </w:pPr>
            <w:r w:rsidRPr="00156B9D">
              <w:rPr>
                <w:b/>
                <w:bCs/>
                <w:color w:val="auto"/>
                <w:sz w:val="20"/>
                <w:szCs w:val="20"/>
              </w:rPr>
              <w:t>Frequency</w:t>
            </w:r>
            <w:r w:rsidRPr="00156B9D">
              <w:rPr>
                <w:color w:val="auto"/>
                <w:sz w:val="20"/>
                <w:szCs w:val="20"/>
              </w:rPr>
              <w:t xml:space="preserve">: Annual </w:t>
            </w:r>
          </w:p>
          <w:p w14:paraId="4B8C5729" w14:textId="77777777" w:rsidR="0059376D" w:rsidRPr="00156B9D" w:rsidRDefault="0059376D" w:rsidP="00EE5CD5">
            <w:pPr>
              <w:pStyle w:val="Default"/>
              <w:jc w:val="both"/>
              <w:rPr>
                <w:color w:val="auto"/>
                <w:sz w:val="20"/>
                <w:szCs w:val="20"/>
              </w:rPr>
            </w:pPr>
          </w:p>
          <w:p w14:paraId="61F89131" w14:textId="77777777" w:rsidR="0059376D" w:rsidRPr="00156B9D" w:rsidRDefault="0059376D" w:rsidP="00EE5CD5">
            <w:pPr>
              <w:pStyle w:val="Default"/>
              <w:jc w:val="both"/>
              <w:rPr>
                <w:color w:val="auto"/>
                <w:sz w:val="20"/>
                <w:szCs w:val="20"/>
              </w:rPr>
            </w:pPr>
            <w:r w:rsidRPr="00156B9D">
              <w:rPr>
                <w:b/>
                <w:bCs/>
                <w:color w:val="auto"/>
                <w:sz w:val="20"/>
                <w:szCs w:val="20"/>
              </w:rPr>
              <w:t>Indicator 1.4.2:</w:t>
            </w:r>
            <w:r w:rsidRPr="00156B9D">
              <w:rPr>
                <w:color w:val="auto"/>
                <w:sz w:val="20"/>
                <w:szCs w:val="20"/>
              </w:rPr>
              <w:t xml:space="preserve"> Number of gender-responsive legal reforms, policies and strategies developed and implemented to promote participation of women, youth and people living with disabilities. </w:t>
            </w:r>
          </w:p>
          <w:p w14:paraId="17E6E1B7" w14:textId="5A9C559C" w:rsidR="0059376D" w:rsidRPr="00156B9D" w:rsidRDefault="0059376D" w:rsidP="00EE5CD5">
            <w:pPr>
              <w:pStyle w:val="Default"/>
              <w:jc w:val="both"/>
              <w:rPr>
                <w:color w:val="auto"/>
                <w:sz w:val="20"/>
                <w:szCs w:val="20"/>
              </w:rPr>
            </w:pPr>
            <w:r w:rsidRPr="00156B9D">
              <w:rPr>
                <w:b/>
                <w:bCs/>
                <w:color w:val="auto"/>
                <w:sz w:val="20"/>
                <w:szCs w:val="20"/>
              </w:rPr>
              <w:t>Baseline</w:t>
            </w:r>
            <w:r w:rsidR="002C5AE6">
              <w:rPr>
                <w:b/>
                <w:bCs/>
                <w:color w:val="auto"/>
                <w:sz w:val="20"/>
                <w:szCs w:val="20"/>
              </w:rPr>
              <w:t xml:space="preserve"> </w:t>
            </w:r>
            <w:r w:rsidRPr="00156B9D">
              <w:rPr>
                <w:b/>
                <w:color w:val="auto"/>
                <w:sz w:val="20"/>
                <w:szCs w:val="20"/>
              </w:rPr>
              <w:t>(2022)</w:t>
            </w:r>
            <w:r w:rsidRPr="00156B9D">
              <w:rPr>
                <w:b/>
                <w:bCs/>
                <w:color w:val="auto"/>
                <w:sz w:val="20"/>
                <w:szCs w:val="20"/>
              </w:rPr>
              <w:t>:</w:t>
            </w:r>
            <w:r w:rsidR="002C5AE6">
              <w:rPr>
                <w:b/>
                <w:bCs/>
                <w:color w:val="auto"/>
                <w:sz w:val="20"/>
                <w:szCs w:val="20"/>
              </w:rPr>
              <w:t xml:space="preserve"> </w:t>
            </w:r>
            <w:r w:rsidRPr="00156B9D">
              <w:rPr>
                <w:color w:val="auto"/>
                <w:sz w:val="20"/>
                <w:szCs w:val="20"/>
              </w:rPr>
              <w:t xml:space="preserve">1 </w:t>
            </w:r>
          </w:p>
          <w:p w14:paraId="0F6DE5F3" w14:textId="1E6ED58C" w:rsidR="0059376D" w:rsidRPr="00156B9D" w:rsidRDefault="0059376D" w:rsidP="00EE5CD5">
            <w:pPr>
              <w:pStyle w:val="Default"/>
              <w:jc w:val="both"/>
              <w:rPr>
                <w:color w:val="auto"/>
                <w:sz w:val="20"/>
                <w:szCs w:val="20"/>
              </w:rPr>
            </w:pPr>
            <w:r w:rsidRPr="00156B9D">
              <w:rPr>
                <w:b/>
                <w:bCs/>
                <w:color w:val="auto"/>
                <w:sz w:val="20"/>
                <w:szCs w:val="20"/>
              </w:rPr>
              <w:t>Target</w:t>
            </w:r>
            <w:r w:rsidR="002C5AE6">
              <w:rPr>
                <w:b/>
                <w:bCs/>
                <w:color w:val="auto"/>
                <w:sz w:val="20"/>
                <w:szCs w:val="20"/>
              </w:rPr>
              <w:t xml:space="preserve"> </w:t>
            </w:r>
            <w:r w:rsidRPr="00156B9D">
              <w:rPr>
                <w:b/>
                <w:color w:val="auto"/>
                <w:sz w:val="20"/>
                <w:szCs w:val="20"/>
              </w:rPr>
              <w:t>(2028)</w:t>
            </w:r>
            <w:r w:rsidRPr="00156B9D">
              <w:rPr>
                <w:b/>
                <w:bCs/>
                <w:color w:val="auto"/>
                <w:sz w:val="20"/>
                <w:szCs w:val="20"/>
              </w:rPr>
              <w:t>:</w:t>
            </w:r>
            <w:r w:rsidR="002C5AE6">
              <w:rPr>
                <w:b/>
                <w:bCs/>
                <w:color w:val="auto"/>
                <w:sz w:val="20"/>
                <w:szCs w:val="20"/>
              </w:rPr>
              <w:t xml:space="preserve"> </w:t>
            </w:r>
            <w:r w:rsidRPr="00156B9D">
              <w:rPr>
                <w:color w:val="auto"/>
                <w:sz w:val="20"/>
                <w:szCs w:val="20"/>
              </w:rPr>
              <w:t xml:space="preserve">6 </w:t>
            </w:r>
          </w:p>
          <w:p w14:paraId="061B6529" w14:textId="4B69BAD5" w:rsidR="0059376D" w:rsidRPr="00156B9D" w:rsidRDefault="0059376D" w:rsidP="00EE5CD5">
            <w:pPr>
              <w:pStyle w:val="Default"/>
              <w:jc w:val="both"/>
              <w:rPr>
                <w:color w:val="auto"/>
                <w:sz w:val="20"/>
                <w:szCs w:val="20"/>
              </w:rPr>
            </w:pPr>
            <w:r w:rsidRPr="00156B9D">
              <w:rPr>
                <w:b/>
                <w:bCs/>
                <w:color w:val="auto"/>
                <w:sz w:val="20"/>
                <w:szCs w:val="20"/>
              </w:rPr>
              <w:t>Source:</w:t>
            </w:r>
            <w:r w:rsidRPr="00156B9D">
              <w:rPr>
                <w:color w:val="auto"/>
                <w:sz w:val="20"/>
                <w:szCs w:val="20"/>
              </w:rPr>
              <w:t xml:space="preserve"> Parliament</w:t>
            </w:r>
          </w:p>
          <w:p w14:paraId="64048D1D" w14:textId="77777777" w:rsidR="0059376D" w:rsidRPr="00156B9D" w:rsidRDefault="0059376D" w:rsidP="00EE5CD5">
            <w:pPr>
              <w:pStyle w:val="Default"/>
              <w:jc w:val="both"/>
              <w:rPr>
                <w:color w:val="auto"/>
                <w:sz w:val="20"/>
                <w:szCs w:val="20"/>
              </w:rPr>
            </w:pPr>
            <w:r w:rsidRPr="00156B9D">
              <w:rPr>
                <w:b/>
                <w:bCs/>
                <w:color w:val="auto"/>
                <w:sz w:val="20"/>
                <w:szCs w:val="20"/>
              </w:rPr>
              <w:t>Frequency</w:t>
            </w:r>
            <w:r w:rsidRPr="00156B9D">
              <w:rPr>
                <w:color w:val="auto"/>
                <w:sz w:val="20"/>
                <w:szCs w:val="20"/>
              </w:rPr>
              <w:t xml:space="preserve">: Annual </w:t>
            </w:r>
          </w:p>
          <w:p w14:paraId="1DA68CB8" w14:textId="77777777" w:rsidR="0059376D" w:rsidRPr="00156B9D" w:rsidRDefault="0059376D" w:rsidP="00EE5CD5">
            <w:pPr>
              <w:pStyle w:val="Default"/>
              <w:jc w:val="both"/>
              <w:rPr>
                <w:color w:val="auto"/>
                <w:sz w:val="20"/>
                <w:szCs w:val="20"/>
              </w:rPr>
            </w:pPr>
          </w:p>
          <w:p w14:paraId="19713A00" w14:textId="32314C6E" w:rsidR="0059376D" w:rsidRPr="00156B9D" w:rsidRDefault="0059376D" w:rsidP="00EE5CD5">
            <w:pPr>
              <w:pStyle w:val="Default"/>
              <w:jc w:val="both"/>
              <w:rPr>
                <w:color w:val="auto"/>
                <w:sz w:val="20"/>
                <w:szCs w:val="20"/>
              </w:rPr>
            </w:pPr>
            <w:r w:rsidRPr="00156B9D">
              <w:rPr>
                <w:b/>
                <w:bCs/>
                <w:color w:val="auto"/>
                <w:sz w:val="20"/>
                <w:szCs w:val="20"/>
              </w:rPr>
              <w:t>Indicator 1.4.3:</w:t>
            </w:r>
            <w:r w:rsidRPr="00156B9D">
              <w:rPr>
                <w:color w:val="auto"/>
                <w:sz w:val="20"/>
                <w:szCs w:val="20"/>
              </w:rPr>
              <w:t xml:space="preserve"> Number of national, and local policies, strategies, action plans, and initiatives for conflict prevention and peacebuilding</w:t>
            </w:r>
            <w:r w:rsidRPr="00156B9D">
              <w:rPr>
                <w:b/>
                <w:bCs/>
                <w:color w:val="auto"/>
                <w:sz w:val="20"/>
                <w:szCs w:val="20"/>
              </w:rPr>
              <w:t xml:space="preserve"> </w:t>
            </w:r>
            <w:r w:rsidRPr="00156B9D">
              <w:rPr>
                <w:color w:val="auto"/>
                <w:sz w:val="20"/>
                <w:szCs w:val="20"/>
              </w:rPr>
              <w:t>(S</w:t>
            </w:r>
            <w:r w:rsidR="00DA2DD8">
              <w:rPr>
                <w:color w:val="auto"/>
                <w:sz w:val="20"/>
                <w:szCs w:val="20"/>
              </w:rPr>
              <w:t xml:space="preserve">trategic </w:t>
            </w:r>
            <w:r w:rsidRPr="00156B9D">
              <w:rPr>
                <w:color w:val="auto"/>
                <w:sz w:val="20"/>
                <w:szCs w:val="20"/>
              </w:rPr>
              <w:t>P</w:t>
            </w:r>
            <w:r w:rsidR="00DA2DD8">
              <w:rPr>
                <w:color w:val="auto"/>
                <w:sz w:val="20"/>
                <w:szCs w:val="20"/>
              </w:rPr>
              <w:t>lan</w:t>
            </w:r>
            <w:r w:rsidRPr="00156B9D">
              <w:rPr>
                <w:color w:val="auto"/>
                <w:sz w:val="20"/>
                <w:szCs w:val="20"/>
              </w:rPr>
              <w:t xml:space="preserve"> Indicator </w:t>
            </w:r>
            <w:r w:rsidRPr="00156B9D">
              <w:rPr>
                <w:rStyle w:val="normaltextrun"/>
                <w:sz w:val="20"/>
                <w:szCs w:val="20"/>
              </w:rPr>
              <w:t>3.2.1)</w:t>
            </w:r>
            <w:r w:rsidR="00DA2DD8">
              <w:rPr>
                <w:rStyle w:val="normaltextrun"/>
                <w:sz w:val="20"/>
                <w:szCs w:val="20"/>
              </w:rPr>
              <w:t>.</w:t>
            </w:r>
          </w:p>
          <w:p w14:paraId="27CACC99" w14:textId="61F54A21" w:rsidR="0059376D" w:rsidRPr="00156B9D" w:rsidRDefault="0059376D" w:rsidP="00EE5CD5">
            <w:pPr>
              <w:pStyle w:val="Default"/>
              <w:jc w:val="both"/>
              <w:rPr>
                <w:color w:val="auto"/>
                <w:sz w:val="20"/>
                <w:szCs w:val="20"/>
              </w:rPr>
            </w:pPr>
            <w:r w:rsidRPr="00156B9D">
              <w:rPr>
                <w:b/>
                <w:bCs/>
                <w:color w:val="auto"/>
                <w:sz w:val="20"/>
                <w:szCs w:val="20"/>
              </w:rPr>
              <w:lastRenderedPageBreak/>
              <w:t>Baseline</w:t>
            </w:r>
            <w:r w:rsidR="006C39DD">
              <w:rPr>
                <w:b/>
                <w:bCs/>
                <w:color w:val="auto"/>
                <w:sz w:val="20"/>
                <w:szCs w:val="20"/>
              </w:rPr>
              <w:t xml:space="preserve"> </w:t>
            </w:r>
            <w:r w:rsidRPr="00156B9D">
              <w:rPr>
                <w:b/>
                <w:color w:val="auto"/>
                <w:sz w:val="20"/>
                <w:szCs w:val="20"/>
              </w:rPr>
              <w:t>(2022)</w:t>
            </w:r>
            <w:r w:rsidRPr="00156B9D">
              <w:rPr>
                <w:b/>
                <w:bCs/>
                <w:color w:val="auto"/>
                <w:sz w:val="20"/>
                <w:szCs w:val="20"/>
              </w:rPr>
              <w:t>:</w:t>
            </w:r>
            <w:r w:rsidR="006C39DD">
              <w:rPr>
                <w:b/>
                <w:bCs/>
                <w:color w:val="auto"/>
                <w:sz w:val="20"/>
                <w:szCs w:val="20"/>
              </w:rPr>
              <w:t xml:space="preserve"> </w:t>
            </w:r>
            <w:r w:rsidRPr="00156B9D">
              <w:rPr>
                <w:color w:val="auto"/>
                <w:sz w:val="20"/>
                <w:szCs w:val="20"/>
              </w:rPr>
              <w:t>57</w:t>
            </w:r>
          </w:p>
          <w:p w14:paraId="2A17BEB5" w14:textId="7C8E1D42" w:rsidR="0059376D" w:rsidRPr="00156B9D" w:rsidRDefault="0059376D" w:rsidP="00EE5CD5">
            <w:pPr>
              <w:pStyle w:val="Default"/>
              <w:jc w:val="both"/>
              <w:rPr>
                <w:color w:val="auto"/>
                <w:sz w:val="20"/>
                <w:szCs w:val="20"/>
              </w:rPr>
            </w:pPr>
            <w:r w:rsidRPr="00156B9D">
              <w:rPr>
                <w:b/>
                <w:bCs/>
                <w:color w:val="auto"/>
                <w:sz w:val="20"/>
                <w:szCs w:val="20"/>
              </w:rPr>
              <w:t>Target</w:t>
            </w:r>
            <w:r w:rsidR="006C39DD">
              <w:rPr>
                <w:b/>
                <w:bCs/>
                <w:color w:val="auto"/>
                <w:sz w:val="20"/>
                <w:szCs w:val="20"/>
              </w:rPr>
              <w:t xml:space="preserve"> </w:t>
            </w:r>
            <w:r w:rsidRPr="00156B9D">
              <w:rPr>
                <w:b/>
                <w:color w:val="auto"/>
                <w:sz w:val="20"/>
                <w:szCs w:val="20"/>
              </w:rPr>
              <w:t>(2028)</w:t>
            </w:r>
            <w:r w:rsidRPr="00156B9D">
              <w:rPr>
                <w:bCs/>
                <w:color w:val="auto"/>
                <w:sz w:val="20"/>
                <w:szCs w:val="20"/>
              </w:rPr>
              <w:t>:</w:t>
            </w:r>
            <w:r w:rsidR="006C39DD">
              <w:rPr>
                <w:bCs/>
                <w:color w:val="auto"/>
                <w:sz w:val="20"/>
                <w:szCs w:val="20"/>
              </w:rPr>
              <w:t xml:space="preserve"> </w:t>
            </w:r>
            <w:r w:rsidRPr="00156B9D">
              <w:rPr>
                <w:color w:val="auto"/>
                <w:sz w:val="20"/>
                <w:szCs w:val="20"/>
              </w:rPr>
              <w:t>70</w:t>
            </w:r>
          </w:p>
          <w:p w14:paraId="6BFBF746" w14:textId="77777777" w:rsidR="0059376D" w:rsidRPr="00156B9D" w:rsidRDefault="0059376D" w:rsidP="00EE5CD5">
            <w:pPr>
              <w:pStyle w:val="Default"/>
              <w:jc w:val="both"/>
              <w:rPr>
                <w:color w:val="auto"/>
                <w:sz w:val="20"/>
                <w:szCs w:val="20"/>
              </w:rPr>
            </w:pPr>
            <w:r w:rsidRPr="00156B9D">
              <w:rPr>
                <w:b/>
                <w:bCs/>
                <w:color w:val="auto"/>
                <w:sz w:val="20"/>
                <w:szCs w:val="20"/>
              </w:rPr>
              <w:t>Source:</w:t>
            </w:r>
            <w:r w:rsidRPr="00156B9D">
              <w:rPr>
                <w:color w:val="auto"/>
                <w:sz w:val="20"/>
                <w:szCs w:val="20"/>
              </w:rPr>
              <w:t xml:space="preserve"> Ministry of Decentralization </w:t>
            </w:r>
          </w:p>
          <w:p w14:paraId="3C4A2A3F" w14:textId="77777777" w:rsidR="0059376D" w:rsidRPr="00156B9D" w:rsidRDefault="0059376D" w:rsidP="00EE5CD5">
            <w:pPr>
              <w:pStyle w:val="Default"/>
              <w:jc w:val="both"/>
              <w:rPr>
                <w:color w:val="auto"/>
                <w:sz w:val="20"/>
                <w:szCs w:val="20"/>
              </w:rPr>
            </w:pPr>
            <w:r w:rsidRPr="00156B9D">
              <w:rPr>
                <w:b/>
                <w:bCs/>
                <w:color w:val="auto"/>
                <w:sz w:val="20"/>
                <w:szCs w:val="20"/>
              </w:rPr>
              <w:t>Frequency</w:t>
            </w:r>
            <w:r w:rsidRPr="00156B9D">
              <w:rPr>
                <w:color w:val="auto"/>
                <w:sz w:val="20"/>
                <w:szCs w:val="20"/>
              </w:rPr>
              <w:t xml:space="preserve">: Annual </w:t>
            </w:r>
          </w:p>
        </w:tc>
        <w:tc>
          <w:tcPr>
            <w:tcW w:w="2552" w:type="dxa"/>
            <w:vMerge/>
          </w:tcPr>
          <w:p w14:paraId="0443896F" w14:textId="77777777" w:rsidR="0059376D" w:rsidRPr="00156B9D" w:rsidRDefault="0059376D" w:rsidP="00EE5CD5">
            <w:pPr>
              <w:jc w:val="both"/>
              <w:rPr>
                <w:lang w:val="en-GB"/>
              </w:rPr>
            </w:pPr>
          </w:p>
        </w:tc>
        <w:tc>
          <w:tcPr>
            <w:tcW w:w="1559" w:type="dxa"/>
            <w:vMerge/>
          </w:tcPr>
          <w:p w14:paraId="2DFC12EF" w14:textId="77777777" w:rsidR="0059376D" w:rsidRPr="00156B9D" w:rsidRDefault="0059376D" w:rsidP="00EE5CD5">
            <w:pPr>
              <w:jc w:val="both"/>
              <w:rPr>
                <w:lang w:val="en-GB"/>
              </w:rPr>
            </w:pPr>
          </w:p>
        </w:tc>
      </w:tr>
      <w:tr w:rsidR="0059376D" w:rsidRPr="00156B9D" w14:paraId="09B40451" w14:textId="77777777" w:rsidTr="0059376D">
        <w:trPr>
          <w:trHeight w:val="285"/>
        </w:trPr>
        <w:tc>
          <w:tcPr>
            <w:tcW w:w="15310" w:type="dxa"/>
            <w:gridSpan w:val="5"/>
            <w:shd w:val="clear" w:color="auto" w:fill="DAEEF3" w:themeFill="accent5" w:themeFillTint="33"/>
          </w:tcPr>
          <w:p w14:paraId="55A0824F" w14:textId="284DE3A4" w:rsidR="0059376D" w:rsidRPr="00156B9D" w:rsidRDefault="0059376D" w:rsidP="00EE5CD5">
            <w:pPr>
              <w:pStyle w:val="Default"/>
              <w:jc w:val="both"/>
              <w:rPr>
                <w:color w:val="auto"/>
                <w:sz w:val="20"/>
                <w:szCs w:val="20"/>
              </w:rPr>
            </w:pPr>
            <w:r w:rsidRPr="00156B9D">
              <w:rPr>
                <w:color w:val="auto"/>
                <w:sz w:val="20"/>
                <w:szCs w:val="20"/>
              </w:rPr>
              <w:t>National priority: Axis 2: Macroeconomic and financial framework; Axis 4: Social action, employment and employability; Axis 5</w:t>
            </w:r>
            <w:r w:rsidR="00CB6203">
              <w:rPr>
                <w:color w:val="auto"/>
                <w:sz w:val="20"/>
                <w:szCs w:val="20"/>
              </w:rPr>
              <w:t>:</w:t>
            </w:r>
            <w:r w:rsidR="00CB6203" w:rsidRPr="00156B9D">
              <w:rPr>
                <w:color w:val="auto"/>
                <w:sz w:val="20"/>
                <w:szCs w:val="20"/>
              </w:rPr>
              <w:t xml:space="preserve"> </w:t>
            </w:r>
            <w:r w:rsidRPr="00156B9D">
              <w:rPr>
                <w:color w:val="auto"/>
                <w:sz w:val="20"/>
                <w:szCs w:val="20"/>
              </w:rPr>
              <w:t>Infrastructure, connectivity and sanitation</w:t>
            </w:r>
          </w:p>
        </w:tc>
      </w:tr>
      <w:tr w:rsidR="0059376D" w:rsidRPr="00156B9D" w14:paraId="5DF5B64B" w14:textId="77777777" w:rsidTr="0059376D">
        <w:trPr>
          <w:trHeight w:val="378"/>
        </w:trPr>
        <w:tc>
          <w:tcPr>
            <w:tcW w:w="15310" w:type="dxa"/>
            <w:gridSpan w:val="5"/>
            <w:shd w:val="clear" w:color="auto" w:fill="DAEEF3" w:themeFill="accent5" w:themeFillTint="33"/>
          </w:tcPr>
          <w:p w14:paraId="25D3DF9E" w14:textId="7D3AE647" w:rsidR="0059376D" w:rsidRPr="00156B9D" w:rsidRDefault="0059376D" w:rsidP="001E649A">
            <w:pPr>
              <w:jc w:val="both"/>
              <w:rPr>
                <w:lang w:val="en-GB"/>
              </w:rPr>
            </w:pPr>
            <w:r w:rsidRPr="00156B9D">
              <w:rPr>
                <w:b/>
                <w:bCs/>
                <w:lang w:val="en-GB"/>
              </w:rPr>
              <w:t>United Nations Sustainable Development Cooperation Framework Outcome Involving UNDP:</w:t>
            </w:r>
            <w:r w:rsidR="001E649A">
              <w:rPr>
                <w:lang w:val="en-GB"/>
              </w:rPr>
              <w:t xml:space="preserve"> </w:t>
            </w:r>
            <w:bookmarkStart w:id="11" w:name="_Hlk140227929"/>
            <w:r w:rsidRPr="00156B9D">
              <w:rPr>
                <w:lang w:val="en-GB"/>
              </w:rPr>
              <w:t xml:space="preserve">By 2028, Guinean populations, especially youth, women, people with disabilities and vulnerable people, particularly in disadvantaged areas, will actively participate </w:t>
            </w:r>
            <w:r w:rsidR="004023C9">
              <w:rPr>
                <w:lang w:val="en-GB"/>
              </w:rPr>
              <w:t>in</w:t>
            </w:r>
            <w:r w:rsidR="004023C9" w:rsidRPr="00156B9D">
              <w:rPr>
                <w:lang w:val="en-GB"/>
              </w:rPr>
              <w:t xml:space="preserve"> </w:t>
            </w:r>
            <w:r w:rsidRPr="00156B9D">
              <w:rPr>
                <w:lang w:val="en-GB"/>
              </w:rPr>
              <w:t>economic growth supported by a diversified, inclusive, equitable, sustainable economy that generates decent jobs.</w:t>
            </w:r>
          </w:p>
          <w:bookmarkEnd w:id="11"/>
          <w:p w14:paraId="4C36660C" w14:textId="2FE996C7" w:rsidR="0059376D" w:rsidRPr="00156B9D" w:rsidRDefault="0059376D" w:rsidP="00EE5CD5">
            <w:pPr>
              <w:jc w:val="both"/>
              <w:rPr>
                <w:lang w:val="en-GB"/>
              </w:rPr>
            </w:pPr>
            <w:r w:rsidRPr="00156B9D">
              <w:rPr>
                <w:b/>
                <w:bCs/>
                <w:lang w:val="en-GB"/>
              </w:rPr>
              <w:t>S</w:t>
            </w:r>
            <w:r w:rsidR="001E649A">
              <w:rPr>
                <w:b/>
                <w:bCs/>
                <w:lang w:val="en-GB"/>
              </w:rPr>
              <w:t xml:space="preserve">ustainable </w:t>
            </w:r>
            <w:r w:rsidRPr="00156B9D">
              <w:rPr>
                <w:b/>
                <w:bCs/>
                <w:lang w:val="en-GB"/>
              </w:rPr>
              <w:t>D</w:t>
            </w:r>
            <w:r w:rsidR="001E649A">
              <w:rPr>
                <w:b/>
                <w:bCs/>
                <w:lang w:val="en-GB"/>
              </w:rPr>
              <w:t xml:space="preserve">evelopment </w:t>
            </w:r>
            <w:r w:rsidRPr="00156B9D">
              <w:rPr>
                <w:b/>
                <w:bCs/>
                <w:lang w:val="en-GB"/>
              </w:rPr>
              <w:t>G</w:t>
            </w:r>
            <w:r w:rsidR="001E649A">
              <w:rPr>
                <w:b/>
                <w:bCs/>
                <w:lang w:val="en-GB"/>
              </w:rPr>
              <w:t>oal</w:t>
            </w:r>
            <w:r w:rsidRPr="00156B9D">
              <w:rPr>
                <w:b/>
                <w:bCs/>
                <w:lang w:val="en-GB"/>
              </w:rPr>
              <w:t>s</w:t>
            </w:r>
            <w:r w:rsidRPr="00156B9D">
              <w:rPr>
                <w:lang w:val="en-GB"/>
              </w:rPr>
              <w:t>: 1, 2, 5, 8, 9, 10, 11, 13, 14, 15, 16, 17.</w:t>
            </w:r>
          </w:p>
        </w:tc>
      </w:tr>
      <w:tr w:rsidR="0059376D" w:rsidRPr="00156B9D" w14:paraId="67235E46" w14:textId="77777777" w:rsidTr="0059376D">
        <w:trPr>
          <w:trHeight w:val="741"/>
        </w:trPr>
        <w:tc>
          <w:tcPr>
            <w:tcW w:w="15310" w:type="dxa"/>
            <w:gridSpan w:val="5"/>
            <w:shd w:val="clear" w:color="auto" w:fill="DAEEF3" w:themeFill="accent5" w:themeFillTint="33"/>
          </w:tcPr>
          <w:p w14:paraId="365F5694" w14:textId="77777777" w:rsidR="0059376D" w:rsidRPr="00156B9D" w:rsidRDefault="0059376D" w:rsidP="00EE5CD5">
            <w:pPr>
              <w:jc w:val="both"/>
              <w:rPr>
                <w:b/>
                <w:bCs/>
                <w:lang w:val="en-GB"/>
              </w:rPr>
            </w:pPr>
            <w:r w:rsidRPr="00156B9D">
              <w:rPr>
                <w:b/>
                <w:bCs/>
                <w:lang w:val="en-GB"/>
              </w:rPr>
              <w:t>Related strategic plan outcomes:</w:t>
            </w:r>
          </w:p>
          <w:p w14:paraId="028944DC" w14:textId="299B1574" w:rsidR="0059376D" w:rsidRPr="00156B9D" w:rsidRDefault="0059376D" w:rsidP="00EE5CD5">
            <w:pPr>
              <w:jc w:val="both"/>
              <w:rPr>
                <w:lang w:val="en-GB"/>
              </w:rPr>
            </w:pPr>
            <w:r w:rsidRPr="00156B9D">
              <w:rPr>
                <w:lang w:val="en-GB"/>
              </w:rPr>
              <w:t>Structural transformation, particularly green, inclusive and digital transitions</w:t>
            </w:r>
            <w:r w:rsidR="006F6EED">
              <w:rPr>
                <w:lang w:val="en-GB"/>
              </w:rPr>
              <w:t>.</w:t>
            </w:r>
            <w:r w:rsidR="006F6EED" w:rsidRPr="00156B9D">
              <w:rPr>
                <w:lang w:val="en-GB"/>
              </w:rPr>
              <w:t xml:space="preserve"> </w:t>
            </w:r>
          </w:p>
        </w:tc>
      </w:tr>
      <w:tr w:rsidR="0059376D" w:rsidRPr="00156B9D" w14:paraId="2FFE9535" w14:textId="77777777" w:rsidTr="0059376D">
        <w:trPr>
          <w:trHeight w:val="404"/>
        </w:trPr>
        <w:tc>
          <w:tcPr>
            <w:tcW w:w="3545" w:type="dxa"/>
            <w:shd w:val="clear" w:color="auto" w:fill="F2F2F2" w:themeFill="background1" w:themeFillShade="F2"/>
          </w:tcPr>
          <w:p w14:paraId="52E47FAB" w14:textId="77777777" w:rsidR="0059376D" w:rsidRPr="00156B9D" w:rsidRDefault="0059376D" w:rsidP="00EE5CD5">
            <w:pPr>
              <w:jc w:val="both"/>
              <w:rPr>
                <w:b/>
                <w:bCs/>
                <w:lang w:val="en-GB"/>
              </w:rPr>
            </w:pPr>
            <w:r w:rsidRPr="00156B9D">
              <w:rPr>
                <w:b/>
                <w:bCs/>
                <w:lang w:val="en-GB"/>
              </w:rPr>
              <w:t>Outcome indicators, baselines and targets</w:t>
            </w:r>
          </w:p>
          <w:p w14:paraId="2302A49B" w14:textId="77777777" w:rsidR="0059376D" w:rsidRPr="00156B9D" w:rsidRDefault="0059376D" w:rsidP="00EE5CD5">
            <w:pPr>
              <w:jc w:val="both"/>
              <w:rPr>
                <w:b/>
                <w:bCs/>
                <w:lang w:val="en-GB"/>
              </w:rPr>
            </w:pPr>
            <w:r w:rsidRPr="00156B9D">
              <w:rPr>
                <w:b/>
                <w:bCs/>
                <w:lang w:val="en-GB"/>
              </w:rPr>
              <w:t>All are disaggregated data by sex, age</w:t>
            </w:r>
          </w:p>
        </w:tc>
        <w:tc>
          <w:tcPr>
            <w:tcW w:w="2835" w:type="dxa"/>
            <w:shd w:val="clear" w:color="auto" w:fill="F2F2F2" w:themeFill="background1" w:themeFillShade="F2"/>
          </w:tcPr>
          <w:p w14:paraId="37718DD9" w14:textId="77777777" w:rsidR="0059376D" w:rsidRPr="00156B9D" w:rsidRDefault="0059376D" w:rsidP="00EE5CD5">
            <w:pPr>
              <w:jc w:val="both"/>
              <w:rPr>
                <w:b/>
                <w:bCs/>
                <w:lang w:val="en-GB"/>
              </w:rPr>
            </w:pPr>
            <w:r w:rsidRPr="00156B9D">
              <w:rPr>
                <w:b/>
                <w:bCs/>
                <w:lang w:val="en-GB"/>
              </w:rPr>
              <w:t>Data source and frequency of data collection, and responsible agencies</w:t>
            </w:r>
          </w:p>
        </w:tc>
        <w:tc>
          <w:tcPr>
            <w:tcW w:w="4819" w:type="dxa"/>
            <w:shd w:val="clear" w:color="auto" w:fill="F2F2F2" w:themeFill="background1" w:themeFillShade="F2"/>
          </w:tcPr>
          <w:p w14:paraId="1A5B98DF" w14:textId="77777777" w:rsidR="0059376D" w:rsidRPr="00156B9D" w:rsidRDefault="0059376D" w:rsidP="00EE5CD5">
            <w:pPr>
              <w:jc w:val="both"/>
              <w:rPr>
                <w:b/>
                <w:bCs/>
                <w:lang w:val="en-GB"/>
              </w:rPr>
            </w:pPr>
            <w:r w:rsidRPr="00156B9D">
              <w:rPr>
                <w:b/>
                <w:bCs/>
                <w:lang w:val="en-GB"/>
              </w:rPr>
              <w:t xml:space="preserve">Indicative outputs (indicators, baselines and targets) </w:t>
            </w:r>
          </w:p>
        </w:tc>
        <w:tc>
          <w:tcPr>
            <w:tcW w:w="2552" w:type="dxa"/>
            <w:shd w:val="clear" w:color="auto" w:fill="F2F2F2" w:themeFill="background1" w:themeFillShade="F2"/>
          </w:tcPr>
          <w:p w14:paraId="47047116" w14:textId="77777777" w:rsidR="0059376D" w:rsidRPr="00156B9D" w:rsidRDefault="0059376D" w:rsidP="00EE5CD5">
            <w:pPr>
              <w:jc w:val="both"/>
              <w:rPr>
                <w:b/>
                <w:bCs/>
                <w:lang w:val="en-GB"/>
              </w:rPr>
            </w:pPr>
            <w:r w:rsidRPr="00156B9D">
              <w:rPr>
                <w:b/>
                <w:bCs/>
                <w:lang w:val="en-GB"/>
              </w:rPr>
              <w:t>Major partners/partnership frameworks</w:t>
            </w:r>
          </w:p>
        </w:tc>
        <w:tc>
          <w:tcPr>
            <w:tcW w:w="1559" w:type="dxa"/>
            <w:shd w:val="clear" w:color="auto" w:fill="F2F2F2" w:themeFill="background1" w:themeFillShade="F2"/>
          </w:tcPr>
          <w:p w14:paraId="10733D2D" w14:textId="3D92CC0C" w:rsidR="0059376D" w:rsidRPr="00156B9D" w:rsidRDefault="0059376D" w:rsidP="00EE5CD5">
            <w:pPr>
              <w:jc w:val="both"/>
              <w:rPr>
                <w:b/>
                <w:bCs/>
                <w:lang w:val="en-GB"/>
              </w:rPr>
            </w:pPr>
            <w:r w:rsidRPr="00156B9D">
              <w:rPr>
                <w:b/>
                <w:bCs/>
                <w:lang w:val="en-GB"/>
              </w:rPr>
              <w:t>Indicative resources by outcome ($)</w:t>
            </w:r>
          </w:p>
        </w:tc>
      </w:tr>
      <w:tr w:rsidR="0059376D" w:rsidRPr="00156B9D" w14:paraId="6CDA7CE3" w14:textId="77777777" w:rsidTr="0059376D">
        <w:trPr>
          <w:trHeight w:val="1390"/>
        </w:trPr>
        <w:tc>
          <w:tcPr>
            <w:tcW w:w="3545" w:type="dxa"/>
            <w:vMerge w:val="restart"/>
            <w:shd w:val="clear" w:color="auto" w:fill="auto"/>
          </w:tcPr>
          <w:p w14:paraId="54AECC06" w14:textId="77777777" w:rsidR="0059376D" w:rsidRPr="00156B9D" w:rsidRDefault="0059376D" w:rsidP="00EE5CD5">
            <w:pPr>
              <w:autoSpaceDE w:val="0"/>
              <w:autoSpaceDN w:val="0"/>
              <w:adjustRightInd w:val="0"/>
              <w:jc w:val="both"/>
              <w:rPr>
                <w:bCs/>
                <w:lang w:val="en-GB"/>
              </w:rPr>
            </w:pPr>
            <w:r w:rsidRPr="00156B9D">
              <w:rPr>
                <w:b/>
                <w:lang w:val="en-GB"/>
              </w:rPr>
              <w:t>Indicator 2.1:</w:t>
            </w:r>
            <w:r w:rsidRPr="00156B9D">
              <w:rPr>
                <w:rStyle w:val="rynqvb"/>
                <w:lang w:val="en-GB"/>
              </w:rPr>
              <w:t xml:space="preserve"> </w:t>
            </w:r>
            <w:r w:rsidRPr="00156B9D">
              <w:rPr>
                <w:bCs/>
                <w:lang w:val="en-GB"/>
              </w:rPr>
              <w:t xml:space="preserve">Proportion of population living below the national poverty line, by sex and age. </w:t>
            </w:r>
          </w:p>
          <w:p w14:paraId="50D5DDBE" w14:textId="4B376AED" w:rsidR="0059376D" w:rsidRPr="00156B9D" w:rsidRDefault="0059376D" w:rsidP="00EE5CD5">
            <w:pPr>
              <w:jc w:val="both"/>
              <w:rPr>
                <w:lang w:val="en-GB"/>
              </w:rPr>
            </w:pPr>
            <w:r w:rsidRPr="00156B9D">
              <w:rPr>
                <w:b/>
                <w:lang w:val="en-GB"/>
              </w:rPr>
              <w:t>Baseline</w:t>
            </w:r>
            <w:r w:rsidR="003B5CDC">
              <w:rPr>
                <w:b/>
                <w:lang w:val="en-GB"/>
              </w:rPr>
              <w:t xml:space="preserve"> </w:t>
            </w:r>
            <w:r w:rsidRPr="00156B9D">
              <w:rPr>
                <w:b/>
                <w:lang w:val="en-GB"/>
              </w:rPr>
              <w:t>(</w:t>
            </w:r>
            <w:r w:rsidRPr="00156B9D">
              <w:rPr>
                <w:b/>
                <w:bCs/>
                <w:lang w:val="en-GB"/>
              </w:rPr>
              <w:t>2019</w:t>
            </w:r>
            <w:r w:rsidRPr="00156B9D">
              <w:rPr>
                <w:lang w:val="en-GB"/>
              </w:rPr>
              <w:t>)</w:t>
            </w:r>
            <w:r w:rsidRPr="00156B9D">
              <w:rPr>
                <w:bCs/>
                <w:lang w:val="en-GB"/>
              </w:rPr>
              <w:t xml:space="preserve">: </w:t>
            </w:r>
            <w:r w:rsidRPr="00156B9D">
              <w:rPr>
                <w:lang w:val="en-GB"/>
              </w:rPr>
              <w:t>43</w:t>
            </w:r>
            <w:r w:rsidR="003B5CDC">
              <w:rPr>
                <w:lang w:val="en-GB"/>
              </w:rPr>
              <w:t>.</w:t>
            </w:r>
            <w:r w:rsidRPr="00156B9D">
              <w:rPr>
                <w:lang w:val="en-GB"/>
              </w:rPr>
              <w:t>7%</w:t>
            </w:r>
            <w:r w:rsidR="0055706C">
              <w:rPr>
                <w:lang w:val="en-GB"/>
              </w:rPr>
              <w:t xml:space="preserve"> (average);</w:t>
            </w:r>
            <w:r w:rsidRPr="00156B9D">
              <w:rPr>
                <w:lang w:val="en-GB"/>
              </w:rPr>
              <w:t xml:space="preserve"> 42</w:t>
            </w:r>
            <w:r w:rsidR="003B5CDC">
              <w:rPr>
                <w:lang w:val="en-GB"/>
              </w:rPr>
              <w:t>.</w:t>
            </w:r>
            <w:r w:rsidRPr="00156B9D">
              <w:rPr>
                <w:lang w:val="en-GB"/>
              </w:rPr>
              <w:t xml:space="preserve">8% </w:t>
            </w:r>
            <w:r w:rsidR="004023C9">
              <w:rPr>
                <w:lang w:val="en-GB"/>
              </w:rPr>
              <w:t>m</w:t>
            </w:r>
            <w:r w:rsidR="004023C9" w:rsidRPr="00156B9D">
              <w:rPr>
                <w:lang w:val="en-GB"/>
              </w:rPr>
              <w:t>en</w:t>
            </w:r>
            <w:r w:rsidR="0055706C">
              <w:rPr>
                <w:lang w:val="en-GB"/>
              </w:rPr>
              <w:t>,</w:t>
            </w:r>
            <w:r w:rsidRPr="00156B9D">
              <w:rPr>
                <w:lang w:val="en-GB"/>
              </w:rPr>
              <w:t xml:space="preserve"> 44</w:t>
            </w:r>
            <w:r w:rsidR="003B5CDC">
              <w:rPr>
                <w:lang w:val="en-GB"/>
              </w:rPr>
              <w:t>.</w:t>
            </w:r>
            <w:r w:rsidRPr="00156B9D">
              <w:rPr>
                <w:lang w:val="en-GB"/>
              </w:rPr>
              <w:t xml:space="preserve">6% </w:t>
            </w:r>
            <w:r w:rsidR="004023C9">
              <w:rPr>
                <w:lang w:val="en-GB"/>
              </w:rPr>
              <w:t>w</w:t>
            </w:r>
            <w:r w:rsidR="004023C9" w:rsidRPr="00156B9D">
              <w:rPr>
                <w:lang w:val="en-GB"/>
              </w:rPr>
              <w:t>omen</w:t>
            </w:r>
            <w:r w:rsidRPr="00156B9D">
              <w:rPr>
                <w:lang w:val="en-GB"/>
              </w:rPr>
              <w:t xml:space="preserve"> </w:t>
            </w:r>
          </w:p>
          <w:p w14:paraId="37A89A84" w14:textId="7BAA96C6" w:rsidR="0059376D" w:rsidRPr="00156B9D" w:rsidRDefault="0059376D" w:rsidP="00EE5CD5">
            <w:pPr>
              <w:autoSpaceDE w:val="0"/>
              <w:autoSpaceDN w:val="0"/>
              <w:adjustRightInd w:val="0"/>
              <w:jc w:val="both"/>
              <w:rPr>
                <w:bCs/>
                <w:lang w:val="en-GB"/>
              </w:rPr>
            </w:pPr>
            <w:r w:rsidRPr="00156B9D">
              <w:rPr>
                <w:b/>
                <w:lang w:val="en-GB"/>
              </w:rPr>
              <w:t>Target</w:t>
            </w:r>
            <w:r w:rsidR="004023C9">
              <w:rPr>
                <w:b/>
                <w:lang w:val="en-GB"/>
              </w:rPr>
              <w:t xml:space="preserve"> </w:t>
            </w:r>
            <w:r w:rsidRPr="00156B9D">
              <w:rPr>
                <w:b/>
                <w:lang w:val="en-GB"/>
              </w:rPr>
              <w:t>(2028)</w:t>
            </w:r>
            <w:r w:rsidRPr="00156B9D">
              <w:rPr>
                <w:bCs/>
                <w:lang w:val="en-GB"/>
              </w:rPr>
              <w:t>: 37%</w:t>
            </w:r>
          </w:p>
          <w:p w14:paraId="5A3C8149" w14:textId="77777777" w:rsidR="0059376D" w:rsidRPr="00156B9D" w:rsidRDefault="0059376D" w:rsidP="00EE5CD5">
            <w:pPr>
              <w:autoSpaceDE w:val="0"/>
              <w:autoSpaceDN w:val="0"/>
              <w:adjustRightInd w:val="0"/>
              <w:jc w:val="both"/>
              <w:rPr>
                <w:bCs/>
                <w:lang w:val="en-GB"/>
              </w:rPr>
            </w:pPr>
          </w:p>
          <w:p w14:paraId="5E38A45C" w14:textId="77777777" w:rsidR="0059376D" w:rsidRPr="00156B9D" w:rsidRDefault="0059376D" w:rsidP="00EE5CD5">
            <w:pPr>
              <w:autoSpaceDE w:val="0"/>
              <w:autoSpaceDN w:val="0"/>
              <w:adjustRightInd w:val="0"/>
              <w:jc w:val="both"/>
              <w:rPr>
                <w:bCs/>
                <w:lang w:val="en-GB"/>
              </w:rPr>
            </w:pPr>
          </w:p>
          <w:p w14:paraId="3E064B44" w14:textId="1A3F5EA1" w:rsidR="0059376D" w:rsidRPr="00156B9D" w:rsidRDefault="0059376D" w:rsidP="00EE5CD5">
            <w:pPr>
              <w:autoSpaceDE w:val="0"/>
              <w:autoSpaceDN w:val="0"/>
              <w:adjustRightInd w:val="0"/>
              <w:jc w:val="both"/>
              <w:rPr>
                <w:bCs/>
                <w:lang w:val="en-GB"/>
              </w:rPr>
            </w:pPr>
            <w:r w:rsidRPr="00156B9D">
              <w:rPr>
                <w:b/>
                <w:lang w:val="en-GB"/>
              </w:rPr>
              <w:t>Indicator 2.2</w:t>
            </w:r>
            <w:r w:rsidRPr="00156B9D">
              <w:rPr>
                <w:lang w:val="en-GB"/>
              </w:rPr>
              <w:t xml:space="preserve">: </w:t>
            </w:r>
            <w:r w:rsidRPr="00156B9D">
              <w:rPr>
                <w:bCs/>
                <w:lang w:val="en-GB"/>
              </w:rPr>
              <w:t xml:space="preserve">Growth rate of household expenditure or per capita </w:t>
            </w:r>
            <w:r w:rsidR="00EF67A6" w:rsidRPr="00156B9D">
              <w:rPr>
                <w:bCs/>
                <w:lang w:val="en-GB"/>
              </w:rPr>
              <w:t xml:space="preserve">income </w:t>
            </w:r>
            <w:r w:rsidRPr="00156B9D">
              <w:rPr>
                <w:bCs/>
                <w:lang w:val="en-GB"/>
              </w:rPr>
              <w:t xml:space="preserve">for the poorest 40% of the population and compared to </w:t>
            </w:r>
            <w:r w:rsidR="004023C9">
              <w:rPr>
                <w:bCs/>
                <w:lang w:val="en-GB"/>
              </w:rPr>
              <w:t>that of</w:t>
            </w:r>
            <w:r w:rsidRPr="00156B9D">
              <w:rPr>
                <w:bCs/>
                <w:lang w:val="en-GB"/>
              </w:rPr>
              <w:t xml:space="preserve"> the entire population.</w:t>
            </w:r>
            <w:r w:rsidRPr="00156B9D">
              <w:rPr>
                <w:b/>
                <w:lang w:val="en-GB"/>
              </w:rPr>
              <w:t xml:space="preserve"> (</w:t>
            </w:r>
            <w:r w:rsidRPr="00156B9D">
              <w:rPr>
                <w:bCs/>
                <w:lang w:val="en-GB"/>
              </w:rPr>
              <w:t>S</w:t>
            </w:r>
            <w:r w:rsidR="009141B0">
              <w:rPr>
                <w:bCs/>
                <w:lang w:val="en-GB"/>
              </w:rPr>
              <w:t xml:space="preserve">ustainable </w:t>
            </w:r>
            <w:r w:rsidRPr="00156B9D">
              <w:rPr>
                <w:bCs/>
                <w:lang w:val="en-GB"/>
              </w:rPr>
              <w:t>D</w:t>
            </w:r>
            <w:r w:rsidR="009141B0">
              <w:rPr>
                <w:bCs/>
                <w:lang w:val="en-GB"/>
              </w:rPr>
              <w:t xml:space="preserve">evelopment </w:t>
            </w:r>
            <w:r w:rsidRPr="00156B9D">
              <w:rPr>
                <w:bCs/>
                <w:lang w:val="en-GB"/>
              </w:rPr>
              <w:t>G</w:t>
            </w:r>
            <w:r w:rsidR="009141B0">
              <w:rPr>
                <w:bCs/>
                <w:lang w:val="en-GB"/>
              </w:rPr>
              <w:t>oals</w:t>
            </w:r>
            <w:r w:rsidRPr="00156B9D">
              <w:rPr>
                <w:lang w:val="en-GB"/>
              </w:rPr>
              <w:t xml:space="preserve"> 10.1.1)</w:t>
            </w:r>
          </w:p>
          <w:p w14:paraId="1282547C" w14:textId="08433A38" w:rsidR="0059376D" w:rsidRPr="00156B9D" w:rsidRDefault="0059376D" w:rsidP="00EE5CD5">
            <w:pPr>
              <w:jc w:val="both"/>
              <w:rPr>
                <w:bCs/>
                <w:lang w:val="en-GB"/>
              </w:rPr>
            </w:pPr>
            <w:r w:rsidRPr="00156B9D">
              <w:rPr>
                <w:b/>
                <w:lang w:val="en-GB"/>
              </w:rPr>
              <w:t>Baseline</w:t>
            </w:r>
            <w:r w:rsidR="009141B0">
              <w:rPr>
                <w:b/>
                <w:lang w:val="en-GB"/>
              </w:rPr>
              <w:t xml:space="preserve"> </w:t>
            </w:r>
            <w:r w:rsidRPr="00156B9D">
              <w:rPr>
                <w:b/>
                <w:lang w:val="en-GB"/>
              </w:rPr>
              <w:t>(2022):</w:t>
            </w:r>
            <w:r w:rsidRPr="00156B9D">
              <w:rPr>
                <w:rStyle w:val="rynqvb"/>
                <w:lang w:val="en-GB"/>
              </w:rPr>
              <w:t xml:space="preserve"> 30</w:t>
            </w:r>
            <w:r w:rsidRPr="00156B9D">
              <w:rPr>
                <w:bCs/>
                <w:lang w:val="en-GB"/>
              </w:rPr>
              <w:t xml:space="preserve">% of the poorest households </w:t>
            </w:r>
            <w:r w:rsidR="009141B0">
              <w:rPr>
                <w:bCs/>
                <w:lang w:val="en-GB"/>
              </w:rPr>
              <w:t>account for</w:t>
            </w:r>
            <w:r w:rsidR="009141B0" w:rsidRPr="00156B9D">
              <w:rPr>
                <w:bCs/>
                <w:lang w:val="en-GB"/>
              </w:rPr>
              <w:t xml:space="preserve"> </w:t>
            </w:r>
            <w:r w:rsidRPr="00156B9D">
              <w:rPr>
                <w:bCs/>
                <w:lang w:val="en-GB"/>
              </w:rPr>
              <w:t>13.9% of total consumption</w:t>
            </w:r>
            <w:r w:rsidR="007E74E7">
              <w:rPr>
                <w:bCs/>
                <w:lang w:val="en-GB"/>
              </w:rPr>
              <w:t>.</w:t>
            </w:r>
          </w:p>
          <w:p w14:paraId="2CEFD84A" w14:textId="65764AB7" w:rsidR="0059376D" w:rsidRPr="00156B9D" w:rsidRDefault="0059376D" w:rsidP="00EE5CD5">
            <w:pPr>
              <w:autoSpaceDE w:val="0"/>
              <w:autoSpaceDN w:val="0"/>
              <w:adjustRightInd w:val="0"/>
              <w:jc w:val="both"/>
              <w:rPr>
                <w:bCs/>
                <w:lang w:val="en-GB"/>
              </w:rPr>
            </w:pPr>
            <w:r w:rsidRPr="00156B9D">
              <w:rPr>
                <w:b/>
                <w:lang w:val="en-GB"/>
              </w:rPr>
              <w:t>Target</w:t>
            </w:r>
            <w:r w:rsidR="009141B0">
              <w:rPr>
                <w:b/>
                <w:lang w:val="en-GB"/>
              </w:rPr>
              <w:t xml:space="preserve"> </w:t>
            </w:r>
            <w:r w:rsidRPr="00156B9D">
              <w:rPr>
                <w:b/>
                <w:lang w:val="en-GB"/>
              </w:rPr>
              <w:t>(2028)</w:t>
            </w:r>
            <w:r w:rsidRPr="00156B9D">
              <w:rPr>
                <w:bCs/>
                <w:lang w:val="en-GB"/>
              </w:rPr>
              <w:t>: 30%</w:t>
            </w:r>
          </w:p>
          <w:p w14:paraId="08494E0D" w14:textId="77777777" w:rsidR="0059376D" w:rsidRPr="00156B9D" w:rsidRDefault="0059376D" w:rsidP="00EE5CD5">
            <w:pPr>
              <w:autoSpaceDE w:val="0"/>
              <w:autoSpaceDN w:val="0"/>
              <w:adjustRightInd w:val="0"/>
              <w:jc w:val="both"/>
              <w:rPr>
                <w:bCs/>
                <w:lang w:val="en-GB"/>
              </w:rPr>
            </w:pPr>
          </w:p>
          <w:p w14:paraId="7F4400EA" w14:textId="77777777" w:rsidR="0059376D" w:rsidRPr="00156B9D" w:rsidRDefault="0059376D" w:rsidP="00EE5CD5">
            <w:pPr>
              <w:jc w:val="both"/>
              <w:rPr>
                <w:bCs/>
                <w:lang w:val="en-GB"/>
              </w:rPr>
            </w:pPr>
          </w:p>
          <w:p w14:paraId="6EE41A0D" w14:textId="7028E299" w:rsidR="0059376D" w:rsidRPr="00156B9D" w:rsidRDefault="0059376D" w:rsidP="00EE5CD5">
            <w:pPr>
              <w:jc w:val="both"/>
              <w:rPr>
                <w:rStyle w:val="rynqvb"/>
                <w:lang w:val="en-GB"/>
              </w:rPr>
            </w:pPr>
            <w:r w:rsidRPr="00156B9D">
              <w:rPr>
                <w:b/>
                <w:lang w:val="en-GB"/>
              </w:rPr>
              <w:t>Indicator 2.3</w:t>
            </w:r>
            <w:r w:rsidRPr="00156B9D">
              <w:rPr>
                <w:lang w:val="en-GB"/>
              </w:rPr>
              <w:t xml:space="preserve">: Increase of renewable energy in final energy consumption </w:t>
            </w:r>
            <w:r w:rsidR="000D3680">
              <w:rPr>
                <w:lang w:val="en-GB"/>
              </w:rPr>
              <w:t>due</w:t>
            </w:r>
            <w:r w:rsidR="000D3680" w:rsidRPr="00156B9D">
              <w:rPr>
                <w:lang w:val="en-GB"/>
              </w:rPr>
              <w:t xml:space="preserve"> </w:t>
            </w:r>
            <w:r w:rsidRPr="00156B9D">
              <w:rPr>
                <w:lang w:val="en-GB"/>
              </w:rPr>
              <w:t xml:space="preserve">to </w:t>
            </w:r>
            <w:r w:rsidR="00EF67A6">
              <w:rPr>
                <w:lang w:val="en-GB"/>
              </w:rPr>
              <w:t>higher</w:t>
            </w:r>
            <w:r w:rsidR="00EF67A6" w:rsidRPr="00156B9D">
              <w:rPr>
                <w:lang w:val="en-GB"/>
              </w:rPr>
              <w:t xml:space="preserve"> </w:t>
            </w:r>
            <w:r w:rsidRPr="00156B9D">
              <w:rPr>
                <w:lang w:val="en-GB"/>
              </w:rPr>
              <w:t xml:space="preserve">renewable energy </w:t>
            </w:r>
            <w:r w:rsidR="00EF67A6" w:rsidRPr="00156B9D">
              <w:rPr>
                <w:lang w:val="en-GB"/>
              </w:rPr>
              <w:t xml:space="preserve">capacity </w:t>
            </w:r>
            <w:r w:rsidRPr="00156B9D">
              <w:rPr>
                <w:lang w:val="en-GB"/>
              </w:rPr>
              <w:lastRenderedPageBreak/>
              <w:t>compared to total energy capacity (S</w:t>
            </w:r>
            <w:r w:rsidR="00FB6C88">
              <w:rPr>
                <w:lang w:val="en-GB"/>
              </w:rPr>
              <w:t xml:space="preserve">ustainable </w:t>
            </w:r>
            <w:r w:rsidRPr="00156B9D">
              <w:rPr>
                <w:lang w:val="en-GB"/>
              </w:rPr>
              <w:t>D</w:t>
            </w:r>
            <w:r w:rsidR="00FB6C88">
              <w:rPr>
                <w:lang w:val="en-GB"/>
              </w:rPr>
              <w:t xml:space="preserve">evelopment </w:t>
            </w:r>
            <w:r w:rsidRPr="00156B9D">
              <w:rPr>
                <w:lang w:val="en-GB"/>
              </w:rPr>
              <w:t>G</w:t>
            </w:r>
            <w:r w:rsidR="00FB6C88">
              <w:rPr>
                <w:lang w:val="en-GB"/>
              </w:rPr>
              <w:t>oal</w:t>
            </w:r>
            <w:r w:rsidR="0089306F">
              <w:rPr>
                <w:lang w:val="en-GB"/>
              </w:rPr>
              <w:t>s</w:t>
            </w:r>
            <w:r w:rsidRPr="00156B9D">
              <w:rPr>
                <w:lang w:val="en-GB"/>
              </w:rPr>
              <w:t xml:space="preserve"> 12.a.1)</w:t>
            </w:r>
            <w:r w:rsidR="00C3174D">
              <w:rPr>
                <w:lang w:val="en-GB"/>
              </w:rPr>
              <w:t>.</w:t>
            </w:r>
          </w:p>
          <w:p w14:paraId="3FC8471B" w14:textId="1777F2F3" w:rsidR="0059376D" w:rsidRPr="00156B9D" w:rsidRDefault="0059376D" w:rsidP="00EE5CD5">
            <w:pPr>
              <w:jc w:val="both"/>
              <w:rPr>
                <w:bCs/>
                <w:lang w:val="en-GB"/>
              </w:rPr>
            </w:pPr>
            <w:r w:rsidRPr="00156B9D">
              <w:rPr>
                <w:b/>
                <w:lang w:val="en-GB"/>
              </w:rPr>
              <w:t>Baseline</w:t>
            </w:r>
            <w:r w:rsidR="00C3174D">
              <w:rPr>
                <w:b/>
                <w:lang w:val="en-GB"/>
              </w:rPr>
              <w:t xml:space="preserve"> </w:t>
            </w:r>
            <w:r w:rsidRPr="00156B9D">
              <w:rPr>
                <w:b/>
                <w:lang w:val="en-GB"/>
              </w:rPr>
              <w:t>(2022)</w:t>
            </w:r>
            <w:r w:rsidRPr="00156B9D">
              <w:rPr>
                <w:bCs/>
                <w:lang w:val="en-GB"/>
              </w:rPr>
              <w:t xml:space="preserve">: 65.44% </w:t>
            </w:r>
          </w:p>
          <w:p w14:paraId="015C9D52" w14:textId="77777777" w:rsidR="0059376D" w:rsidRPr="00156B9D" w:rsidRDefault="0059376D" w:rsidP="00EE5CD5">
            <w:pPr>
              <w:jc w:val="both"/>
              <w:rPr>
                <w:bCs/>
                <w:lang w:val="en-GB"/>
              </w:rPr>
            </w:pPr>
            <w:r w:rsidRPr="00156B9D">
              <w:rPr>
                <w:b/>
                <w:lang w:val="en-GB"/>
              </w:rPr>
              <w:t>Target (2028)</w:t>
            </w:r>
            <w:r w:rsidRPr="00156B9D">
              <w:rPr>
                <w:bCs/>
                <w:lang w:val="en-GB"/>
              </w:rPr>
              <w:t>: 70%</w:t>
            </w:r>
          </w:p>
          <w:p w14:paraId="590C0357" w14:textId="77777777" w:rsidR="0059376D" w:rsidRPr="00156B9D" w:rsidRDefault="0059376D" w:rsidP="00EE5CD5">
            <w:pPr>
              <w:autoSpaceDE w:val="0"/>
              <w:autoSpaceDN w:val="0"/>
              <w:adjustRightInd w:val="0"/>
              <w:jc w:val="both"/>
              <w:rPr>
                <w:lang w:val="en-GB"/>
              </w:rPr>
            </w:pPr>
          </w:p>
          <w:p w14:paraId="3CE9156C" w14:textId="77777777" w:rsidR="0059376D" w:rsidRPr="00156B9D" w:rsidRDefault="0059376D" w:rsidP="00EE5CD5">
            <w:pPr>
              <w:autoSpaceDE w:val="0"/>
              <w:autoSpaceDN w:val="0"/>
              <w:adjustRightInd w:val="0"/>
              <w:jc w:val="both"/>
              <w:rPr>
                <w:lang w:val="en-GB"/>
              </w:rPr>
            </w:pPr>
          </w:p>
        </w:tc>
        <w:tc>
          <w:tcPr>
            <w:tcW w:w="2835" w:type="dxa"/>
            <w:vMerge w:val="restart"/>
            <w:shd w:val="clear" w:color="auto" w:fill="auto"/>
          </w:tcPr>
          <w:p w14:paraId="54E795FE" w14:textId="77777777" w:rsidR="0059376D" w:rsidRPr="00156B9D" w:rsidRDefault="0059376D" w:rsidP="00EE5CD5">
            <w:pPr>
              <w:jc w:val="both"/>
              <w:rPr>
                <w:lang w:val="en-GB"/>
              </w:rPr>
            </w:pPr>
            <w:r w:rsidRPr="00156B9D">
              <w:rPr>
                <w:b/>
                <w:lang w:val="en-GB"/>
              </w:rPr>
              <w:lastRenderedPageBreak/>
              <w:t>Source</w:t>
            </w:r>
            <w:r w:rsidRPr="00156B9D">
              <w:rPr>
                <w:lang w:val="en-GB"/>
              </w:rPr>
              <w:t xml:space="preserve">: </w:t>
            </w:r>
            <w:r w:rsidRPr="00156B9D">
              <w:rPr>
                <w:bCs/>
                <w:lang w:val="en-GB"/>
              </w:rPr>
              <w:t xml:space="preserve">Harmonized Survey on Household Living Conditions </w:t>
            </w:r>
          </w:p>
          <w:p w14:paraId="53720F3C" w14:textId="36C243CB" w:rsidR="0059376D" w:rsidRPr="00156B9D" w:rsidRDefault="0059376D" w:rsidP="00EE5CD5">
            <w:pPr>
              <w:jc w:val="both"/>
              <w:rPr>
                <w:lang w:val="en-GB"/>
              </w:rPr>
            </w:pPr>
            <w:r w:rsidRPr="00156B9D">
              <w:rPr>
                <w:b/>
                <w:bCs/>
                <w:lang w:val="en-GB"/>
              </w:rPr>
              <w:t>Frequency:</w:t>
            </w:r>
            <w:r w:rsidR="009141B0">
              <w:rPr>
                <w:b/>
                <w:bCs/>
                <w:lang w:val="en-GB"/>
              </w:rPr>
              <w:t xml:space="preserve"> </w:t>
            </w:r>
            <w:r w:rsidRPr="00156B9D">
              <w:rPr>
                <w:lang w:val="en-GB"/>
              </w:rPr>
              <w:t>4 years</w:t>
            </w:r>
          </w:p>
          <w:p w14:paraId="59BF4218" w14:textId="77777777" w:rsidR="0059376D" w:rsidRPr="00156B9D" w:rsidRDefault="0059376D" w:rsidP="00EE5CD5">
            <w:pPr>
              <w:jc w:val="both"/>
              <w:rPr>
                <w:rStyle w:val="rynqvb"/>
                <w:lang w:val="en-GB"/>
              </w:rPr>
            </w:pPr>
            <w:r w:rsidRPr="00156B9D">
              <w:rPr>
                <w:b/>
                <w:bCs/>
                <w:lang w:val="en-GB"/>
              </w:rPr>
              <w:t>Responsible</w:t>
            </w:r>
            <w:r w:rsidRPr="00156B9D">
              <w:rPr>
                <w:lang w:val="en-GB"/>
              </w:rPr>
              <w:t xml:space="preserve">: Ministry of Planning </w:t>
            </w:r>
          </w:p>
          <w:p w14:paraId="19576FA2" w14:textId="77777777" w:rsidR="0059376D" w:rsidRPr="00156B9D" w:rsidRDefault="0059376D" w:rsidP="00EE5CD5">
            <w:pPr>
              <w:jc w:val="both"/>
              <w:rPr>
                <w:lang w:val="en-GB"/>
              </w:rPr>
            </w:pPr>
          </w:p>
          <w:p w14:paraId="4A625652" w14:textId="77777777" w:rsidR="0059376D" w:rsidRPr="00156B9D" w:rsidRDefault="0059376D" w:rsidP="00EE5CD5">
            <w:pPr>
              <w:jc w:val="both"/>
              <w:rPr>
                <w:lang w:val="en-GB"/>
              </w:rPr>
            </w:pPr>
          </w:p>
          <w:p w14:paraId="399651AB" w14:textId="77777777" w:rsidR="0059376D" w:rsidRPr="00156B9D" w:rsidRDefault="0059376D" w:rsidP="00EE5CD5">
            <w:pPr>
              <w:jc w:val="both"/>
              <w:rPr>
                <w:lang w:val="en-GB"/>
              </w:rPr>
            </w:pPr>
          </w:p>
          <w:p w14:paraId="56C7EAB5" w14:textId="77777777" w:rsidR="0059376D" w:rsidRPr="00156B9D" w:rsidRDefault="0059376D" w:rsidP="00EE5CD5">
            <w:pPr>
              <w:jc w:val="both"/>
              <w:rPr>
                <w:lang w:val="en-GB"/>
              </w:rPr>
            </w:pPr>
            <w:r w:rsidRPr="00156B9D">
              <w:rPr>
                <w:b/>
                <w:lang w:val="en-GB"/>
              </w:rPr>
              <w:t xml:space="preserve">Source: </w:t>
            </w:r>
            <w:r w:rsidRPr="00156B9D">
              <w:rPr>
                <w:bCs/>
                <w:lang w:val="en-GB"/>
              </w:rPr>
              <w:t xml:space="preserve">Harmonized Survey on Household Living Conditions </w:t>
            </w:r>
          </w:p>
          <w:p w14:paraId="4E83F692" w14:textId="77777777" w:rsidR="0059376D" w:rsidRPr="00156B9D" w:rsidRDefault="0059376D" w:rsidP="00EE5CD5">
            <w:pPr>
              <w:jc w:val="both"/>
              <w:rPr>
                <w:lang w:val="en-GB"/>
              </w:rPr>
            </w:pPr>
            <w:r w:rsidRPr="00156B9D">
              <w:rPr>
                <w:b/>
                <w:bCs/>
                <w:lang w:val="en-GB"/>
              </w:rPr>
              <w:t>Frequency</w:t>
            </w:r>
            <w:r w:rsidRPr="00156B9D">
              <w:rPr>
                <w:lang w:val="en-GB"/>
              </w:rPr>
              <w:t>: 4 years</w:t>
            </w:r>
          </w:p>
          <w:p w14:paraId="3797308E" w14:textId="77777777" w:rsidR="0059376D" w:rsidRPr="00156B9D" w:rsidRDefault="0059376D" w:rsidP="00EE5CD5">
            <w:pPr>
              <w:jc w:val="both"/>
              <w:rPr>
                <w:rStyle w:val="rynqvb"/>
                <w:lang w:val="en-GB"/>
              </w:rPr>
            </w:pPr>
            <w:r w:rsidRPr="00156B9D">
              <w:rPr>
                <w:b/>
                <w:bCs/>
                <w:lang w:val="en-GB"/>
              </w:rPr>
              <w:t>Responsible</w:t>
            </w:r>
            <w:r w:rsidRPr="00156B9D">
              <w:rPr>
                <w:lang w:val="en-GB"/>
              </w:rPr>
              <w:t xml:space="preserve">: Ministry of Planning </w:t>
            </w:r>
          </w:p>
          <w:p w14:paraId="3E2E988B" w14:textId="77777777" w:rsidR="0059376D" w:rsidRPr="00156B9D" w:rsidRDefault="0059376D" w:rsidP="00EE5CD5">
            <w:pPr>
              <w:jc w:val="both"/>
              <w:rPr>
                <w:b/>
                <w:lang w:val="en-GB"/>
              </w:rPr>
            </w:pPr>
          </w:p>
          <w:p w14:paraId="1C9EE7FC" w14:textId="77777777" w:rsidR="0059376D" w:rsidRPr="00156B9D" w:rsidRDefault="0059376D" w:rsidP="00EE5CD5">
            <w:pPr>
              <w:jc w:val="both"/>
              <w:rPr>
                <w:b/>
                <w:lang w:val="en-GB"/>
              </w:rPr>
            </w:pPr>
          </w:p>
          <w:p w14:paraId="17368012" w14:textId="77777777" w:rsidR="0059376D" w:rsidRPr="00156B9D" w:rsidRDefault="0059376D" w:rsidP="00EE5CD5">
            <w:pPr>
              <w:jc w:val="both"/>
              <w:rPr>
                <w:b/>
                <w:lang w:val="en-GB"/>
              </w:rPr>
            </w:pPr>
          </w:p>
          <w:p w14:paraId="20DBFDFE" w14:textId="77777777" w:rsidR="0059376D" w:rsidRPr="00156B9D" w:rsidRDefault="0059376D" w:rsidP="00EE5CD5">
            <w:pPr>
              <w:jc w:val="both"/>
              <w:rPr>
                <w:b/>
                <w:lang w:val="en-GB"/>
              </w:rPr>
            </w:pPr>
          </w:p>
          <w:p w14:paraId="32ABCFBE" w14:textId="77777777" w:rsidR="0059376D" w:rsidRPr="00156B9D" w:rsidRDefault="0059376D" w:rsidP="00EE5CD5">
            <w:pPr>
              <w:jc w:val="both"/>
              <w:rPr>
                <w:b/>
                <w:lang w:val="en-GB"/>
              </w:rPr>
            </w:pPr>
          </w:p>
          <w:p w14:paraId="044D7708" w14:textId="77777777" w:rsidR="0059376D" w:rsidRPr="00156B9D" w:rsidRDefault="0059376D" w:rsidP="00EE5CD5">
            <w:pPr>
              <w:jc w:val="both"/>
              <w:rPr>
                <w:b/>
                <w:lang w:val="en-GB"/>
              </w:rPr>
            </w:pPr>
          </w:p>
          <w:p w14:paraId="2ADC1A91" w14:textId="77777777" w:rsidR="0059376D" w:rsidRPr="00156B9D" w:rsidRDefault="0059376D" w:rsidP="00EE5CD5">
            <w:pPr>
              <w:jc w:val="both"/>
              <w:rPr>
                <w:b/>
                <w:lang w:val="en-GB"/>
              </w:rPr>
            </w:pPr>
          </w:p>
          <w:p w14:paraId="58F3EA0A" w14:textId="77777777" w:rsidR="0059376D" w:rsidRPr="00156B9D" w:rsidRDefault="0059376D" w:rsidP="00EE5CD5">
            <w:pPr>
              <w:jc w:val="both"/>
              <w:rPr>
                <w:lang w:val="en-GB"/>
              </w:rPr>
            </w:pPr>
            <w:r w:rsidRPr="00156B9D">
              <w:rPr>
                <w:b/>
                <w:lang w:val="en-GB"/>
              </w:rPr>
              <w:t>Source</w:t>
            </w:r>
            <w:r w:rsidRPr="00156B9D">
              <w:rPr>
                <w:lang w:val="en-GB"/>
              </w:rPr>
              <w:t xml:space="preserve">: World Bank </w:t>
            </w:r>
          </w:p>
          <w:p w14:paraId="206678C5" w14:textId="77777777" w:rsidR="0059376D" w:rsidRPr="00156B9D" w:rsidRDefault="0059376D" w:rsidP="00EE5CD5">
            <w:pPr>
              <w:jc w:val="both"/>
              <w:rPr>
                <w:lang w:val="en-GB"/>
              </w:rPr>
            </w:pPr>
            <w:r w:rsidRPr="00156B9D">
              <w:rPr>
                <w:b/>
                <w:bCs/>
                <w:lang w:val="en-GB"/>
              </w:rPr>
              <w:t xml:space="preserve">Frequency:  </w:t>
            </w:r>
            <w:r w:rsidRPr="00156B9D">
              <w:rPr>
                <w:lang w:val="en-GB"/>
              </w:rPr>
              <w:t xml:space="preserve">5 years </w:t>
            </w:r>
          </w:p>
          <w:p w14:paraId="1633F011" w14:textId="77777777" w:rsidR="0059376D" w:rsidRPr="00156B9D" w:rsidRDefault="0059376D" w:rsidP="00EE5CD5">
            <w:pPr>
              <w:jc w:val="both"/>
              <w:rPr>
                <w:rStyle w:val="rynqvb"/>
                <w:lang w:val="en-GB"/>
              </w:rPr>
            </w:pPr>
            <w:r w:rsidRPr="00156B9D">
              <w:rPr>
                <w:b/>
                <w:bCs/>
                <w:lang w:val="en-GB"/>
              </w:rPr>
              <w:lastRenderedPageBreak/>
              <w:t>Responsible</w:t>
            </w:r>
            <w:r w:rsidRPr="00156B9D">
              <w:rPr>
                <w:lang w:val="en-GB"/>
              </w:rPr>
              <w:t>: Ministry of Energy</w:t>
            </w:r>
          </w:p>
          <w:p w14:paraId="618D6F20" w14:textId="77777777" w:rsidR="0059376D" w:rsidRPr="00156B9D" w:rsidRDefault="0059376D" w:rsidP="00EE5CD5">
            <w:pPr>
              <w:jc w:val="both"/>
              <w:rPr>
                <w:lang w:val="en-GB" w:eastAsia="fr-FR"/>
              </w:rPr>
            </w:pPr>
          </w:p>
          <w:p w14:paraId="09ED0C40" w14:textId="77777777" w:rsidR="0059376D" w:rsidRPr="00156B9D" w:rsidRDefault="0059376D" w:rsidP="00EE5CD5">
            <w:pPr>
              <w:jc w:val="both"/>
              <w:rPr>
                <w:lang w:val="en-GB" w:eastAsia="fr-FR"/>
              </w:rPr>
            </w:pPr>
          </w:p>
          <w:p w14:paraId="65FB9CC2" w14:textId="77777777" w:rsidR="0059376D" w:rsidRPr="00156B9D" w:rsidRDefault="0059376D" w:rsidP="00EE5CD5">
            <w:pPr>
              <w:jc w:val="both"/>
              <w:rPr>
                <w:lang w:val="en-GB" w:eastAsia="fr-FR"/>
              </w:rPr>
            </w:pPr>
          </w:p>
          <w:p w14:paraId="00B9B072" w14:textId="77777777" w:rsidR="0059376D" w:rsidRPr="00156B9D" w:rsidRDefault="0059376D" w:rsidP="00EE5CD5">
            <w:pPr>
              <w:jc w:val="both"/>
              <w:rPr>
                <w:lang w:val="en-GB"/>
              </w:rPr>
            </w:pPr>
          </w:p>
        </w:tc>
        <w:tc>
          <w:tcPr>
            <w:tcW w:w="4819" w:type="dxa"/>
            <w:shd w:val="clear" w:color="auto" w:fill="auto"/>
          </w:tcPr>
          <w:p w14:paraId="6EB2C374" w14:textId="6B89E9D0" w:rsidR="0059376D" w:rsidRPr="00156B9D" w:rsidRDefault="0059376D" w:rsidP="00EE5CD5">
            <w:pPr>
              <w:jc w:val="both"/>
              <w:rPr>
                <w:b/>
                <w:bCs/>
                <w:lang w:val="en-GB"/>
              </w:rPr>
            </w:pPr>
            <w:r w:rsidRPr="00156B9D">
              <w:rPr>
                <w:b/>
                <w:bCs/>
                <w:lang w:val="en-GB"/>
              </w:rPr>
              <w:lastRenderedPageBreak/>
              <w:t xml:space="preserve">Output 2.1: Public institutions at the national and local levels have </w:t>
            </w:r>
            <w:r w:rsidR="009C0C53">
              <w:rPr>
                <w:b/>
                <w:bCs/>
                <w:lang w:val="en-GB"/>
              </w:rPr>
              <w:t>increased</w:t>
            </w:r>
            <w:r w:rsidR="009C0C53" w:rsidRPr="00156B9D">
              <w:rPr>
                <w:b/>
                <w:bCs/>
                <w:lang w:val="en-GB"/>
              </w:rPr>
              <w:t xml:space="preserve"> </w:t>
            </w:r>
            <w:r w:rsidRPr="00156B9D">
              <w:rPr>
                <w:b/>
                <w:bCs/>
                <w:lang w:val="en-GB"/>
              </w:rPr>
              <w:t>capacities and strengthened partnerships to formulate, implement and ensure the monitoring and evaluation of effective gender-, climate- and youth employment-sensitive public policies and programmes.</w:t>
            </w:r>
          </w:p>
          <w:p w14:paraId="5B012244" w14:textId="77777777" w:rsidR="0059376D" w:rsidRPr="00156B9D" w:rsidRDefault="0059376D" w:rsidP="00EE5CD5">
            <w:pPr>
              <w:jc w:val="both"/>
              <w:rPr>
                <w:bCs/>
                <w:lang w:val="en-GB"/>
              </w:rPr>
            </w:pPr>
          </w:p>
          <w:p w14:paraId="558C6A16" w14:textId="77777777" w:rsidR="0059376D" w:rsidRPr="00156B9D" w:rsidRDefault="0059376D" w:rsidP="00EE5CD5">
            <w:pPr>
              <w:jc w:val="both"/>
              <w:rPr>
                <w:lang w:val="en-GB"/>
              </w:rPr>
            </w:pPr>
            <w:r w:rsidRPr="00156B9D">
              <w:rPr>
                <w:b/>
                <w:lang w:val="en-GB"/>
              </w:rPr>
              <w:t>Indicator 2.1.1</w:t>
            </w:r>
            <w:r w:rsidRPr="00156B9D">
              <w:rPr>
                <w:bCs/>
                <w:lang w:val="en-GB"/>
              </w:rPr>
              <w:t xml:space="preserve">: </w:t>
            </w:r>
            <w:r w:rsidRPr="00156B9D">
              <w:rPr>
                <w:lang w:val="en-GB"/>
              </w:rPr>
              <w:t xml:space="preserve">Number of policies/programmes developed and implemented that integrate gender, climate or youth employment. </w:t>
            </w:r>
          </w:p>
          <w:p w14:paraId="06CEB09A" w14:textId="0BE796B1" w:rsidR="0059376D" w:rsidRPr="00156B9D" w:rsidRDefault="0059376D" w:rsidP="00EE5CD5">
            <w:pPr>
              <w:jc w:val="both"/>
              <w:rPr>
                <w:bCs/>
                <w:lang w:val="en-GB"/>
              </w:rPr>
            </w:pPr>
            <w:r w:rsidRPr="00156B9D">
              <w:rPr>
                <w:b/>
                <w:lang w:val="en-GB"/>
              </w:rPr>
              <w:t>Baseline</w:t>
            </w:r>
            <w:r w:rsidR="009141B0">
              <w:rPr>
                <w:b/>
                <w:lang w:val="en-GB"/>
              </w:rPr>
              <w:t xml:space="preserve"> </w:t>
            </w:r>
            <w:r w:rsidRPr="00156B9D">
              <w:rPr>
                <w:b/>
                <w:lang w:val="en-GB"/>
              </w:rPr>
              <w:t>(2022)</w:t>
            </w:r>
            <w:r w:rsidRPr="00156B9D">
              <w:rPr>
                <w:bCs/>
                <w:lang w:val="en-GB"/>
              </w:rPr>
              <w:t>:</w:t>
            </w:r>
            <w:r w:rsidR="009141B0">
              <w:rPr>
                <w:bCs/>
                <w:lang w:val="en-GB"/>
              </w:rPr>
              <w:t xml:space="preserve"> </w:t>
            </w:r>
            <w:r w:rsidRPr="00156B9D">
              <w:rPr>
                <w:bCs/>
                <w:lang w:val="en-GB"/>
              </w:rPr>
              <w:t xml:space="preserve">29 </w:t>
            </w:r>
          </w:p>
          <w:p w14:paraId="4259B8EB" w14:textId="1290EC8A" w:rsidR="0059376D" w:rsidRPr="00156B9D" w:rsidRDefault="0059376D" w:rsidP="00EE5CD5">
            <w:pPr>
              <w:jc w:val="both"/>
              <w:rPr>
                <w:bCs/>
                <w:lang w:val="en-GB"/>
              </w:rPr>
            </w:pPr>
            <w:r w:rsidRPr="00156B9D">
              <w:rPr>
                <w:b/>
                <w:lang w:val="en-GB"/>
              </w:rPr>
              <w:t>Target</w:t>
            </w:r>
            <w:r w:rsidR="009141B0">
              <w:rPr>
                <w:b/>
                <w:lang w:val="en-GB"/>
              </w:rPr>
              <w:t xml:space="preserve"> </w:t>
            </w:r>
            <w:r w:rsidRPr="00156B9D">
              <w:rPr>
                <w:b/>
                <w:lang w:val="en-GB"/>
              </w:rPr>
              <w:t>(2028)</w:t>
            </w:r>
            <w:r w:rsidRPr="00156B9D">
              <w:rPr>
                <w:bCs/>
                <w:lang w:val="en-GB"/>
              </w:rPr>
              <w:t>:</w:t>
            </w:r>
            <w:r w:rsidR="009141B0">
              <w:rPr>
                <w:bCs/>
                <w:lang w:val="en-GB"/>
              </w:rPr>
              <w:t xml:space="preserve"> </w:t>
            </w:r>
            <w:r w:rsidRPr="00156B9D">
              <w:rPr>
                <w:bCs/>
                <w:lang w:val="en-GB"/>
              </w:rPr>
              <w:t xml:space="preserve">57 </w:t>
            </w:r>
          </w:p>
          <w:p w14:paraId="0717F953" w14:textId="77777777" w:rsidR="0059376D" w:rsidRPr="00156B9D" w:rsidRDefault="0059376D" w:rsidP="00EE5CD5">
            <w:pPr>
              <w:jc w:val="both"/>
              <w:rPr>
                <w:bCs/>
                <w:lang w:val="en-GB"/>
              </w:rPr>
            </w:pPr>
            <w:r w:rsidRPr="00156B9D">
              <w:rPr>
                <w:b/>
                <w:lang w:val="en-GB"/>
              </w:rPr>
              <w:t>Sources</w:t>
            </w:r>
            <w:r w:rsidRPr="00156B9D">
              <w:rPr>
                <w:bCs/>
                <w:lang w:val="en-GB"/>
              </w:rPr>
              <w:t xml:space="preserve">: Ministry of Planning </w:t>
            </w:r>
          </w:p>
          <w:p w14:paraId="3DC4927C"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p w14:paraId="393474C4" w14:textId="77777777" w:rsidR="0059376D" w:rsidRPr="00156B9D" w:rsidRDefault="0059376D" w:rsidP="00EE5CD5">
            <w:pPr>
              <w:jc w:val="both"/>
              <w:rPr>
                <w:bCs/>
                <w:lang w:val="en-GB"/>
              </w:rPr>
            </w:pPr>
          </w:p>
          <w:p w14:paraId="2C705540" w14:textId="24DBAF80" w:rsidR="0059376D" w:rsidRPr="00156B9D" w:rsidRDefault="0059376D" w:rsidP="00EE5CD5">
            <w:pPr>
              <w:jc w:val="both"/>
              <w:rPr>
                <w:rStyle w:val="cf01"/>
                <w:lang w:val="en-GB"/>
              </w:rPr>
            </w:pPr>
            <w:r w:rsidRPr="00156B9D">
              <w:rPr>
                <w:b/>
                <w:lang w:val="en-GB"/>
              </w:rPr>
              <w:t xml:space="preserve">Indicator 2.1.2: </w:t>
            </w:r>
            <w:r w:rsidRPr="003732A0">
              <w:rPr>
                <w:rStyle w:val="cf01"/>
                <w:rFonts w:asciiTheme="majorBidi" w:hAnsiTheme="majorBidi" w:cstheme="majorBidi"/>
                <w:sz w:val="20"/>
                <w:szCs w:val="20"/>
                <w:lang w:val="en-GB"/>
              </w:rPr>
              <w:t xml:space="preserve">Number of </w:t>
            </w:r>
            <w:r w:rsidR="009C0C53">
              <w:rPr>
                <w:rStyle w:val="cf01"/>
                <w:rFonts w:asciiTheme="majorBidi" w:hAnsiTheme="majorBidi" w:cstheme="majorBidi"/>
                <w:sz w:val="20"/>
                <w:szCs w:val="20"/>
                <w:lang w:val="en-GB"/>
              </w:rPr>
              <w:t>i</w:t>
            </w:r>
            <w:r w:rsidR="009C0C53" w:rsidRPr="003732A0">
              <w:rPr>
                <w:rStyle w:val="cf01"/>
                <w:rFonts w:asciiTheme="majorBidi" w:hAnsiTheme="majorBidi" w:cstheme="majorBidi"/>
                <w:sz w:val="20"/>
                <w:szCs w:val="20"/>
                <w:lang w:val="en-GB"/>
              </w:rPr>
              <w:t xml:space="preserve">nstitutions </w:t>
            </w:r>
            <w:r w:rsidRPr="003732A0">
              <w:rPr>
                <w:rStyle w:val="cf01"/>
                <w:rFonts w:asciiTheme="majorBidi" w:hAnsiTheme="majorBidi" w:cstheme="majorBidi"/>
                <w:sz w:val="20"/>
                <w:szCs w:val="20"/>
                <w:lang w:val="en-GB"/>
              </w:rPr>
              <w:t>with technical knowledge/skills with effective service delivery in planning, budgeting and financing to contribute to the achievement of S</w:t>
            </w:r>
            <w:r w:rsidR="00DC2676">
              <w:rPr>
                <w:rStyle w:val="cf01"/>
                <w:rFonts w:asciiTheme="majorBidi" w:hAnsiTheme="majorBidi" w:cstheme="majorBidi"/>
                <w:sz w:val="20"/>
                <w:szCs w:val="20"/>
                <w:lang w:val="en-GB"/>
              </w:rPr>
              <w:t xml:space="preserve">ustainable </w:t>
            </w:r>
            <w:r w:rsidRPr="003732A0">
              <w:rPr>
                <w:rStyle w:val="cf01"/>
                <w:rFonts w:asciiTheme="majorBidi" w:hAnsiTheme="majorBidi" w:cstheme="majorBidi"/>
                <w:sz w:val="20"/>
                <w:szCs w:val="20"/>
                <w:lang w:val="en-GB"/>
              </w:rPr>
              <w:t>D</w:t>
            </w:r>
            <w:r w:rsidR="00DC2676">
              <w:rPr>
                <w:rStyle w:val="cf01"/>
                <w:rFonts w:asciiTheme="majorBidi" w:hAnsiTheme="majorBidi" w:cstheme="majorBidi"/>
                <w:sz w:val="20"/>
                <w:szCs w:val="20"/>
                <w:lang w:val="en-GB"/>
              </w:rPr>
              <w:t xml:space="preserve">evelopment </w:t>
            </w:r>
            <w:r w:rsidRPr="003732A0">
              <w:rPr>
                <w:rStyle w:val="cf01"/>
                <w:rFonts w:asciiTheme="majorBidi" w:hAnsiTheme="majorBidi" w:cstheme="majorBidi"/>
                <w:sz w:val="20"/>
                <w:szCs w:val="20"/>
                <w:lang w:val="en-GB"/>
              </w:rPr>
              <w:t>G</w:t>
            </w:r>
            <w:r w:rsidR="00DC2676">
              <w:rPr>
                <w:rStyle w:val="cf01"/>
                <w:rFonts w:asciiTheme="majorBidi" w:hAnsiTheme="majorBidi" w:cstheme="majorBidi"/>
                <w:sz w:val="20"/>
                <w:szCs w:val="20"/>
                <w:lang w:val="en-GB"/>
              </w:rPr>
              <w:t>oal</w:t>
            </w:r>
            <w:r w:rsidRPr="003732A0">
              <w:rPr>
                <w:rStyle w:val="cf01"/>
                <w:rFonts w:asciiTheme="majorBidi" w:hAnsiTheme="majorBidi" w:cstheme="majorBidi"/>
                <w:sz w:val="20"/>
                <w:szCs w:val="20"/>
                <w:lang w:val="en-GB"/>
              </w:rPr>
              <w:t>s, A</w:t>
            </w:r>
            <w:r w:rsidR="00DC2676">
              <w:rPr>
                <w:rStyle w:val="cf01"/>
                <w:rFonts w:asciiTheme="majorBidi" w:hAnsiTheme="majorBidi" w:cstheme="majorBidi"/>
                <w:sz w:val="20"/>
                <w:szCs w:val="20"/>
                <w:lang w:val="en-GB"/>
              </w:rPr>
              <w:t xml:space="preserve">frican </w:t>
            </w:r>
            <w:r w:rsidRPr="003732A0">
              <w:rPr>
                <w:rStyle w:val="cf01"/>
                <w:rFonts w:asciiTheme="majorBidi" w:hAnsiTheme="majorBidi" w:cstheme="majorBidi"/>
                <w:sz w:val="20"/>
                <w:szCs w:val="20"/>
                <w:lang w:val="en-GB"/>
              </w:rPr>
              <w:t>U</w:t>
            </w:r>
            <w:r w:rsidR="00DC2676">
              <w:rPr>
                <w:rStyle w:val="cf01"/>
                <w:rFonts w:asciiTheme="majorBidi" w:hAnsiTheme="majorBidi" w:cstheme="majorBidi"/>
                <w:sz w:val="20"/>
                <w:szCs w:val="20"/>
                <w:lang w:val="en-GB"/>
              </w:rPr>
              <w:t>nion</w:t>
            </w:r>
            <w:r w:rsidRPr="003732A0">
              <w:rPr>
                <w:rStyle w:val="cf01"/>
                <w:rFonts w:asciiTheme="majorBidi" w:hAnsiTheme="majorBidi" w:cstheme="majorBidi"/>
                <w:sz w:val="20"/>
                <w:szCs w:val="20"/>
                <w:lang w:val="en-GB"/>
              </w:rPr>
              <w:t xml:space="preserve"> Agenda 2063 and </w:t>
            </w:r>
            <w:r w:rsidR="005A1608">
              <w:rPr>
                <w:rStyle w:val="cf01"/>
                <w:rFonts w:asciiTheme="majorBidi" w:hAnsiTheme="majorBidi" w:cstheme="majorBidi"/>
                <w:sz w:val="20"/>
                <w:szCs w:val="20"/>
                <w:lang w:val="en-GB"/>
              </w:rPr>
              <w:t xml:space="preserve">the </w:t>
            </w:r>
            <w:r w:rsidRPr="003732A0">
              <w:rPr>
                <w:rStyle w:val="cf01"/>
                <w:rFonts w:asciiTheme="majorBidi" w:hAnsiTheme="majorBidi" w:cstheme="majorBidi"/>
                <w:sz w:val="20"/>
                <w:szCs w:val="20"/>
                <w:lang w:val="en-GB"/>
              </w:rPr>
              <w:t>Af</w:t>
            </w:r>
            <w:r w:rsidR="005A1608">
              <w:rPr>
                <w:rStyle w:val="cf01"/>
                <w:rFonts w:asciiTheme="majorBidi" w:hAnsiTheme="majorBidi" w:cstheme="majorBidi"/>
                <w:sz w:val="20"/>
                <w:szCs w:val="20"/>
                <w:lang w:val="en-GB"/>
              </w:rPr>
              <w:t xml:space="preserve">rican </w:t>
            </w:r>
            <w:r w:rsidRPr="003732A0">
              <w:rPr>
                <w:rStyle w:val="cf01"/>
                <w:rFonts w:asciiTheme="majorBidi" w:hAnsiTheme="majorBidi" w:cstheme="majorBidi"/>
                <w:sz w:val="20"/>
                <w:szCs w:val="20"/>
                <w:lang w:val="en-GB"/>
              </w:rPr>
              <w:t>C</w:t>
            </w:r>
            <w:r w:rsidR="005A1608">
              <w:rPr>
                <w:rStyle w:val="cf01"/>
                <w:rFonts w:asciiTheme="majorBidi" w:hAnsiTheme="majorBidi" w:cstheme="majorBidi"/>
                <w:sz w:val="20"/>
                <w:szCs w:val="20"/>
                <w:lang w:val="en-GB"/>
              </w:rPr>
              <w:t xml:space="preserve">ontinental </w:t>
            </w:r>
            <w:r w:rsidRPr="003732A0">
              <w:rPr>
                <w:rStyle w:val="cf01"/>
                <w:rFonts w:asciiTheme="majorBidi" w:hAnsiTheme="majorBidi" w:cstheme="majorBidi"/>
                <w:sz w:val="20"/>
                <w:szCs w:val="20"/>
                <w:lang w:val="en-GB"/>
              </w:rPr>
              <w:t>F</w:t>
            </w:r>
            <w:r w:rsidR="005A1608">
              <w:rPr>
                <w:rStyle w:val="cf01"/>
                <w:rFonts w:asciiTheme="majorBidi" w:hAnsiTheme="majorBidi" w:cstheme="majorBidi"/>
                <w:sz w:val="20"/>
                <w:szCs w:val="20"/>
                <w:lang w:val="en-GB"/>
              </w:rPr>
              <w:t xml:space="preserve">ree </w:t>
            </w:r>
            <w:r w:rsidRPr="003732A0">
              <w:rPr>
                <w:rStyle w:val="cf01"/>
                <w:rFonts w:asciiTheme="majorBidi" w:hAnsiTheme="majorBidi" w:cstheme="majorBidi"/>
                <w:sz w:val="20"/>
                <w:szCs w:val="20"/>
                <w:lang w:val="en-GB"/>
              </w:rPr>
              <w:t>T</w:t>
            </w:r>
            <w:r w:rsidR="005A1608">
              <w:rPr>
                <w:rStyle w:val="cf01"/>
                <w:rFonts w:asciiTheme="majorBidi" w:hAnsiTheme="majorBidi" w:cstheme="majorBidi"/>
                <w:sz w:val="20"/>
                <w:szCs w:val="20"/>
                <w:lang w:val="en-GB"/>
              </w:rPr>
              <w:t xml:space="preserve">rade </w:t>
            </w:r>
            <w:r w:rsidRPr="003732A0">
              <w:rPr>
                <w:rStyle w:val="cf01"/>
                <w:rFonts w:asciiTheme="majorBidi" w:hAnsiTheme="majorBidi" w:cstheme="majorBidi"/>
                <w:sz w:val="20"/>
                <w:szCs w:val="20"/>
                <w:lang w:val="en-GB"/>
              </w:rPr>
              <w:t>A</w:t>
            </w:r>
            <w:r w:rsidR="005A1608">
              <w:rPr>
                <w:rStyle w:val="cf01"/>
                <w:rFonts w:asciiTheme="majorBidi" w:hAnsiTheme="majorBidi" w:cstheme="majorBidi"/>
                <w:sz w:val="20"/>
                <w:szCs w:val="20"/>
                <w:lang w:val="en-GB"/>
              </w:rPr>
              <w:t>rea (AfCTA)</w:t>
            </w:r>
            <w:r w:rsidRPr="00156B9D">
              <w:rPr>
                <w:rStyle w:val="cf01"/>
                <w:lang w:val="en-GB"/>
              </w:rPr>
              <w:t xml:space="preserve"> </w:t>
            </w:r>
          </w:p>
          <w:p w14:paraId="6C834E1E" w14:textId="2CA0A29E" w:rsidR="0059376D" w:rsidRPr="00156B9D" w:rsidRDefault="0059376D" w:rsidP="00EE5CD5">
            <w:pPr>
              <w:jc w:val="both"/>
              <w:rPr>
                <w:bCs/>
                <w:lang w:val="en-GB"/>
              </w:rPr>
            </w:pPr>
            <w:r w:rsidRPr="00156B9D">
              <w:rPr>
                <w:b/>
                <w:lang w:val="en-GB"/>
              </w:rPr>
              <w:t>Baseline</w:t>
            </w:r>
            <w:r w:rsidR="00DC2676">
              <w:rPr>
                <w:b/>
                <w:lang w:val="en-GB"/>
              </w:rPr>
              <w:t xml:space="preserve"> </w:t>
            </w:r>
            <w:r w:rsidRPr="00156B9D">
              <w:rPr>
                <w:b/>
                <w:lang w:val="en-GB"/>
              </w:rPr>
              <w:t>(2022)</w:t>
            </w:r>
            <w:r w:rsidRPr="00156B9D">
              <w:rPr>
                <w:bCs/>
                <w:lang w:val="en-GB"/>
              </w:rPr>
              <w:t xml:space="preserve">: </w:t>
            </w:r>
          </w:p>
          <w:p w14:paraId="0458B4E3" w14:textId="63F4F5D7" w:rsidR="0059376D" w:rsidRPr="003732A0" w:rsidRDefault="0059376D" w:rsidP="00EE5CD5">
            <w:pPr>
              <w:jc w:val="both"/>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Local:</w:t>
            </w:r>
            <w:r w:rsidR="006413E2" w:rsidRPr="003732A0">
              <w:rPr>
                <w:rStyle w:val="cf01"/>
                <w:rFonts w:asciiTheme="majorBidi" w:hAnsiTheme="majorBidi" w:cstheme="majorBidi"/>
                <w:sz w:val="20"/>
                <w:szCs w:val="20"/>
                <w:lang w:val="en-GB"/>
              </w:rPr>
              <w:t xml:space="preserve"> </w:t>
            </w:r>
            <w:r w:rsidRPr="003732A0">
              <w:rPr>
                <w:rStyle w:val="cf01"/>
                <w:rFonts w:asciiTheme="majorBidi" w:hAnsiTheme="majorBidi" w:cstheme="majorBidi"/>
                <w:sz w:val="20"/>
                <w:szCs w:val="20"/>
                <w:lang w:val="en-GB"/>
              </w:rPr>
              <w:t>10</w:t>
            </w:r>
          </w:p>
          <w:p w14:paraId="5A200FCD" w14:textId="74E90227" w:rsidR="0059376D" w:rsidRPr="003732A0" w:rsidRDefault="0059376D" w:rsidP="00EE5CD5">
            <w:pPr>
              <w:jc w:val="both"/>
              <w:rPr>
                <w:rFonts w:asciiTheme="majorBidi" w:hAnsiTheme="majorBidi" w:cstheme="majorBidi"/>
                <w:bCs/>
                <w:lang w:val="en-GB"/>
              </w:rPr>
            </w:pPr>
            <w:r w:rsidRPr="003732A0">
              <w:rPr>
                <w:rStyle w:val="cf01"/>
                <w:rFonts w:asciiTheme="majorBidi" w:hAnsiTheme="majorBidi" w:cstheme="majorBidi"/>
                <w:sz w:val="20"/>
                <w:szCs w:val="20"/>
                <w:lang w:val="en-GB"/>
              </w:rPr>
              <w:lastRenderedPageBreak/>
              <w:t>Central:</w:t>
            </w:r>
            <w:r w:rsidR="006413E2" w:rsidRPr="003732A0">
              <w:rPr>
                <w:rStyle w:val="cf01"/>
                <w:rFonts w:asciiTheme="majorBidi" w:hAnsiTheme="majorBidi" w:cstheme="majorBidi"/>
                <w:sz w:val="20"/>
                <w:szCs w:val="20"/>
                <w:lang w:val="en-GB"/>
              </w:rPr>
              <w:t xml:space="preserve"> </w:t>
            </w:r>
            <w:r w:rsidRPr="003732A0">
              <w:rPr>
                <w:rStyle w:val="cf01"/>
                <w:rFonts w:asciiTheme="majorBidi" w:hAnsiTheme="majorBidi" w:cstheme="majorBidi"/>
                <w:sz w:val="20"/>
                <w:szCs w:val="20"/>
                <w:lang w:val="en-GB"/>
              </w:rPr>
              <w:t>4</w:t>
            </w:r>
          </w:p>
          <w:p w14:paraId="1B0B132D" w14:textId="14220FC5" w:rsidR="0059376D" w:rsidRPr="00156B9D" w:rsidRDefault="0059376D" w:rsidP="00EE5CD5">
            <w:pPr>
              <w:jc w:val="both"/>
              <w:rPr>
                <w:bCs/>
                <w:lang w:val="en-GB"/>
              </w:rPr>
            </w:pPr>
            <w:r w:rsidRPr="00156B9D">
              <w:rPr>
                <w:b/>
                <w:lang w:val="en-GB"/>
              </w:rPr>
              <w:t>Target</w:t>
            </w:r>
            <w:r w:rsidR="00C3174D">
              <w:rPr>
                <w:b/>
                <w:lang w:val="en-GB"/>
              </w:rPr>
              <w:t xml:space="preserve"> </w:t>
            </w:r>
            <w:r w:rsidRPr="00156B9D">
              <w:rPr>
                <w:b/>
                <w:lang w:val="en-GB"/>
              </w:rPr>
              <w:t>(2028)</w:t>
            </w:r>
            <w:r w:rsidRPr="00156B9D">
              <w:rPr>
                <w:bCs/>
                <w:lang w:val="en-GB"/>
              </w:rPr>
              <w:t xml:space="preserve">: </w:t>
            </w:r>
          </w:p>
          <w:p w14:paraId="12EB67D0" w14:textId="4B6302F5" w:rsidR="0059376D" w:rsidRPr="003732A0" w:rsidRDefault="0059376D" w:rsidP="00EE5CD5">
            <w:pPr>
              <w:jc w:val="both"/>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Local:</w:t>
            </w:r>
            <w:r w:rsidR="00C3174D" w:rsidRPr="003732A0">
              <w:rPr>
                <w:rStyle w:val="cf01"/>
                <w:rFonts w:asciiTheme="majorBidi" w:hAnsiTheme="majorBidi" w:cstheme="majorBidi"/>
                <w:sz w:val="20"/>
                <w:szCs w:val="20"/>
                <w:lang w:val="en-GB"/>
              </w:rPr>
              <w:t xml:space="preserve"> </w:t>
            </w:r>
            <w:r w:rsidRPr="003732A0">
              <w:rPr>
                <w:rStyle w:val="cf01"/>
                <w:rFonts w:asciiTheme="majorBidi" w:hAnsiTheme="majorBidi" w:cstheme="majorBidi"/>
                <w:sz w:val="20"/>
                <w:szCs w:val="20"/>
                <w:lang w:val="en-GB"/>
              </w:rPr>
              <w:t>80</w:t>
            </w:r>
          </w:p>
          <w:p w14:paraId="6BFA4E75" w14:textId="46B191DB" w:rsidR="0059376D" w:rsidRPr="003732A0" w:rsidRDefault="0059376D" w:rsidP="00EE5CD5">
            <w:pPr>
              <w:jc w:val="both"/>
              <w:rPr>
                <w:rFonts w:asciiTheme="majorBidi" w:hAnsiTheme="majorBidi" w:cstheme="majorBidi"/>
                <w:b/>
                <w:lang w:val="en-GB"/>
              </w:rPr>
            </w:pPr>
            <w:r w:rsidRPr="003732A0">
              <w:rPr>
                <w:rStyle w:val="cf01"/>
                <w:rFonts w:asciiTheme="majorBidi" w:hAnsiTheme="majorBidi" w:cstheme="majorBidi"/>
                <w:sz w:val="20"/>
                <w:szCs w:val="20"/>
                <w:lang w:val="en-GB"/>
              </w:rPr>
              <w:t>Central:</w:t>
            </w:r>
            <w:r w:rsidR="00C3174D" w:rsidRPr="003732A0">
              <w:rPr>
                <w:rStyle w:val="cf01"/>
                <w:rFonts w:asciiTheme="majorBidi" w:hAnsiTheme="majorBidi" w:cstheme="majorBidi"/>
                <w:sz w:val="20"/>
                <w:szCs w:val="20"/>
                <w:lang w:val="en-GB"/>
              </w:rPr>
              <w:t xml:space="preserve"> </w:t>
            </w:r>
            <w:r w:rsidRPr="003732A0">
              <w:rPr>
                <w:rStyle w:val="cf01"/>
                <w:rFonts w:asciiTheme="majorBidi" w:hAnsiTheme="majorBidi" w:cstheme="majorBidi"/>
                <w:sz w:val="20"/>
                <w:szCs w:val="20"/>
                <w:lang w:val="en-GB"/>
              </w:rPr>
              <w:t>8</w:t>
            </w:r>
          </w:p>
          <w:p w14:paraId="7CA0CBAC" w14:textId="77777777" w:rsidR="0059376D" w:rsidRPr="00156B9D" w:rsidRDefault="0059376D" w:rsidP="00EE5CD5">
            <w:pPr>
              <w:jc w:val="both"/>
              <w:rPr>
                <w:bCs/>
                <w:lang w:val="en-GB"/>
              </w:rPr>
            </w:pPr>
            <w:r w:rsidRPr="00156B9D">
              <w:rPr>
                <w:b/>
                <w:lang w:val="en-GB"/>
              </w:rPr>
              <w:t>Sources</w:t>
            </w:r>
            <w:r w:rsidRPr="00156B9D">
              <w:rPr>
                <w:bCs/>
                <w:lang w:val="en-GB"/>
              </w:rPr>
              <w:t xml:space="preserve">: Ministry of Planning </w:t>
            </w:r>
          </w:p>
          <w:p w14:paraId="3FB2785A"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p w14:paraId="3CBFD9B4" w14:textId="77777777" w:rsidR="0059376D" w:rsidRPr="00156B9D" w:rsidRDefault="0059376D" w:rsidP="00EE5CD5">
            <w:pPr>
              <w:jc w:val="both"/>
              <w:rPr>
                <w:bCs/>
                <w:lang w:val="en-GB"/>
              </w:rPr>
            </w:pPr>
          </w:p>
          <w:p w14:paraId="270FB365" w14:textId="1AE87A60" w:rsidR="0059376D" w:rsidRPr="00156B9D" w:rsidRDefault="0059376D" w:rsidP="00EE5CD5">
            <w:pPr>
              <w:jc w:val="both"/>
              <w:rPr>
                <w:rStyle w:val="cf01"/>
                <w:lang w:val="en-GB"/>
              </w:rPr>
            </w:pPr>
            <w:r w:rsidRPr="00156B9D">
              <w:rPr>
                <w:b/>
                <w:bCs/>
                <w:lang w:val="en-GB"/>
              </w:rPr>
              <w:t>Indicator 2.1.3</w:t>
            </w:r>
            <w:r w:rsidRPr="00156B9D">
              <w:rPr>
                <w:lang w:val="en-GB"/>
              </w:rPr>
              <w:t xml:space="preserve">: </w:t>
            </w:r>
            <w:r w:rsidRPr="003732A0">
              <w:rPr>
                <w:rStyle w:val="cf01"/>
                <w:rFonts w:asciiTheme="majorBidi" w:hAnsiTheme="majorBidi" w:cstheme="majorBidi"/>
                <w:sz w:val="20"/>
                <w:szCs w:val="20"/>
                <w:lang w:val="en-GB"/>
              </w:rPr>
              <w:t xml:space="preserve">Number of partnership agreements signed, including with United Nations </w:t>
            </w:r>
            <w:r w:rsidR="009C0C53">
              <w:rPr>
                <w:rStyle w:val="cf01"/>
                <w:rFonts w:asciiTheme="majorBidi" w:hAnsiTheme="majorBidi" w:cstheme="majorBidi"/>
                <w:sz w:val="20"/>
                <w:szCs w:val="20"/>
                <w:lang w:val="en-GB"/>
              </w:rPr>
              <w:t>organizations</w:t>
            </w:r>
            <w:r w:rsidRPr="003732A0">
              <w:rPr>
                <w:rStyle w:val="cf01"/>
                <w:rFonts w:asciiTheme="majorBidi" w:hAnsiTheme="majorBidi" w:cstheme="majorBidi"/>
                <w:sz w:val="20"/>
                <w:szCs w:val="20"/>
                <w:lang w:val="en-GB"/>
              </w:rPr>
              <w:t>, to implement gender-, climate- and employment-sensitive public policies and sectoral strategies and that contribute to the achievement of S</w:t>
            </w:r>
            <w:r w:rsidR="00FB6C88">
              <w:rPr>
                <w:rStyle w:val="cf01"/>
                <w:rFonts w:asciiTheme="majorBidi" w:hAnsiTheme="majorBidi" w:cstheme="majorBidi"/>
                <w:sz w:val="20"/>
                <w:szCs w:val="20"/>
                <w:lang w:val="en-GB"/>
              </w:rPr>
              <w:t xml:space="preserve">ustainable </w:t>
            </w:r>
            <w:r w:rsidRPr="003732A0">
              <w:rPr>
                <w:rStyle w:val="cf01"/>
                <w:rFonts w:asciiTheme="majorBidi" w:hAnsiTheme="majorBidi" w:cstheme="majorBidi"/>
                <w:sz w:val="20"/>
                <w:szCs w:val="20"/>
                <w:lang w:val="en-GB"/>
              </w:rPr>
              <w:t>D</w:t>
            </w:r>
            <w:r w:rsidR="00FB6C88">
              <w:rPr>
                <w:rStyle w:val="cf01"/>
                <w:rFonts w:asciiTheme="majorBidi" w:hAnsiTheme="majorBidi" w:cstheme="majorBidi"/>
                <w:sz w:val="20"/>
                <w:szCs w:val="20"/>
                <w:lang w:val="en-GB"/>
              </w:rPr>
              <w:t xml:space="preserve">evelopment </w:t>
            </w:r>
            <w:r w:rsidRPr="003732A0">
              <w:rPr>
                <w:rStyle w:val="cf01"/>
                <w:rFonts w:asciiTheme="majorBidi" w:hAnsiTheme="majorBidi" w:cstheme="majorBidi"/>
                <w:sz w:val="20"/>
                <w:szCs w:val="20"/>
                <w:lang w:val="en-GB"/>
              </w:rPr>
              <w:t>G</w:t>
            </w:r>
            <w:r w:rsidR="00FB6C88">
              <w:rPr>
                <w:rStyle w:val="cf01"/>
                <w:rFonts w:asciiTheme="majorBidi" w:hAnsiTheme="majorBidi" w:cstheme="majorBidi"/>
                <w:sz w:val="20"/>
                <w:szCs w:val="20"/>
                <w:lang w:val="en-GB"/>
              </w:rPr>
              <w:t>oal</w:t>
            </w:r>
            <w:r w:rsidRPr="003732A0">
              <w:rPr>
                <w:rStyle w:val="cf01"/>
                <w:rFonts w:asciiTheme="majorBidi" w:hAnsiTheme="majorBidi" w:cstheme="majorBidi"/>
                <w:sz w:val="20"/>
                <w:szCs w:val="20"/>
                <w:lang w:val="en-GB"/>
              </w:rPr>
              <w:t>s and A</w:t>
            </w:r>
            <w:r w:rsidR="00FB6C88">
              <w:rPr>
                <w:rStyle w:val="cf01"/>
                <w:rFonts w:asciiTheme="majorBidi" w:hAnsiTheme="majorBidi" w:cstheme="majorBidi"/>
                <w:sz w:val="20"/>
                <w:szCs w:val="20"/>
                <w:lang w:val="en-GB"/>
              </w:rPr>
              <w:t xml:space="preserve">frican </w:t>
            </w:r>
            <w:r w:rsidRPr="003732A0">
              <w:rPr>
                <w:rStyle w:val="cf01"/>
                <w:rFonts w:asciiTheme="majorBidi" w:hAnsiTheme="majorBidi" w:cstheme="majorBidi"/>
                <w:sz w:val="20"/>
                <w:szCs w:val="20"/>
                <w:lang w:val="en-GB"/>
              </w:rPr>
              <w:t>U</w:t>
            </w:r>
            <w:r w:rsidR="00FB6C88">
              <w:rPr>
                <w:rStyle w:val="cf01"/>
                <w:rFonts w:asciiTheme="majorBidi" w:hAnsiTheme="majorBidi" w:cstheme="majorBidi"/>
                <w:sz w:val="20"/>
                <w:szCs w:val="20"/>
                <w:lang w:val="en-GB"/>
              </w:rPr>
              <w:t>nion</w:t>
            </w:r>
            <w:r w:rsidRPr="003732A0">
              <w:rPr>
                <w:rStyle w:val="cf01"/>
                <w:rFonts w:asciiTheme="majorBidi" w:hAnsiTheme="majorBidi" w:cstheme="majorBidi"/>
                <w:sz w:val="20"/>
                <w:szCs w:val="20"/>
                <w:lang w:val="en-GB"/>
              </w:rPr>
              <w:t xml:space="preserve"> Agenda 2063</w:t>
            </w:r>
          </w:p>
          <w:p w14:paraId="2061FDD7" w14:textId="4D095982" w:rsidR="0059376D" w:rsidRPr="00156B9D" w:rsidRDefault="0059376D" w:rsidP="00EE5CD5">
            <w:pPr>
              <w:jc w:val="both"/>
              <w:rPr>
                <w:lang w:val="en-GB"/>
              </w:rPr>
            </w:pPr>
            <w:r w:rsidRPr="00156B9D">
              <w:rPr>
                <w:b/>
                <w:lang w:val="en-GB"/>
              </w:rPr>
              <w:t>Baseline</w:t>
            </w:r>
            <w:r w:rsidR="00FB6C88">
              <w:rPr>
                <w:b/>
                <w:lang w:val="en-GB"/>
              </w:rPr>
              <w:t xml:space="preserve"> </w:t>
            </w:r>
            <w:r w:rsidRPr="00156B9D">
              <w:rPr>
                <w:b/>
                <w:lang w:val="en-GB"/>
              </w:rPr>
              <w:t>(2022)</w:t>
            </w:r>
            <w:r w:rsidRPr="00156B9D">
              <w:rPr>
                <w:lang w:val="en-GB"/>
              </w:rPr>
              <w:t>:</w:t>
            </w:r>
            <w:r w:rsidR="00FB6C88">
              <w:rPr>
                <w:lang w:val="en-GB"/>
              </w:rPr>
              <w:t xml:space="preserve"> </w:t>
            </w:r>
            <w:r w:rsidRPr="00156B9D">
              <w:rPr>
                <w:lang w:val="en-GB"/>
              </w:rPr>
              <w:t>21</w:t>
            </w:r>
          </w:p>
          <w:p w14:paraId="6A53D3E8" w14:textId="1DFBE505" w:rsidR="0059376D" w:rsidRPr="00156B9D" w:rsidRDefault="0059376D" w:rsidP="00EE5CD5">
            <w:pPr>
              <w:jc w:val="both"/>
              <w:rPr>
                <w:lang w:val="en-GB"/>
              </w:rPr>
            </w:pPr>
            <w:r w:rsidRPr="00156B9D">
              <w:rPr>
                <w:b/>
                <w:bCs/>
                <w:lang w:val="en-GB"/>
              </w:rPr>
              <w:t>Target</w:t>
            </w:r>
            <w:r w:rsidR="00FB6C88">
              <w:rPr>
                <w:b/>
                <w:bCs/>
                <w:lang w:val="en-GB"/>
              </w:rPr>
              <w:t xml:space="preserve"> </w:t>
            </w:r>
            <w:r w:rsidRPr="00156B9D">
              <w:rPr>
                <w:b/>
                <w:lang w:val="en-GB"/>
              </w:rPr>
              <w:t>(2028)</w:t>
            </w:r>
            <w:r w:rsidRPr="00156B9D">
              <w:rPr>
                <w:lang w:val="en-GB"/>
              </w:rPr>
              <w:t>:</w:t>
            </w:r>
            <w:r w:rsidR="00FB6C88">
              <w:rPr>
                <w:lang w:val="en-GB"/>
              </w:rPr>
              <w:t xml:space="preserve"> </w:t>
            </w:r>
            <w:r w:rsidRPr="00156B9D">
              <w:rPr>
                <w:lang w:val="en-GB"/>
              </w:rPr>
              <w:t>43</w:t>
            </w:r>
          </w:p>
          <w:p w14:paraId="2CF54AF7" w14:textId="55F6ACB1" w:rsidR="0059376D" w:rsidRPr="00156B9D" w:rsidRDefault="00FB6C88" w:rsidP="00EE5CD5">
            <w:pPr>
              <w:jc w:val="both"/>
              <w:rPr>
                <w:lang w:val="en-GB"/>
              </w:rPr>
            </w:pPr>
            <w:r>
              <w:rPr>
                <w:b/>
                <w:bCs/>
                <w:lang w:val="en-GB"/>
              </w:rPr>
              <w:t>S</w:t>
            </w:r>
            <w:r w:rsidRPr="00156B9D">
              <w:rPr>
                <w:b/>
                <w:bCs/>
                <w:lang w:val="en-GB"/>
              </w:rPr>
              <w:t>ources</w:t>
            </w:r>
            <w:r w:rsidR="0059376D" w:rsidRPr="00156B9D">
              <w:rPr>
                <w:lang w:val="en-GB"/>
              </w:rPr>
              <w:t xml:space="preserve">: Ministry of Planning, African Union reports </w:t>
            </w:r>
          </w:p>
          <w:p w14:paraId="5949BDD8" w14:textId="77777777" w:rsidR="0059376D" w:rsidRPr="00156B9D" w:rsidRDefault="0059376D" w:rsidP="00EE5CD5">
            <w:pPr>
              <w:jc w:val="both"/>
              <w:rPr>
                <w:lang w:val="en-GB"/>
              </w:rPr>
            </w:pPr>
            <w:r w:rsidRPr="00156B9D">
              <w:rPr>
                <w:b/>
                <w:bCs/>
                <w:lang w:val="en-GB"/>
              </w:rPr>
              <w:t>Frequency:</w:t>
            </w:r>
            <w:r w:rsidRPr="00156B9D">
              <w:rPr>
                <w:lang w:val="en-GB"/>
              </w:rPr>
              <w:t xml:space="preserve"> Annual</w:t>
            </w:r>
          </w:p>
          <w:p w14:paraId="7D04F8AF" w14:textId="77777777" w:rsidR="0059376D" w:rsidRPr="00156B9D" w:rsidRDefault="0059376D" w:rsidP="00EE5CD5">
            <w:pPr>
              <w:jc w:val="both"/>
              <w:rPr>
                <w:lang w:val="en-GB"/>
              </w:rPr>
            </w:pPr>
          </w:p>
          <w:p w14:paraId="42C53D06" w14:textId="734BD83E" w:rsidR="0059376D" w:rsidRPr="003732A0" w:rsidRDefault="0059376D" w:rsidP="00EE5CD5">
            <w:pPr>
              <w:jc w:val="both"/>
              <w:rPr>
                <w:rStyle w:val="cf01"/>
                <w:rFonts w:asciiTheme="majorBidi" w:hAnsiTheme="majorBidi" w:cstheme="majorBidi"/>
                <w:sz w:val="20"/>
                <w:szCs w:val="20"/>
                <w:lang w:val="en-GB"/>
              </w:rPr>
            </w:pPr>
            <w:r w:rsidRPr="00156B9D">
              <w:rPr>
                <w:b/>
                <w:bCs/>
                <w:lang w:val="en-GB"/>
              </w:rPr>
              <w:t>Indicator 2.1.4</w:t>
            </w:r>
            <w:r w:rsidRPr="00156B9D">
              <w:rPr>
                <w:lang w:val="en-GB"/>
              </w:rPr>
              <w:t xml:space="preserve">: </w:t>
            </w:r>
            <w:r w:rsidRPr="003732A0">
              <w:rPr>
                <w:rStyle w:val="cf01"/>
                <w:rFonts w:asciiTheme="majorBidi" w:hAnsiTheme="majorBidi" w:cstheme="majorBidi"/>
                <w:sz w:val="20"/>
                <w:szCs w:val="20"/>
                <w:lang w:val="en-GB"/>
              </w:rPr>
              <w:t>Number of development cooperation initiatives (including South-South cooperation) and participatory partnerships (including with the Guinean diaspora) developed and implemented</w:t>
            </w:r>
          </w:p>
          <w:p w14:paraId="23C2D4F1" w14:textId="6F53BECA" w:rsidR="0059376D" w:rsidRPr="003732A0" w:rsidRDefault="0059376D" w:rsidP="00EE5CD5">
            <w:pPr>
              <w:jc w:val="both"/>
              <w:rPr>
                <w:rStyle w:val="ui-provider"/>
                <w:rFonts w:asciiTheme="majorBidi" w:hAnsiTheme="majorBidi" w:cstheme="majorBidi"/>
                <w:lang w:val="en-GB"/>
              </w:rPr>
            </w:pPr>
            <w:r w:rsidRPr="003732A0">
              <w:rPr>
                <w:rFonts w:asciiTheme="majorBidi" w:hAnsiTheme="majorBidi" w:cstheme="majorBidi"/>
                <w:b/>
                <w:lang w:val="en-GB"/>
              </w:rPr>
              <w:t>Baseli</w:t>
            </w:r>
            <w:r w:rsidRPr="003732A0">
              <w:rPr>
                <w:rFonts w:asciiTheme="majorBidi" w:hAnsiTheme="majorBidi" w:cstheme="majorBidi"/>
                <w:b/>
                <w:bCs/>
                <w:lang w:val="en-GB"/>
              </w:rPr>
              <w:t>ne</w:t>
            </w:r>
            <w:r w:rsidR="00A20FD9" w:rsidRPr="003732A0">
              <w:rPr>
                <w:rFonts w:asciiTheme="majorBidi" w:hAnsiTheme="majorBidi" w:cstheme="majorBidi"/>
                <w:b/>
                <w:bCs/>
                <w:lang w:val="en-GB"/>
              </w:rPr>
              <w:t xml:space="preserve"> </w:t>
            </w:r>
            <w:r w:rsidRPr="003732A0">
              <w:rPr>
                <w:rFonts w:asciiTheme="majorBidi" w:hAnsiTheme="majorBidi" w:cstheme="majorBidi"/>
                <w:b/>
                <w:lang w:val="en-GB"/>
              </w:rPr>
              <w:t>(2022)</w:t>
            </w:r>
            <w:r w:rsidRPr="003732A0">
              <w:rPr>
                <w:rStyle w:val="ui-provider"/>
                <w:rFonts w:asciiTheme="majorBidi" w:hAnsiTheme="majorBidi" w:cstheme="majorBidi"/>
                <w:lang w:val="en-GB"/>
              </w:rPr>
              <w:t xml:space="preserve">: </w:t>
            </w:r>
          </w:p>
          <w:p w14:paraId="046FD927" w14:textId="3FB3A97A" w:rsidR="0059376D" w:rsidRPr="003732A0" w:rsidRDefault="0059376D" w:rsidP="00EE5CD5">
            <w:pPr>
              <w:jc w:val="both"/>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South-South cooperation:</w:t>
            </w:r>
            <w:r w:rsidR="00A20FD9" w:rsidRPr="003732A0">
              <w:rPr>
                <w:rStyle w:val="cf01"/>
                <w:rFonts w:asciiTheme="majorBidi" w:hAnsiTheme="majorBidi" w:cstheme="majorBidi"/>
                <w:sz w:val="20"/>
                <w:szCs w:val="20"/>
                <w:lang w:val="en-GB"/>
              </w:rPr>
              <w:t xml:space="preserve"> 2</w:t>
            </w:r>
          </w:p>
          <w:p w14:paraId="51EA581A" w14:textId="3A347EF8" w:rsidR="0059376D" w:rsidRPr="003732A0" w:rsidRDefault="0059376D" w:rsidP="00EE5CD5">
            <w:pPr>
              <w:jc w:val="both"/>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Participatory partnerships:</w:t>
            </w:r>
            <w:r w:rsidR="00A20FD9" w:rsidRPr="003732A0">
              <w:rPr>
                <w:rStyle w:val="cf01"/>
                <w:rFonts w:asciiTheme="majorBidi" w:hAnsiTheme="majorBidi" w:cstheme="majorBidi"/>
                <w:sz w:val="20"/>
                <w:szCs w:val="20"/>
                <w:lang w:val="en-GB"/>
              </w:rPr>
              <w:t xml:space="preserve"> </w:t>
            </w:r>
            <w:r w:rsidRPr="003732A0">
              <w:rPr>
                <w:rStyle w:val="cf01"/>
                <w:rFonts w:asciiTheme="majorBidi" w:hAnsiTheme="majorBidi" w:cstheme="majorBidi"/>
                <w:sz w:val="20"/>
                <w:szCs w:val="20"/>
                <w:lang w:val="en-GB"/>
              </w:rPr>
              <w:t>0</w:t>
            </w:r>
          </w:p>
          <w:p w14:paraId="2642BA5C" w14:textId="77777777" w:rsidR="0059376D" w:rsidRPr="003732A0" w:rsidRDefault="0059376D" w:rsidP="00EE5CD5">
            <w:pPr>
              <w:jc w:val="both"/>
              <w:rPr>
                <w:rStyle w:val="ui-provider"/>
                <w:rFonts w:asciiTheme="majorBidi" w:hAnsiTheme="majorBidi" w:cstheme="majorBidi"/>
                <w:lang w:val="en-GB"/>
              </w:rPr>
            </w:pPr>
            <w:proofErr w:type="gramStart"/>
            <w:r w:rsidRPr="003732A0">
              <w:rPr>
                <w:rFonts w:asciiTheme="majorBidi" w:hAnsiTheme="majorBidi" w:cstheme="majorBidi"/>
                <w:b/>
                <w:bCs/>
                <w:lang w:val="en-GB"/>
              </w:rPr>
              <w:t>Target</w:t>
            </w:r>
            <w:r w:rsidRPr="003732A0">
              <w:rPr>
                <w:rFonts w:asciiTheme="majorBidi" w:hAnsiTheme="majorBidi" w:cstheme="majorBidi"/>
                <w:b/>
                <w:lang w:val="en-GB"/>
              </w:rPr>
              <w:t>(</w:t>
            </w:r>
            <w:proofErr w:type="gramEnd"/>
            <w:r w:rsidRPr="003732A0">
              <w:rPr>
                <w:rFonts w:asciiTheme="majorBidi" w:hAnsiTheme="majorBidi" w:cstheme="majorBidi"/>
                <w:b/>
                <w:lang w:val="en-GB"/>
              </w:rPr>
              <w:t>2028)</w:t>
            </w:r>
            <w:r w:rsidRPr="003732A0">
              <w:rPr>
                <w:rFonts w:asciiTheme="majorBidi" w:hAnsiTheme="majorBidi" w:cstheme="majorBidi"/>
                <w:lang w:val="en-GB"/>
              </w:rPr>
              <w:t>:</w:t>
            </w:r>
          </w:p>
          <w:p w14:paraId="68F417E3" w14:textId="0675CCEB" w:rsidR="0059376D" w:rsidRPr="003732A0" w:rsidRDefault="0059376D" w:rsidP="00EE5CD5">
            <w:pPr>
              <w:jc w:val="both"/>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South-South cooperation:</w:t>
            </w:r>
            <w:r w:rsidR="00A20FD9" w:rsidRPr="003732A0">
              <w:rPr>
                <w:rStyle w:val="cf01"/>
                <w:rFonts w:asciiTheme="majorBidi" w:hAnsiTheme="majorBidi" w:cstheme="majorBidi"/>
                <w:sz w:val="20"/>
                <w:szCs w:val="20"/>
                <w:lang w:val="en-GB"/>
              </w:rPr>
              <w:t xml:space="preserve"> </w:t>
            </w:r>
            <w:r w:rsidRPr="003732A0">
              <w:rPr>
                <w:rStyle w:val="cf01"/>
                <w:rFonts w:asciiTheme="majorBidi" w:hAnsiTheme="majorBidi" w:cstheme="majorBidi"/>
                <w:sz w:val="20"/>
                <w:szCs w:val="20"/>
                <w:lang w:val="en-GB"/>
              </w:rPr>
              <w:t>10</w:t>
            </w:r>
          </w:p>
          <w:p w14:paraId="77454FB4" w14:textId="7FE93964" w:rsidR="0059376D" w:rsidRPr="003732A0" w:rsidRDefault="0059376D" w:rsidP="00EE5CD5">
            <w:pPr>
              <w:jc w:val="both"/>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Participatory partnerships:</w:t>
            </w:r>
            <w:r w:rsidR="00A20FD9" w:rsidRPr="003732A0">
              <w:rPr>
                <w:rStyle w:val="cf01"/>
                <w:rFonts w:asciiTheme="majorBidi" w:hAnsiTheme="majorBidi" w:cstheme="majorBidi"/>
                <w:sz w:val="20"/>
                <w:szCs w:val="20"/>
                <w:lang w:val="en-GB"/>
              </w:rPr>
              <w:t xml:space="preserve"> </w:t>
            </w:r>
            <w:r w:rsidRPr="003732A0">
              <w:rPr>
                <w:rStyle w:val="cf01"/>
                <w:rFonts w:asciiTheme="majorBidi" w:hAnsiTheme="majorBidi" w:cstheme="majorBidi"/>
                <w:sz w:val="20"/>
                <w:szCs w:val="20"/>
                <w:lang w:val="en-GB"/>
              </w:rPr>
              <w:t>1</w:t>
            </w:r>
          </w:p>
          <w:p w14:paraId="390FB057" w14:textId="77777777" w:rsidR="0059376D" w:rsidRPr="003732A0" w:rsidRDefault="0059376D" w:rsidP="00EE5CD5">
            <w:pPr>
              <w:jc w:val="both"/>
              <w:rPr>
                <w:rFonts w:asciiTheme="majorBidi" w:hAnsiTheme="majorBidi" w:cstheme="majorBidi"/>
                <w:lang w:val="en-GB"/>
              </w:rPr>
            </w:pPr>
            <w:r w:rsidRPr="003732A0">
              <w:rPr>
                <w:rFonts w:asciiTheme="majorBidi" w:hAnsiTheme="majorBidi" w:cstheme="majorBidi"/>
                <w:b/>
                <w:bCs/>
                <w:lang w:val="en-GB"/>
              </w:rPr>
              <w:t>Sources</w:t>
            </w:r>
            <w:r w:rsidRPr="003732A0">
              <w:rPr>
                <w:rFonts w:asciiTheme="majorBidi" w:hAnsiTheme="majorBidi" w:cstheme="majorBidi"/>
                <w:lang w:val="en-GB"/>
              </w:rPr>
              <w:t>: Ministry of Planning</w:t>
            </w:r>
          </w:p>
          <w:p w14:paraId="29ECCE80" w14:textId="77777777" w:rsidR="0059376D" w:rsidRPr="003732A0" w:rsidRDefault="0059376D" w:rsidP="00EE5CD5">
            <w:pPr>
              <w:jc w:val="both"/>
              <w:rPr>
                <w:rFonts w:asciiTheme="majorBidi" w:hAnsiTheme="majorBidi" w:cstheme="majorBidi"/>
                <w:lang w:val="en-GB"/>
              </w:rPr>
            </w:pPr>
            <w:r w:rsidRPr="003732A0">
              <w:rPr>
                <w:rFonts w:asciiTheme="majorBidi" w:hAnsiTheme="majorBidi" w:cstheme="majorBidi"/>
                <w:b/>
                <w:bCs/>
                <w:lang w:val="en-GB"/>
              </w:rPr>
              <w:t>Frequency:</w:t>
            </w:r>
            <w:r w:rsidRPr="003732A0">
              <w:rPr>
                <w:rFonts w:asciiTheme="majorBidi" w:hAnsiTheme="majorBidi" w:cstheme="majorBidi"/>
                <w:lang w:val="en-GB"/>
              </w:rPr>
              <w:t xml:space="preserve"> Annual</w:t>
            </w:r>
          </w:p>
          <w:p w14:paraId="7CBAD69E" w14:textId="77777777" w:rsidR="0059376D" w:rsidRPr="003732A0" w:rsidRDefault="0059376D" w:rsidP="00EE5CD5">
            <w:pPr>
              <w:jc w:val="both"/>
              <w:rPr>
                <w:rFonts w:asciiTheme="majorBidi" w:hAnsiTheme="majorBidi" w:cstheme="majorBidi"/>
                <w:lang w:val="en-GB"/>
              </w:rPr>
            </w:pPr>
          </w:p>
          <w:p w14:paraId="26C86E9A" w14:textId="5AAE6354" w:rsidR="0059376D" w:rsidRPr="003732A0" w:rsidRDefault="0059376D" w:rsidP="00EE5CD5">
            <w:pPr>
              <w:jc w:val="both"/>
              <w:rPr>
                <w:rFonts w:asciiTheme="majorBidi" w:hAnsiTheme="majorBidi" w:cstheme="majorBidi"/>
                <w:lang w:val="en-GB" w:eastAsia="fr-FR"/>
              </w:rPr>
            </w:pPr>
            <w:r w:rsidRPr="003732A0">
              <w:rPr>
                <w:rFonts w:asciiTheme="majorBidi" w:hAnsiTheme="majorBidi" w:cstheme="majorBidi"/>
                <w:b/>
                <w:bCs/>
                <w:lang w:val="en-GB"/>
              </w:rPr>
              <w:t>Indicator 2.1.4</w:t>
            </w:r>
            <w:r w:rsidRPr="003732A0">
              <w:rPr>
                <w:rFonts w:asciiTheme="majorBidi" w:hAnsiTheme="majorBidi" w:cstheme="majorBidi"/>
                <w:lang w:val="en-GB"/>
              </w:rPr>
              <w:t xml:space="preserve">: </w:t>
            </w:r>
            <w:r w:rsidRPr="003732A0">
              <w:rPr>
                <w:rStyle w:val="cf01"/>
                <w:rFonts w:asciiTheme="majorBidi" w:hAnsiTheme="majorBidi" w:cstheme="majorBidi"/>
                <w:sz w:val="20"/>
                <w:szCs w:val="20"/>
                <w:lang w:val="en-GB"/>
              </w:rPr>
              <w:t>Number of institutions with data collection or analysis mechanisms providing disaggregated data to monitor progress towards</w:t>
            </w:r>
            <w:r w:rsidR="009C0C53">
              <w:rPr>
                <w:rStyle w:val="cf01"/>
                <w:rFonts w:asciiTheme="majorBidi" w:hAnsiTheme="majorBidi" w:cstheme="majorBidi"/>
                <w:sz w:val="20"/>
                <w:szCs w:val="20"/>
                <w:lang w:val="en-GB"/>
              </w:rPr>
              <w:t xml:space="preserve"> achieving</w:t>
            </w:r>
            <w:r w:rsidRPr="003732A0">
              <w:rPr>
                <w:rStyle w:val="cf01"/>
                <w:rFonts w:asciiTheme="majorBidi" w:hAnsiTheme="majorBidi" w:cstheme="majorBidi"/>
                <w:sz w:val="20"/>
                <w:szCs w:val="20"/>
                <w:lang w:val="en-GB"/>
              </w:rPr>
              <w:t xml:space="preserve"> the S</w:t>
            </w:r>
            <w:r w:rsidR="00EE6A62">
              <w:rPr>
                <w:rStyle w:val="cf01"/>
                <w:rFonts w:asciiTheme="majorBidi" w:hAnsiTheme="majorBidi" w:cstheme="majorBidi"/>
                <w:sz w:val="20"/>
                <w:szCs w:val="20"/>
                <w:lang w:val="en-GB"/>
              </w:rPr>
              <w:t xml:space="preserve">ustainable </w:t>
            </w:r>
            <w:r w:rsidRPr="003732A0">
              <w:rPr>
                <w:rStyle w:val="cf01"/>
                <w:rFonts w:asciiTheme="majorBidi" w:hAnsiTheme="majorBidi" w:cstheme="majorBidi"/>
                <w:sz w:val="20"/>
                <w:szCs w:val="20"/>
                <w:lang w:val="en-GB"/>
              </w:rPr>
              <w:t>D</w:t>
            </w:r>
            <w:r w:rsidR="00EE6A62">
              <w:rPr>
                <w:rStyle w:val="cf01"/>
                <w:rFonts w:asciiTheme="majorBidi" w:hAnsiTheme="majorBidi" w:cstheme="majorBidi"/>
                <w:sz w:val="20"/>
                <w:szCs w:val="20"/>
                <w:lang w:val="en-GB"/>
              </w:rPr>
              <w:t xml:space="preserve">evelopment </w:t>
            </w:r>
            <w:r w:rsidRPr="003732A0">
              <w:rPr>
                <w:rStyle w:val="cf01"/>
                <w:rFonts w:asciiTheme="majorBidi" w:hAnsiTheme="majorBidi" w:cstheme="majorBidi"/>
                <w:sz w:val="20"/>
                <w:szCs w:val="20"/>
                <w:lang w:val="en-GB"/>
              </w:rPr>
              <w:t>G</w:t>
            </w:r>
            <w:r w:rsidR="00EE6A62">
              <w:rPr>
                <w:rStyle w:val="cf01"/>
                <w:rFonts w:asciiTheme="majorBidi" w:hAnsiTheme="majorBidi" w:cstheme="majorBidi"/>
                <w:sz w:val="20"/>
                <w:szCs w:val="20"/>
                <w:lang w:val="en-GB"/>
              </w:rPr>
              <w:t>oal</w:t>
            </w:r>
            <w:r w:rsidRPr="003732A0">
              <w:rPr>
                <w:rStyle w:val="cf01"/>
                <w:rFonts w:asciiTheme="majorBidi" w:hAnsiTheme="majorBidi" w:cstheme="majorBidi"/>
                <w:sz w:val="20"/>
                <w:szCs w:val="20"/>
                <w:lang w:val="en-GB"/>
              </w:rPr>
              <w:t>s:</w:t>
            </w:r>
          </w:p>
          <w:p w14:paraId="7247BF84" w14:textId="77777777" w:rsidR="0059376D" w:rsidRPr="003732A0" w:rsidRDefault="0059376D">
            <w:pPr>
              <w:numPr>
                <w:ilvl w:val="0"/>
                <w:numId w:val="7"/>
              </w:numPr>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 xml:space="preserve">Conventional data collection methods </w:t>
            </w:r>
          </w:p>
          <w:p w14:paraId="458B2649" w14:textId="77777777" w:rsidR="0059376D" w:rsidRPr="003732A0" w:rsidRDefault="0059376D">
            <w:pPr>
              <w:numPr>
                <w:ilvl w:val="0"/>
                <w:numId w:val="7"/>
              </w:numPr>
              <w:spacing w:before="100" w:beforeAutospacing="1" w:after="100" w:afterAutospacing="1"/>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Administrative reporting systems</w:t>
            </w:r>
          </w:p>
          <w:p w14:paraId="064897C3" w14:textId="55BC0D4E" w:rsidR="0059376D" w:rsidRPr="003732A0" w:rsidRDefault="0059376D">
            <w:pPr>
              <w:numPr>
                <w:ilvl w:val="0"/>
                <w:numId w:val="7"/>
              </w:numPr>
              <w:spacing w:before="100" w:beforeAutospacing="1"/>
              <w:rPr>
                <w:rStyle w:val="cf01"/>
                <w:rFonts w:asciiTheme="majorBidi" w:hAnsiTheme="majorBidi" w:cstheme="majorBidi"/>
                <w:sz w:val="20"/>
                <w:szCs w:val="20"/>
                <w:lang w:val="en-GB"/>
              </w:rPr>
            </w:pPr>
            <w:r w:rsidRPr="003732A0">
              <w:rPr>
                <w:rStyle w:val="cf01"/>
                <w:rFonts w:asciiTheme="majorBidi" w:hAnsiTheme="majorBidi" w:cstheme="majorBidi"/>
                <w:sz w:val="20"/>
                <w:szCs w:val="20"/>
                <w:lang w:val="en-GB"/>
              </w:rPr>
              <w:t>Innovative data sources (S</w:t>
            </w:r>
            <w:r w:rsidR="00A20FD9">
              <w:rPr>
                <w:rStyle w:val="cf01"/>
                <w:rFonts w:asciiTheme="majorBidi" w:hAnsiTheme="majorBidi" w:cstheme="majorBidi"/>
                <w:sz w:val="20"/>
                <w:szCs w:val="20"/>
                <w:lang w:val="en-GB"/>
              </w:rPr>
              <w:t xml:space="preserve">trategic </w:t>
            </w:r>
            <w:r w:rsidRPr="003732A0">
              <w:rPr>
                <w:rStyle w:val="cf01"/>
                <w:rFonts w:asciiTheme="majorBidi" w:hAnsiTheme="majorBidi" w:cstheme="majorBidi"/>
                <w:sz w:val="20"/>
                <w:szCs w:val="20"/>
                <w:lang w:val="en-GB"/>
              </w:rPr>
              <w:t>P</w:t>
            </w:r>
            <w:r w:rsidR="00A20FD9">
              <w:rPr>
                <w:rStyle w:val="cf01"/>
                <w:rFonts w:asciiTheme="majorBidi" w:hAnsiTheme="majorBidi" w:cstheme="majorBidi"/>
                <w:sz w:val="20"/>
                <w:szCs w:val="20"/>
                <w:lang w:val="en-GB"/>
              </w:rPr>
              <w:t>lan</w:t>
            </w:r>
            <w:r w:rsidRPr="003732A0">
              <w:rPr>
                <w:rStyle w:val="cf01"/>
                <w:rFonts w:asciiTheme="majorBidi" w:hAnsiTheme="majorBidi" w:cstheme="majorBidi"/>
                <w:sz w:val="20"/>
                <w:szCs w:val="20"/>
                <w:lang w:val="en-GB"/>
              </w:rPr>
              <w:t xml:space="preserve"> Indicator </w:t>
            </w:r>
            <w:r w:rsidRPr="003732A0">
              <w:rPr>
                <w:rStyle w:val="ui-provider"/>
                <w:rFonts w:asciiTheme="majorBidi" w:hAnsiTheme="majorBidi" w:cstheme="majorBidi"/>
                <w:lang w:val="en-GB"/>
              </w:rPr>
              <w:t>1.1.2)</w:t>
            </w:r>
          </w:p>
          <w:p w14:paraId="29F2D421" w14:textId="4E13BBD1" w:rsidR="0059376D" w:rsidRPr="00156B9D" w:rsidRDefault="0059376D" w:rsidP="00EE5CD5">
            <w:pPr>
              <w:jc w:val="both"/>
              <w:rPr>
                <w:rStyle w:val="ui-provider"/>
                <w:lang w:val="en-GB"/>
              </w:rPr>
            </w:pPr>
            <w:r w:rsidRPr="00156B9D">
              <w:rPr>
                <w:b/>
                <w:lang w:val="en-GB"/>
              </w:rPr>
              <w:t>Baseli</w:t>
            </w:r>
            <w:r w:rsidRPr="00156B9D">
              <w:rPr>
                <w:b/>
                <w:bCs/>
                <w:lang w:val="en-GB"/>
              </w:rPr>
              <w:t>ne</w:t>
            </w:r>
            <w:r w:rsidR="00A20FD9">
              <w:rPr>
                <w:b/>
                <w:bCs/>
                <w:lang w:val="en-GB"/>
              </w:rPr>
              <w:t xml:space="preserve"> </w:t>
            </w:r>
            <w:r w:rsidRPr="00156B9D">
              <w:rPr>
                <w:b/>
                <w:lang w:val="en-GB"/>
              </w:rPr>
              <w:t>(2022)</w:t>
            </w:r>
            <w:r w:rsidRPr="00156B9D">
              <w:rPr>
                <w:rStyle w:val="ui-provider"/>
                <w:lang w:val="en-GB"/>
              </w:rPr>
              <w:t>:</w:t>
            </w:r>
            <w:r w:rsidR="00A20FD9">
              <w:rPr>
                <w:rStyle w:val="ui-provider"/>
                <w:lang w:val="en-GB"/>
              </w:rPr>
              <w:t xml:space="preserve"> </w:t>
            </w:r>
            <w:r w:rsidRPr="00156B9D">
              <w:rPr>
                <w:rStyle w:val="ui-provider"/>
                <w:lang w:val="en-GB"/>
              </w:rPr>
              <w:t>5</w:t>
            </w:r>
          </w:p>
          <w:p w14:paraId="63C0C9FB" w14:textId="2B66A63B" w:rsidR="0059376D" w:rsidRPr="00156B9D" w:rsidRDefault="0059376D" w:rsidP="00EE5CD5">
            <w:pPr>
              <w:jc w:val="both"/>
              <w:rPr>
                <w:rStyle w:val="ui-provider"/>
                <w:lang w:val="en-GB"/>
              </w:rPr>
            </w:pPr>
            <w:r w:rsidRPr="00156B9D">
              <w:rPr>
                <w:b/>
                <w:bCs/>
                <w:lang w:val="en-GB"/>
              </w:rPr>
              <w:lastRenderedPageBreak/>
              <w:t>Target</w:t>
            </w:r>
            <w:r w:rsidR="00A20FD9">
              <w:rPr>
                <w:b/>
                <w:bCs/>
                <w:lang w:val="en-GB"/>
              </w:rPr>
              <w:t xml:space="preserve"> </w:t>
            </w:r>
            <w:r w:rsidRPr="00156B9D">
              <w:rPr>
                <w:b/>
                <w:lang w:val="en-GB"/>
              </w:rPr>
              <w:t>(2028)</w:t>
            </w:r>
            <w:r w:rsidRPr="00156B9D">
              <w:rPr>
                <w:lang w:val="en-GB"/>
              </w:rPr>
              <w:t>:</w:t>
            </w:r>
            <w:r w:rsidR="00A20FD9">
              <w:rPr>
                <w:lang w:val="en-GB"/>
              </w:rPr>
              <w:t xml:space="preserve"> </w:t>
            </w:r>
            <w:r w:rsidRPr="00156B9D">
              <w:rPr>
                <w:lang w:val="en-GB"/>
              </w:rPr>
              <w:t>10</w:t>
            </w:r>
          </w:p>
          <w:p w14:paraId="761193C6" w14:textId="77777777" w:rsidR="0059376D" w:rsidRPr="00156B9D" w:rsidRDefault="0059376D" w:rsidP="00EE5CD5">
            <w:pPr>
              <w:jc w:val="both"/>
              <w:rPr>
                <w:lang w:val="en-GB"/>
              </w:rPr>
            </w:pPr>
            <w:r w:rsidRPr="00156B9D">
              <w:rPr>
                <w:b/>
                <w:bCs/>
                <w:lang w:val="en-GB"/>
              </w:rPr>
              <w:t>Sources</w:t>
            </w:r>
            <w:r w:rsidRPr="00156B9D">
              <w:rPr>
                <w:lang w:val="en-GB"/>
              </w:rPr>
              <w:t>: Ministry of Planning</w:t>
            </w:r>
          </w:p>
          <w:p w14:paraId="1B5EFADC" w14:textId="77777777" w:rsidR="0059376D" w:rsidRPr="00156B9D" w:rsidRDefault="0059376D" w:rsidP="00EE5CD5">
            <w:pPr>
              <w:jc w:val="both"/>
              <w:rPr>
                <w:lang w:val="en-GB"/>
              </w:rPr>
            </w:pPr>
            <w:r w:rsidRPr="00156B9D">
              <w:rPr>
                <w:b/>
                <w:bCs/>
                <w:lang w:val="en-GB"/>
              </w:rPr>
              <w:t>Frequency:</w:t>
            </w:r>
            <w:r w:rsidRPr="00156B9D">
              <w:rPr>
                <w:lang w:val="en-GB"/>
              </w:rPr>
              <w:t xml:space="preserve"> Annual</w:t>
            </w:r>
          </w:p>
        </w:tc>
        <w:tc>
          <w:tcPr>
            <w:tcW w:w="2552" w:type="dxa"/>
            <w:vMerge w:val="restart"/>
            <w:shd w:val="clear" w:color="auto" w:fill="auto"/>
          </w:tcPr>
          <w:p w14:paraId="76574851" w14:textId="1D47BDE5" w:rsidR="0059376D" w:rsidRPr="00156B9D" w:rsidRDefault="0059376D" w:rsidP="007522E7">
            <w:pPr>
              <w:jc w:val="both"/>
              <w:rPr>
                <w:lang w:val="en-GB"/>
              </w:rPr>
            </w:pPr>
            <w:r w:rsidRPr="00156B9D">
              <w:rPr>
                <w:lang w:val="en-GB"/>
              </w:rPr>
              <w:lastRenderedPageBreak/>
              <w:t xml:space="preserve">Ministries </w:t>
            </w:r>
            <w:r w:rsidR="006535A5">
              <w:rPr>
                <w:lang w:val="en-GB"/>
              </w:rPr>
              <w:t xml:space="preserve">in charge </w:t>
            </w:r>
            <w:proofErr w:type="gramStart"/>
            <w:r w:rsidR="006535A5">
              <w:rPr>
                <w:lang w:val="en-GB"/>
              </w:rPr>
              <w:t>of</w:t>
            </w:r>
            <w:r w:rsidR="002650A0">
              <w:rPr>
                <w:lang w:val="en-GB"/>
              </w:rPr>
              <w:t xml:space="preserve"> </w:t>
            </w:r>
            <w:r w:rsidRPr="00156B9D">
              <w:rPr>
                <w:lang w:val="en-GB"/>
              </w:rPr>
              <w:t xml:space="preserve"> </w:t>
            </w:r>
            <w:r w:rsidR="002650A0">
              <w:rPr>
                <w:lang w:val="en-GB"/>
              </w:rPr>
              <w:t>a</w:t>
            </w:r>
            <w:r w:rsidR="002650A0" w:rsidRPr="00156B9D">
              <w:rPr>
                <w:lang w:val="en-GB"/>
              </w:rPr>
              <w:t>griculture</w:t>
            </w:r>
            <w:proofErr w:type="gramEnd"/>
            <w:r w:rsidRPr="00156B9D">
              <w:rPr>
                <w:lang w:val="en-GB"/>
              </w:rPr>
              <w:t>,</w:t>
            </w:r>
            <w:r w:rsidR="002650A0">
              <w:rPr>
                <w:lang w:val="en-GB"/>
              </w:rPr>
              <w:t xml:space="preserve"> f</w:t>
            </w:r>
            <w:r w:rsidRPr="00156B9D">
              <w:rPr>
                <w:lang w:val="en-GB"/>
              </w:rPr>
              <w:t xml:space="preserve">isheries, </w:t>
            </w:r>
            <w:r w:rsidR="002650A0">
              <w:rPr>
                <w:lang w:val="en-GB"/>
              </w:rPr>
              <w:t>t</w:t>
            </w:r>
            <w:r w:rsidRPr="00156B9D">
              <w:rPr>
                <w:lang w:val="en-GB"/>
              </w:rPr>
              <w:t xml:space="preserve">rade, </w:t>
            </w:r>
            <w:r w:rsidR="002650A0">
              <w:rPr>
                <w:lang w:val="en-GB"/>
              </w:rPr>
              <w:t>s</w:t>
            </w:r>
            <w:r w:rsidRPr="00156B9D">
              <w:rPr>
                <w:lang w:val="en-GB"/>
              </w:rPr>
              <w:t xml:space="preserve">mall and </w:t>
            </w:r>
            <w:r w:rsidR="002650A0">
              <w:rPr>
                <w:lang w:val="en-GB"/>
              </w:rPr>
              <w:t>m</w:t>
            </w:r>
            <w:r w:rsidR="002650A0" w:rsidRPr="00156B9D">
              <w:rPr>
                <w:lang w:val="en-GB"/>
              </w:rPr>
              <w:t>edium</w:t>
            </w:r>
            <w:r w:rsidRPr="00156B9D">
              <w:rPr>
                <w:lang w:val="en-GB"/>
              </w:rPr>
              <w:t xml:space="preserve">-sized </w:t>
            </w:r>
            <w:r w:rsidR="002650A0">
              <w:rPr>
                <w:lang w:val="en-GB"/>
              </w:rPr>
              <w:t>i</w:t>
            </w:r>
            <w:r w:rsidR="007E47B2" w:rsidRPr="00156B9D">
              <w:rPr>
                <w:lang w:val="en-GB"/>
              </w:rPr>
              <w:t>ndustr</w:t>
            </w:r>
            <w:r w:rsidR="002650A0">
              <w:rPr>
                <w:lang w:val="en-GB"/>
              </w:rPr>
              <w:t>ies</w:t>
            </w:r>
            <w:r w:rsidR="007E47B2">
              <w:rPr>
                <w:lang w:val="en-GB"/>
              </w:rPr>
              <w:t xml:space="preserve"> and</w:t>
            </w:r>
            <w:r w:rsidR="007E47B2" w:rsidRPr="00156B9D">
              <w:rPr>
                <w:lang w:val="en-GB"/>
              </w:rPr>
              <w:t xml:space="preserve"> </w:t>
            </w:r>
            <w:r w:rsidR="002650A0">
              <w:rPr>
                <w:lang w:val="en-GB"/>
              </w:rPr>
              <w:t>e</w:t>
            </w:r>
            <w:r w:rsidR="002650A0" w:rsidRPr="00156B9D">
              <w:rPr>
                <w:lang w:val="en-GB"/>
              </w:rPr>
              <w:t>nterprises</w:t>
            </w:r>
            <w:r w:rsidRPr="00156B9D">
              <w:rPr>
                <w:lang w:val="en-GB"/>
              </w:rPr>
              <w:t xml:space="preserve">, </w:t>
            </w:r>
            <w:r w:rsidR="002650A0">
              <w:rPr>
                <w:lang w:val="en-GB"/>
              </w:rPr>
              <w:t>e</w:t>
            </w:r>
            <w:r w:rsidR="002650A0" w:rsidRPr="00156B9D">
              <w:rPr>
                <w:lang w:val="en-GB"/>
              </w:rPr>
              <w:t>mployment</w:t>
            </w:r>
            <w:r w:rsidR="007E47B2">
              <w:rPr>
                <w:lang w:val="en-GB"/>
              </w:rPr>
              <w:t>,</w:t>
            </w:r>
            <w:r w:rsidR="002650A0">
              <w:rPr>
                <w:lang w:val="en-GB"/>
              </w:rPr>
              <w:t xml:space="preserve"> m</w:t>
            </w:r>
            <w:r w:rsidRPr="00156B9D">
              <w:rPr>
                <w:lang w:val="en-GB"/>
              </w:rPr>
              <w:t xml:space="preserve">ining, </w:t>
            </w:r>
            <w:r w:rsidR="002650A0">
              <w:rPr>
                <w:lang w:val="en-GB"/>
              </w:rPr>
              <w:t>t</w:t>
            </w:r>
            <w:r w:rsidRPr="00156B9D">
              <w:rPr>
                <w:lang w:val="en-GB"/>
              </w:rPr>
              <w:t xml:space="preserve">ourism, </w:t>
            </w:r>
            <w:r w:rsidR="002650A0">
              <w:rPr>
                <w:lang w:val="en-GB"/>
              </w:rPr>
              <w:t>c</w:t>
            </w:r>
            <w:r w:rsidR="002650A0" w:rsidRPr="00156B9D">
              <w:rPr>
                <w:lang w:val="en-GB"/>
              </w:rPr>
              <w:t>ulture</w:t>
            </w:r>
            <w:r w:rsidRPr="00156B9D">
              <w:rPr>
                <w:lang w:val="en-GB"/>
              </w:rPr>
              <w:t>,</w:t>
            </w:r>
            <w:r w:rsidR="002650A0">
              <w:rPr>
                <w:lang w:val="en-GB"/>
              </w:rPr>
              <w:t xml:space="preserve"> </w:t>
            </w:r>
            <w:r w:rsidR="007E47B2">
              <w:rPr>
                <w:lang w:val="en-GB"/>
              </w:rPr>
              <w:t xml:space="preserve">the </w:t>
            </w:r>
            <w:r w:rsidR="002650A0">
              <w:rPr>
                <w:lang w:val="en-GB"/>
              </w:rPr>
              <w:t>e</w:t>
            </w:r>
            <w:r w:rsidR="002650A0" w:rsidRPr="00156B9D">
              <w:rPr>
                <w:lang w:val="en-GB"/>
              </w:rPr>
              <w:t>nvironment</w:t>
            </w:r>
            <w:r w:rsidRPr="00156B9D">
              <w:rPr>
                <w:lang w:val="en-GB"/>
              </w:rPr>
              <w:t xml:space="preserve">, </w:t>
            </w:r>
            <w:r w:rsidR="002650A0">
              <w:rPr>
                <w:lang w:val="en-GB"/>
              </w:rPr>
              <w:t>the p</w:t>
            </w:r>
            <w:r w:rsidR="002650A0" w:rsidRPr="00156B9D">
              <w:rPr>
                <w:lang w:val="en-GB"/>
              </w:rPr>
              <w:t xml:space="preserve">romotion </w:t>
            </w:r>
            <w:r w:rsidRPr="00156B9D">
              <w:rPr>
                <w:lang w:val="en-GB"/>
              </w:rPr>
              <w:t xml:space="preserve">of </w:t>
            </w:r>
            <w:r w:rsidR="002650A0">
              <w:rPr>
                <w:lang w:val="en-GB"/>
              </w:rPr>
              <w:t>w</w:t>
            </w:r>
            <w:r w:rsidR="002650A0" w:rsidRPr="00156B9D">
              <w:rPr>
                <w:lang w:val="en-GB"/>
              </w:rPr>
              <w:t>omen</w:t>
            </w:r>
            <w:r w:rsidRPr="00156B9D">
              <w:rPr>
                <w:lang w:val="en-GB"/>
              </w:rPr>
              <w:t xml:space="preserve">, </w:t>
            </w:r>
            <w:r w:rsidR="002650A0">
              <w:rPr>
                <w:lang w:val="en-GB"/>
              </w:rPr>
              <w:t>y</w:t>
            </w:r>
            <w:r w:rsidRPr="00156B9D">
              <w:rPr>
                <w:lang w:val="en-GB"/>
              </w:rPr>
              <w:t xml:space="preserve">outh, </w:t>
            </w:r>
            <w:r w:rsidR="007522E7">
              <w:rPr>
                <w:lang w:val="en-GB"/>
              </w:rPr>
              <w:t>d</w:t>
            </w:r>
            <w:r w:rsidR="007522E7" w:rsidRPr="00156B9D">
              <w:rPr>
                <w:lang w:val="en-GB"/>
              </w:rPr>
              <w:t>ecentralization</w:t>
            </w:r>
            <w:r w:rsidRPr="00156B9D">
              <w:rPr>
                <w:lang w:val="en-GB"/>
              </w:rPr>
              <w:t xml:space="preserve">, </w:t>
            </w:r>
            <w:r w:rsidR="007522E7">
              <w:rPr>
                <w:lang w:val="en-GB"/>
              </w:rPr>
              <w:t>e</w:t>
            </w:r>
            <w:r w:rsidRPr="00156B9D">
              <w:rPr>
                <w:lang w:val="en-GB"/>
              </w:rPr>
              <w:t xml:space="preserve">nergy, </w:t>
            </w:r>
          </w:p>
          <w:p w14:paraId="0D7E4783" w14:textId="6E671701" w:rsidR="0059376D" w:rsidRPr="00156B9D" w:rsidRDefault="007522E7" w:rsidP="00EE5CD5">
            <w:pPr>
              <w:jc w:val="both"/>
              <w:rPr>
                <w:lang w:val="en-GB"/>
              </w:rPr>
            </w:pPr>
            <w:r>
              <w:rPr>
                <w:lang w:val="en-GB"/>
              </w:rPr>
              <w:t>t</w:t>
            </w:r>
            <w:r w:rsidR="0059376D" w:rsidRPr="00156B9D">
              <w:rPr>
                <w:lang w:val="en-GB"/>
              </w:rPr>
              <w:t>ransport</w:t>
            </w:r>
          </w:p>
          <w:p w14:paraId="408A1846" w14:textId="03EA7069" w:rsidR="0059376D" w:rsidRPr="00156B9D" w:rsidRDefault="0059376D" w:rsidP="00EE5CD5">
            <w:pPr>
              <w:jc w:val="both"/>
              <w:rPr>
                <w:lang w:val="en-GB"/>
              </w:rPr>
            </w:pPr>
            <w:r w:rsidRPr="00156B9D">
              <w:rPr>
                <w:lang w:val="en-GB"/>
              </w:rPr>
              <w:t xml:space="preserve">International/national </w:t>
            </w:r>
            <w:r w:rsidR="007E47B2">
              <w:rPr>
                <w:lang w:val="en-GB"/>
              </w:rPr>
              <w:t>non-governmental organization</w:t>
            </w:r>
            <w:r w:rsidR="007E47B2" w:rsidRPr="00156B9D">
              <w:rPr>
                <w:lang w:val="en-GB"/>
              </w:rPr>
              <w:t xml:space="preserve">s </w:t>
            </w:r>
          </w:p>
          <w:p w14:paraId="0CD20B4D" w14:textId="65CE9BC2" w:rsidR="0059376D" w:rsidRPr="00156B9D" w:rsidRDefault="0059376D" w:rsidP="00EE5CD5">
            <w:pPr>
              <w:jc w:val="both"/>
              <w:rPr>
                <w:lang w:val="en-GB"/>
              </w:rPr>
            </w:pPr>
            <w:r w:rsidRPr="00156B9D">
              <w:rPr>
                <w:lang w:val="en-GB"/>
              </w:rPr>
              <w:t xml:space="preserve">Rural </w:t>
            </w:r>
            <w:r w:rsidR="007E47B2">
              <w:rPr>
                <w:lang w:val="en-GB"/>
              </w:rPr>
              <w:t>f</w:t>
            </w:r>
            <w:r w:rsidR="007E47B2" w:rsidRPr="00156B9D">
              <w:rPr>
                <w:lang w:val="en-GB"/>
              </w:rPr>
              <w:t xml:space="preserve">armer </w:t>
            </w:r>
            <w:r w:rsidR="007E47B2">
              <w:rPr>
                <w:lang w:val="en-GB"/>
              </w:rPr>
              <w:t>o</w:t>
            </w:r>
            <w:r w:rsidR="007E47B2" w:rsidRPr="00156B9D">
              <w:rPr>
                <w:lang w:val="en-GB"/>
              </w:rPr>
              <w:t>rganizations</w:t>
            </w:r>
          </w:p>
          <w:p w14:paraId="71084297" w14:textId="77777777" w:rsidR="0059376D" w:rsidRPr="00156B9D" w:rsidRDefault="0059376D" w:rsidP="00EE5CD5">
            <w:pPr>
              <w:jc w:val="both"/>
              <w:rPr>
                <w:lang w:val="en-GB"/>
              </w:rPr>
            </w:pPr>
            <w:r w:rsidRPr="00156B9D">
              <w:rPr>
                <w:lang w:val="en-GB"/>
              </w:rPr>
              <w:t>Consular Chambers</w:t>
            </w:r>
          </w:p>
          <w:p w14:paraId="64EF8ED8" w14:textId="77777777" w:rsidR="0059376D" w:rsidRPr="00156B9D" w:rsidRDefault="0059376D" w:rsidP="00EE5CD5">
            <w:pPr>
              <w:jc w:val="both"/>
              <w:rPr>
                <w:lang w:val="en-GB"/>
              </w:rPr>
            </w:pPr>
            <w:r w:rsidRPr="00156B9D">
              <w:rPr>
                <w:lang w:val="en-GB"/>
              </w:rPr>
              <w:t>Communities</w:t>
            </w:r>
          </w:p>
          <w:p w14:paraId="5547D533" w14:textId="66A2DDE8" w:rsidR="0059376D" w:rsidRPr="00156B9D" w:rsidRDefault="0059376D" w:rsidP="00EE5CD5">
            <w:pPr>
              <w:jc w:val="both"/>
              <w:rPr>
                <w:bCs/>
                <w:lang w:val="en-GB"/>
              </w:rPr>
            </w:pPr>
            <w:r w:rsidRPr="00156B9D">
              <w:rPr>
                <w:lang w:val="en-GB"/>
              </w:rPr>
              <w:t>FAO, UNIDO, IFAD, ILO, WFP, IOM, UN</w:t>
            </w:r>
            <w:r w:rsidR="00C67A0B">
              <w:rPr>
                <w:lang w:val="en-GB"/>
              </w:rPr>
              <w:t>I</w:t>
            </w:r>
            <w:r w:rsidRPr="00156B9D">
              <w:rPr>
                <w:lang w:val="en-GB"/>
              </w:rPr>
              <w:t>C</w:t>
            </w:r>
            <w:r w:rsidR="00C67A0B">
              <w:rPr>
                <w:lang w:val="en-GB"/>
              </w:rPr>
              <w:t>E</w:t>
            </w:r>
            <w:r w:rsidRPr="00156B9D">
              <w:rPr>
                <w:lang w:val="en-GB"/>
              </w:rPr>
              <w:t>F, UNFPA, UN</w:t>
            </w:r>
            <w:r w:rsidR="00B67643">
              <w:rPr>
                <w:lang w:val="en-GB"/>
              </w:rPr>
              <w:t>-</w:t>
            </w:r>
            <w:r w:rsidRPr="00156B9D">
              <w:rPr>
                <w:lang w:val="en-GB"/>
              </w:rPr>
              <w:t xml:space="preserve">Women, UNV, GEF, GCF, AfDB, </w:t>
            </w:r>
            <w:hyperlink r:id="rId17" w:tgtFrame="_blank" w:history="1">
              <w:r w:rsidRPr="00156B9D">
                <w:rPr>
                  <w:lang w:val="en-GB"/>
                </w:rPr>
                <w:t>Islamic Development Bank</w:t>
              </w:r>
            </w:hyperlink>
            <w:r w:rsidRPr="00156B9D">
              <w:rPr>
                <w:lang w:val="en-GB"/>
              </w:rPr>
              <w:t>, E</w:t>
            </w:r>
            <w:r w:rsidR="005C502F">
              <w:rPr>
                <w:lang w:val="en-GB"/>
              </w:rPr>
              <w:t xml:space="preserve">uropean </w:t>
            </w:r>
            <w:r w:rsidRPr="00156B9D">
              <w:rPr>
                <w:lang w:val="en-GB"/>
              </w:rPr>
              <w:t>I</w:t>
            </w:r>
            <w:r w:rsidR="005C502F">
              <w:rPr>
                <w:lang w:val="en-GB"/>
              </w:rPr>
              <w:t xml:space="preserve">nvestment </w:t>
            </w:r>
            <w:r w:rsidRPr="00156B9D">
              <w:rPr>
                <w:lang w:val="en-GB"/>
              </w:rPr>
              <w:t>B</w:t>
            </w:r>
            <w:r w:rsidR="005C502F">
              <w:rPr>
                <w:lang w:val="en-GB"/>
              </w:rPr>
              <w:t>ank</w:t>
            </w:r>
            <w:r w:rsidRPr="00156B9D">
              <w:rPr>
                <w:lang w:val="en-GB"/>
              </w:rPr>
              <w:t>, E</w:t>
            </w:r>
            <w:r w:rsidR="00513CFF">
              <w:rPr>
                <w:lang w:val="en-GB"/>
              </w:rPr>
              <w:t xml:space="preserve">uropean </w:t>
            </w:r>
            <w:r w:rsidRPr="00156B9D">
              <w:rPr>
                <w:lang w:val="en-GB"/>
              </w:rPr>
              <w:t>U</w:t>
            </w:r>
            <w:r w:rsidR="00513CFF">
              <w:rPr>
                <w:lang w:val="en-GB"/>
              </w:rPr>
              <w:t>nion</w:t>
            </w:r>
            <w:r w:rsidRPr="00156B9D">
              <w:rPr>
                <w:lang w:val="en-GB"/>
              </w:rPr>
              <w:t>, World Bank, Japan, Belgium</w:t>
            </w:r>
          </w:p>
        </w:tc>
        <w:tc>
          <w:tcPr>
            <w:tcW w:w="1559" w:type="dxa"/>
            <w:vMerge w:val="restart"/>
            <w:shd w:val="clear" w:color="auto" w:fill="auto"/>
          </w:tcPr>
          <w:p w14:paraId="3FCAF279" w14:textId="77777777" w:rsidR="0059376D" w:rsidRPr="00156B9D" w:rsidRDefault="0059376D" w:rsidP="00EE5CD5">
            <w:pPr>
              <w:jc w:val="both"/>
              <w:rPr>
                <w:lang w:val="en-GB"/>
              </w:rPr>
            </w:pPr>
          </w:p>
          <w:p w14:paraId="67C4E9D7" w14:textId="77777777" w:rsidR="0059376D" w:rsidRPr="00156B9D" w:rsidRDefault="0059376D" w:rsidP="00EE5CD5">
            <w:pPr>
              <w:jc w:val="both"/>
              <w:rPr>
                <w:lang w:val="en-GB"/>
              </w:rPr>
            </w:pPr>
            <w:r w:rsidRPr="00156B9D">
              <w:rPr>
                <w:b/>
                <w:bCs/>
                <w:lang w:val="en-GB"/>
              </w:rPr>
              <w:t>Regular resources</w:t>
            </w:r>
            <w:r w:rsidRPr="00156B9D">
              <w:rPr>
                <w:lang w:val="en-GB"/>
              </w:rPr>
              <w:t xml:space="preserve"> </w:t>
            </w:r>
          </w:p>
          <w:p w14:paraId="084BCDCD" w14:textId="77777777" w:rsidR="0059376D" w:rsidRPr="00156B9D" w:rsidRDefault="0059376D" w:rsidP="00EE5CD5">
            <w:pPr>
              <w:jc w:val="both"/>
              <w:rPr>
                <w:lang w:val="en-GB"/>
              </w:rPr>
            </w:pPr>
            <w:r w:rsidRPr="00156B9D">
              <w:rPr>
                <w:lang w:val="en-GB"/>
              </w:rPr>
              <w:t>15,105.00</w:t>
            </w:r>
          </w:p>
          <w:p w14:paraId="5F22EC24" w14:textId="77777777" w:rsidR="0059376D" w:rsidRPr="00156B9D" w:rsidRDefault="0059376D" w:rsidP="00EE5CD5">
            <w:pPr>
              <w:jc w:val="both"/>
              <w:rPr>
                <w:lang w:val="en-GB"/>
              </w:rPr>
            </w:pPr>
          </w:p>
          <w:p w14:paraId="59CA0388" w14:textId="77777777" w:rsidR="0059376D" w:rsidRPr="00156B9D" w:rsidRDefault="0059376D" w:rsidP="00EE5CD5">
            <w:pPr>
              <w:jc w:val="both"/>
              <w:rPr>
                <w:lang w:val="en-GB"/>
              </w:rPr>
            </w:pPr>
            <w:r w:rsidRPr="00156B9D">
              <w:rPr>
                <w:b/>
                <w:bCs/>
                <w:lang w:val="en-GB"/>
              </w:rPr>
              <w:t>Other resources</w:t>
            </w:r>
            <w:r w:rsidRPr="00156B9D">
              <w:rPr>
                <w:lang w:val="en-GB"/>
              </w:rPr>
              <w:t xml:space="preserve"> </w:t>
            </w:r>
          </w:p>
          <w:p w14:paraId="35F66C2C" w14:textId="77777777" w:rsidR="0059376D" w:rsidRPr="00156B9D" w:rsidRDefault="0059376D" w:rsidP="00EE5CD5">
            <w:pPr>
              <w:jc w:val="both"/>
              <w:rPr>
                <w:lang w:val="en-GB"/>
              </w:rPr>
            </w:pPr>
            <w:r w:rsidRPr="00156B9D">
              <w:rPr>
                <w:lang w:val="en-GB"/>
              </w:rPr>
              <w:t>52,953.60</w:t>
            </w:r>
          </w:p>
          <w:p w14:paraId="49A09FD0" w14:textId="77777777" w:rsidR="0059376D" w:rsidRPr="00156B9D" w:rsidRDefault="0059376D" w:rsidP="00EE5CD5">
            <w:pPr>
              <w:jc w:val="both"/>
              <w:rPr>
                <w:lang w:val="en-GB"/>
              </w:rPr>
            </w:pPr>
          </w:p>
          <w:p w14:paraId="321FC182" w14:textId="77777777" w:rsidR="0059376D" w:rsidRPr="00156B9D" w:rsidRDefault="0059376D" w:rsidP="00EE5CD5">
            <w:pPr>
              <w:jc w:val="both"/>
              <w:rPr>
                <w:lang w:val="en-GB"/>
              </w:rPr>
            </w:pPr>
          </w:p>
          <w:p w14:paraId="074F74FE" w14:textId="77777777" w:rsidR="0059376D" w:rsidRPr="00156B9D" w:rsidRDefault="0059376D" w:rsidP="00EE5CD5">
            <w:pPr>
              <w:jc w:val="both"/>
              <w:rPr>
                <w:lang w:val="en-GB"/>
              </w:rPr>
            </w:pPr>
          </w:p>
          <w:p w14:paraId="0E47E2CF" w14:textId="77777777" w:rsidR="0059376D" w:rsidRPr="00156B9D" w:rsidRDefault="0059376D" w:rsidP="00EE5CD5">
            <w:pPr>
              <w:jc w:val="both"/>
              <w:rPr>
                <w:lang w:val="en-GB"/>
              </w:rPr>
            </w:pPr>
          </w:p>
          <w:p w14:paraId="76D4CAF4" w14:textId="77777777" w:rsidR="0059376D" w:rsidRPr="00156B9D" w:rsidRDefault="0059376D" w:rsidP="00EE5CD5">
            <w:pPr>
              <w:jc w:val="both"/>
              <w:rPr>
                <w:lang w:val="en-GB"/>
              </w:rPr>
            </w:pPr>
          </w:p>
          <w:p w14:paraId="5C7AF5D7" w14:textId="77777777" w:rsidR="0059376D" w:rsidRPr="00156B9D" w:rsidRDefault="0059376D" w:rsidP="00EE5CD5">
            <w:pPr>
              <w:jc w:val="both"/>
              <w:rPr>
                <w:lang w:val="en-GB"/>
              </w:rPr>
            </w:pPr>
          </w:p>
          <w:p w14:paraId="7436150A" w14:textId="77777777" w:rsidR="0059376D" w:rsidRPr="00156B9D" w:rsidRDefault="0059376D" w:rsidP="00EE5CD5">
            <w:pPr>
              <w:jc w:val="both"/>
              <w:rPr>
                <w:lang w:val="en-GB"/>
              </w:rPr>
            </w:pPr>
          </w:p>
          <w:p w14:paraId="59D21BF7" w14:textId="77777777" w:rsidR="0059376D" w:rsidRPr="00156B9D" w:rsidRDefault="0059376D" w:rsidP="00EE5CD5">
            <w:pPr>
              <w:jc w:val="both"/>
              <w:rPr>
                <w:lang w:val="en-GB"/>
              </w:rPr>
            </w:pPr>
          </w:p>
          <w:p w14:paraId="6C87ABF8" w14:textId="77777777" w:rsidR="0059376D" w:rsidRPr="00156B9D" w:rsidRDefault="0059376D" w:rsidP="00EE5CD5">
            <w:pPr>
              <w:jc w:val="both"/>
              <w:rPr>
                <w:lang w:val="en-GB"/>
              </w:rPr>
            </w:pPr>
          </w:p>
          <w:p w14:paraId="2BDD2FBF" w14:textId="77777777" w:rsidR="0059376D" w:rsidRPr="00156B9D" w:rsidRDefault="0059376D" w:rsidP="00EE5CD5">
            <w:pPr>
              <w:jc w:val="both"/>
              <w:rPr>
                <w:lang w:val="en-GB"/>
              </w:rPr>
            </w:pPr>
          </w:p>
          <w:p w14:paraId="5F7D8688" w14:textId="77777777" w:rsidR="0059376D" w:rsidRPr="00156B9D" w:rsidRDefault="0059376D" w:rsidP="00EE5CD5">
            <w:pPr>
              <w:jc w:val="both"/>
              <w:rPr>
                <w:lang w:val="en-GB"/>
              </w:rPr>
            </w:pPr>
          </w:p>
          <w:p w14:paraId="6D9EE892" w14:textId="77777777" w:rsidR="0059376D" w:rsidRPr="00156B9D" w:rsidRDefault="0059376D" w:rsidP="00EE5CD5">
            <w:pPr>
              <w:jc w:val="both"/>
              <w:rPr>
                <w:lang w:val="en-GB"/>
              </w:rPr>
            </w:pPr>
          </w:p>
          <w:p w14:paraId="044D08BA" w14:textId="77777777" w:rsidR="0059376D" w:rsidRPr="00156B9D" w:rsidRDefault="0059376D" w:rsidP="00EE5CD5">
            <w:pPr>
              <w:jc w:val="both"/>
              <w:rPr>
                <w:lang w:val="en-GB"/>
              </w:rPr>
            </w:pPr>
          </w:p>
          <w:p w14:paraId="1A547966" w14:textId="77777777" w:rsidR="0059376D" w:rsidRPr="00156B9D" w:rsidRDefault="0059376D" w:rsidP="00EE5CD5">
            <w:pPr>
              <w:jc w:val="both"/>
              <w:rPr>
                <w:lang w:val="en-GB"/>
              </w:rPr>
            </w:pPr>
          </w:p>
          <w:p w14:paraId="35C20FE1" w14:textId="77777777" w:rsidR="0059376D" w:rsidRPr="00156B9D" w:rsidRDefault="0059376D" w:rsidP="00EE5CD5">
            <w:pPr>
              <w:jc w:val="both"/>
              <w:rPr>
                <w:lang w:val="en-GB"/>
              </w:rPr>
            </w:pPr>
          </w:p>
          <w:p w14:paraId="70E7EBB3" w14:textId="77777777" w:rsidR="0059376D" w:rsidRPr="00156B9D" w:rsidRDefault="0059376D" w:rsidP="00EE5CD5">
            <w:pPr>
              <w:jc w:val="both"/>
              <w:rPr>
                <w:lang w:val="en-GB"/>
              </w:rPr>
            </w:pPr>
          </w:p>
          <w:p w14:paraId="0C4A1E61" w14:textId="77777777" w:rsidR="0059376D" w:rsidRPr="00156B9D" w:rsidRDefault="0059376D" w:rsidP="00EE5CD5">
            <w:pPr>
              <w:jc w:val="both"/>
              <w:rPr>
                <w:lang w:val="en-GB"/>
              </w:rPr>
            </w:pPr>
          </w:p>
          <w:p w14:paraId="127C1588" w14:textId="77777777" w:rsidR="0059376D" w:rsidRPr="00156B9D" w:rsidRDefault="0059376D" w:rsidP="00EE5CD5">
            <w:pPr>
              <w:jc w:val="both"/>
              <w:rPr>
                <w:lang w:val="en-GB"/>
              </w:rPr>
            </w:pPr>
          </w:p>
          <w:p w14:paraId="3D52AEEA" w14:textId="77777777" w:rsidR="0059376D" w:rsidRPr="00156B9D" w:rsidRDefault="0059376D" w:rsidP="00EE5CD5">
            <w:pPr>
              <w:jc w:val="both"/>
              <w:rPr>
                <w:lang w:val="en-GB"/>
              </w:rPr>
            </w:pPr>
          </w:p>
          <w:p w14:paraId="280D1CCD" w14:textId="77777777" w:rsidR="0059376D" w:rsidRPr="00156B9D" w:rsidRDefault="0059376D" w:rsidP="00EE5CD5">
            <w:pPr>
              <w:jc w:val="both"/>
              <w:rPr>
                <w:lang w:val="en-GB"/>
              </w:rPr>
            </w:pPr>
          </w:p>
          <w:p w14:paraId="1A16BD7D" w14:textId="77777777" w:rsidR="0059376D" w:rsidRPr="00156B9D" w:rsidRDefault="0059376D" w:rsidP="00EE5CD5">
            <w:pPr>
              <w:jc w:val="both"/>
              <w:rPr>
                <w:lang w:val="en-GB"/>
              </w:rPr>
            </w:pPr>
          </w:p>
          <w:p w14:paraId="75703627" w14:textId="77777777" w:rsidR="0059376D" w:rsidRPr="00156B9D" w:rsidRDefault="0059376D" w:rsidP="00EE5CD5">
            <w:pPr>
              <w:jc w:val="both"/>
              <w:rPr>
                <w:lang w:val="en-GB"/>
              </w:rPr>
            </w:pPr>
            <w:r w:rsidRPr="00156B9D">
              <w:rPr>
                <w:lang w:val="en-GB"/>
              </w:rPr>
              <w:t xml:space="preserve"> </w:t>
            </w:r>
          </w:p>
        </w:tc>
      </w:tr>
      <w:tr w:rsidR="0059376D" w:rsidRPr="00156B9D" w14:paraId="2D35299E" w14:textId="77777777" w:rsidTr="0059376D">
        <w:trPr>
          <w:trHeight w:val="300"/>
        </w:trPr>
        <w:tc>
          <w:tcPr>
            <w:tcW w:w="3545" w:type="dxa"/>
            <w:vMerge/>
          </w:tcPr>
          <w:p w14:paraId="14F60116" w14:textId="77777777" w:rsidR="0059376D" w:rsidRPr="00156B9D" w:rsidRDefault="0059376D" w:rsidP="00EE5CD5">
            <w:pPr>
              <w:jc w:val="both"/>
              <w:rPr>
                <w:lang w:val="en-GB"/>
              </w:rPr>
            </w:pPr>
          </w:p>
        </w:tc>
        <w:tc>
          <w:tcPr>
            <w:tcW w:w="2835" w:type="dxa"/>
            <w:vMerge/>
          </w:tcPr>
          <w:p w14:paraId="3C945CC5" w14:textId="77777777" w:rsidR="0059376D" w:rsidRPr="00156B9D" w:rsidRDefault="0059376D" w:rsidP="00EE5CD5">
            <w:pPr>
              <w:jc w:val="both"/>
              <w:rPr>
                <w:lang w:val="en-GB"/>
              </w:rPr>
            </w:pPr>
          </w:p>
        </w:tc>
        <w:tc>
          <w:tcPr>
            <w:tcW w:w="4819" w:type="dxa"/>
            <w:shd w:val="clear" w:color="auto" w:fill="auto"/>
          </w:tcPr>
          <w:p w14:paraId="22B7B8C0" w14:textId="47EAC79C" w:rsidR="0059376D" w:rsidRPr="00156B9D" w:rsidRDefault="0059376D" w:rsidP="00EE5CD5">
            <w:pPr>
              <w:jc w:val="both"/>
              <w:rPr>
                <w:b/>
                <w:bCs/>
                <w:lang w:val="en-GB"/>
              </w:rPr>
            </w:pPr>
            <w:bookmarkStart w:id="12" w:name="_Hlk134006584"/>
            <w:bookmarkStart w:id="13" w:name="_Hlk132275866"/>
            <w:r w:rsidRPr="00156B9D">
              <w:rPr>
                <w:b/>
                <w:bCs/>
                <w:lang w:val="en-GB"/>
              </w:rPr>
              <w:t>Output 2.2: Vulnerable people, women and youth in the targeted areas have improved access to productive employment and economic opportunities in agricultural and mining</w:t>
            </w:r>
            <w:r w:rsidR="00A20FD9">
              <w:rPr>
                <w:b/>
                <w:bCs/>
                <w:strike/>
                <w:lang w:val="en-GB"/>
              </w:rPr>
              <w:t xml:space="preserve"> </w:t>
            </w:r>
            <w:r w:rsidRPr="00156B9D">
              <w:rPr>
                <w:b/>
                <w:bCs/>
                <w:lang w:val="en-GB"/>
              </w:rPr>
              <w:t>and from climate-smart solutions.</w:t>
            </w:r>
          </w:p>
          <w:p w14:paraId="7D3766A7" w14:textId="77777777" w:rsidR="0059376D" w:rsidRPr="00156B9D" w:rsidRDefault="0059376D" w:rsidP="00EE5CD5">
            <w:pPr>
              <w:jc w:val="both"/>
              <w:rPr>
                <w:b/>
                <w:lang w:val="en-GB"/>
              </w:rPr>
            </w:pPr>
            <w:bookmarkStart w:id="14" w:name="_Hlk134005814"/>
          </w:p>
          <w:p w14:paraId="516A0AC1" w14:textId="77777777" w:rsidR="0059376D" w:rsidRPr="00156B9D" w:rsidRDefault="0059376D" w:rsidP="00EE5CD5">
            <w:pPr>
              <w:jc w:val="both"/>
              <w:rPr>
                <w:bCs/>
                <w:lang w:val="en-GB"/>
              </w:rPr>
            </w:pPr>
            <w:r w:rsidRPr="00156B9D">
              <w:rPr>
                <w:b/>
                <w:lang w:val="en-GB"/>
              </w:rPr>
              <w:t>Indicator 2.2.1</w:t>
            </w:r>
            <w:r w:rsidRPr="00156B9D">
              <w:rPr>
                <w:bCs/>
                <w:lang w:val="en-GB"/>
              </w:rPr>
              <w:t xml:space="preserve">: Number of decent jobs created in agriculture and mining by targeted groups. </w:t>
            </w:r>
          </w:p>
          <w:p w14:paraId="6C2B7224" w14:textId="71FDDD7D" w:rsidR="0059376D" w:rsidRPr="00156B9D" w:rsidRDefault="0059376D" w:rsidP="00EE5CD5">
            <w:pPr>
              <w:jc w:val="both"/>
              <w:rPr>
                <w:bCs/>
                <w:lang w:val="en-GB"/>
              </w:rPr>
            </w:pPr>
            <w:r w:rsidRPr="00156B9D">
              <w:rPr>
                <w:b/>
                <w:lang w:val="en-GB"/>
              </w:rPr>
              <w:t>Baseline</w:t>
            </w:r>
            <w:r w:rsidR="00D676D1">
              <w:rPr>
                <w:b/>
                <w:lang w:val="en-GB"/>
              </w:rPr>
              <w:t xml:space="preserve"> </w:t>
            </w:r>
            <w:r w:rsidRPr="00156B9D">
              <w:rPr>
                <w:b/>
                <w:lang w:val="en-GB"/>
              </w:rPr>
              <w:t>(2022)</w:t>
            </w:r>
            <w:r w:rsidRPr="00156B9D">
              <w:rPr>
                <w:bCs/>
                <w:lang w:val="en-GB"/>
              </w:rPr>
              <w:t xml:space="preserve">: </w:t>
            </w:r>
          </w:p>
          <w:p w14:paraId="59C6BBB9" w14:textId="265AC257" w:rsidR="0059376D" w:rsidRPr="00156B9D" w:rsidRDefault="0059376D" w:rsidP="00EE5CD5">
            <w:pPr>
              <w:jc w:val="both"/>
              <w:rPr>
                <w:bCs/>
                <w:lang w:val="en-GB"/>
              </w:rPr>
            </w:pPr>
            <w:r w:rsidRPr="00156B9D">
              <w:rPr>
                <w:bCs/>
                <w:lang w:val="en-GB"/>
              </w:rPr>
              <w:t>Women:</w:t>
            </w:r>
            <w:r w:rsidR="00D676D1">
              <w:rPr>
                <w:bCs/>
                <w:lang w:val="en-GB"/>
              </w:rPr>
              <w:t xml:space="preserve"> </w:t>
            </w:r>
            <w:r w:rsidRPr="00156B9D">
              <w:rPr>
                <w:bCs/>
                <w:lang w:val="en-GB"/>
              </w:rPr>
              <w:t>3,500</w:t>
            </w:r>
          </w:p>
          <w:p w14:paraId="381C90BC" w14:textId="7D9A69A7" w:rsidR="0059376D" w:rsidRPr="00156B9D" w:rsidRDefault="0059376D" w:rsidP="00EE5CD5">
            <w:pPr>
              <w:jc w:val="both"/>
              <w:rPr>
                <w:bCs/>
                <w:lang w:val="en-GB"/>
              </w:rPr>
            </w:pPr>
            <w:r w:rsidRPr="00156B9D">
              <w:rPr>
                <w:bCs/>
                <w:lang w:val="en-GB"/>
              </w:rPr>
              <w:t>Youth:</w:t>
            </w:r>
            <w:r w:rsidR="00D676D1">
              <w:rPr>
                <w:bCs/>
                <w:lang w:val="en-GB"/>
              </w:rPr>
              <w:t xml:space="preserve"> </w:t>
            </w:r>
            <w:r w:rsidRPr="00156B9D">
              <w:rPr>
                <w:bCs/>
                <w:lang w:val="en-GB"/>
              </w:rPr>
              <w:t>2,023</w:t>
            </w:r>
          </w:p>
          <w:p w14:paraId="3AE93EAF" w14:textId="46BE1486" w:rsidR="0059376D" w:rsidRPr="00156B9D" w:rsidRDefault="0059376D" w:rsidP="00EE5CD5">
            <w:pPr>
              <w:jc w:val="both"/>
              <w:rPr>
                <w:bCs/>
                <w:lang w:val="en-GB"/>
              </w:rPr>
            </w:pPr>
            <w:r w:rsidRPr="00156B9D">
              <w:rPr>
                <w:bCs/>
                <w:lang w:val="en-GB"/>
              </w:rPr>
              <w:t>Vulnerable people:</w:t>
            </w:r>
            <w:r w:rsidR="00D676D1">
              <w:rPr>
                <w:bCs/>
                <w:lang w:val="en-GB"/>
              </w:rPr>
              <w:t xml:space="preserve"> </w:t>
            </w:r>
            <w:r w:rsidRPr="00156B9D">
              <w:rPr>
                <w:bCs/>
                <w:lang w:val="en-GB"/>
              </w:rPr>
              <w:t>345</w:t>
            </w:r>
          </w:p>
          <w:p w14:paraId="211696DE" w14:textId="78234BD1" w:rsidR="0059376D" w:rsidRPr="00156B9D" w:rsidRDefault="0059376D" w:rsidP="00EE5CD5">
            <w:pPr>
              <w:jc w:val="both"/>
              <w:rPr>
                <w:bCs/>
                <w:lang w:val="en-GB"/>
              </w:rPr>
            </w:pPr>
            <w:r w:rsidRPr="00156B9D">
              <w:rPr>
                <w:b/>
                <w:lang w:val="en-GB"/>
              </w:rPr>
              <w:t>Target</w:t>
            </w:r>
            <w:r w:rsidR="00D676D1">
              <w:rPr>
                <w:b/>
                <w:lang w:val="en-GB"/>
              </w:rPr>
              <w:t xml:space="preserve"> </w:t>
            </w:r>
            <w:r w:rsidRPr="00156B9D">
              <w:rPr>
                <w:b/>
                <w:lang w:val="en-GB"/>
              </w:rPr>
              <w:t>(2028):</w:t>
            </w:r>
            <w:r w:rsidRPr="00156B9D">
              <w:rPr>
                <w:bCs/>
                <w:lang w:val="en-GB"/>
              </w:rPr>
              <w:t xml:space="preserve"> </w:t>
            </w:r>
          </w:p>
          <w:p w14:paraId="7AA68D93" w14:textId="5C8514AB" w:rsidR="0059376D" w:rsidRPr="00156B9D" w:rsidRDefault="0059376D" w:rsidP="00EE5CD5">
            <w:pPr>
              <w:jc w:val="both"/>
              <w:rPr>
                <w:bCs/>
                <w:lang w:val="en-GB"/>
              </w:rPr>
            </w:pPr>
            <w:r w:rsidRPr="00156B9D">
              <w:rPr>
                <w:bCs/>
                <w:lang w:val="en-GB"/>
              </w:rPr>
              <w:t>Women:</w:t>
            </w:r>
            <w:r w:rsidR="00D676D1">
              <w:rPr>
                <w:bCs/>
                <w:lang w:val="en-GB"/>
              </w:rPr>
              <w:t xml:space="preserve"> </w:t>
            </w:r>
            <w:r w:rsidRPr="00156B9D">
              <w:rPr>
                <w:bCs/>
                <w:lang w:val="en-GB"/>
              </w:rPr>
              <w:t>8,530</w:t>
            </w:r>
          </w:p>
          <w:p w14:paraId="629232D1" w14:textId="37A4A60C" w:rsidR="0059376D" w:rsidRPr="00156B9D" w:rsidRDefault="0059376D" w:rsidP="00EE5CD5">
            <w:pPr>
              <w:jc w:val="both"/>
              <w:rPr>
                <w:bCs/>
                <w:lang w:val="en-GB"/>
              </w:rPr>
            </w:pPr>
            <w:r w:rsidRPr="00156B9D">
              <w:rPr>
                <w:bCs/>
                <w:lang w:val="en-GB"/>
              </w:rPr>
              <w:t>Youth:</w:t>
            </w:r>
            <w:r w:rsidR="00D676D1">
              <w:rPr>
                <w:bCs/>
                <w:lang w:val="en-GB"/>
              </w:rPr>
              <w:t xml:space="preserve"> </w:t>
            </w:r>
            <w:r w:rsidRPr="00156B9D">
              <w:rPr>
                <w:bCs/>
                <w:lang w:val="en-GB"/>
              </w:rPr>
              <w:t>10,046</w:t>
            </w:r>
          </w:p>
          <w:p w14:paraId="1DB463DB" w14:textId="77777777" w:rsidR="0059376D" w:rsidRPr="00156B9D" w:rsidRDefault="0059376D" w:rsidP="00EE5CD5">
            <w:pPr>
              <w:jc w:val="both"/>
              <w:rPr>
                <w:bCs/>
                <w:lang w:val="en-GB"/>
              </w:rPr>
            </w:pPr>
            <w:r w:rsidRPr="00156B9D">
              <w:rPr>
                <w:bCs/>
                <w:lang w:val="en-GB"/>
              </w:rPr>
              <w:t>Vulnerable people: 860</w:t>
            </w:r>
          </w:p>
          <w:p w14:paraId="2C677990" w14:textId="14F873E8" w:rsidR="0059376D" w:rsidRPr="00156B9D" w:rsidRDefault="0059376D" w:rsidP="00EE5CD5">
            <w:pPr>
              <w:jc w:val="both"/>
              <w:rPr>
                <w:bCs/>
                <w:lang w:val="en-GB"/>
              </w:rPr>
            </w:pPr>
            <w:r w:rsidRPr="00156B9D">
              <w:rPr>
                <w:b/>
                <w:lang w:val="en-GB"/>
              </w:rPr>
              <w:t>Source</w:t>
            </w:r>
            <w:r w:rsidRPr="00156B9D">
              <w:rPr>
                <w:bCs/>
                <w:lang w:val="en-GB"/>
              </w:rPr>
              <w:t xml:space="preserve">: </w:t>
            </w:r>
            <w:r w:rsidR="00A20FD9" w:rsidRPr="00156B9D">
              <w:rPr>
                <w:bCs/>
                <w:lang w:val="en-GB"/>
              </w:rPr>
              <w:t>Ministr</w:t>
            </w:r>
            <w:r w:rsidR="00EE6A62">
              <w:rPr>
                <w:bCs/>
                <w:lang w:val="en-GB"/>
              </w:rPr>
              <w:t>ies</w:t>
            </w:r>
            <w:r w:rsidR="00A20FD9" w:rsidRPr="00156B9D">
              <w:rPr>
                <w:bCs/>
                <w:lang w:val="en-GB"/>
              </w:rPr>
              <w:t xml:space="preserve"> </w:t>
            </w:r>
            <w:r w:rsidRPr="00156B9D">
              <w:rPr>
                <w:bCs/>
                <w:lang w:val="en-GB"/>
              </w:rPr>
              <w:t xml:space="preserve">of </w:t>
            </w:r>
            <w:r w:rsidR="00A20FD9">
              <w:rPr>
                <w:bCs/>
                <w:lang w:val="en-GB"/>
              </w:rPr>
              <w:t xml:space="preserve">the </w:t>
            </w:r>
            <w:r w:rsidRPr="00156B9D">
              <w:rPr>
                <w:bCs/>
                <w:lang w:val="en-GB"/>
              </w:rPr>
              <w:t xml:space="preserve">Environment, Agriculture, Mining  </w:t>
            </w:r>
          </w:p>
          <w:p w14:paraId="18AF5B36"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p w14:paraId="1A4AEE8D" w14:textId="77777777" w:rsidR="0059376D" w:rsidRPr="00156B9D" w:rsidRDefault="0059376D" w:rsidP="00EE5CD5">
            <w:pPr>
              <w:jc w:val="both"/>
              <w:rPr>
                <w:bCs/>
                <w:lang w:val="en-GB"/>
              </w:rPr>
            </w:pPr>
          </w:p>
          <w:p w14:paraId="47AE5916" w14:textId="38A0E36D" w:rsidR="0059376D" w:rsidRPr="00156B9D" w:rsidRDefault="0059376D" w:rsidP="00EE5CD5">
            <w:pPr>
              <w:jc w:val="both"/>
              <w:rPr>
                <w:strike/>
                <w:lang w:val="en-GB"/>
              </w:rPr>
            </w:pPr>
            <w:r w:rsidRPr="00156B9D">
              <w:rPr>
                <w:b/>
                <w:lang w:val="en-GB"/>
              </w:rPr>
              <w:t>Indicator 2.2.2</w:t>
            </w:r>
            <w:r w:rsidRPr="00156B9D">
              <w:rPr>
                <w:bCs/>
                <w:lang w:val="en-GB"/>
              </w:rPr>
              <w:t xml:space="preserve">: </w:t>
            </w:r>
            <w:r w:rsidRPr="00156B9D">
              <w:rPr>
                <w:lang w:val="en-GB"/>
              </w:rPr>
              <w:t xml:space="preserve">Number of sustainable initiatives/programmes developed in productive sector value chains in favour of women, young people, vulnerable people and </w:t>
            </w:r>
            <w:r w:rsidR="00A20FD9">
              <w:rPr>
                <w:lang w:val="en-GB"/>
              </w:rPr>
              <w:t>small and medium</w:t>
            </w:r>
            <w:r w:rsidR="002F49F1">
              <w:rPr>
                <w:lang w:val="en-GB"/>
              </w:rPr>
              <w:t>-</w:t>
            </w:r>
            <w:r w:rsidR="00A20FD9">
              <w:rPr>
                <w:lang w:val="en-GB"/>
              </w:rPr>
              <w:t>size</w:t>
            </w:r>
            <w:r w:rsidR="002F49F1">
              <w:rPr>
                <w:lang w:val="en-GB"/>
              </w:rPr>
              <w:t>d industries</w:t>
            </w:r>
            <w:r w:rsidR="00A20FD9">
              <w:rPr>
                <w:lang w:val="en-GB"/>
              </w:rPr>
              <w:t xml:space="preserve"> </w:t>
            </w:r>
            <w:r w:rsidR="00390741">
              <w:rPr>
                <w:lang w:val="en-GB"/>
              </w:rPr>
              <w:t xml:space="preserve">and </w:t>
            </w:r>
            <w:r w:rsidR="00A20FD9">
              <w:rPr>
                <w:lang w:val="en-GB"/>
              </w:rPr>
              <w:t>enterprises</w:t>
            </w:r>
            <w:r w:rsidR="00A20FD9" w:rsidRPr="00156B9D">
              <w:rPr>
                <w:lang w:val="en-GB"/>
              </w:rPr>
              <w:t xml:space="preserve"> </w:t>
            </w:r>
          </w:p>
          <w:p w14:paraId="069C6DDF" w14:textId="3A7CDB1F" w:rsidR="0059376D" w:rsidRPr="00156B9D" w:rsidRDefault="0059376D" w:rsidP="00EE5CD5">
            <w:pPr>
              <w:jc w:val="both"/>
              <w:rPr>
                <w:bCs/>
                <w:lang w:val="en-GB"/>
              </w:rPr>
            </w:pPr>
            <w:r w:rsidRPr="00156B9D">
              <w:rPr>
                <w:b/>
                <w:lang w:val="en-GB"/>
              </w:rPr>
              <w:t>Baseline</w:t>
            </w:r>
            <w:r w:rsidR="00D676D1">
              <w:rPr>
                <w:b/>
                <w:lang w:val="en-GB"/>
              </w:rPr>
              <w:t xml:space="preserve"> </w:t>
            </w:r>
            <w:r w:rsidRPr="00156B9D">
              <w:rPr>
                <w:b/>
                <w:lang w:val="en-GB"/>
              </w:rPr>
              <w:t>(2022)</w:t>
            </w:r>
            <w:r w:rsidRPr="00156B9D">
              <w:rPr>
                <w:bCs/>
                <w:lang w:val="en-GB"/>
              </w:rPr>
              <w:t>:</w:t>
            </w:r>
            <w:r w:rsidR="00A20FD9">
              <w:rPr>
                <w:bCs/>
                <w:lang w:val="en-GB"/>
              </w:rPr>
              <w:t xml:space="preserve"> </w:t>
            </w:r>
            <w:r w:rsidRPr="00156B9D">
              <w:rPr>
                <w:bCs/>
                <w:lang w:val="en-GB"/>
              </w:rPr>
              <w:t xml:space="preserve">15            </w:t>
            </w:r>
          </w:p>
          <w:p w14:paraId="3A2FC56D" w14:textId="5499B7EC" w:rsidR="0059376D" w:rsidRPr="00156B9D" w:rsidRDefault="0059376D" w:rsidP="00EE5CD5">
            <w:pPr>
              <w:jc w:val="both"/>
              <w:rPr>
                <w:bCs/>
                <w:lang w:val="en-GB"/>
              </w:rPr>
            </w:pPr>
            <w:r w:rsidRPr="00156B9D">
              <w:rPr>
                <w:b/>
                <w:lang w:val="en-GB"/>
              </w:rPr>
              <w:t>Target</w:t>
            </w:r>
            <w:r w:rsidR="00D676D1">
              <w:rPr>
                <w:b/>
                <w:lang w:val="en-GB"/>
              </w:rPr>
              <w:t xml:space="preserve"> </w:t>
            </w:r>
            <w:r w:rsidRPr="00156B9D">
              <w:rPr>
                <w:b/>
                <w:lang w:val="en-GB"/>
              </w:rPr>
              <w:t>(2028):</w:t>
            </w:r>
            <w:r w:rsidR="00A20FD9">
              <w:rPr>
                <w:b/>
                <w:lang w:val="en-GB"/>
              </w:rPr>
              <w:t xml:space="preserve"> </w:t>
            </w:r>
            <w:r w:rsidRPr="00156B9D">
              <w:rPr>
                <w:bCs/>
                <w:lang w:val="en-GB"/>
              </w:rPr>
              <w:t>45</w:t>
            </w:r>
          </w:p>
          <w:p w14:paraId="55B5B007" w14:textId="612B4FEE" w:rsidR="0059376D" w:rsidRPr="00156B9D" w:rsidRDefault="0059376D" w:rsidP="00EE5CD5">
            <w:pPr>
              <w:jc w:val="both"/>
              <w:rPr>
                <w:bCs/>
                <w:lang w:val="en-GB"/>
              </w:rPr>
            </w:pPr>
            <w:r w:rsidRPr="00156B9D">
              <w:rPr>
                <w:b/>
                <w:lang w:val="en-GB"/>
              </w:rPr>
              <w:t>Sources</w:t>
            </w:r>
            <w:r w:rsidRPr="00156B9D">
              <w:rPr>
                <w:bCs/>
                <w:lang w:val="en-GB"/>
              </w:rPr>
              <w:t xml:space="preserve">: </w:t>
            </w:r>
            <w:r w:rsidR="00EE6A62" w:rsidRPr="00156B9D">
              <w:rPr>
                <w:bCs/>
                <w:lang w:val="en-GB"/>
              </w:rPr>
              <w:t>Ministr</w:t>
            </w:r>
            <w:r w:rsidR="00EE6A62">
              <w:rPr>
                <w:bCs/>
                <w:lang w:val="en-GB"/>
              </w:rPr>
              <w:t>ies</w:t>
            </w:r>
            <w:r w:rsidR="00EE6A62" w:rsidRPr="00156B9D">
              <w:rPr>
                <w:bCs/>
                <w:lang w:val="en-GB"/>
              </w:rPr>
              <w:t xml:space="preserve"> of </w:t>
            </w:r>
            <w:r w:rsidR="00EE6A62">
              <w:rPr>
                <w:bCs/>
                <w:lang w:val="en-GB"/>
              </w:rPr>
              <w:t xml:space="preserve">the </w:t>
            </w:r>
            <w:r w:rsidR="00EE6A62" w:rsidRPr="00156B9D">
              <w:rPr>
                <w:bCs/>
                <w:lang w:val="en-GB"/>
              </w:rPr>
              <w:t xml:space="preserve">Environment, Agriculture, </w:t>
            </w:r>
            <w:r w:rsidRPr="00156B9D">
              <w:rPr>
                <w:bCs/>
                <w:lang w:val="en-GB"/>
              </w:rPr>
              <w:t xml:space="preserve">Mining </w:t>
            </w:r>
          </w:p>
          <w:p w14:paraId="362ED6AF"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p w14:paraId="3DEEBEC2" w14:textId="77777777" w:rsidR="0059376D" w:rsidRPr="00156B9D" w:rsidRDefault="0059376D" w:rsidP="00EE5CD5">
            <w:pPr>
              <w:pStyle w:val="pf0"/>
              <w:spacing w:before="0" w:beforeAutospacing="0" w:after="0" w:afterAutospacing="0"/>
              <w:jc w:val="both"/>
              <w:rPr>
                <w:b/>
                <w:sz w:val="20"/>
                <w:szCs w:val="20"/>
                <w:lang w:val="en-GB"/>
              </w:rPr>
            </w:pPr>
          </w:p>
          <w:p w14:paraId="0B18E163" w14:textId="39415152" w:rsidR="0059376D" w:rsidRPr="00156B9D" w:rsidRDefault="0059376D" w:rsidP="00EE5CD5">
            <w:pPr>
              <w:pStyle w:val="pf0"/>
              <w:spacing w:before="0" w:beforeAutospacing="0" w:after="0" w:afterAutospacing="0"/>
              <w:jc w:val="both"/>
              <w:rPr>
                <w:bCs/>
                <w:sz w:val="20"/>
                <w:szCs w:val="20"/>
                <w:lang w:val="en-GB"/>
              </w:rPr>
            </w:pPr>
            <w:r w:rsidRPr="00156B9D">
              <w:rPr>
                <w:b/>
                <w:sz w:val="20"/>
                <w:szCs w:val="20"/>
                <w:lang w:val="en-GB"/>
              </w:rPr>
              <w:t>Indicator 2.2.3</w:t>
            </w:r>
            <w:r w:rsidRPr="00156B9D">
              <w:rPr>
                <w:bCs/>
                <w:sz w:val="20"/>
                <w:szCs w:val="20"/>
                <w:lang w:val="en-GB"/>
              </w:rPr>
              <w:t xml:space="preserve">: Number of women, youth, vulnerable people, support scheme </w:t>
            </w:r>
            <w:r w:rsidR="00EE6A62" w:rsidRPr="00156B9D">
              <w:rPr>
                <w:bCs/>
                <w:sz w:val="20"/>
                <w:szCs w:val="20"/>
                <w:lang w:val="en-GB"/>
              </w:rPr>
              <w:t xml:space="preserve">beneficiaries </w:t>
            </w:r>
            <w:r w:rsidRPr="00156B9D">
              <w:rPr>
                <w:bCs/>
                <w:sz w:val="20"/>
                <w:szCs w:val="20"/>
                <w:lang w:val="en-GB"/>
              </w:rPr>
              <w:t>(financial and non-</w:t>
            </w:r>
            <w:r w:rsidRPr="00156B9D">
              <w:rPr>
                <w:bCs/>
                <w:sz w:val="20"/>
                <w:szCs w:val="20"/>
                <w:lang w:val="en-GB"/>
              </w:rPr>
              <w:lastRenderedPageBreak/>
              <w:t xml:space="preserve">financial) who created decent jobs and developed sustainable enterprises within high value sectors </w:t>
            </w:r>
          </w:p>
          <w:p w14:paraId="548B3C53" w14:textId="63C56F9B" w:rsidR="0059376D" w:rsidRPr="00156B9D" w:rsidRDefault="0059376D" w:rsidP="00EE5CD5">
            <w:pPr>
              <w:pStyle w:val="pf0"/>
              <w:spacing w:before="0" w:beforeAutospacing="0" w:after="0" w:afterAutospacing="0"/>
              <w:jc w:val="both"/>
              <w:rPr>
                <w:b/>
                <w:sz w:val="20"/>
                <w:szCs w:val="20"/>
                <w:lang w:val="en-GB"/>
              </w:rPr>
            </w:pPr>
            <w:r w:rsidRPr="00156B9D">
              <w:rPr>
                <w:b/>
                <w:sz w:val="20"/>
                <w:szCs w:val="20"/>
                <w:lang w:val="en-GB"/>
              </w:rPr>
              <w:t>Baseline</w:t>
            </w:r>
            <w:r w:rsidR="00D676D1">
              <w:rPr>
                <w:b/>
                <w:sz w:val="20"/>
                <w:szCs w:val="20"/>
                <w:lang w:val="en-GB"/>
              </w:rPr>
              <w:t xml:space="preserve"> </w:t>
            </w:r>
            <w:r w:rsidRPr="00156B9D">
              <w:rPr>
                <w:b/>
                <w:sz w:val="20"/>
                <w:szCs w:val="20"/>
                <w:lang w:val="en-GB"/>
              </w:rPr>
              <w:t xml:space="preserve">(2022): </w:t>
            </w:r>
          </w:p>
          <w:p w14:paraId="7C96202E" w14:textId="77777777" w:rsidR="0059376D" w:rsidRPr="00156B9D" w:rsidRDefault="0059376D" w:rsidP="00EE5CD5">
            <w:pPr>
              <w:jc w:val="both"/>
              <w:rPr>
                <w:bCs/>
                <w:lang w:val="en-GB" w:eastAsia="fr-FR"/>
              </w:rPr>
            </w:pPr>
            <w:r w:rsidRPr="00156B9D">
              <w:rPr>
                <w:bCs/>
                <w:lang w:val="en-GB" w:eastAsia="fr-FR"/>
              </w:rPr>
              <w:t>Women: 1,514</w:t>
            </w:r>
          </w:p>
          <w:p w14:paraId="265D715C" w14:textId="77777777" w:rsidR="0059376D" w:rsidRPr="00156B9D" w:rsidRDefault="0059376D" w:rsidP="00EE5CD5">
            <w:pPr>
              <w:jc w:val="both"/>
              <w:rPr>
                <w:bCs/>
                <w:lang w:val="en-GB"/>
              </w:rPr>
            </w:pPr>
            <w:r w:rsidRPr="00156B9D">
              <w:rPr>
                <w:bCs/>
                <w:lang w:val="en-GB"/>
              </w:rPr>
              <w:t>Youth: 18</w:t>
            </w:r>
          </w:p>
          <w:p w14:paraId="69D29895" w14:textId="7C93AFAE" w:rsidR="0059376D" w:rsidRPr="00156B9D" w:rsidRDefault="0059376D" w:rsidP="00EE5CD5">
            <w:pPr>
              <w:jc w:val="both"/>
              <w:rPr>
                <w:bCs/>
                <w:lang w:val="en-GB"/>
              </w:rPr>
            </w:pPr>
            <w:r w:rsidRPr="00156B9D">
              <w:rPr>
                <w:bCs/>
                <w:lang w:val="en-GB"/>
              </w:rPr>
              <w:t>Vulnerable people:</w:t>
            </w:r>
            <w:r w:rsidR="000A2566">
              <w:rPr>
                <w:bCs/>
                <w:lang w:val="en-GB"/>
              </w:rPr>
              <w:t xml:space="preserve"> </w:t>
            </w:r>
            <w:r w:rsidRPr="00156B9D">
              <w:rPr>
                <w:bCs/>
                <w:lang w:val="en-GB"/>
              </w:rPr>
              <w:t>0</w:t>
            </w:r>
          </w:p>
          <w:p w14:paraId="4F3474E1" w14:textId="5998CFF8" w:rsidR="0059376D" w:rsidRPr="00156B9D" w:rsidRDefault="0059376D" w:rsidP="00EE5CD5">
            <w:pPr>
              <w:jc w:val="both"/>
              <w:rPr>
                <w:bCs/>
                <w:lang w:val="en-GB"/>
              </w:rPr>
            </w:pPr>
            <w:r w:rsidRPr="00156B9D">
              <w:rPr>
                <w:b/>
                <w:lang w:val="en-GB"/>
              </w:rPr>
              <w:t>Target</w:t>
            </w:r>
            <w:r w:rsidR="00D676D1">
              <w:rPr>
                <w:b/>
                <w:lang w:val="en-GB"/>
              </w:rPr>
              <w:t xml:space="preserve"> </w:t>
            </w:r>
            <w:r w:rsidRPr="00156B9D">
              <w:rPr>
                <w:b/>
                <w:lang w:val="en-GB"/>
              </w:rPr>
              <w:t>(2028):</w:t>
            </w:r>
            <w:r w:rsidRPr="00156B9D">
              <w:rPr>
                <w:bCs/>
                <w:lang w:val="en-GB"/>
              </w:rPr>
              <w:t xml:space="preserve"> </w:t>
            </w:r>
          </w:p>
          <w:p w14:paraId="2A74B308" w14:textId="174168D3" w:rsidR="0059376D" w:rsidRPr="00156B9D" w:rsidRDefault="0059376D" w:rsidP="00EE5CD5">
            <w:pPr>
              <w:jc w:val="both"/>
              <w:rPr>
                <w:bCs/>
                <w:lang w:val="en-GB"/>
              </w:rPr>
            </w:pPr>
            <w:r w:rsidRPr="00156B9D">
              <w:rPr>
                <w:bCs/>
                <w:lang w:val="en-GB"/>
              </w:rPr>
              <w:t>Women:</w:t>
            </w:r>
            <w:r w:rsidR="00D676D1">
              <w:rPr>
                <w:bCs/>
                <w:lang w:val="en-GB"/>
              </w:rPr>
              <w:t xml:space="preserve"> </w:t>
            </w:r>
            <w:r w:rsidRPr="00156B9D">
              <w:rPr>
                <w:bCs/>
                <w:lang w:val="en-GB"/>
              </w:rPr>
              <w:t xml:space="preserve">2,791 </w:t>
            </w:r>
          </w:p>
          <w:p w14:paraId="5A0504D5" w14:textId="19D999EC" w:rsidR="0059376D" w:rsidRPr="00156B9D" w:rsidRDefault="0059376D" w:rsidP="00EE5CD5">
            <w:pPr>
              <w:jc w:val="both"/>
              <w:rPr>
                <w:bCs/>
                <w:lang w:val="en-GB"/>
              </w:rPr>
            </w:pPr>
            <w:r w:rsidRPr="00156B9D">
              <w:rPr>
                <w:bCs/>
                <w:lang w:val="en-GB"/>
              </w:rPr>
              <w:t>Youth:</w:t>
            </w:r>
            <w:r w:rsidR="00D676D1">
              <w:rPr>
                <w:bCs/>
                <w:lang w:val="en-GB"/>
              </w:rPr>
              <w:t xml:space="preserve"> </w:t>
            </w:r>
            <w:r w:rsidRPr="00156B9D">
              <w:rPr>
                <w:bCs/>
                <w:lang w:val="en-GB"/>
              </w:rPr>
              <w:t xml:space="preserve">600 </w:t>
            </w:r>
          </w:p>
          <w:p w14:paraId="0D9751CC" w14:textId="77777777" w:rsidR="0059376D" w:rsidRPr="00156B9D" w:rsidRDefault="0059376D" w:rsidP="00EE5CD5">
            <w:pPr>
              <w:jc w:val="both"/>
              <w:rPr>
                <w:bCs/>
                <w:lang w:val="en-GB"/>
              </w:rPr>
            </w:pPr>
            <w:r w:rsidRPr="00156B9D">
              <w:rPr>
                <w:bCs/>
                <w:lang w:val="en-GB"/>
              </w:rPr>
              <w:t>Vulnerable people:100</w:t>
            </w:r>
          </w:p>
          <w:p w14:paraId="0129C09A" w14:textId="4BF2B220" w:rsidR="0059376D" w:rsidRPr="00156B9D" w:rsidRDefault="0059376D" w:rsidP="00EE5CD5">
            <w:pPr>
              <w:jc w:val="both"/>
              <w:rPr>
                <w:lang w:val="en-GB"/>
              </w:rPr>
            </w:pPr>
            <w:r w:rsidRPr="00156B9D">
              <w:rPr>
                <w:b/>
                <w:lang w:val="en-GB"/>
              </w:rPr>
              <w:t>Sources</w:t>
            </w:r>
            <w:r w:rsidRPr="00156B9D">
              <w:rPr>
                <w:bCs/>
                <w:lang w:val="en-GB"/>
              </w:rPr>
              <w:t xml:space="preserve">: Ministry of </w:t>
            </w:r>
            <w:r w:rsidRPr="00156B9D">
              <w:rPr>
                <w:lang w:val="en-GB"/>
              </w:rPr>
              <w:t>S</w:t>
            </w:r>
            <w:r w:rsidR="00906B5A">
              <w:rPr>
                <w:lang w:val="en-GB"/>
              </w:rPr>
              <w:t>mall and Medium</w:t>
            </w:r>
            <w:r w:rsidR="007E47B2">
              <w:rPr>
                <w:lang w:val="en-GB"/>
              </w:rPr>
              <w:t>-s</w:t>
            </w:r>
            <w:r w:rsidR="00906B5A">
              <w:rPr>
                <w:lang w:val="en-GB"/>
              </w:rPr>
              <w:t>ize</w:t>
            </w:r>
            <w:r w:rsidR="007E47B2">
              <w:rPr>
                <w:lang w:val="en-GB"/>
              </w:rPr>
              <w:t>d Industries and</w:t>
            </w:r>
            <w:r w:rsidR="00906B5A">
              <w:rPr>
                <w:lang w:val="en-GB"/>
              </w:rPr>
              <w:t xml:space="preserve"> Enterprises</w:t>
            </w:r>
            <w:r w:rsidR="00906B5A" w:rsidRPr="00156B9D">
              <w:rPr>
                <w:lang w:val="en-GB"/>
              </w:rPr>
              <w:t xml:space="preserve">  </w:t>
            </w:r>
          </w:p>
          <w:p w14:paraId="39CE7DFB"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bookmarkEnd w:id="12"/>
            <w:bookmarkEnd w:id="13"/>
            <w:bookmarkEnd w:id="14"/>
          </w:p>
          <w:p w14:paraId="41C3DC34" w14:textId="77777777" w:rsidR="0059376D" w:rsidRPr="00156B9D" w:rsidRDefault="0059376D" w:rsidP="00EE5CD5">
            <w:pPr>
              <w:jc w:val="both"/>
              <w:rPr>
                <w:bCs/>
                <w:lang w:val="en-GB"/>
              </w:rPr>
            </w:pPr>
          </w:p>
          <w:p w14:paraId="11E389EA" w14:textId="4108BF4A" w:rsidR="0059376D" w:rsidRPr="00156B9D" w:rsidRDefault="0059376D" w:rsidP="00EE5CD5">
            <w:pPr>
              <w:jc w:val="both"/>
              <w:rPr>
                <w:bCs/>
                <w:lang w:val="en-GB"/>
              </w:rPr>
            </w:pPr>
            <w:r w:rsidRPr="00156B9D">
              <w:rPr>
                <w:b/>
                <w:bCs/>
                <w:lang w:val="en-GB"/>
              </w:rPr>
              <w:t>Indicator 2.2.4</w:t>
            </w:r>
            <w:r w:rsidRPr="00156B9D">
              <w:rPr>
                <w:lang w:val="en-GB"/>
              </w:rPr>
              <w:t>: </w:t>
            </w:r>
            <w:r w:rsidRPr="00156B9D">
              <w:rPr>
                <w:bCs/>
                <w:lang w:val="en-GB"/>
              </w:rPr>
              <w:t>Number of young people using digital technolog</w:t>
            </w:r>
            <w:r w:rsidR="005511F4">
              <w:rPr>
                <w:bCs/>
                <w:lang w:val="en-GB"/>
              </w:rPr>
              <w:t>y</w:t>
            </w:r>
            <w:r w:rsidRPr="00156B9D">
              <w:rPr>
                <w:bCs/>
                <w:lang w:val="en-GB"/>
              </w:rPr>
              <w:t xml:space="preserve"> and services in ways that improve</w:t>
            </w:r>
            <w:r w:rsidR="005511F4">
              <w:rPr>
                <w:bCs/>
                <w:lang w:val="en-GB"/>
              </w:rPr>
              <w:t xml:space="preserve"> </w:t>
            </w:r>
            <w:r w:rsidRPr="00156B9D">
              <w:rPr>
                <w:bCs/>
                <w:lang w:val="en-GB"/>
              </w:rPr>
              <w:t>their lives (S</w:t>
            </w:r>
            <w:r w:rsidR="00906B5A">
              <w:rPr>
                <w:bCs/>
                <w:lang w:val="en-GB"/>
              </w:rPr>
              <w:t xml:space="preserve">trategic </w:t>
            </w:r>
            <w:r w:rsidRPr="00156B9D">
              <w:rPr>
                <w:bCs/>
                <w:lang w:val="en-GB"/>
              </w:rPr>
              <w:t>P</w:t>
            </w:r>
            <w:r w:rsidR="00906B5A">
              <w:rPr>
                <w:bCs/>
                <w:lang w:val="en-GB"/>
              </w:rPr>
              <w:t>lan</w:t>
            </w:r>
            <w:r w:rsidRPr="00156B9D">
              <w:rPr>
                <w:bCs/>
                <w:lang w:val="en-GB"/>
              </w:rPr>
              <w:t xml:space="preserve"> Indicator E.1.3)</w:t>
            </w:r>
          </w:p>
          <w:p w14:paraId="612E935F" w14:textId="450A0BDD" w:rsidR="0059376D" w:rsidRPr="00156B9D" w:rsidRDefault="0059376D" w:rsidP="00EE5CD5">
            <w:pPr>
              <w:pStyle w:val="paragraph"/>
              <w:spacing w:before="0" w:beforeAutospacing="0" w:after="0" w:afterAutospacing="0"/>
              <w:textAlignment w:val="baseline"/>
              <w:rPr>
                <w:rFonts w:eastAsia="Calibri"/>
                <w:bCs/>
                <w:sz w:val="20"/>
                <w:szCs w:val="20"/>
                <w:lang w:val="en-GB"/>
              </w:rPr>
            </w:pPr>
            <w:r w:rsidRPr="00156B9D">
              <w:rPr>
                <w:rFonts w:eastAsia="Calibri"/>
                <w:b/>
                <w:sz w:val="20"/>
                <w:szCs w:val="20"/>
                <w:lang w:val="en-GB"/>
              </w:rPr>
              <w:t>Baseline</w:t>
            </w:r>
            <w:r w:rsidR="00962055">
              <w:rPr>
                <w:rFonts w:eastAsia="Calibri"/>
                <w:b/>
                <w:sz w:val="20"/>
                <w:szCs w:val="20"/>
                <w:lang w:val="en-GB"/>
              </w:rPr>
              <w:t xml:space="preserve"> </w:t>
            </w:r>
            <w:r w:rsidRPr="00156B9D">
              <w:rPr>
                <w:rFonts w:eastAsia="Calibri"/>
                <w:b/>
                <w:sz w:val="20"/>
                <w:szCs w:val="20"/>
                <w:lang w:val="en-GB"/>
              </w:rPr>
              <w:t>(2022):</w:t>
            </w:r>
            <w:r w:rsidRPr="00156B9D">
              <w:rPr>
                <w:rFonts w:eastAsia="Calibri"/>
                <w:bCs/>
                <w:sz w:val="20"/>
                <w:szCs w:val="20"/>
                <w:lang w:val="en-GB"/>
              </w:rPr>
              <w:t xml:space="preserve"> Women:</w:t>
            </w:r>
            <w:r w:rsidR="00962055">
              <w:rPr>
                <w:rFonts w:eastAsia="Calibri"/>
                <w:bCs/>
                <w:sz w:val="20"/>
                <w:szCs w:val="20"/>
                <w:lang w:val="en-GB"/>
              </w:rPr>
              <w:t xml:space="preserve"> </w:t>
            </w:r>
            <w:r w:rsidRPr="00156B9D">
              <w:rPr>
                <w:rFonts w:eastAsia="Calibri"/>
                <w:bCs/>
                <w:sz w:val="20"/>
                <w:szCs w:val="20"/>
                <w:lang w:val="en-GB"/>
              </w:rPr>
              <w:t>0</w:t>
            </w:r>
            <w:r w:rsidR="00151410">
              <w:rPr>
                <w:rFonts w:eastAsia="Calibri"/>
                <w:bCs/>
                <w:sz w:val="20"/>
                <w:szCs w:val="20"/>
                <w:lang w:val="en-GB"/>
              </w:rPr>
              <w:t>;</w:t>
            </w:r>
            <w:r w:rsidRPr="00156B9D">
              <w:rPr>
                <w:rFonts w:eastAsia="Calibri"/>
                <w:bCs/>
                <w:sz w:val="20"/>
                <w:szCs w:val="20"/>
                <w:lang w:val="en-GB"/>
              </w:rPr>
              <w:t xml:space="preserve"> </w:t>
            </w:r>
            <w:r w:rsidR="00151410">
              <w:rPr>
                <w:rFonts w:eastAsia="Calibri"/>
                <w:bCs/>
                <w:sz w:val="20"/>
                <w:szCs w:val="20"/>
                <w:lang w:val="en-GB"/>
              </w:rPr>
              <w:t>m</w:t>
            </w:r>
            <w:r w:rsidR="00151410" w:rsidRPr="00156B9D">
              <w:rPr>
                <w:rFonts w:eastAsia="Calibri"/>
                <w:bCs/>
                <w:sz w:val="20"/>
                <w:szCs w:val="20"/>
                <w:lang w:val="en-GB"/>
              </w:rPr>
              <w:t>en</w:t>
            </w:r>
            <w:r w:rsidRPr="00156B9D">
              <w:rPr>
                <w:rFonts w:eastAsia="Calibri"/>
                <w:bCs/>
                <w:sz w:val="20"/>
                <w:szCs w:val="20"/>
                <w:lang w:val="en-GB"/>
              </w:rPr>
              <w:t>:</w:t>
            </w:r>
            <w:r w:rsidR="00962055">
              <w:rPr>
                <w:rFonts w:eastAsia="Calibri"/>
                <w:bCs/>
                <w:sz w:val="20"/>
                <w:szCs w:val="20"/>
                <w:lang w:val="en-GB"/>
              </w:rPr>
              <w:t xml:space="preserve"> </w:t>
            </w:r>
            <w:r w:rsidRPr="00156B9D">
              <w:rPr>
                <w:rFonts w:eastAsia="Calibri"/>
                <w:bCs/>
                <w:sz w:val="20"/>
                <w:szCs w:val="20"/>
                <w:lang w:val="en-GB"/>
              </w:rPr>
              <w:t>0</w:t>
            </w:r>
          </w:p>
          <w:p w14:paraId="52D89AA6" w14:textId="2D75F6D3" w:rsidR="0059376D" w:rsidRPr="00156B9D" w:rsidRDefault="0059376D" w:rsidP="00EE5CD5">
            <w:pPr>
              <w:pStyle w:val="paragraph"/>
              <w:spacing w:before="0" w:beforeAutospacing="0" w:after="0" w:afterAutospacing="0"/>
              <w:textAlignment w:val="baseline"/>
              <w:rPr>
                <w:rFonts w:eastAsia="Calibri"/>
                <w:bCs/>
                <w:sz w:val="20"/>
                <w:szCs w:val="20"/>
                <w:lang w:val="en-GB"/>
              </w:rPr>
            </w:pPr>
            <w:r w:rsidRPr="00156B9D">
              <w:rPr>
                <w:rFonts w:eastAsia="Calibri"/>
                <w:b/>
                <w:sz w:val="20"/>
                <w:szCs w:val="20"/>
                <w:lang w:val="en-GB"/>
              </w:rPr>
              <w:t>Target</w:t>
            </w:r>
            <w:r w:rsidR="00962055">
              <w:rPr>
                <w:rFonts w:eastAsia="Calibri"/>
                <w:b/>
                <w:sz w:val="20"/>
                <w:szCs w:val="20"/>
                <w:lang w:val="en-GB"/>
              </w:rPr>
              <w:t xml:space="preserve"> </w:t>
            </w:r>
            <w:r w:rsidRPr="00156B9D">
              <w:rPr>
                <w:rFonts w:eastAsia="Calibri"/>
                <w:b/>
                <w:sz w:val="20"/>
                <w:szCs w:val="20"/>
                <w:lang w:val="en-GB"/>
              </w:rPr>
              <w:t>(2028):</w:t>
            </w:r>
            <w:r w:rsidRPr="00156B9D">
              <w:rPr>
                <w:rFonts w:eastAsia="Calibri"/>
                <w:bCs/>
                <w:sz w:val="20"/>
                <w:szCs w:val="20"/>
                <w:lang w:val="en-GB"/>
              </w:rPr>
              <w:t xml:space="preserve"> Women:</w:t>
            </w:r>
            <w:r w:rsidR="00962055">
              <w:rPr>
                <w:rFonts w:eastAsia="Calibri"/>
                <w:bCs/>
                <w:sz w:val="20"/>
                <w:szCs w:val="20"/>
                <w:lang w:val="en-GB"/>
              </w:rPr>
              <w:t xml:space="preserve"> </w:t>
            </w:r>
            <w:r w:rsidRPr="00156B9D">
              <w:rPr>
                <w:rFonts w:eastAsia="Calibri"/>
                <w:bCs/>
                <w:sz w:val="20"/>
                <w:szCs w:val="20"/>
                <w:lang w:val="en-GB"/>
              </w:rPr>
              <w:t>150</w:t>
            </w:r>
            <w:r w:rsidR="00AF029D">
              <w:rPr>
                <w:rFonts w:eastAsia="Calibri"/>
                <w:bCs/>
                <w:sz w:val="20"/>
                <w:szCs w:val="20"/>
                <w:lang w:val="en-GB"/>
              </w:rPr>
              <w:t>;</w:t>
            </w:r>
            <w:r w:rsidRPr="00156B9D">
              <w:rPr>
                <w:rFonts w:eastAsia="Calibri"/>
                <w:bCs/>
                <w:sz w:val="20"/>
                <w:szCs w:val="20"/>
                <w:lang w:val="en-GB"/>
              </w:rPr>
              <w:t xml:space="preserve"> </w:t>
            </w:r>
            <w:r w:rsidR="00151410">
              <w:rPr>
                <w:rFonts w:eastAsia="Calibri"/>
                <w:bCs/>
                <w:sz w:val="20"/>
                <w:szCs w:val="20"/>
                <w:lang w:val="en-GB"/>
              </w:rPr>
              <w:t>m</w:t>
            </w:r>
            <w:r w:rsidR="00151410" w:rsidRPr="00156B9D">
              <w:rPr>
                <w:rFonts w:eastAsia="Calibri"/>
                <w:bCs/>
                <w:sz w:val="20"/>
                <w:szCs w:val="20"/>
                <w:lang w:val="en-GB"/>
              </w:rPr>
              <w:t>en</w:t>
            </w:r>
            <w:r w:rsidRPr="00156B9D">
              <w:rPr>
                <w:rFonts w:eastAsia="Calibri"/>
                <w:bCs/>
                <w:sz w:val="20"/>
                <w:szCs w:val="20"/>
                <w:lang w:val="en-GB"/>
              </w:rPr>
              <w:t>:</w:t>
            </w:r>
            <w:r w:rsidR="00962055">
              <w:rPr>
                <w:rFonts w:eastAsia="Calibri"/>
                <w:bCs/>
                <w:sz w:val="20"/>
                <w:szCs w:val="20"/>
                <w:lang w:val="en-GB"/>
              </w:rPr>
              <w:t xml:space="preserve"> </w:t>
            </w:r>
            <w:r w:rsidRPr="00156B9D">
              <w:rPr>
                <w:rFonts w:eastAsia="Calibri"/>
                <w:bCs/>
                <w:sz w:val="20"/>
                <w:szCs w:val="20"/>
                <w:lang w:val="en-GB"/>
              </w:rPr>
              <w:t>150</w:t>
            </w:r>
          </w:p>
          <w:p w14:paraId="5AB1A4CD" w14:textId="218AD8D1" w:rsidR="0059376D" w:rsidRPr="00156B9D" w:rsidRDefault="0059376D" w:rsidP="00EE5CD5">
            <w:pPr>
              <w:pStyle w:val="NormalWeb"/>
              <w:spacing w:before="0" w:beforeAutospacing="0" w:after="0" w:afterAutospacing="0"/>
              <w:rPr>
                <w:rFonts w:eastAsia="Calibri"/>
                <w:bCs/>
                <w:sz w:val="20"/>
                <w:szCs w:val="20"/>
                <w:lang w:val="en-GB"/>
              </w:rPr>
            </w:pPr>
            <w:r w:rsidRPr="00156B9D">
              <w:rPr>
                <w:rFonts w:eastAsia="Calibri"/>
                <w:b/>
                <w:sz w:val="20"/>
                <w:szCs w:val="20"/>
                <w:lang w:val="en-GB"/>
              </w:rPr>
              <w:t>Source</w:t>
            </w:r>
            <w:r w:rsidRPr="00156B9D">
              <w:rPr>
                <w:rFonts w:eastAsia="Calibri"/>
                <w:bCs/>
                <w:sz w:val="20"/>
                <w:szCs w:val="20"/>
                <w:lang w:val="en-GB"/>
              </w:rPr>
              <w:t>: National Agency for Youth Volunteerism</w:t>
            </w:r>
          </w:p>
          <w:p w14:paraId="6C0C25C9" w14:textId="77777777" w:rsidR="0059376D" w:rsidRPr="00156B9D" w:rsidRDefault="0059376D" w:rsidP="00EE5CD5">
            <w:pPr>
              <w:pStyle w:val="paragraph"/>
              <w:spacing w:before="0" w:beforeAutospacing="0" w:after="0" w:afterAutospacing="0"/>
              <w:textAlignment w:val="baseline"/>
              <w:rPr>
                <w:bCs/>
                <w:sz w:val="20"/>
                <w:szCs w:val="20"/>
                <w:lang w:val="en-GB"/>
              </w:rPr>
            </w:pPr>
            <w:r w:rsidRPr="00156B9D">
              <w:rPr>
                <w:rFonts w:eastAsia="Calibri"/>
                <w:b/>
                <w:sz w:val="20"/>
                <w:szCs w:val="20"/>
                <w:lang w:val="en-GB"/>
              </w:rPr>
              <w:t>Frequency:</w:t>
            </w:r>
            <w:r w:rsidRPr="00156B9D">
              <w:rPr>
                <w:rFonts w:eastAsia="Calibri"/>
                <w:bCs/>
                <w:sz w:val="20"/>
                <w:szCs w:val="20"/>
                <w:lang w:val="en-GB"/>
              </w:rPr>
              <w:t xml:space="preserve"> Annual</w:t>
            </w:r>
            <w:r w:rsidRPr="00156B9D">
              <w:rPr>
                <w:bCs/>
                <w:sz w:val="20"/>
                <w:szCs w:val="20"/>
                <w:lang w:val="en-GB"/>
              </w:rPr>
              <w:t xml:space="preserve"> </w:t>
            </w:r>
          </w:p>
        </w:tc>
        <w:tc>
          <w:tcPr>
            <w:tcW w:w="2552" w:type="dxa"/>
            <w:vMerge/>
          </w:tcPr>
          <w:p w14:paraId="29127DA4" w14:textId="77777777" w:rsidR="0059376D" w:rsidRPr="00156B9D" w:rsidRDefault="0059376D" w:rsidP="00EE5CD5">
            <w:pPr>
              <w:jc w:val="both"/>
              <w:rPr>
                <w:lang w:val="en-GB"/>
              </w:rPr>
            </w:pPr>
          </w:p>
        </w:tc>
        <w:tc>
          <w:tcPr>
            <w:tcW w:w="1559" w:type="dxa"/>
            <w:vMerge/>
          </w:tcPr>
          <w:p w14:paraId="456ACC87" w14:textId="77777777" w:rsidR="0059376D" w:rsidRPr="00156B9D" w:rsidRDefault="0059376D" w:rsidP="00EE5CD5">
            <w:pPr>
              <w:jc w:val="both"/>
              <w:rPr>
                <w:lang w:val="en-GB"/>
              </w:rPr>
            </w:pPr>
          </w:p>
        </w:tc>
      </w:tr>
      <w:tr w:rsidR="0059376D" w:rsidRPr="00156B9D" w14:paraId="70AD62E7" w14:textId="77777777" w:rsidTr="0059376D">
        <w:trPr>
          <w:trHeight w:val="300"/>
        </w:trPr>
        <w:tc>
          <w:tcPr>
            <w:tcW w:w="3545" w:type="dxa"/>
            <w:vMerge/>
          </w:tcPr>
          <w:p w14:paraId="6B8A4C51" w14:textId="77777777" w:rsidR="0059376D" w:rsidRPr="00156B9D" w:rsidRDefault="0059376D" w:rsidP="00EE5CD5">
            <w:pPr>
              <w:jc w:val="both"/>
              <w:rPr>
                <w:lang w:val="en-GB"/>
              </w:rPr>
            </w:pPr>
          </w:p>
        </w:tc>
        <w:tc>
          <w:tcPr>
            <w:tcW w:w="2835" w:type="dxa"/>
            <w:vMerge/>
          </w:tcPr>
          <w:p w14:paraId="339EA8ED" w14:textId="77777777" w:rsidR="0059376D" w:rsidRPr="00156B9D" w:rsidRDefault="0059376D" w:rsidP="00EE5CD5">
            <w:pPr>
              <w:jc w:val="both"/>
              <w:rPr>
                <w:lang w:val="en-GB"/>
              </w:rPr>
            </w:pPr>
          </w:p>
        </w:tc>
        <w:tc>
          <w:tcPr>
            <w:tcW w:w="4819" w:type="dxa"/>
            <w:shd w:val="clear" w:color="auto" w:fill="auto"/>
          </w:tcPr>
          <w:p w14:paraId="68C35C58" w14:textId="66AC8D6F" w:rsidR="0059376D" w:rsidRPr="00156B9D" w:rsidRDefault="0059376D" w:rsidP="00EE5CD5">
            <w:pPr>
              <w:jc w:val="both"/>
              <w:rPr>
                <w:b/>
                <w:bCs/>
                <w:lang w:val="en-GB"/>
              </w:rPr>
            </w:pPr>
            <w:bookmarkStart w:id="15" w:name="_Hlk134007268"/>
            <w:r w:rsidRPr="00156B9D">
              <w:rPr>
                <w:b/>
                <w:bCs/>
                <w:lang w:val="en-GB"/>
              </w:rPr>
              <w:t xml:space="preserve">Output 2.3: </w:t>
            </w:r>
            <w:r w:rsidR="00151410">
              <w:rPr>
                <w:b/>
                <w:bCs/>
                <w:lang w:val="en-GB"/>
              </w:rPr>
              <w:t>C</w:t>
            </w:r>
            <w:r w:rsidR="00151410" w:rsidRPr="00156B9D">
              <w:rPr>
                <w:b/>
                <w:bCs/>
                <w:lang w:val="en-GB"/>
              </w:rPr>
              <w:t xml:space="preserve">ommunities </w:t>
            </w:r>
            <w:r w:rsidRPr="00156B9D">
              <w:rPr>
                <w:b/>
                <w:bCs/>
                <w:lang w:val="en-GB"/>
              </w:rPr>
              <w:t>in disadvantaged areas have access to clean and affordable energy accelerated by innovative technologies.</w:t>
            </w:r>
          </w:p>
          <w:p w14:paraId="29BA8A6A" w14:textId="77777777" w:rsidR="0059376D" w:rsidRPr="00156B9D" w:rsidRDefault="0059376D" w:rsidP="00EE5CD5">
            <w:pPr>
              <w:jc w:val="both"/>
              <w:rPr>
                <w:b/>
                <w:bCs/>
                <w:lang w:val="en-GB"/>
              </w:rPr>
            </w:pPr>
          </w:p>
          <w:p w14:paraId="745CD44E" w14:textId="079F6316" w:rsidR="0059376D" w:rsidRPr="00156B9D" w:rsidRDefault="0059376D" w:rsidP="00EE5CD5">
            <w:pPr>
              <w:jc w:val="both"/>
              <w:rPr>
                <w:lang w:val="en-GB"/>
              </w:rPr>
            </w:pPr>
            <w:r w:rsidRPr="00156B9D">
              <w:rPr>
                <w:b/>
                <w:lang w:val="en-GB"/>
              </w:rPr>
              <w:t>Indicator 2.3.1</w:t>
            </w:r>
            <w:r w:rsidRPr="00156B9D">
              <w:rPr>
                <w:bCs/>
                <w:lang w:val="en-GB"/>
              </w:rPr>
              <w:t xml:space="preserve">: </w:t>
            </w:r>
            <w:r w:rsidRPr="00156B9D" w:rsidDel="000C3573">
              <w:rPr>
                <w:lang w:val="en-GB"/>
              </w:rPr>
              <w:t>Number of people</w:t>
            </w:r>
            <w:r w:rsidRPr="00156B9D">
              <w:rPr>
                <w:lang w:val="en-GB"/>
              </w:rPr>
              <w:t xml:space="preserve"> who gained</w:t>
            </w:r>
            <w:r w:rsidRPr="00156B9D" w:rsidDel="000C3573">
              <w:rPr>
                <w:lang w:val="en-GB"/>
              </w:rPr>
              <w:t xml:space="preserve"> access to clean</w:t>
            </w:r>
            <w:r w:rsidRPr="00156B9D">
              <w:rPr>
                <w:lang w:val="en-GB"/>
              </w:rPr>
              <w:t>, affordable and sustainable</w:t>
            </w:r>
            <w:r w:rsidRPr="00156B9D" w:rsidDel="000C3573">
              <w:rPr>
                <w:lang w:val="en-GB"/>
              </w:rPr>
              <w:t xml:space="preserve"> energy</w:t>
            </w:r>
            <w:r w:rsidRPr="00156B9D">
              <w:rPr>
                <w:lang w:val="en-GB"/>
              </w:rPr>
              <w:t xml:space="preserve"> (S</w:t>
            </w:r>
            <w:r w:rsidR="00962055">
              <w:rPr>
                <w:lang w:val="en-GB"/>
              </w:rPr>
              <w:t xml:space="preserve">trategic </w:t>
            </w:r>
            <w:proofErr w:type="gramStart"/>
            <w:r w:rsidRPr="00156B9D">
              <w:rPr>
                <w:lang w:val="en-GB"/>
              </w:rPr>
              <w:t>P</w:t>
            </w:r>
            <w:r w:rsidR="00962055">
              <w:rPr>
                <w:lang w:val="en-GB"/>
              </w:rPr>
              <w:t xml:space="preserve">lan </w:t>
            </w:r>
            <w:r w:rsidRPr="00156B9D">
              <w:rPr>
                <w:lang w:val="en-GB"/>
              </w:rPr>
              <w:t xml:space="preserve"> Indicator</w:t>
            </w:r>
            <w:proofErr w:type="gramEnd"/>
            <w:r w:rsidRPr="00156B9D">
              <w:rPr>
                <w:lang w:val="en-GB"/>
              </w:rPr>
              <w:t xml:space="preserve"> 5.1.1</w:t>
            </w:r>
            <w:r w:rsidRPr="00156B9D">
              <w:rPr>
                <w:color w:val="000000" w:themeColor="text1"/>
                <w:lang w:val="en-GB"/>
              </w:rPr>
              <w:t>)</w:t>
            </w:r>
          </w:p>
          <w:p w14:paraId="28499F56" w14:textId="04597B39" w:rsidR="0059376D" w:rsidRPr="00156B9D" w:rsidRDefault="0059376D" w:rsidP="00EE5CD5">
            <w:pPr>
              <w:jc w:val="both"/>
              <w:rPr>
                <w:bCs/>
                <w:lang w:val="en-GB"/>
              </w:rPr>
            </w:pPr>
            <w:r w:rsidRPr="00156B9D">
              <w:rPr>
                <w:b/>
                <w:lang w:val="en-GB"/>
              </w:rPr>
              <w:t>Baseline</w:t>
            </w:r>
            <w:r w:rsidR="00962055">
              <w:rPr>
                <w:b/>
                <w:lang w:val="en-GB"/>
              </w:rPr>
              <w:t xml:space="preserve"> </w:t>
            </w:r>
            <w:r w:rsidRPr="00156B9D">
              <w:rPr>
                <w:b/>
                <w:lang w:val="en-GB"/>
              </w:rPr>
              <w:t>(2022)</w:t>
            </w:r>
            <w:r w:rsidRPr="00156B9D">
              <w:rPr>
                <w:bCs/>
                <w:lang w:val="en-GB"/>
              </w:rPr>
              <w:t xml:space="preserve">: </w:t>
            </w:r>
          </w:p>
          <w:p w14:paraId="2B726868" w14:textId="1B5568C1" w:rsidR="0059376D" w:rsidRPr="00156B9D" w:rsidRDefault="0059376D" w:rsidP="00EE5CD5">
            <w:pPr>
              <w:jc w:val="both"/>
              <w:rPr>
                <w:bCs/>
                <w:lang w:val="en-GB"/>
              </w:rPr>
            </w:pPr>
            <w:r w:rsidRPr="00156B9D">
              <w:rPr>
                <w:bCs/>
                <w:lang w:val="en-GB"/>
              </w:rPr>
              <w:t>Women:</w:t>
            </w:r>
            <w:r w:rsidR="00962055">
              <w:rPr>
                <w:bCs/>
                <w:lang w:val="en-GB"/>
              </w:rPr>
              <w:t xml:space="preserve"> </w:t>
            </w:r>
            <w:r w:rsidRPr="00156B9D">
              <w:rPr>
                <w:bCs/>
                <w:lang w:val="en-GB"/>
              </w:rPr>
              <w:t>6,240</w:t>
            </w:r>
          </w:p>
          <w:p w14:paraId="5F1C202B" w14:textId="2804E3B0" w:rsidR="0059376D" w:rsidRPr="00156B9D" w:rsidRDefault="0059376D" w:rsidP="00EE5CD5">
            <w:pPr>
              <w:jc w:val="both"/>
              <w:rPr>
                <w:bCs/>
                <w:lang w:val="en-GB"/>
              </w:rPr>
            </w:pPr>
            <w:r w:rsidRPr="00156B9D">
              <w:rPr>
                <w:bCs/>
                <w:lang w:val="en-GB"/>
              </w:rPr>
              <w:t>Men:</w:t>
            </w:r>
            <w:r w:rsidR="00962055">
              <w:rPr>
                <w:bCs/>
                <w:lang w:val="en-GB"/>
              </w:rPr>
              <w:t xml:space="preserve"> </w:t>
            </w:r>
            <w:r w:rsidRPr="00156B9D">
              <w:rPr>
                <w:bCs/>
                <w:lang w:val="en-GB"/>
              </w:rPr>
              <w:t>6,160</w:t>
            </w:r>
          </w:p>
          <w:p w14:paraId="550AE8E9" w14:textId="18350637" w:rsidR="0059376D" w:rsidRPr="00156B9D" w:rsidRDefault="0059376D" w:rsidP="00EE5CD5">
            <w:pPr>
              <w:jc w:val="both"/>
              <w:rPr>
                <w:bCs/>
                <w:lang w:val="en-GB"/>
              </w:rPr>
            </w:pPr>
            <w:r w:rsidRPr="00156B9D">
              <w:rPr>
                <w:bCs/>
                <w:lang w:val="en-GB"/>
              </w:rPr>
              <w:t>Rural:</w:t>
            </w:r>
            <w:r w:rsidR="00962055">
              <w:rPr>
                <w:bCs/>
                <w:lang w:val="en-GB"/>
              </w:rPr>
              <w:t xml:space="preserve"> </w:t>
            </w:r>
            <w:r w:rsidRPr="00156B9D">
              <w:rPr>
                <w:bCs/>
                <w:lang w:val="en-GB"/>
              </w:rPr>
              <w:t>12,263</w:t>
            </w:r>
          </w:p>
          <w:p w14:paraId="1E9623F0" w14:textId="392A93A9" w:rsidR="0059376D" w:rsidRPr="00156B9D" w:rsidRDefault="0059376D" w:rsidP="00EE5CD5">
            <w:pPr>
              <w:jc w:val="both"/>
              <w:rPr>
                <w:bCs/>
                <w:lang w:val="en-GB"/>
              </w:rPr>
            </w:pPr>
            <w:r w:rsidRPr="00156B9D">
              <w:rPr>
                <w:b/>
                <w:lang w:val="en-GB"/>
              </w:rPr>
              <w:t>Targe</w:t>
            </w:r>
            <w:r w:rsidRPr="00156B9D">
              <w:rPr>
                <w:bCs/>
                <w:lang w:val="en-GB"/>
              </w:rPr>
              <w:t>t</w:t>
            </w:r>
            <w:r w:rsidR="00057BEC">
              <w:rPr>
                <w:bCs/>
                <w:lang w:val="en-GB"/>
              </w:rPr>
              <w:t xml:space="preserve"> </w:t>
            </w:r>
            <w:r w:rsidRPr="00156B9D">
              <w:rPr>
                <w:b/>
                <w:lang w:val="en-GB"/>
              </w:rPr>
              <w:t>(2028)</w:t>
            </w:r>
            <w:r w:rsidRPr="00156B9D">
              <w:rPr>
                <w:bCs/>
                <w:lang w:val="en-GB"/>
              </w:rPr>
              <w:t xml:space="preserve">: </w:t>
            </w:r>
          </w:p>
          <w:p w14:paraId="00ED7A3E" w14:textId="6CABE83E" w:rsidR="0059376D" w:rsidRPr="00156B9D" w:rsidRDefault="0059376D" w:rsidP="00EE5CD5">
            <w:pPr>
              <w:jc w:val="both"/>
              <w:rPr>
                <w:bCs/>
                <w:lang w:val="en-GB"/>
              </w:rPr>
            </w:pPr>
            <w:r w:rsidRPr="00156B9D">
              <w:rPr>
                <w:bCs/>
                <w:lang w:val="en-GB"/>
              </w:rPr>
              <w:t>Women:</w:t>
            </w:r>
            <w:r w:rsidR="00962055">
              <w:rPr>
                <w:bCs/>
                <w:lang w:val="en-GB"/>
              </w:rPr>
              <w:t xml:space="preserve"> </w:t>
            </w:r>
            <w:r w:rsidRPr="00156B9D">
              <w:rPr>
                <w:bCs/>
                <w:lang w:val="en-GB"/>
              </w:rPr>
              <w:t xml:space="preserve">263,900 </w:t>
            </w:r>
          </w:p>
          <w:p w14:paraId="31775E03" w14:textId="1AA63969" w:rsidR="0059376D" w:rsidRPr="00156B9D" w:rsidRDefault="0059376D" w:rsidP="00EE5CD5">
            <w:pPr>
              <w:jc w:val="both"/>
              <w:rPr>
                <w:bCs/>
                <w:lang w:val="en-GB"/>
              </w:rPr>
            </w:pPr>
            <w:r w:rsidRPr="00156B9D">
              <w:rPr>
                <w:bCs/>
                <w:lang w:val="en-GB"/>
              </w:rPr>
              <w:t>Men:</w:t>
            </w:r>
            <w:r w:rsidR="00962055">
              <w:rPr>
                <w:bCs/>
                <w:lang w:val="en-GB"/>
              </w:rPr>
              <w:t xml:space="preserve"> </w:t>
            </w:r>
            <w:r w:rsidRPr="00156B9D">
              <w:rPr>
                <w:bCs/>
                <w:lang w:val="en-GB"/>
              </w:rPr>
              <w:t>243,600</w:t>
            </w:r>
          </w:p>
          <w:p w14:paraId="4B5E697D" w14:textId="0ED07437" w:rsidR="0059376D" w:rsidRPr="00156B9D" w:rsidRDefault="0059376D" w:rsidP="00EE5CD5">
            <w:pPr>
              <w:jc w:val="both"/>
              <w:rPr>
                <w:bCs/>
                <w:lang w:val="en-GB"/>
              </w:rPr>
            </w:pPr>
            <w:r w:rsidRPr="00156B9D">
              <w:rPr>
                <w:bCs/>
                <w:lang w:val="en-GB"/>
              </w:rPr>
              <w:t>Rural:</w:t>
            </w:r>
            <w:r w:rsidR="00962055">
              <w:rPr>
                <w:bCs/>
                <w:lang w:val="en-GB"/>
              </w:rPr>
              <w:t xml:space="preserve"> </w:t>
            </w:r>
            <w:r w:rsidRPr="00156B9D">
              <w:rPr>
                <w:bCs/>
                <w:lang w:val="en-GB"/>
              </w:rPr>
              <w:t>507,500</w:t>
            </w:r>
          </w:p>
          <w:p w14:paraId="0001C1EF" w14:textId="6C6F29C0" w:rsidR="0059376D" w:rsidRPr="00156B9D" w:rsidRDefault="0059376D" w:rsidP="00EE5CD5">
            <w:pPr>
              <w:jc w:val="both"/>
              <w:rPr>
                <w:bCs/>
                <w:lang w:val="en-GB"/>
              </w:rPr>
            </w:pPr>
            <w:r w:rsidRPr="00156B9D">
              <w:rPr>
                <w:b/>
                <w:lang w:val="en-GB"/>
              </w:rPr>
              <w:t>Source</w:t>
            </w:r>
            <w:r w:rsidRPr="00156B9D">
              <w:rPr>
                <w:bCs/>
                <w:lang w:val="en-GB"/>
              </w:rPr>
              <w:t>: Ministr</w:t>
            </w:r>
            <w:r w:rsidR="00151410">
              <w:rPr>
                <w:bCs/>
                <w:lang w:val="en-GB"/>
              </w:rPr>
              <w:t>ies</w:t>
            </w:r>
            <w:r w:rsidRPr="00156B9D">
              <w:rPr>
                <w:bCs/>
                <w:lang w:val="en-GB"/>
              </w:rPr>
              <w:t xml:space="preserve"> of </w:t>
            </w:r>
            <w:r w:rsidR="007C1FF3">
              <w:rPr>
                <w:bCs/>
                <w:lang w:val="en-GB"/>
              </w:rPr>
              <w:t xml:space="preserve">the </w:t>
            </w:r>
            <w:r w:rsidR="007C1FF3" w:rsidRPr="00156B9D">
              <w:rPr>
                <w:bCs/>
                <w:lang w:val="en-GB"/>
              </w:rPr>
              <w:t>Environment</w:t>
            </w:r>
            <w:r w:rsidR="00151410">
              <w:rPr>
                <w:bCs/>
                <w:lang w:val="en-GB"/>
              </w:rPr>
              <w:t xml:space="preserve"> and</w:t>
            </w:r>
            <w:r w:rsidR="007C1FF3" w:rsidRPr="00156B9D">
              <w:rPr>
                <w:bCs/>
                <w:lang w:val="en-GB"/>
              </w:rPr>
              <w:t xml:space="preserve"> Energy</w:t>
            </w:r>
          </w:p>
          <w:p w14:paraId="5E799DA0" w14:textId="77777777" w:rsidR="0059376D" w:rsidRPr="00156B9D" w:rsidRDefault="0059376D" w:rsidP="00EE5CD5">
            <w:pPr>
              <w:jc w:val="both"/>
              <w:rPr>
                <w:bCs/>
                <w:lang w:val="en-GB"/>
              </w:rPr>
            </w:pPr>
            <w:r w:rsidRPr="00156B9D">
              <w:rPr>
                <w:b/>
                <w:lang w:val="en-GB"/>
              </w:rPr>
              <w:t xml:space="preserve">Frequency: </w:t>
            </w:r>
            <w:r w:rsidRPr="00156B9D">
              <w:rPr>
                <w:bCs/>
                <w:lang w:val="en-GB"/>
              </w:rPr>
              <w:t>Annual</w:t>
            </w:r>
          </w:p>
          <w:p w14:paraId="7AA0FEFB" w14:textId="77777777" w:rsidR="0059376D" w:rsidRPr="00156B9D" w:rsidRDefault="0059376D" w:rsidP="00EE5CD5">
            <w:pPr>
              <w:jc w:val="both"/>
              <w:rPr>
                <w:bCs/>
                <w:lang w:val="en-GB"/>
              </w:rPr>
            </w:pPr>
          </w:p>
          <w:p w14:paraId="0D62D48E" w14:textId="7FA19F56" w:rsidR="0059376D" w:rsidRPr="00156B9D" w:rsidRDefault="0059376D" w:rsidP="00EE5CD5">
            <w:pPr>
              <w:jc w:val="both"/>
              <w:rPr>
                <w:bCs/>
                <w:lang w:val="en-GB"/>
              </w:rPr>
            </w:pPr>
            <w:r w:rsidRPr="00156B9D">
              <w:rPr>
                <w:b/>
                <w:lang w:val="en-GB"/>
              </w:rPr>
              <w:lastRenderedPageBreak/>
              <w:t>Indicator 2.3.2</w:t>
            </w:r>
            <w:r w:rsidRPr="00156B9D">
              <w:rPr>
                <w:bCs/>
                <w:lang w:val="en-GB"/>
              </w:rPr>
              <w:t>: Increase in installed renewable energy capacity by technology (S</w:t>
            </w:r>
            <w:r w:rsidR="001849DF">
              <w:rPr>
                <w:bCs/>
                <w:lang w:val="en-GB"/>
              </w:rPr>
              <w:t>trategic</w:t>
            </w:r>
            <w:r w:rsidR="00962055">
              <w:rPr>
                <w:bCs/>
                <w:lang w:val="en-GB"/>
              </w:rPr>
              <w:t xml:space="preserve"> </w:t>
            </w:r>
            <w:r w:rsidRPr="00156B9D">
              <w:rPr>
                <w:bCs/>
                <w:lang w:val="en-GB"/>
              </w:rPr>
              <w:t>P</w:t>
            </w:r>
            <w:r w:rsidR="00962055">
              <w:rPr>
                <w:bCs/>
                <w:lang w:val="en-GB"/>
              </w:rPr>
              <w:t>lan</w:t>
            </w:r>
            <w:r w:rsidRPr="00156B9D">
              <w:rPr>
                <w:bCs/>
                <w:lang w:val="en-GB"/>
              </w:rPr>
              <w:t xml:space="preserve"> Indicator </w:t>
            </w:r>
            <w:r w:rsidRPr="00156B9D">
              <w:rPr>
                <w:rStyle w:val="normaltextrun"/>
                <w:bCs/>
                <w:color w:val="000000"/>
                <w:shd w:val="clear" w:color="auto" w:fill="FFFFFF"/>
                <w:lang w:val="en-GB"/>
              </w:rPr>
              <w:t>5.2.1)</w:t>
            </w:r>
          </w:p>
          <w:p w14:paraId="2380F852" w14:textId="0F8FA29D" w:rsidR="0059376D" w:rsidRPr="00156B9D" w:rsidRDefault="0059376D" w:rsidP="00EE5CD5">
            <w:pPr>
              <w:jc w:val="both"/>
              <w:rPr>
                <w:bCs/>
                <w:lang w:val="en-GB"/>
              </w:rPr>
            </w:pPr>
            <w:r w:rsidRPr="00156B9D">
              <w:rPr>
                <w:b/>
                <w:lang w:val="en-GB"/>
              </w:rPr>
              <w:t>Baseline</w:t>
            </w:r>
            <w:r w:rsidR="00962055">
              <w:rPr>
                <w:b/>
                <w:lang w:val="en-GB"/>
              </w:rPr>
              <w:t xml:space="preserve"> </w:t>
            </w:r>
            <w:r w:rsidRPr="00156B9D">
              <w:rPr>
                <w:b/>
                <w:lang w:val="en-GB"/>
              </w:rPr>
              <w:t>(2022)</w:t>
            </w:r>
            <w:r w:rsidRPr="00156B9D">
              <w:rPr>
                <w:bCs/>
                <w:lang w:val="en-GB"/>
              </w:rPr>
              <w:t>: Solar:</w:t>
            </w:r>
            <w:r w:rsidR="00962055">
              <w:rPr>
                <w:bCs/>
                <w:lang w:val="en-GB"/>
              </w:rPr>
              <w:t xml:space="preserve"> </w:t>
            </w:r>
            <w:r w:rsidRPr="00156B9D">
              <w:rPr>
                <w:bCs/>
                <w:lang w:val="en-GB"/>
              </w:rPr>
              <w:t xml:space="preserve">250 kWp, Hydro 94 Kw </w:t>
            </w:r>
          </w:p>
          <w:p w14:paraId="25C32620" w14:textId="221CAA58" w:rsidR="0059376D" w:rsidRPr="00156B9D" w:rsidRDefault="0059376D" w:rsidP="00EE5CD5">
            <w:pPr>
              <w:jc w:val="both"/>
              <w:rPr>
                <w:bCs/>
                <w:lang w:val="en-GB"/>
              </w:rPr>
            </w:pPr>
            <w:r w:rsidRPr="00156B9D">
              <w:rPr>
                <w:b/>
                <w:lang w:val="en-GB"/>
              </w:rPr>
              <w:t>Target</w:t>
            </w:r>
            <w:r w:rsidR="00962055">
              <w:rPr>
                <w:b/>
                <w:lang w:val="en-GB"/>
              </w:rPr>
              <w:t xml:space="preserve"> </w:t>
            </w:r>
            <w:r w:rsidRPr="00156B9D">
              <w:rPr>
                <w:b/>
                <w:lang w:val="en-GB"/>
              </w:rPr>
              <w:t>(2028)</w:t>
            </w:r>
            <w:r w:rsidRPr="00156B9D">
              <w:rPr>
                <w:bCs/>
                <w:lang w:val="en-GB"/>
              </w:rPr>
              <w:t>: Solar:</w:t>
            </w:r>
            <w:r w:rsidR="00962055">
              <w:rPr>
                <w:bCs/>
                <w:lang w:val="en-GB"/>
              </w:rPr>
              <w:t xml:space="preserve"> </w:t>
            </w:r>
            <w:r w:rsidRPr="00156B9D">
              <w:rPr>
                <w:bCs/>
                <w:lang w:val="en-GB"/>
              </w:rPr>
              <w:t xml:space="preserve">2,540 kWp, Hydro: 250 kW </w:t>
            </w:r>
          </w:p>
          <w:p w14:paraId="4A9A6647" w14:textId="7263CD79" w:rsidR="0059376D" w:rsidRPr="00156B9D" w:rsidRDefault="0059376D" w:rsidP="00EE5CD5">
            <w:pPr>
              <w:jc w:val="both"/>
              <w:rPr>
                <w:bCs/>
                <w:lang w:val="en-GB"/>
              </w:rPr>
            </w:pPr>
            <w:r w:rsidRPr="00156B9D">
              <w:rPr>
                <w:b/>
                <w:lang w:val="en-GB"/>
              </w:rPr>
              <w:t>Source</w:t>
            </w:r>
            <w:r w:rsidRPr="00156B9D">
              <w:rPr>
                <w:bCs/>
                <w:lang w:val="en-GB"/>
              </w:rPr>
              <w:t xml:space="preserve">: </w:t>
            </w:r>
            <w:r w:rsidR="00677B5E" w:rsidRPr="00156B9D">
              <w:rPr>
                <w:bCs/>
                <w:lang w:val="en-GB"/>
              </w:rPr>
              <w:t>Ministr</w:t>
            </w:r>
            <w:r w:rsidR="00151410">
              <w:rPr>
                <w:bCs/>
                <w:lang w:val="en-GB"/>
              </w:rPr>
              <w:t>ies</w:t>
            </w:r>
            <w:r w:rsidR="00677B5E" w:rsidRPr="00156B9D">
              <w:rPr>
                <w:bCs/>
                <w:lang w:val="en-GB"/>
              </w:rPr>
              <w:t xml:space="preserve"> </w:t>
            </w:r>
            <w:r w:rsidRPr="00156B9D">
              <w:rPr>
                <w:bCs/>
                <w:lang w:val="en-GB"/>
              </w:rPr>
              <w:t xml:space="preserve">of </w:t>
            </w:r>
            <w:r w:rsidR="00677B5E">
              <w:rPr>
                <w:bCs/>
                <w:lang w:val="en-GB"/>
              </w:rPr>
              <w:t xml:space="preserve">the </w:t>
            </w:r>
            <w:r w:rsidRPr="00156B9D">
              <w:rPr>
                <w:bCs/>
                <w:lang w:val="en-GB"/>
              </w:rPr>
              <w:t>Environment</w:t>
            </w:r>
            <w:r w:rsidR="00151410">
              <w:rPr>
                <w:bCs/>
                <w:lang w:val="en-GB"/>
              </w:rPr>
              <w:t xml:space="preserve"> and</w:t>
            </w:r>
            <w:r w:rsidR="00677B5E" w:rsidRPr="00156B9D">
              <w:rPr>
                <w:bCs/>
                <w:lang w:val="en-GB"/>
              </w:rPr>
              <w:t xml:space="preserve"> </w:t>
            </w:r>
            <w:r w:rsidRPr="00156B9D">
              <w:rPr>
                <w:bCs/>
                <w:lang w:val="en-GB"/>
              </w:rPr>
              <w:t>Energy</w:t>
            </w:r>
          </w:p>
          <w:p w14:paraId="205284AA" w14:textId="77777777" w:rsidR="0059376D" w:rsidRPr="00156B9D" w:rsidRDefault="0059376D" w:rsidP="00EE5CD5">
            <w:pPr>
              <w:jc w:val="both"/>
              <w:rPr>
                <w:b/>
                <w:bCs/>
                <w:lang w:val="en-GB"/>
              </w:rPr>
            </w:pPr>
            <w:r w:rsidRPr="00156B9D">
              <w:rPr>
                <w:b/>
                <w:lang w:val="en-GB"/>
              </w:rPr>
              <w:t>Frequency:</w:t>
            </w:r>
            <w:r w:rsidRPr="00156B9D">
              <w:rPr>
                <w:bCs/>
                <w:lang w:val="en-GB"/>
              </w:rPr>
              <w:t xml:space="preserve"> Annual</w:t>
            </w:r>
            <w:bookmarkEnd w:id="15"/>
          </w:p>
        </w:tc>
        <w:tc>
          <w:tcPr>
            <w:tcW w:w="2552" w:type="dxa"/>
            <w:vMerge/>
          </w:tcPr>
          <w:p w14:paraId="18B8438E" w14:textId="77777777" w:rsidR="0059376D" w:rsidRPr="00156B9D" w:rsidRDefault="0059376D" w:rsidP="00EE5CD5">
            <w:pPr>
              <w:jc w:val="both"/>
              <w:rPr>
                <w:lang w:val="en-GB"/>
              </w:rPr>
            </w:pPr>
          </w:p>
        </w:tc>
        <w:tc>
          <w:tcPr>
            <w:tcW w:w="1559" w:type="dxa"/>
            <w:vMerge/>
          </w:tcPr>
          <w:p w14:paraId="7004513C" w14:textId="77777777" w:rsidR="0059376D" w:rsidRPr="00156B9D" w:rsidRDefault="0059376D" w:rsidP="00EE5CD5">
            <w:pPr>
              <w:jc w:val="both"/>
              <w:rPr>
                <w:lang w:val="en-GB"/>
              </w:rPr>
            </w:pPr>
          </w:p>
        </w:tc>
      </w:tr>
      <w:tr w:rsidR="0059376D" w:rsidRPr="00156B9D" w14:paraId="2B8B270E" w14:textId="77777777" w:rsidTr="0059376D">
        <w:trPr>
          <w:trHeight w:val="54"/>
        </w:trPr>
        <w:tc>
          <w:tcPr>
            <w:tcW w:w="3545" w:type="dxa"/>
            <w:vMerge/>
          </w:tcPr>
          <w:p w14:paraId="46B83EB7" w14:textId="77777777" w:rsidR="0059376D" w:rsidRPr="00156B9D" w:rsidRDefault="0059376D" w:rsidP="00EE5CD5">
            <w:pPr>
              <w:jc w:val="both"/>
              <w:rPr>
                <w:lang w:val="en-GB"/>
              </w:rPr>
            </w:pPr>
          </w:p>
        </w:tc>
        <w:tc>
          <w:tcPr>
            <w:tcW w:w="2835" w:type="dxa"/>
            <w:vMerge/>
          </w:tcPr>
          <w:p w14:paraId="254AC3A1" w14:textId="77777777" w:rsidR="0059376D" w:rsidRPr="00156B9D" w:rsidRDefault="0059376D" w:rsidP="00EE5CD5">
            <w:pPr>
              <w:jc w:val="both"/>
              <w:rPr>
                <w:lang w:val="en-GB"/>
              </w:rPr>
            </w:pPr>
          </w:p>
        </w:tc>
        <w:tc>
          <w:tcPr>
            <w:tcW w:w="4819" w:type="dxa"/>
            <w:shd w:val="clear" w:color="auto" w:fill="auto"/>
          </w:tcPr>
          <w:p w14:paraId="403FC677" w14:textId="13A06D85" w:rsidR="0059376D" w:rsidRPr="00156B9D" w:rsidRDefault="0059376D" w:rsidP="00EE5CD5">
            <w:pPr>
              <w:jc w:val="both"/>
              <w:rPr>
                <w:b/>
                <w:bCs/>
                <w:lang w:val="en-GB"/>
              </w:rPr>
            </w:pPr>
            <w:bookmarkStart w:id="16" w:name="_Hlk134008078"/>
            <w:r w:rsidRPr="00156B9D">
              <w:rPr>
                <w:b/>
                <w:bCs/>
                <w:lang w:val="en-GB"/>
              </w:rPr>
              <w:t>Output 2.4: The population and national, regional and local institutions have the capacity to apply the appropriate measures for natural resources management, climate change mitigation and adaptation, green and blue economies and disaster risk reduction.</w:t>
            </w:r>
          </w:p>
          <w:p w14:paraId="69AD87F0" w14:textId="77777777" w:rsidR="0059376D" w:rsidRPr="00156B9D" w:rsidRDefault="0059376D" w:rsidP="00EE5CD5">
            <w:pPr>
              <w:jc w:val="both"/>
              <w:rPr>
                <w:lang w:val="en-GB"/>
              </w:rPr>
            </w:pPr>
          </w:p>
          <w:p w14:paraId="4144F1AE" w14:textId="0C964FC7" w:rsidR="0059376D" w:rsidRPr="00156B9D" w:rsidRDefault="0059376D" w:rsidP="00EE5CD5">
            <w:pPr>
              <w:jc w:val="both"/>
              <w:rPr>
                <w:lang w:val="en-GB"/>
              </w:rPr>
            </w:pPr>
            <w:r w:rsidRPr="00156B9D">
              <w:rPr>
                <w:b/>
                <w:bCs/>
                <w:lang w:val="en-GB"/>
              </w:rPr>
              <w:t>Indicator 2.4.1:</w:t>
            </w:r>
            <w:r w:rsidRPr="00156B9D">
              <w:rPr>
                <w:lang w:val="en-GB"/>
              </w:rPr>
              <w:t xml:space="preserve"> Number of people directly benefiting from initiatives to protect nature and promote the sustainable use of natural resources</w:t>
            </w:r>
            <w:r w:rsidRPr="00156B9D">
              <w:rPr>
                <w:b/>
                <w:bCs/>
                <w:lang w:val="en-GB"/>
              </w:rPr>
              <w:t xml:space="preserve"> </w:t>
            </w:r>
            <w:r w:rsidRPr="00156B9D">
              <w:rPr>
                <w:lang w:val="en-GB"/>
              </w:rPr>
              <w:t>(S</w:t>
            </w:r>
            <w:r w:rsidR="00A427B8">
              <w:rPr>
                <w:lang w:val="en-GB"/>
              </w:rPr>
              <w:t xml:space="preserve">trategic </w:t>
            </w:r>
            <w:r w:rsidRPr="00156B9D">
              <w:rPr>
                <w:lang w:val="en-GB"/>
              </w:rPr>
              <w:t>P</w:t>
            </w:r>
            <w:r w:rsidR="00A427B8">
              <w:rPr>
                <w:lang w:val="en-GB"/>
              </w:rPr>
              <w:t>lan</w:t>
            </w:r>
            <w:r w:rsidRPr="00156B9D">
              <w:rPr>
                <w:lang w:val="en-GB"/>
              </w:rPr>
              <w:t xml:space="preserve"> Indicator </w:t>
            </w:r>
            <w:r w:rsidRPr="00156B9D">
              <w:rPr>
                <w:rStyle w:val="normaltextrun"/>
                <w:lang w:val="en-GB"/>
              </w:rPr>
              <w:t>4.1.1)</w:t>
            </w:r>
          </w:p>
          <w:p w14:paraId="0CF884D8" w14:textId="12A966A6" w:rsidR="0059376D" w:rsidRPr="00156B9D" w:rsidRDefault="0059376D" w:rsidP="00EE5CD5">
            <w:pPr>
              <w:jc w:val="both"/>
              <w:rPr>
                <w:lang w:val="en-GB"/>
              </w:rPr>
            </w:pPr>
            <w:r w:rsidRPr="00156B9D">
              <w:rPr>
                <w:b/>
                <w:bCs/>
                <w:lang w:val="en-GB"/>
              </w:rPr>
              <w:t>Baseline</w:t>
            </w:r>
            <w:r w:rsidR="00A427B8">
              <w:rPr>
                <w:b/>
                <w:bCs/>
                <w:lang w:val="en-GB"/>
              </w:rPr>
              <w:t xml:space="preserve"> </w:t>
            </w:r>
            <w:r w:rsidRPr="00156B9D">
              <w:rPr>
                <w:b/>
                <w:lang w:val="en-GB"/>
              </w:rPr>
              <w:t>(2022)</w:t>
            </w:r>
            <w:r w:rsidRPr="00156B9D">
              <w:rPr>
                <w:lang w:val="en-GB"/>
              </w:rPr>
              <w:t>: Women: 51,253</w:t>
            </w:r>
            <w:r w:rsidR="00AF029D">
              <w:rPr>
                <w:lang w:val="en-GB"/>
              </w:rPr>
              <w:t>;</w:t>
            </w:r>
            <w:r w:rsidRPr="00156B9D">
              <w:rPr>
                <w:lang w:val="en-GB"/>
              </w:rPr>
              <w:t xml:space="preserve"> </w:t>
            </w:r>
            <w:r w:rsidR="00A427B8">
              <w:rPr>
                <w:lang w:val="en-GB"/>
              </w:rPr>
              <w:t>m</w:t>
            </w:r>
            <w:r w:rsidR="00A427B8" w:rsidRPr="00156B9D">
              <w:rPr>
                <w:lang w:val="en-GB"/>
              </w:rPr>
              <w:t>en</w:t>
            </w:r>
            <w:r w:rsidRPr="00156B9D">
              <w:rPr>
                <w:lang w:val="en-GB"/>
              </w:rPr>
              <w:t>:</w:t>
            </w:r>
            <w:r w:rsidR="00A427B8">
              <w:rPr>
                <w:lang w:val="en-GB"/>
              </w:rPr>
              <w:t xml:space="preserve"> </w:t>
            </w:r>
            <w:r w:rsidRPr="00156B9D">
              <w:rPr>
                <w:lang w:val="en-GB"/>
              </w:rPr>
              <w:t xml:space="preserve">47,310, </w:t>
            </w:r>
          </w:p>
          <w:p w14:paraId="350D03C6" w14:textId="5F706A9E" w:rsidR="0059376D" w:rsidRPr="00156B9D" w:rsidRDefault="0059376D" w:rsidP="00EE5CD5">
            <w:pPr>
              <w:jc w:val="both"/>
              <w:rPr>
                <w:lang w:val="en-GB"/>
              </w:rPr>
            </w:pPr>
            <w:r w:rsidRPr="00156B9D">
              <w:rPr>
                <w:b/>
                <w:bCs/>
                <w:lang w:val="en-GB"/>
              </w:rPr>
              <w:t>Target</w:t>
            </w:r>
            <w:r w:rsidR="00A427B8">
              <w:rPr>
                <w:b/>
                <w:bCs/>
                <w:lang w:val="en-GB"/>
              </w:rPr>
              <w:t xml:space="preserve"> </w:t>
            </w:r>
            <w:r w:rsidRPr="00156B9D">
              <w:rPr>
                <w:b/>
                <w:lang w:val="en-GB"/>
              </w:rPr>
              <w:t>(2028)</w:t>
            </w:r>
            <w:r w:rsidRPr="00156B9D">
              <w:rPr>
                <w:b/>
                <w:bCs/>
                <w:lang w:val="en-GB"/>
              </w:rPr>
              <w:t xml:space="preserve">: </w:t>
            </w:r>
            <w:r w:rsidRPr="00156B9D">
              <w:rPr>
                <w:lang w:val="en-GB"/>
              </w:rPr>
              <w:t>Women: 136,089</w:t>
            </w:r>
            <w:r w:rsidR="00AF029D">
              <w:rPr>
                <w:lang w:val="en-GB"/>
              </w:rPr>
              <w:t>;</w:t>
            </w:r>
            <w:r w:rsidRPr="00156B9D">
              <w:rPr>
                <w:lang w:val="en-GB"/>
              </w:rPr>
              <w:t xml:space="preserve"> </w:t>
            </w:r>
            <w:r w:rsidR="00A427B8">
              <w:rPr>
                <w:lang w:val="en-GB"/>
              </w:rPr>
              <w:t>m</w:t>
            </w:r>
            <w:r w:rsidR="00A427B8" w:rsidRPr="00156B9D">
              <w:rPr>
                <w:lang w:val="en-GB"/>
              </w:rPr>
              <w:t>en</w:t>
            </w:r>
            <w:r w:rsidRPr="00156B9D">
              <w:rPr>
                <w:lang w:val="en-GB"/>
              </w:rPr>
              <w:t>:</w:t>
            </w:r>
            <w:r w:rsidR="00A427B8">
              <w:rPr>
                <w:lang w:val="en-GB"/>
              </w:rPr>
              <w:t xml:space="preserve"> </w:t>
            </w:r>
            <w:r w:rsidRPr="00156B9D">
              <w:rPr>
                <w:lang w:val="en-GB"/>
              </w:rPr>
              <w:t>168,174</w:t>
            </w:r>
          </w:p>
          <w:p w14:paraId="4F568A56" w14:textId="76B70EA1" w:rsidR="0059376D" w:rsidRPr="00156B9D" w:rsidRDefault="0059376D" w:rsidP="00EE5CD5">
            <w:pPr>
              <w:jc w:val="both"/>
              <w:rPr>
                <w:lang w:val="en-GB"/>
              </w:rPr>
            </w:pPr>
            <w:r w:rsidRPr="00156B9D">
              <w:rPr>
                <w:b/>
                <w:bCs/>
                <w:lang w:val="en-GB"/>
              </w:rPr>
              <w:t xml:space="preserve">Source: </w:t>
            </w:r>
            <w:r w:rsidRPr="00156B9D">
              <w:rPr>
                <w:lang w:val="en-GB"/>
              </w:rPr>
              <w:t xml:space="preserve">Ministry of </w:t>
            </w:r>
            <w:r w:rsidR="00A427B8">
              <w:rPr>
                <w:lang w:val="en-GB"/>
              </w:rPr>
              <w:t xml:space="preserve">the </w:t>
            </w:r>
            <w:r w:rsidRPr="00156B9D">
              <w:rPr>
                <w:lang w:val="en-GB"/>
              </w:rPr>
              <w:t xml:space="preserve">Environment </w:t>
            </w:r>
          </w:p>
          <w:p w14:paraId="4605E30D" w14:textId="77777777" w:rsidR="0059376D" w:rsidRPr="00156B9D" w:rsidRDefault="0059376D" w:rsidP="00EE5CD5">
            <w:pPr>
              <w:jc w:val="both"/>
              <w:rPr>
                <w:lang w:val="en-GB"/>
              </w:rPr>
            </w:pPr>
            <w:r w:rsidRPr="00156B9D">
              <w:rPr>
                <w:b/>
                <w:bCs/>
                <w:lang w:val="en-GB"/>
              </w:rPr>
              <w:t xml:space="preserve">Frequency: </w:t>
            </w:r>
            <w:r w:rsidRPr="00156B9D">
              <w:rPr>
                <w:lang w:val="en-GB"/>
              </w:rPr>
              <w:t>Annual</w:t>
            </w:r>
          </w:p>
          <w:p w14:paraId="6AE45372" w14:textId="77777777" w:rsidR="0059376D" w:rsidRPr="00156B9D" w:rsidRDefault="0059376D" w:rsidP="00EE5CD5">
            <w:pPr>
              <w:jc w:val="both"/>
              <w:rPr>
                <w:lang w:val="en-GB"/>
              </w:rPr>
            </w:pPr>
          </w:p>
          <w:p w14:paraId="54622191" w14:textId="0DB5A065" w:rsidR="0059376D" w:rsidRPr="00156B9D" w:rsidRDefault="0059376D" w:rsidP="00EE5CD5">
            <w:pPr>
              <w:jc w:val="both"/>
              <w:rPr>
                <w:lang w:val="en-GB"/>
              </w:rPr>
            </w:pPr>
            <w:r w:rsidRPr="00156B9D">
              <w:rPr>
                <w:b/>
                <w:bCs/>
                <w:lang w:val="en-GB"/>
              </w:rPr>
              <w:t xml:space="preserve">Indicator 2.4.2: </w:t>
            </w:r>
            <w:r w:rsidRPr="00156B9D">
              <w:rPr>
                <w:lang w:val="en-GB"/>
              </w:rPr>
              <w:t>Area of</w:t>
            </w:r>
            <w:r w:rsidR="00A427B8" w:rsidRPr="00156B9D">
              <w:rPr>
                <w:lang w:val="en-GB"/>
              </w:rPr>
              <w:t xml:space="preserve"> restored or protected</w:t>
            </w:r>
            <w:r w:rsidRPr="00156B9D">
              <w:rPr>
                <w:lang w:val="en-GB"/>
              </w:rPr>
              <w:t xml:space="preserve"> forests and forest land</w:t>
            </w:r>
            <w:r w:rsidRPr="00156B9D">
              <w:rPr>
                <w:b/>
                <w:bCs/>
                <w:lang w:val="en-GB"/>
              </w:rPr>
              <w:t xml:space="preserve"> </w:t>
            </w:r>
            <w:r w:rsidRPr="00156B9D">
              <w:rPr>
                <w:lang w:val="en-GB"/>
              </w:rPr>
              <w:t>(</w:t>
            </w:r>
            <w:r w:rsidR="00A427B8" w:rsidRPr="00156B9D">
              <w:rPr>
                <w:lang w:val="en-GB"/>
              </w:rPr>
              <w:t>S</w:t>
            </w:r>
            <w:r w:rsidR="00A427B8">
              <w:rPr>
                <w:lang w:val="en-GB"/>
              </w:rPr>
              <w:t xml:space="preserve">trategic </w:t>
            </w:r>
            <w:r w:rsidR="00A427B8" w:rsidRPr="00156B9D">
              <w:rPr>
                <w:lang w:val="en-GB"/>
              </w:rPr>
              <w:t>P</w:t>
            </w:r>
            <w:r w:rsidR="00A427B8">
              <w:rPr>
                <w:lang w:val="en-GB"/>
              </w:rPr>
              <w:t>lan</w:t>
            </w:r>
            <w:r w:rsidR="00A427B8" w:rsidRPr="00156B9D">
              <w:rPr>
                <w:lang w:val="en-GB"/>
              </w:rPr>
              <w:t xml:space="preserve"> </w:t>
            </w:r>
            <w:r w:rsidRPr="00156B9D">
              <w:rPr>
                <w:lang w:val="en-GB"/>
              </w:rPr>
              <w:t>Indicator 4.1.2)</w:t>
            </w:r>
          </w:p>
          <w:p w14:paraId="53AE99E8" w14:textId="787E7FF9" w:rsidR="0059376D" w:rsidRPr="00156B9D" w:rsidRDefault="0059376D" w:rsidP="00EE5CD5">
            <w:pPr>
              <w:jc w:val="both"/>
              <w:rPr>
                <w:b/>
                <w:bCs/>
                <w:lang w:val="en-GB"/>
              </w:rPr>
            </w:pPr>
            <w:r w:rsidRPr="00156B9D">
              <w:rPr>
                <w:b/>
                <w:bCs/>
                <w:lang w:val="en-GB"/>
              </w:rPr>
              <w:t>Baseline</w:t>
            </w:r>
            <w:r w:rsidR="00A427B8">
              <w:rPr>
                <w:b/>
                <w:bCs/>
                <w:lang w:val="en-GB"/>
              </w:rPr>
              <w:t xml:space="preserve"> </w:t>
            </w:r>
            <w:r w:rsidRPr="00156B9D">
              <w:rPr>
                <w:b/>
                <w:lang w:val="en-GB"/>
              </w:rPr>
              <w:t>(2022)</w:t>
            </w:r>
            <w:r w:rsidRPr="00156B9D">
              <w:rPr>
                <w:b/>
                <w:bCs/>
                <w:lang w:val="en-GB"/>
              </w:rPr>
              <w:t>:</w:t>
            </w:r>
            <w:r w:rsidR="00A427B8">
              <w:rPr>
                <w:b/>
                <w:bCs/>
                <w:lang w:val="en-GB"/>
              </w:rPr>
              <w:t xml:space="preserve"> </w:t>
            </w:r>
            <w:r w:rsidRPr="00156B9D">
              <w:rPr>
                <w:lang w:val="en-GB"/>
              </w:rPr>
              <w:t>7,612 ha</w:t>
            </w:r>
          </w:p>
          <w:p w14:paraId="6C533823" w14:textId="62E1060C" w:rsidR="0059376D" w:rsidRPr="00156B9D" w:rsidRDefault="0059376D" w:rsidP="00EE5CD5">
            <w:pPr>
              <w:jc w:val="both"/>
              <w:rPr>
                <w:lang w:val="en-GB"/>
              </w:rPr>
            </w:pPr>
            <w:r w:rsidRPr="00156B9D">
              <w:rPr>
                <w:b/>
                <w:bCs/>
                <w:lang w:val="en-GB"/>
              </w:rPr>
              <w:t>Target</w:t>
            </w:r>
            <w:r w:rsidR="00A427B8">
              <w:rPr>
                <w:b/>
                <w:bCs/>
                <w:lang w:val="en-GB"/>
              </w:rPr>
              <w:t xml:space="preserve"> </w:t>
            </w:r>
            <w:r w:rsidRPr="00156B9D">
              <w:rPr>
                <w:b/>
                <w:lang w:val="en-GB"/>
              </w:rPr>
              <w:t>(2028)</w:t>
            </w:r>
            <w:r w:rsidRPr="00156B9D">
              <w:rPr>
                <w:b/>
                <w:bCs/>
                <w:lang w:val="en-GB"/>
              </w:rPr>
              <w:t xml:space="preserve">: </w:t>
            </w:r>
            <w:r w:rsidRPr="00156B9D">
              <w:rPr>
                <w:lang w:val="en-GB"/>
              </w:rPr>
              <w:t>12,712 ha</w:t>
            </w:r>
          </w:p>
          <w:p w14:paraId="4F9D9545" w14:textId="0BD6F712" w:rsidR="0059376D" w:rsidRPr="00156B9D" w:rsidRDefault="0059376D" w:rsidP="00EE5CD5">
            <w:pPr>
              <w:jc w:val="both"/>
              <w:rPr>
                <w:lang w:val="en-GB"/>
              </w:rPr>
            </w:pPr>
            <w:r w:rsidRPr="00156B9D">
              <w:rPr>
                <w:b/>
                <w:bCs/>
                <w:lang w:val="en-GB"/>
              </w:rPr>
              <w:t xml:space="preserve">Source: </w:t>
            </w:r>
            <w:r w:rsidRPr="00156B9D">
              <w:rPr>
                <w:lang w:val="en-GB"/>
              </w:rPr>
              <w:t xml:space="preserve">Ministry of </w:t>
            </w:r>
            <w:r w:rsidR="00A427B8">
              <w:rPr>
                <w:lang w:val="en-GB"/>
              </w:rPr>
              <w:t xml:space="preserve">the </w:t>
            </w:r>
            <w:r w:rsidRPr="00156B9D">
              <w:rPr>
                <w:lang w:val="en-GB"/>
              </w:rPr>
              <w:t xml:space="preserve">Environment </w:t>
            </w:r>
          </w:p>
          <w:p w14:paraId="6B7449F6" w14:textId="77777777" w:rsidR="0059376D" w:rsidRPr="00156B9D" w:rsidRDefault="0059376D" w:rsidP="00EE5CD5">
            <w:pPr>
              <w:jc w:val="both"/>
              <w:rPr>
                <w:lang w:val="en-GB"/>
              </w:rPr>
            </w:pPr>
            <w:r w:rsidRPr="00156B9D">
              <w:rPr>
                <w:b/>
                <w:bCs/>
                <w:lang w:val="en-GB"/>
              </w:rPr>
              <w:t xml:space="preserve">Frequency: </w:t>
            </w:r>
            <w:r w:rsidRPr="00156B9D">
              <w:rPr>
                <w:lang w:val="en-GB"/>
              </w:rPr>
              <w:t>Annual</w:t>
            </w:r>
            <w:bookmarkEnd w:id="16"/>
          </w:p>
          <w:p w14:paraId="674650A9" w14:textId="77777777" w:rsidR="0059376D" w:rsidRPr="00156B9D" w:rsidRDefault="0059376D" w:rsidP="00EE5CD5">
            <w:pPr>
              <w:jc w:val="both"/>
              <w:rPr>
                <w:lang w:val="en-GB"/>
              </w:rPr>
            </w:pPr>
          </w:p>
          <w:p w14:paraId="0F914BA0" w14:textId="42ACF8B8" w:rsidR="0059376D" w:rsidRPr="00156B9D" w:rsidRDefault="0059376D" w:rsidP="00EE5CD5">
            <w:pPr>
              <w:jc w:val="both"/>
              <w:rPr>
                <w:lang w:val="en-GB"/>
              </w:rPr>
            </w:pPr>
            <w:r w:rsidRPr="00156B9D">
              <w:rPr>
                <w:b/>
                <w:bCs/>
                <w:lang w:val="en-GB"/>
              </w:rPr>
              <w:t xml:space="preserve">Indicator 2.4.3: </w:t>
            </w:r>
            <w:r w:rsidRPr="00156B9D">
              <w:rPr>
                <w:lang w:val="en-GB"/>
              </w:rPr>
              <w:t>Number of people who have adopted good practices in natural resources management, climate change resilience and adaptation, and disaster risk reduction</w:t>
            </w:r>
          </w:p>
          <w:p w14:paraId="540EDFA3" w14:textId="00CE716E" w:rsidR="0059376D" w:rsidRPr="00156B9D" w:rsidRDefault="0059376D" w:rsidP="00EE5CD5">
            <w:pPr>
              <w:jc w:val="both"/>
              <w:rPr>
                <w:b/>
                <w:bCs/>
                <w:lang w:val="en-GB"/>
              </w:rPr>
            </w:pPr>
            <w:r w:rsidRPr="00156B9D">
              <w:rPr>
                <w:b/>
                <w:bCs/>
                <w:lang w:val="en-GB"/>
              </w:rPr>
              <w:t>Baseline</w:t>
            </w:r>
            <w:r w:rsidR="00C102EC">
              <w:rPr>
                <w:b/>
                <w:bCs/>
                <w:lang w:val="en-GB"/>
              </w:rPr>
              <w:t xml:space="preserve"> </w:t>
            </w:r>
            <w:r w:rsidRPr="00156B9D">
              <w:rPr>
                <w:b/>
                <w:lang w:val="en-GB"/>
              </w:rPr>
              <w:t>(2022)</w:t>
            </w:r>
            <w:r w:rsidRPr="00156B9D">
              <w:rPr>
                <w:b/>
                <w:bCs/>
                <w:lang w:val="en-GB"/>
              </w:rPr>
              <w:t xml:space="preserve">: </w:t>
            </w:r>
            <w:r w:rsidRPr="00156B9D">
              <w:rPr>
                <w:lang w:val="en-GB"/>
              </w:rPr>
              <w:t>Women: 2,650</w:t>
            </w:r>
            <w:r w:rsidR="00AF029D">
              <w:rPr>
                <w:lang w:val="en-GB"/>
              </w:rPr>
              <w:t>;</w:t>
            </w:r>
            <w:r w:rsidRPr="00156B9D">
              <w:rPr>
                <w:lang w:val="en-GB"/>
              </w:rPr>
              <w:t xml:space="preserve"> </w:t>
            </w:r>
            <w:r w:rsidR="00C102EC">
              <w:rPr>
                <w:lang w:val="en-GB"/>
              </w:rPr>
              <w:t>m</w:t>
            </w:r>
            <w:r w:rsidR="00C102EC" w:rsidRPr="00156B9D">
              <w:rPr>
                <w:lang w:val="en-GB"/>
              </w:rPr>
              <w:t>en</w:t>
            </w:r>
            <w:r w:rsidRPr="00156B9D">
              <w:rPr>
                <w:lang w:val="en-GB"/>
              </w:rPr>
              <w:t>: 2,410</w:t>
            </w:r>
          </w:p>
          <w:p w14:paraId="59A657FD" w14:textId="0AE2407D" w:rsidR="0059376D" w:rsidRPr="00156B9D" w:rsidRDefault="0059376D" w:rsidP="00EE5CD5">
            <w:pPr>
              <w:jc w:val="both"/>
              <w:rPr>
                <w:lang w:val="en-GB"/>
              </w:rPr>
            </w:pPr>
            <w:r w:rsidRPr="00156B9D">
              <w:rPr>
                <w:b/>
                <w:bCs/>
                <w:lang w:val="en-GB"/>
              </w:rPr>
              <w:t>Target</w:t>
            </w:r>
            <w:r w:rsidR="00C102EC">
              <w:rPr>
                <w:b/>
                <w:bCs/>
                <w:lang w:val="en-GB"/>
              </w:rPr>
              <w:t xml:space="preserve"> </w:t>
            </w:r>
            <w:r w:rsidRPr="00156B9D">
              <w:rPr>
                <w:b/>
                <w:lang w:val="en-GB"/>
              </w:rPr>
              <w:t>(2028)</w:t>
            </w:r>
            <w:r w:rsidRPr="00156B9D">
              <w:rPr>
                <w:b/>
                <w:bCs/>
                <w:lang w:val="en-GB"/>
              </w:rPr>
              <w:t xml:space="preserve">: </w:t>
            </w:r>
            <w:r w:rsidRPr="00156B9D">
              <w:rPr>
                <w:lang w:val="en-GB"/>
              </w:rPr>
              <w:t>Women: 68,218</w:t>
            </w:r>
            <w:r w:rsidR="00AF029D">
              <w:rPr>
                <w:lang w:val="en-GB"/>
              </w:rPr>
              <w:t>;</w:t>
            </w:r>
            <w:r w:rsidRPr="00156B9D">
              <w:rPr>
                <w:lang w:val="en-GB"/>
              </w:rPr>
              <w:t xml:space="preserve"> </w:t>
            </w:r>
            <w:r w:rsidR="00C102EC">
              <w:rPr>
                <w:lang w:val="en-GB"/>
              </w:rPr>
              <w:t>m</w:t>
            </w:r>
            <w:r w:rsidR="00C102EC" w:rsidRPr="00156B9D">
              <w:rPr>
                <w:lang w:val="en-GB"/>
              </w:rPr>
              <w:t>en</w:t>
            </w:r>
            <w:r w:rsidRPr="00156B9D">
              <w:rPr>
                <w:lang w:val="en-GB"/>
              </w:rPr>
              <w:t>: 62,862</w:t>
            </w:r>
          </w:p>
          <w:p w14:paraId="5D8A74B4" w14:textId="24D09F61" w:rsidR="0059376D" w:rsidRPr="00156B9D" w:rsidRDefault="0059376D" w:rsidP="00EE5CD5">
            <w:pPr>
              <w:jc w:val="both"/>
              <w:rPr>
                <w:lang w:val="en-GB"/>
              </w:rPr>
            </w:pPr>
            <w:r w:rsidRPr="00156B9D">
              <w:rPr>
                <w:b/>
                <w:bCs/>
                <w:lang w:val="en-GB"/>
              </w:rPr>
              <w:t xml:space="preserve">Source: </w:t>
            </w:r>
            <w:r w:rsidRPr="00156B9D">
              <w:rPr>
                <w:lang w:val="en-GB"/>
              </w:rPr>
              <w:t xml:space="preserve">Ministry of </w:t>
            </w:r>
            <w:r w:rsidR="00C102EC">
              <w:rPr>
                <w:lang w:val="en-GB"/>
              </w:rPr>
              <w:t xml:space="preserve">the </w:t>
            </w:r>
            <w:r w:rsidRPr="00156B9D">
              <w:rPr>
                <w:lang w:val="en-GB"/>
              </w:rPr>
              <w:t xml:space="preserve">Environment </w:t>
            </w:r>
          </w:p>
          <w:p w14:paraId="23ABF788" w14:textId="77777777" w:rsidR="0059376D" w:rsidRPr="00156B9D" w:rsidRDefault="0059376D" w:rsidP="00EE5CD5">
            <w:pPr>
              <w:jc w:val="both"/>
              <w:rPr>
                <w:lang w:val="en-GB"/>
              </w:rPr>
            </w:pPr>
            <w:r w:rsidRPr="00156B9D">
              <w:rPr>
                <w:b/>
                <w:bCs/>
                <w:lang w:val="en-GB"/>
              </w:rPr>
              <w:t xml:space="preserve">Frequency: </w:t>
            </w:r>
            <w:r w:rsidRPr="00156B9D">
              <w:rPr>
                <w:lang w:val="en-GB"/>
              </w:rPr>
              <w:t>Annual</w:t>
            </w:r>
          </w:p>
          <w:p w14:paraId="1743E397" w14:textId="77777777" w:rsidR="0059376D" w:rsidRPr="00156B9D" w:rsidRDefault="0059376D" w:rsidP="00EE5CD5">
            <w:pPr>
              <w:jc w:val="both"/>
              <w:rPr>
                <w:lang w:val="en-GB"/>
              </w:rPr>
            </w:pPr>
          </w:p>
          <w:p w14:paraId="227EE0C3" w14:textId="77777777" w:rsidR="0059376D" w:rsidRPr="00156B9D" w:rsidRDefault="0059376D" w:rsidP="00EE5CD5">
            <w:pPr>
              <w:jc w:val="both"/>
              <w:rPr>
                <w:bCs/>
                <w:lang w:val="en-GB"/>
              </w:rPr>
            </w:pPr>
            <w:r w:rsidRPr="00156B9D">
              <w:rPr>
                <w:b/>
                <w:lang w:val="en-GB"/>
              </w:rPr>
              <w:lastRenderedPageBreak/>
              <w:t>Indicator 2.4.4</w:t>
            </w:r>
            <w:r w:rsidRPr="00156B9D">
              <w:rPr>
                <w:bCs/>
                <w:lang w:val="en-GB"/>
              </w:rPr>
              <w:t>: Volume of resources mobilized in the green and blue economy sector</w:t>
            </w:r>
          </w:p>
          <w:p w14:paraId="7881688F" w14:textId="6955A299" w:rsidR="0059376D" w:rsidRPr="00156B9D" w:rsidRDefault="0059376D" w:rsidP="00EE5CD5">
            <w:pPr>
              <w:jc w:val="both"/>
              <w:rPr>
                <w:bCs/>
                <w:lang w:val="en-GB"/>
              </w:rPr>
            </w:pPr>
            <w:r w:rsidRPr="00156B9D">
              <w:rPr>
                <w:b/>
                <w:lang w:val="en-GB"/>
              </w:rPr>
              <w:t>Baseline</w:t>
            </w:r>
            <w:r w:rsidR="00C102EC">
              <w:rPr>
                <w:b/>
                <w:lang w:val="en-GB"/>
              </w:rPr>
              <w:t xml:space="preserve"> </w:t>
            </w:r>
            <w:r w:rsidRPr="00156B9D">
              <w:rPr>
                <w:b/>
                <w:lang w:val="en-GB"/>
              </w:rPr>
              <w:t>(2022)</w:t>
            </w:r>
            <w:r w:rsidRPr="00156B9D">
              <w:rPr>
                <w:bCs/>
                <w:lang w:val="en-GB"/>
              </w:rPr>
              <w:t xml:space="preserve">: $11,000,000 </w:t>
            </w:r>
          </w:p>
          <w:p w14:paraId="17954058" w14:textId="375B0466" w:rsidR="0059376D" w:rsidRPr="00156B9D" w:rsidRDefault="0059376D" w:rsidP="00EE5CD5">
            <w:pPr>
              <w:jc w:val="both"/>
              <w:rPr>
                <w:bCs/>
                <w:lang w:val="en-GB"/>
              </w:rPr>
            </w:pPr>
            <w:r w:rsidRPr="00156B9D">
              <w:rPr>
                <w:b/>
                <w:lang w:val="en-GB"/>
              </w:rPr>
              <w:t>Target</w:t>
            </w:r>
            <w:r w:rsidR="00C102EC">
              <w:rPr>
                <w:b/>
                <w:lang w:val="en-GB"/>
              </w:rPr>
              <w:t xml:space="preserve"> </w:t>
            </w:r>
            <w:r w:rsidRPr="00156B9D">
              <w:rPr>
                <w:b/>
                <w:lang w:val="en-GB"/>
              </w:rPr>
              <w:t>(2028)</w:t>
            </w:r>
            <w:r w:rsidRPr="00156B9D">
              <w:rPr>
                <w:bCs/>
                <w:lang w:val="en-GB"/>
              </w:rPr>
              <w:t xml:space="preserve">: $37,200,000 </w:t>
            </w:r>
          </w:p>
          <w:p w14:paraId="53D23653" w14:textId="3AEA2796" w:rsidR="0059376D" w:rsidRPr="00156B9D" w:rsidRDefault="0059376D" w:rsidP="00EE5CD5">
            <w:pPr>
              <w:jc w:val="both"/>
              <w:rPr>
                <w:bCs/>
                <w:lang w:val="en-GB"/>
              </w:rPr>
            </w:pPr>
            <w:r w:rsidRPr="00156B9D">
              <w:rPr>
                <w:b/>
                <w:lang w:val="en-GB"/>
              </w:rPr>
              <w:t>Source:</w:t>
            </w:r>
            <w:r w:rsidRPr="00156B9D">
              <w:rPr>
                <w:bCs/>
                <w:lang w:val="en-GB"/>
              </w:rPr>
              <w:t xml:space="preserve"> Ministry of </w:t>
            </w:r>
            <w:r w:rsidR="007E47B2">
              <w:rPr>
                <w:bCs/>
                <w:lang w:val="en-GB"/>
              </w:rPr>
              <w:t xml:space="preserve">the </w:t>
            </w:r>
            <w:r w:rsidRPr="00156B9D">
              <w:rPr>
                <w:bCs/>
                <w:lang w:val="en-GB"/>
              </w:rPr>
              <w:t>Environment</w:t>
            </w:r>
          </w:p>
          <w:p w14:paraId="427AFD7F" w14:textId="77777777" w:rsidR="0059376D" w:rsidRPr="00156B9D" w:rsidRDefault="0059376D" w:rsidP="00EE5CD5">
            <w:pPr>
              <w:jc w:val="both"/>
              <w:rPr>
                <w:bCs/>
                <w:lang w:val="en-GB"/>
              </w:rPr>
            </w:pPr>
            <w:r w:rsidRPr="00156B9D">
              <w:rPr>
                <w:b/>
                <w:lang w:val="en-GB"/>
              </w:rPr>
              <w:t>Frequency:</w:t>
            </w:r>
            <w:r w:rsidRPr="00156B9D">
              <w:rPr>
                <w:bCs/>
                <w:lang w:val="en-GB"/>
              </w:rPr>
              <w:t xml:space="preserve"> Annual</w:t>
            </w:r>
          </w:p>
          <w:p w14:paraId="035BC7D5" w14:textId="77777777" w:rsidR="0059376D" w:rsidRPr="00156B9D" w:rsidRDefault="0059376D" w:rsidP="00EE5CD5">
            <w:pPr>
              <w:jc w:val="both"/>
              <w:rPr>
                <w:bCs/>
                <w:lang w:val="en-GB"/>
              </w:rPr>
            </w:pPr>
          </w:p>
          <w:p w14:paraId="730DEFEC" w14:textId="77777777" w:rsidR="0059376D" w:rsidRPr="00156B9D" w:rsidRDefault="0059376D" w:rsidP="00EE5CD5">
            <w:pPr>
              <w:jc w:val="both"/>
              <w:rPr>
                <w:rStyle w:val="rynqvb"/>
                <w:lang w:val="en-GB"/>
              </w:rPr>
            </w:pPr>
            <w:r w:rsidRPr="00156B9D">
              <w:rPr>
                <w:b/>
                <w:bCs/>
                <w:lang w:val="en-GB"/>
              </w:rPr>
              <w:t>Indicator 2.4.5</w:t>
            </w:r>
            <w:r w:rsidRPr="00156B9D">
              <w:rPr>
                <w:bCs/>
                <w:lang w:val="en-GB"/>
              </w:rPr>
              <w:t>: Number of national/local structures in charge of monitoring environmental and social standards with enhanced capacities</w:t>
            </w:r>
          </w:p>
          <w:p w14:paraId="78BA1DC0" w14:textId="19B071F9" w:rsidR="0059376D" w:rsidRPr="00156B9D" w:rsidRDefault="0059376D" w:rsidP="00EE5CD5">
            <w:pPr>
              <w:jc w:val="both"/>
              <w:rPr>
                <w:b/>
                <w:bCs/>
                <w:lang w:val="en-GB"/>
              </w:rPr>
            </w:pPr>
            <w:r w:rsidRPr="00156B9D">
              <w:rPr>
                <w:b/>
                <w:bCs/>
                <w:lang w:val="en-GB"/>
              </w:rPr>
              <w:t>Baseline</w:t>
            </w:r>
            <w:r w:rsidR="00C102EC">
              <w:rPr>
                <w:b/>
                <w:bCs/>
                <w:lang w:val="en-GB"/>
              </w:rPr>
              <w:t xml:space="preserve"> </w:t>
            </w:r>
            <w:r w:rsidRPr="00156B9D">
              <w:rPr>
                <w:b/>
                <w:lang w:val="en-GB"/>
              </w:rPr>
              <w:t>(2022)</w:t>
            </w:r>
            <w:r w:rsidRPr="00156B9D">
              <w:rPr>
                <w:b/>
                <w:bCs/>
                <w:lang w:val="en-GB"/>
              </w:rPr>
              <w:t>:</w:t>
            </w:r>
            <w:r w:rsidR="00C102EC">
              <w:rPr>
                <w:b/>
                <w:bCs/>
                <w:lang w:val="en-GB"/>
              </w:rPr>
              <w:t xml:space="preserve"> </w:t>
            </w:r>
            <w:r w:rsidRPr="00156B9D">
              <w:rPr>
                <w:lang w:val="en-GB"/>
              </w:rPr>
              <w:t>1</w:t>
            </w:r>
            <w:r w:rsidRPr="00156B9D">
              <w:rPr>
                <w:b/>
                <w:bCs/>
                <w:lang w:val="en-GB"/>
              </w:rPr>
              <w:t xml:space="preserve"> </w:t>
            </w:r>
          </w:p>
          <w:p w14:paraId="17145A0B" w14:textId="7FE96E7F" w:rsidR="0059376D" w:rsidRPr="00156B9D" w:rsidRDefault="0059376D" w:rsidP="00EE5CD5">
            <w:pPr>
              <w:jc w:val="both"/>
              <w:rPr>
                <w:lang w:val="en-GB"/>
              </w:rPr>
            </w:pPr>
            <w:r w:rsidRPr="00156B9D">
              <w:rPr>
                <w:b/>
                <w:bCs/>
                <w:lang w:val="en-GB"/>
              </w:rPr>
              <w:t>Target</w:t>
            </w:r>
            <w:r w:rsidR="00C102EC">
              <w:rPr>
                <w:b/>
                <w:bCs/>
                <w:lang w:val="en-GB"/>
              </w:rPr>
              <w:t xml:space="preserve"> </w:t>
            </w:r>
            <w:r w:rsidRPr="00156B9D">
              <w:rPr>
                <w:b/>
                <w:lang w:val="en-GB"/>
              </w:rPr>
              <w:t>(2028)</w:t>
            </w:r>
            <w:r w:rsidRPr="00156B9D">
              <w:rPr>
                <w:b/>
                <w:bCs/>
                <w:lang w:val="en-GB"/>
              </w:rPr>
              <w:t>:</w:t>
            </w:r>
            <w:r w:rsidR="00C102EC">
              <w:rPr>
                <w:b/>
                <w:bCs/>
                <w:lang w:val="en-GB"/>
              </w:rPr>
              <w:t xml:space="preserve"> </w:t>
            </w:r>
            <w:r w:rsidRPr="00156B9D">
              <w:rPr>
                <w:lang w:val="en-GB"/>
              </w:rPr>
              <w:t>3</w:t>
            </w:r>
          </w:p>
          <w:p w14:paraId="02CF2540" w14:textId="77777777" w:rsidR="0059376D" w:rsidRPr="00156B9D" w:rsidRDefault="0059376D" w:rsidP="00EE5CD5">
            <w:pPr>
              <w:jc w:val="both"/>
              <w:rPr>
                <w:lang w:val="en-GB"/>
              </w:rPr>
            </w:pPr>
            <w:r w:rsidRPr="00156B9D">
              <w:rPr>
                <w:b/>
                <w:bCs/>
                <w:lang w:val="en-GB"/>
              </w:rPr>
              <w:t xml:space="preserve">Source: </w:t>
            </w:r>
            <w:r w:rsidRPr="00156B9D">
              <w:rPr>
                <w:lang w:val="en-GB"/>
              </w:rPr>
              <w:t xml:space="preserve">Ministry of Mining </w:t>
            </w:r>
          </w:p>
          <w:p w14:paraId="5FD4C624" w14:textId="77777777" w:rsidR="0059376D" w:rsidRPr="00156B9D" w:rsidRDefault="0059376D" w:rsidP="00EE5CD5">
            <w:pPr>
              <w:jc w:val="both"/>
              <w:rPr>
                <w:lang w:val="en-GB"/>
              </w:rPr>
            </w:pPr>
            <w:r w:rsidRPr="00156B9D">
              <w:rPr>
                <w:b/>
                <w:bCs/>
                <w:lang w:val="en-GB"/>
              </w:rPr>
              <w:t xml:space="preserve">Frequency: </w:t>
            </w:r>
            <w:r w:rsidRPr="00156B9D">
              <w:rPr>
                <w:lang w:val="en-GB"/>
              </w:rPr>
              <w:t xml:space="preserve">Annual </w:t>
            </w:r>
          </w:p>
          <w:p w14:paraId="00C22E46" w14:textId="77777777" w:rsidR="0059376D" w:rsidRPr="00156B9D" w:rsidRDefault="0059376D" w:rsidP="00EE5CD5">
            <w:pPr>
              <w:jc w:val="both"/>
              <w:rPr>
                <w:lang w:val="en-GB"/>
              </w:rPr>
            </w:pPr>
          </w:p>
          <w:p w14:paraId="3475D9B8" w14:textId="727F1268" w:rsidR="0059376D" w:rsidRPr="00156B9D" w:rsidRDefault="0059376D" w:rsidP="00EE5CD5">
            <w:pPr>
              <w:pStyle w:val="HTMLPreformatted"/>
              <w:jc w:val="both"/>
              <w:rPr>
                <w:rFonts w:ascii="Times New Roman" w:eastAsia="Calibri" w:hAnsi="Times New Roman"/>
                <w:bCs/>
                <w:lang w:val="en-GB"/>
              </w:rPr>
            </w:pPr>
            <w:r w:rsidRPr="00156B9D">
              <w:rPr>
                <w:rFonts w:ascii="Times New Roman" w:hAnsi="Times New Roman"/>
                <w:b/>
                <w:bCs/>
                <w:lang w:val="en-GB"/>
              </w:rPr>
              <w:t xml:space="preserve">Indicator 2.4.6: </w:t>
            </w:r>
            <w:r w:rsidRPr="00156B9D">
              <w:rPr>
                <w:rFonts w:ascii="Times New Roman" w:eastAsia="Calibri" w:hAnsi="Times New Roman"/>
                <w:bCs/>
                <w:lang w:val="en-GB"/>
              </w:rPr>
              <w:t>Existence (a) and implementation (b) of a blue economy strategy for integrated management of water resources</w:t>
            </w:r>
          </w:p>
          <w:p w14:paraId="282E3AB8" w14:textId="40F13229" w:rsidR="0059376D" w:rsidRPr="00156B9D" w:rsidRDefault="0059376D" w:rsidP="00EE5CD5">
            <w:pPr>
              <w:pStyle w:val="Default"/>
              <w:jc w:val="both"/>
              <w:rPr>
                <w:color w:val="auto"/>
                <w:sz w:val="20"/>
                <w:szCs w:val="20"/>
              </w:rPr>
            </w:pPr>
            <w:r w:rsidRPr="00156B9D">
              <w:rPr>
                <w:b/>
                <w:bCs/>
                <w:color w:val="auto"/>
                <w:sz w:val="20"/>
                <w:szCs w:val="20"/>
              </w:rPr>
              <w:t>Baseline</w:t>
            </w:r>
            <w:r w:rsidR="00C102EC">
              <w:rPr>
                <w:b/>
                <w:bCs/>
                <w:color w:val="auto"/>
                <w:sz w:val="20"/>
                <w:szCs w:val="20"/>
              </w:rPr>
              <w:t xml:space="preserve"> </w:t>
            </w:r>
            <w:r w:rsidRPr="00156B9D">
              <w:rPr>
                <w:b/>
                <w:color w:val="auto"/>
                <w:sz w:val="20"/>
                <w:szCs w:val="20"/>
              </w:rPr>
              <w:t>(2022)</w:t>
            </w:r>
            <w:r w:rsidRPr="00156B9D">
              <w:rPr>
                <w:color w:val="auto"/>
                <w:sz w:val="20"/>
                <w:szCs w:val="20"/>
              </w:rPr>
              <w:t>: a): No; b):</w:t>
            </w:r>
            <w:r w:rsidR="00C102EC">
              <w:rPr>
                <w:color w:val="auto"/>
                <w:sz w:val="20"/>
                <w:szCs w:val="20"/>
              </w:rPr>
              <w:t xml:space="preserve"> </w:t>
            </w:r>
            <w:r w:rsidRPr="00156B9D">
              <w:rPr>
                <w:color w:val="auto"/>
                <w:sz w:val="20"/>
                <w:szCs w:val="20"/>
              </w:rPr>
              <w:t>No</w:t>
            </w:r>
          </w:p>
          <w:p w14:paraId="108F5FC7" w14:textId="34122829" w:rsidR="0059376D" w:rsidRPr="00156B9D" w:rsidRDefault="0059376D" w:rsidP="00EE5CD5">
            <w:pPr>
              <w:pStyle w:val="Default"/>
              <w:jc w:val="both"/>
              <w:rPr>
                <w:color w:val="auto"/>
                <w:sz w:val="20"/>
                <w:szCs w:val="20"/>
              </w:rPr>
            </w:pPr>
            <w:r w:rsidRPr="00156B9D">
              <w:rPr>
                <w:b/>
                <w:bCs/>
                <w:color w:val="auto"/>
                <w:sz w:val="20"/>
                <w:szCs w:val="20"/>
              </w:rPr>
              <w:t>Target</w:t>
            </w:r>
            <w:r w:rsidR="00C102EC">
              <w:rPr>
                <w:b/>
                <w:bCs/>
                <w:color w:val="auto"/>
                <w:sz w:val="20"/>
                <w:szCs w:val="20"/>
              </w:rPr>
              <w:t xml:space="preserve"> </w:t>
            </w:r>
            <w:r w:rsidRPr="00156B9D">
              <w:rPr>
                <w:b/>
                <w:color w:val="auto"/>
                <w:sz w:val="20"/>
                <w:szCs w:val="20"/>
              </w:rPr>
              <w:t>(2028)</w:t>
            </w:r>
            <w:r w:rsidRPr="00156B9D">
              <w:rPr>
                <w:color w:val="auto"/>
                <w:sz w:val="20"/>
                <w:szCs w:val="20"/>
              </w:rPr>
              <w:t xml:space="preserve">: </w:t>
            </w:r>
            <w:proofErr w:type="gramStart"/>
            <w:r w:rsidRPr="003732A0">
              <w:rPr>
                <w:rStyle w:val="cf01"/>
                <w:rFonts w:asciiTheme="majorBidi" w:hAnsiTheme="majorBidi" w:cstheme="majorBidi"/>
                <w:color w:val="auto"/>
                <w:sz w:val="20"/>
                <w:szCs w:val="20"/>
              </w:rPr>
              <w:t>Yes;  b</w:t>
            </w:r>
            <w:proofErr w:type="gramEnd"/>
            <w:r w:rsidRPr="003732A0">
              <w:rPr>
                <w:rStyle w:val="cf01"/>
                <w:rFonts w:asciiTheme="majorBidi" w:hAnsiTheme="majorBidi" w:cstheme="majorBidi"/>
                <w:color w:val="auto"/>
                <w:sz w:val="20"/>
                <w:szCs w:val="20"/>
              </w:rPr>
              <w:t>):</w:t>
            </w:r>
            <w:r w:rsidR="00C102EC" w:rsidRPr="003732A0">
              <w:rPr>
                <w:rStyle w:val="cf01"/>
                <w:rFonts w:asciiTheme="majorBidi" w:hAnsiTheme="majorBidi" w:cstheme="majorBidi"/>
                <w:color w:val="auto"/>
                <w:sz w:val="20"/>
                <w:szCs w:val="20"/>
              </w:rPr>
              <w:t xml:space="preserve"> </w:t>
            </w:r>
            <w:r w:rsidRPr="003732A0">
              <w:rPr>
                <w:rStyle w:val="cf01"/>
                <w:rFonts w:asciiTheme="majorBidi" w:hAnsiTheme="majorBidi" w:cstheme="majorBidi"/>
                <w:color w:val="auto"/>
                <w:sz w:val="20"/>
                <w:szCs w:val="20"/>
              </w:rPr>
              <w:t>Yes</w:t>
            </w:r>
          </w:p>
          <w:p w14:paraId="675A1697" w14:textId="7859C093" w:rsidR="0059376D" w:rsidRPr="00156B9D" w:rsidRDefault="0059376D" w:rsidP="00EE5CD5">
            <w:pPr>
              <w:pStyle w:val="HTMLPreformatted"/>
              <w:jc w:val="both"/>
              <w:rPr>
                <w:rFonts w:ascii="Times New Roman" w:hAnsi="Times New Roman"/>
                <w:lang w:val="en-GB"/>
              </w:rPr>
            </w:pPr>
            <w:r w:rsidRPr="00156B9D">
              <w:rPr>
                <w:rFonts w:ascii="Times New Roman" w:eastAsia="Calibri" w:hAnsi="Times New Roman"/>
                <w:b/>
                <w:lang w:val="en-GB"/>
              </w:rPr>
              <w:t>Source</w:t>
            </w:r>
            <w:r w:rsidRPr="00156B9D">
              <w:rPr>
                <w:rFonts w:ascii="Times New Roman" w:eastAsia="Calibri" w:hAnsi="Times New Roman"/>
                <w:bCs/>
                <w:lang w:val="en-GB"/>
              </w:rPr>
              <w:t xml:space="preserve">: Ministries of Fisheries and </w:t>
            </w:r>
            <w:r w:rsidR="00C102EC">
              <w:rPr>
                <w:rFonts w:ascii="Times New Roman" w:eastAsia="Calibri" w:hAnsi="Times New Roman"/>
                <w:bCs/>
                <w:lang w:val="en-GB"/>
              </w:rPr>
              <w:t xml:space="preserve">the </w:t>
            </w:r>
            <w:r w:rsidRPr="00156B9D">
              <w:rPr>
                <w:rFonts w:ascii="Times New Roman" w:eastAsia="Calibri" w:hAnsi="Times New Roman"/>
                <w:bCs/>
                <w:lang w:val="en-GB"/>
              </w:rPr>
              <w:t>Environment</w:t>
            </w:r>
          </w:p>
          <w:p w14:paraId="06219762" w14:textId="77777777" w:rsidR="0059376D" w:rsidRPr="00156B9D" w:rsidRDefault="0059376D" w:rsidP="00EE5CD5">
            <w:pPr>
              <w:pStyle w:val="Default"/>
              <w:jc w:val="both"/>
              <w:rPr>
                <w:color w:val="auto"/>
                <w:sz w:val="20"/>
                <w:szCs w:val="20"/>
              </w:rPr>
            </w:pPr>
            <w:r w:rsidRPr="00156B9D">
              <w:rPr>
                <w:b/>
                <w:bCs/>
                <w:color w:val="auto"/>
                <w:sz w:val="20"/>
                <w:szCs w:val="20"/>
              </w:rPr>
              <w:t>Frequency</w:t>
            </w:r>
            <w:r w:rsidRPr="00156B9D">
              <w:rPr>
                <w:color w:val="auto"/>
                <w:sz w:val="20"/>
                <w:szCs w:val="20"/>
              </w:rPr>
              <w:t xml:space="preserve">: Annual </w:t>
            </w:r>
          </w:p>
        </w:tc>
        <w:tc>
          <w:tcPr>
            <w:tcW w:w="2552" w:type="dxa"/>
            <w:vMerge/>
          </w:tcPr>
          <w:p w14:paraId="51B9316A" w14:textId="77777777" w:rsidR="0059376D" w:rsidRPr="00156B9D" w:rsidRDefault="0059376D" w:rsidP="00EE5CD5">
            <w:pPr>
              <w:jc w:val="both"/>
              <w:rPr>
                <w:lang w:val="en-GB"/>
              </w:rPr>
            </w:pPr>
          </w:p>
        </w:tc>
        <w:tc>
          <w:tcPr>
            <w:tcW w:w="1559" w:type="dxa"/>
            <w:vMerge/>
          </w:tcPr>
          <w:p w14:paraId="48A98CCB" w14:textId="77777777" w:rsidR="0059376D" w:rsidRPr="00156B9D" w:rsidRDefault="0059376D" w:rsidP="00EE5CD5">
            <w:pPr>
              <w:jc w:val="both"/>
              <w:rPr>
                <w:lang w:val="en-GB"/>
              </w:rPr>
            </w:pPr>
          </w:p>
        </w:tc>
      </w:tr>
    </w:tbl>
    <w:p w14:paraId="7FE66115" w14:textId="77777777" w:rsidR="007A5B57" w:rsidRPr="00156B9D" w:rsidRDefault="007A5B57" w:rsidP="007A5B57">
      <w:pPr>
        <w:tabs>
          <w:tab w:val="left" w:pos="3330"/>
        </w:tabs>
        <w:rPr>
          <w:lang w:val="en-GB"/>
        </w:rPr>
      </w:pPr>
    </w:p>
    <w:p w14:paraId="44275173" w14:textId="77777777" w:rsidR="007A5B57" w:rsidRPr="00156B9D" w:rsidRDefault="007A5B57" w:rsidP="007A5B57">
      <w:pPr>
        <w:tabs>
          <w:tab w:val="left" w:pos="3330"/>
        </w:tabs>
        <w:rPr>
          <w:lang w:val="en-GB"/>
        </w:rPr>
      </w:pPr>
    </w:p>
    <w:p w14:paraId="336C7521" w14:textId="77777777" w:rsidR="007A5B57" w:rsidRPr="00156B9D" w:rsidRDefault="007A5B57" w:rsidP="007A5B57">
      <w:pPr>
        <w:tabs>
          <w:tab w:val="left" w:pos="3330"/>
        </w:tabs>
        <w:rPr>
          <w:lang w:val="en-GB"/>
        </w:rPr>
      </w:pPr>
    </w:p>
    <w:p w14:paraId="0BFCE2E5" w14:textId="36FA172D" w:rsidR="00D6679C" w:rsidRPr="00156B9D" w:rsidRDefault="00D63630" w:rsidP="00D63630">
      <w:pPr>
        <w:jc w:val="center"/>
        <w:rPr>
          <w:color w:val="000000"/>
          <w:lang w:val="en-GB"/>
        </w:rPr>
      </w:pPr>
      <w:r w:rsidRPr="00156B9D">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156B9D" w:rsidSect="0036139C">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4E39" w14:textId="77777777" w:rsidR="00B27DF7" w:rsidRDefault="00B27DF7" w:rsidP="00441061">
      <w:r>
        <w:separator/>
      </w:r>
    </w:p>
  </w:endnote>
  <w:endnote w:type="continuationSeparator" w:id="0">
    <w:p w14:paraId="12916D05" w14:textId="77777777" w:rsidR="00B27DF7" w:rsidRDefault="00B27DF7" w:rsidP="00441061">
      <w:r>
        <w:continuationSeparator/>
      </w:r>
    </w:p>
  </w:endnote>
  <w:endnote w:type="continuationNotice" w:id="1">
    <w:p w14:paraId="32D129A0" w14:textId="77777777" w:rsidR="00B27DF7" w:rsidRDefault="00B27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17197"/>
      <w:docPartObj>
        <w:docPartGallery w:val="Page Numbers (Bottom of Page)"/>
        <w:docPartUnique/>
      </w:docPartObj>
    </w:sdtPr>
    <w:sdtEndPr>
      <w:rPr>
        <w:b/>
        <w:bCs/>
        <w:noProof/>
        <w:sz w:val="17"/>
        <w:szCs w:val="17"/>
      </w:rPr>
    </w:sdtEndPr>
    <w:sdtContent>
      <w:p w14:paraId="2440D567" w14:textId="1C94CE79" w:rsidR="000A56F3" w:rsidRPr="00BC69D9" w:rsidRDefault="000A56F3"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8</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6901"/>
      <w:docPartObj>
        <w:docPartGallery w:val="Page Numbers (Bottom of Page)"/>
        <w:docPartUnique/>
      </w:docPartObj>
    </w:sdtPr>
    <w:sdtEndPr>
      <w:rPr>
        <w:b/>
        <w:bCs/>
        <w:noProof/>
        <w:sz w:val="17"/>
        <w:szCs w:val="17"/>
      </w:rPr>
    </w:sdtEndPr>
    <w:sdtContent>
      <w:p w14:paraId="2440D569" w14:textId="70F98E07" w:rsidR="000A56F3" w:rsidRPr="00CE2A86" w:rsidRDefault="000A56F3"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0A56F3" w:rsidRPr="00BC69D9" w:rsidRDefault="000A56F3"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12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0A56F3" w:rsidRPr="00CE2A86" w:rsidRDefault="000A56F3"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11</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5FD0" w14:textId="77777777" w:rsidR="00B27DF7" w:rsidRDefault="00B27DF7" w:rsidP="00441061">
      <w:r>
        <w:separator/>
      </w:r>
    </w:p>
  </w:footnote>
  <w:footnote w:type="continuationSeparator" w:id="0">
    <w:p w14:paraId="386547B9" w14:textId="77777777" w:rsidR="00B27DF7" w:rsidRDefault="00B27DF7" w:rsidP="00441061">
      <w:r>
        <w:continuationSeparator/>
      </w:r>
    </w:p>
  </w:footnote>
  <w:footnote w:type="continuationNotice" w:id="1">
    <w:p w14:paraId="062031EE" w14:textId="77777777" w:rsidR="00B27DF7" w:rsidRDefault="00B27DF7"/>
  </w:footnote>
  <w:footnote w:id="2">
    <w:p w14:paraId="0197936D" w14:textId="376B72AF" w:rsidR="005265CD" w:rsidRPr="003732A0" w:rsidRDefault="005265CD" w:rsidP="005265CD">
      <w:pPr>
        <w:pStyle w:val="FootnoteText"/>
        <w:rPr>
          <w:rFonts w:ascii="Times New Roman" w:hAnsi="Times New Roman"/>
          <w:iCs/>
          <w:sz w:val="16"/>
          <w:szCs w:val="16"/>
        </w:rPr>
      </w:pPr>
      <w:r w:rsidRPr="003732A0">
        <w:rPr>
          <w:rStyle w:val="FootnoteReference"/>
          <w:rFonts w:asciiTheme="minorHAnsi" w:hAnsiTheme="minorHAnsi" w:cstheme="minorHAnsi"/>
          <w:iCs/>
          <w:sz w:val="18"/>
          <w:szCs w:val="18"/>
        </w:rPr>
        <w:footnoteRef/>
      </w:r>
      <w:r w:rsidRPr="003732A0">
        <w:rPr>
          <w:rFonts w:asciiTheme="minorHAnsi" w:hAnsiTheme="minorHAnsi" w:cstheme="minorHAnsi"/>
          <w:iCs/>
          <w:sz w:val="18"/>
          <w:szCs w:val="18"/>
        </w:rPr>
        <w:t xml:space="preserve"> </w:t>
      </w:r>
      <w:r w:rsidRPr="003732A0">
        <w:rPr>
          <w:rFonts w:ascii="Times New Roman" w:hAnsi="Times New Roman"/>
          <w:iCs/>
          <w:sz w:val="16"/>
          <w:szCs w:val="16"/>
        </w:rPr>
        <w:t xml:space="preserve">Ministry of Mines and Geology of the Republic of Guinea </w:t>
      </w:r>
      <w:r w:rsidR="00582995">
        <w:rPr>
          <w:rFonts w:ascii="Times New Roman" w:hAnsi="Times New Roman"/>
          <w:iCs/>
          <w:sz w:val="16"/>
          <w:szCs w:val="16"/>
        </w:rPr>
        <w:t>(</w:t>
      </w:r>
      <w:r w:rsidRPr="003732A0">
        <w:rPr>
          <w:rFonts w:ascii="Times New Roman" w:hAnsi="Times New Roman"/>
          <w:iCs/>
          <w:sz w:val="16"/>
          <w:szCs w:val="16"/>
        </w:rPr>
        <w:t>https://mines.gov.gn/ressources/bauxite</w:t>
      </w:r>
      <w:r w:rsidR="00582995">
        <w:rPr>
          <w:rFonts w:ascii="Times New Roman" w:hAnsi="Times New Roman"/>
          <w:iCs/>
          <w:sz w:val="16"/>
          <w:szCs w:val="16"/>
        </w:rPr>
        <w:t>)</w:t>
      </w:r>
    </w:p>
  </w:footnote>
  <w:footnote w:id="3">
    <w:p w14:paraId="2EFF6296" w14:textId="77777777" w:rsidR="005265CD" w:rsidRPr="003732A0" w:rsidRDefault="005265CD" w:rsidP="005265CD">
      <w:pPr>
        <w:pStyle w:val="FootnoteText"/>
        <w:rPr>
          <w:rFonts w:ascii="Times New Roman" w:hAnsi="Times New Roman"/>
          <w:iCs/>
          <w:sz w:val="16"/>
          <w:szCs w:val="16"/>
        </w:rPr>
      </w:pPr>
      <w:r w:rsidRPr="003732A0">
        <w:rPr>
          <w:rStyle w:val="FootnoteReference"/>
          <w:rFonts w:ascii="Times New Roman" w:hAnsi="Times New Roman"/>
          <w:iCs/>
        </w:rPr>
        <w:footnoteRef/>
      </w:r>
      <w:r w:rsidRPr="003732A0">
        <w:rPr>
          <w:rFonts w:ascii="Times New Roman" w:hAnsi="Times New Roman"/>
          <w:iCs/>
          <w:sz w:val="16"/>
          <w:szCs w:val="16"/>
        </w:rPr>
        <w:t xml:space="preserve"> National Agricultural Development Policy, Ministry of Agriculture, 2017</w:t>
      </w:r>
    </w:p>
  </w:footnote>
  <w:footnote w:id="4">
    <w:p w14:paraId="1675F1DB" w14:textId="301B6357" w:rsidR="005265CD" w:rsidRPr="0021735A" w:rsidRDefault="005265CD" w:rsidP="005265CD">
      <w:pPr>
        <w:pStyle w:val="FootnoteText"/>
        <w:rPr>
          <w:rFonts w:ascii="Times New Roman" w:hAnsi="Times New Roman"/>
          <w:iCs/>
          <w:sz w:val="16"/>
          <w:szCs w:val="16"/>
        </w:rPr>
      </w:pPr>
      <w:r w:rsidRPr="0021735A">
        <w:rPr>
          <w:rStyle w:val="FootnoteReference"/>
          <w:rFonts w:ascii="Times New Roman" w:hAnsi="Times New Roman"/>
          <w:iCs/>
        </w:rPr>
        <w:footnoteRef/>
      </w:r>
      <w:r w:rsidRPr="0021735A">
        <w:rPr>
          <w:rFonts w:ascii="Times New Roman" w:hAnsi="Times New Roman"/>
          <w:iCs/>
          <w:sz w:val="16"/>
          <w:szCs w:val="16"/>
        </w:rPr>
        <w:t xml:space="preserve"> Global Analysis of Vulnerability, Food Security and Nutrition (FAO, Govt. Guinea, UNDP), December 2018</w:t>
      </w:r>
    </w:p>
  </w:footnote>
  <w:footnote w:id="5">
    <w:p w14:paraId="45CC29F9" w14:textId="25BECA30" w:rsidR="005265CD" w:rsidRPr="003732A0" w:rsidRDefault="005265CD" w:rsidP="005265CD">
      <w:pPr>
        <w:pStyle w:val="FootnoteText"/>
        <w:rPr>
          <w:rFonts w:ascii="Times New Roman" w:hAnsi="Times New Roman"/>
          <w:iCs/>
          <w:sz w:val="16"/>
          <w:szCs w:val="16"/>
        </w:rPr>
      </w:pPr>
      <w:r w:rsidRPr="003732A0">
        <w:rPr>
          <w:rStyle w:val="FootnoteReference"/>
          <w:rFonts w:ascii="Times New Roman" w:hAnsi="Times New Roman"/>
          <w:iCs/>
        </w:rPr>
        <w:footnoteRef/>
      </w:r>
      <w:r w:rsidRPr="003732A0">
        <w:rPr>
          <w:rFonts w:ascii="Times New Roman" w:hAnsi="Times New Roman"/>
          <w:iCs/>
          <w:sz w:val="16"/>
          <w:szCs w:val="16"/>
        </w:rPr>
        <w:t xml:space="preserve"> Guinea Economic Outlook, African Economic Outlook report, AfDB, 2023</w:t>
      </w:r>
    </w:p>
  </w:footnote>
  <w:footnote w:id="6">
    <w:p w14:paraId="44731B9F" w14:textId="235F5527" w:rsidR="005265CD" w:rsidRPr="003732A0" w:rsidRDefault="005265CD" w:rsidP="005265CD">
      <w:pPr>
        <w:pStyle w:val="FootnoteText"/>
        <w:rPr>
          <w:rFonts w:ascii="Times New Roman" w:hAnsi="Times New Roman"/>
          <w:iCs/>
          <w:sz w:val="16"/>
          <w:szCs w:val="16"/>
        </w:rPr>
      </w:pPr>
      <w:r w:rsidRPr="003732A0">
        <w:rPr>
          <w:rStyle w:val="FootnoteReference"/>
          <w:rFonts w:ascii="Times New Roman" w:hAnsi="Times New Roman"/>
          <w:iCs/>
        </w:rPr>
        <w:footnoteRef/>
      </w:r>
      <w:r w:rsidRPr="003732A0">
        <w:rPr>
          <w:rFonts w:ascii="Times New Roman" w:hAnsi="Times New Roman"/>
          <w:iCs/>
          <w:sz w:val="16"/>
          <w:szCs w:val="16"/>
        </w:rPr>
        <w:t xml:space="preserve"> General Population and Habitat Census</w:t>
      </w:r>
      <w:r w:rsidR="00306084">
        <w:rPr>
          <w:rFonts w:ascii="Times New Roman" w:hAnsi="Times New Roman"/>
          <w:iCs/>
          <w:sz w:val="16"/>
          <w:szCs w:val="16"/>
        </w:rPr>
        <w:t xml:space="preserve"> </w:t>
      </w:r>
      <w:r w:rsidRPr="003732A0">
        <w:rPr>
          <w:rFonts w:ascii="Times New Roman" w:hAnsi="Times New Roman"/>
          <w:iCs/>
          <w:sz w:val="16"/>
          <w:szCs w:val="16"/>
        </w:rPr>
        <w:t>data analysis report, 2017</w:t>
      </w:r>
    </w:p>
  </w:footnote>
  <w:footnote w:id="7">
    <w:p w14:paraId="0EF782F9" w14:textId="77777777" w:rsidR="005265CD" w:rsidRPr="003732A0" w:rsidRDefault="005265CD" w:rsidP="005265CD">
      <w:pPr>
        <w:pStyle w:val="FootnoteText"/>
        <w:rPr>
          <w:rFonts w:ascii="Times New Roman" w:hAnsi="Times New Roman"/>
          <w:iCs/>
          <w:sz w:val="16"/>
          <w:szCs w:val="16"/>
        </w:rPr>
      </w:pPr>
      <w:r w:rsidRPr="003732A0">
        <w:rPr>
          <w:rStyle w:val="FootnoteReference"/>
          <w:rFonts w:ascii="Times New Roman" w:hAnsi="Times New Roman"/>
          <w:iCs/>
        </w:rPr>
        <w:footnoteRef/>
      </w:r>
      <w:r w:rsidRPr="003732A0">
        <w:rPr>
          <w:rFonts w:ascii="Times New Roman" w:hAnsi="Times New Roman"/>
          <w:iCs/>
          <w:sz w:val="16"/>
          <w:szCs w:val="16"/>
        </w:rPr>
        <w:t xml:space="preserve"> Human Development Report (2022)</w:t>
      </w:r>
    </w:p>
  </w:footnote>
  <w:footnote w:id="8">
    <w:p w14:paraId="486846A0" w14:textId="044531DA" w:rsidR="005265CD" w:rsidRPr="0021735A" w:rsidRDefault="005265CD" w:rsidP="005265CD">
      <w:pPr>
        <w:pStyle w:val="FootnoteText"/>
        <w:rPr>
          <w:rFonts w:ascii="Times New Roman" w:hAnsi="Times New Roman"/>
          <w:iCs/>
          <w:sz w:val="16"/>
          <w:szCs w:val="16"/>
        </w:rPr>
      </w:pPr>
      <w:r w:rsidRPr="003732A0">
        <w:rPr>
          <w:rStyle w:val="FootnoteReference"/>
          <w:rFonts w:ascii="Times New Roman" w:hAnsi="Times New Roman"/>
          <w:iCs/>
        </w:rPr>
        <w:footnoteRef/>
      </w:r>
      <w:r w:rsidRPr="003732A0">
        <w:rPr>
          <w:rFonts w:ascii="Times New Roman" w:hAnsi="Times New Roman"/>
          <w:iCs/>
          <w:sz w:val="16"/>
          <w:szCs w:val="16"/>
        </w:rPr>
        <w:t xml:space="preserve"> </w:t>
      </w:r>
      <w:r w:rsidRPr="001F2FCE">
        <w:rPr>
          <w:rFonts w:ascii="Times New Roman" w:hAnsi="Times New Roman"/>
          <w:i/>
          <w:sz w:val="16"/>
          <w:szCs w:val="16"/>
        </w:rPr>
        <w:t>Unlocking Women’s and Girl’s Potential</w:t>
      </w:r>
      <w:r w:rsidR="00306084" w:rsidRPr="001F2FCE">
        <w:rPr>
          <w:rFonts w:ascii="Times New Roman" w:hAnsi="Times New Roman"/>
          <w:i/>
          <w:sz w:val="16"/>
          <w:szCs w:val="16"/>
        </w:rPr>
        <w:t xml:space="preserve">: The </w:t>
      </w:r>
      <w:r w:rsidR="00306084" w:rsidRPr="003732A0">
        <w:rPr>
          <w:rFonts w:ascii="Times New Roman" w:hAnsi="Times New Roman"/>
          <w:i/>
          <w:sz w:val="16"/>
          <w:szCs w:val="16"/>
        </w:rPr>
        <w:t>S</w:t>
      </w:r>
      <w:r w:rsidR="00306084" w:rsidRPr="001F2FCE">
        <w:rPr>
          <w:rFonts w:ascii="Times New Roman" w:hAnsi="Times New Roman"/>
          <w:i/>
          <w:sz w:val="16"/>
          <w:szCs w:val="16"/>
        </w:rPr>
        <w:t xml:space="preserve">tatus of </w:t>
      </w:r>
      <w:r w:rsidR="00306084" w:rsidRPr="003732A0">
        <w:rPr>
          <w:rFonts w:ascii="Times New Roman" w:hAnsi="Times New Roman"/>
          <w:i/>
          <w:sz w:val="16"/>
          <w:szCs w:val="16"/>
        </w:rPr>
        <w:t>W</w:t>
      </w:r>
      <w:r w:rsidR="00306084" w:rsidRPr="001F2FCE">
        <w:rPr>
          <w:rFonts w:ascii="Times New Roman" w:hAnsi="Times New Roman"/>
          <w:i/>
          <w:sz w:val="16"/>
          <w:szCs w:val="16"/>
        </w:rPr>
        <w:t xml:space="preserve">omen and </w:t>
      </w:r>
      <w:r w:rsidR="00306084" w:rsidRPr="003732A0">
        <w:rPr>
          <w:rFonts w:ascii="Times New Roman" w:hAnsi="Times New Roman"/>
          <w:i/>
          <w:sz w:val="16"/>
          <w:szCs w:val="16"/>
        </w:rPr>
        <w:t>G</w:t>
      </w:r>
      <w:r w:rsidR="00306084" w:rsidRPr="001F2FCE">
        <w:rPr>
          <w:rFonts w:ascii="Times New Roman" w:hAnsi="Times New Roman"/>
          <w:i/>
          <w:sz w:val="16"/>
          <w:szCs w:val="16"/>
        </w:rPr>
        <w:t xml:space="preserve">irls </w:t>
      </w:r>
      <w:r w:rsidR="00306084" w:rsidRPr="003732A0">
        <w:rPr>
          <w:rFonts w:ascii="Times New Roman" w:hAnsi="Times New Roman"/>
          <w:i/>
          <w:sz w:val="16"/>
          <w:szCs w:val="16"/>
        </w:rPr>
        <w:t>R</w:t>
      </w:r>
      <w:r w:rsidR="00306084" w:rsidRPr="001F2FCE">
        <w:rPr>
          <w:rFonts w:ascii="Times New Roman" w:hAnsi="Times New Roman"/>
          <w:i/>
          <w:sz w:val="16"/>
          <w:szCs w:val="16"/>
        </w:rPr>
        <w:t xml:space="preserve">elative to </w:t>
      </w:r>
      <w:r w:rsidR="00306084" w:rsidRPr="003732A0">
        <w:rPr>
          <w:rFonts w:ascii="Times New Roman" w:hAnsi="Times New Roman"/>
          <w:i/>
          <w:sz w:val="16"/>
          <w:szCs w:val="16"/>
        </w:rPr>
        <w:t>M</w:t>
      </w:r>
      <w:r w:rsidR="00306084" w:rsidRPr="001F2FCE">
        <w:rPr>
          <w:rFonts w:ascii="Times New Roman" w:hAnsi="Times New Roman"/>
          <w:i/>
          <w:sz w:val="16"/>
          <w:szCs w:val="16"/>
        </w:rPr>
        <w:t xml:space="preserve">en and </w:t>
      </w:r>
      <w:r w:rsidR="00306084" w:rsidRPr="003732A0">
        <w:rPr>
          <w:rFonts w:ascii="Times New Roman" w:hAnsi="Times New Roman"/>
          <w:i/>
          <w:sz w:val="16"/>
          <w:szCs w:val="16"/>
        </w:rPr>
        <w:t>B</w:t>
      </w:r>
      <w:r w:rsidR="00306084" w:rsidRPr="001F2FCE">
        <w:rPr>
          <w:rFonts w:ascii="Times New Roman" w:hAnsi="Times New Roman"/>
          <w:i/>
          <w:sz w:val="16"/>
          <w:szCs w:val="16"/>
        </w:rPr>
        <w:t>oys in Guinea</w:t>
      </w:r>
      <w:r w:rsidRPr="003732A0">
        <w:rPr>
          <w:rFonts w:ascii="Times New Roman" w:hAnsi="Times New Roman"/>
          <w:iCs/>
          <w:sz w:val="16"/>
          <w:szCs w:val="16"/>
        </w:rPr>
        <w:t xml:space="preserve">, World Bank </w:t>
      </w:r>
      <w:r w:rsidR="00C25C27">
        <w:rPr>
          <w:rFonts w:ascii="Times New Roman" w:hAnsi="Times New Roman"/>
          <w:iCs/>
          <w:sz w:val="16"/>
          <w:szCs w:val="16"/>
        </w:rPr>
        <w:t>r</w:t>
      </w:r>
      <w:r w:rsidR="00C25C27" w:rsidRPr="003732A0">
        <w:rPr>
          <w:rFonts w:ascii="Times New Roman" w:hAnsi="Times New Roman"/>
          <w:iCs/>
          <w:sz w:val="16"/>
          <w:szCs w:val="16"/>
        </w:rPr>
        <w:t>eport</w:t>
      </w:r>
      <w:r w:rsidRPr="003732A0">
        <w:rPr>
          <w:rFonts w:ascii="Times New Roman" w:hAnsi="Times New Roman"/>
          <w:iCs/>
          <w:sz w:val="16"/>
          <w:szCs w:val="16"/>
        </w:rPr>
        <w:t>, 2023</w:t>
      </w:r>
    </w:p>
  </w:footnote>
  <w:footnote w:id="9">
    <w:p w14:paraId="636A3C7E" w14:textId="66B51126" w:rsidR="005265CD" w:rsidRPr="003732A0" w:rsidRDefault="005265CD" w:rsidP="005265CD">
      <w:pPr>
        <w:pStyle w:val="FootnoteText"/>
        <w:rPr>
          <w:rFonts w:ascii="Times New Roman" w:hAnsi="Times New Roman"/>
          <w:iCs/>
          <w:sz w:val="16"/>
          <w:szCs w:val="16"/>
        </w:rPr>
      </w:pPr>
      <w:r w:rsidRPr="003732A0">
        <w:rPr>
          <w:rStyle w:val="FootnoteReference"/>
          <w:rFonts w:ascii="Times New Roman" w:hAnsi="Times New Roman"/>
          <w:iCs/>
        </w:rPr>
        <w:footnoteRef/>
      </w:r>
      <w:r w:rsidRPr="003732A0">
        <w:rPr>
          <w:rFonts w:ascii="Times New Roman" w:hAnsi="Times New Roman"/>
          <w:iCs/>
          <w:sz w:val="16"/>
          <w:szCs w:val="16"/>
        </w:rPr>
        <w:t xml:space="preserve"> According to several country </w:t>
      </w:r>
      <w:r w:rsidR="00D60591" w:rsidRPr="003732A0">
        <w:rPr>
          <w:rFonts w:ascii="Times New Roman" w:hAnsi="Times New Roman"/>
          <w:iCs/>
          <w:sz w:val="16"/>
          <w:szCs w:val="16"/>
        </w:rPr>
        <w:t>analyses</w:t>
      </w:r>
      <w:r w:rsidRPr="003732A0">
        <w:rPr>
          <w:rFonts w:ascii="Times New Roman" w:hAnsi="Times New Roman"/>
          <w:iCs/>
          <w:sz w:val="16"/>
          <w:szCs w:val="16"/>
        </w:rPr>
        <w:t xml:space="preserve">: </w:t>
      </w:r>
      <w:r w:rsidR="00D60591">
        <w:rPr>
          <w:rFonts w:ascii="Times New Roman" w:hAnsi="Times New Roman"/>
          <w:iCs/>
          <w:sz w:val="16"/>
          <w:szCs w:val="16"/>
        </w:rPr>
        <w:t xml:space="preserve">the </w:t>
      </w:r>
      <w:r w:rsidRPr="003732A0">
        <w:rPr>
          <w:rFonts w:ascii="Times New Roman" w:hAnsi="Times New Roman"/>
          <w:iCs/>
          <w:sz w:val="16"/>
          <w:szCs w:val="16"/>
        </w:rPr>
        <w:t xml:space="preserve">National Economic and Social Development Plan, Common Country Assessment, </w:t>
      </w:r>
      <w:r w:rsidR="00142CA1">
        <w:rPr>
          <w:rFonts w:ascii="Times New Roman" w:hAnsi="Times New Roman"/>
          <w:iCs/>
          <w:sz w:val="16"/>
          <w:szCs w:val="16"/>
        </w:rPr>
        <w:t>i</w:t>
      </w:r>
      <w:r w:rsidR="00142CA1" w:rsidRPr="003732A0">
        <w:rPr>
          <w:rFonts w:ascii="Times New Roman" w:hAnsi="Times New Roman"/>
          <w:iCs/>
          <w:sz w:val="16"/>
          <w:szCs w:val="16"/>
        </w:rPr>
        <w:t xml:space="preserve">ndependent </w:t>
      </w:r>
      <w:r w:rsidR="00142CA1">
        <w:rPr>
          <w:rFonts w:ascii="Times New Roman" w:hAnsi="Times New Roman"/>
          <w:iCs/>
          <w:sz w:val="16"/>
          <w:szCs w:val="16"/>
        </w:rPr>
        <w:t>c</w:t>
      </w:r>
      <w:r w:rsidR="00142CA1" w:rsidRPr="003732A0">
        <w:rPr>
          <w:rFonts w:ascii="Times New Roman" w:hAnsi="Times New Roman"/>
          <w:iCs/>
          <w:sz w:val="16"/>
          <w:szCs w:val="16"/>
        </w:rPr>
        <w:t xml:space="preserve">ountry </w:t>
      </w:r>
      <w:r w:rsidR="00142CA1">
        <w:rPr>
          <w:rFonts w:ascii="Times New Roman" w:hAnsi="Times New Roman"/>
          <w:iCs/>
          <w:sz w:val="16"/>
          <w:szCs w:val="16"/>
        </w:rPr>
        <w:t>p</w:t>
      </w:r>
      <w:r w:rsidR="00142CA1" w:rsidRPr="003732A0">
        <w:rPr>
          <w:rFonts w:ascii="Times New Roman" w:hAnsi="Times New Roman"/>
          <w:iCs/>
          <w:sz w:val="16"/>
          <w:szCs w:val="16"/>
        </w:rPr>
        <w:t xml:space="preserve">rogramme </w:t>
      </w:r>
      <w:r w:rsidR="00142CA1">
        <w:rPr>
          <w:rFonts w:ascii="Times New Roman" w:hAnsi="Times New Roman"/>
          <w:iCs/>
          <w:sz w:val="16"/>
          <w:szCs w:val="16"/>
        </w:rPr>
        <w:t>e</w:t>
      </w:r>
      <w:r w:rsidR="00142CA1" w:rsidRPr="003732A0">
        <w:rPr>
          <w:rFonts w:ascii="Times New Roman" w:hAnsi="Times New Roman"/>
          <w:iCs/>
          <w:sz w:val="16"/>
          <w:szCs w:val="16"/>
        </w:rPr>
        <w:t xml:space="preserve">valuation </w:t>
      </w:r>
      <w:r w:rsidRPr="003732A0">
        <w:rPr>
          <w:rFonts w:ascii="Times New Roman" w:hAnsi="Times New Roman"/>
          <w:iCs/>
          <w:sz w:val="16"/>
          <w:szCs w:val="16"/>
        </w:rPr>
        <w:t>and the Interim Reference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0A56F3" w:rsidRPr="00657A41" w14:paraId="6C8F084B" w14:textId="77777777" w:rsidTr="00CE2A86">
      <w:trPr>
        <w:trHeight w:hRule="exact" w:val="864"/>
      </w:trPr>
      <w:tc>
        <w:tcPr>
          <w:tcW w:w="4668" w:type="dxa"/>
          <w:shd w:val="clear" w:color="auto" w:fill="auto"/>
          <w:vAlign w:val="bottom"/>
        </w:tcPr>
        <w:p w14:paraId="51B1F22D" w14:textId="7B0B1CC4" w:rsidR="000A56F3" w:rsidRPr="00657A41" w:rsidRDefault="000A56F3" w:rsidP="00BC69D9">
          <w:pPr>
            <w:tabs>
              <w:tab w:val="center" w:pos="4320"/>
              <w:tab w:val="right" w:pos="8640"/>
            </w:tabs>
            <w:spacing w:after="80"/>
            <w:rPr>
              <w:b/>
              <w:noProof/>
              <w:sz w:val="17"/>
            </w:rPr>
          </w:pPr>
          <w:bookmarkStart w:id="3" w:name="_Hlk72161445"/>
          <w:r w:rsidRPr="00657A41">
            <w:rPr>
              <w:b/>
              <w:noProof/>
              <w:sz w:val="17"/>
            </w:rPr>
            <w:t>DP/DCP/</w:t>
          </w:r>
          <w:r w:rsidR="00310E74">
            <w:rPr>
              <w:b/>
              <w:noProof/>
              <w:sz w:val="17"/>
            </w:rPr>
            <w:t>GIN</w:t>
          </w:r>
          <w:r w:rsidRPr="00657A41">
            <w:rPr>
              <w:b/>
              <w:noProof/>
              <w:sz w:val="17"/>
            </w:rPr>
            <w:t>/</w:t>
          </w:r>
          <w:r w:rsidR="00310E74">
            <w:rPr>
              <w:b/>
              <w:noProof/>
              <w:sz w:val="17"/>
            </w:rPr>
            <w:t>4</w:t>
          </w:r>
        </w:p>
      </w:tc>
      <w:tc>
        <w:tcPr>
          <w:tcW w:w="4872" w:type="dxa"/>
          <w:shd w:val="clear" w:color="auto" w:fill="auto"/>
          <w:vAlign w:val="bottom"/>
        </w:tcPr>
        <w:p w14:paraId="32A484FF" w14:textId="77777777" w:rsidR="000A56F3" w:rsidRPr="00657A41" w:rsidRDefault="000A56F3" w:rsidP="00BC69D9">
          <w:pPr>
            <w:tabs>
              <w:tab w:val="center" w:pos="4320"/>
              <w:tab w:val="right" w:pos="8640"/>
            </w:tabs>
            <w:jc w:val="right"/>
            <w:rPr>
              <w:b/>
              <w:noProof/>
              <w:sz w:val="17"/>
            </w:rPr>
          </w:pPr>
        </w:p>
      </w:tc>
    </w:tr>
    <w:bookmarkEnd w:id="3"/>
  </w:tbl>
  <w:p w14:paraId="00066E83" w14:textId="77777777" w:rsidR="000A56F3" w:rsidRPr="00BC69D9" w:rsidRDefault="000A56F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0A56F3" w:rsidRPr="00657A41" w14:paraId="0B6927BD" w14:textId="77777777" w:rsidTr="00BC69D9">
      <w:trPr>
        <w:trHeight w:hRule="exact" w:val="864"/>
      </w:trPr>
      <w:tc>
        <w:tcPr>
          <w:tcW w:w="4838" w:type="dxa"/>
          <w:shd w:val="clear" w:color="auto" w:fill="auto"/>
          <w:vAlign w:val="bottom"/>
        </w:tcPr>
        <w:p w14:paraId="05BAF8E6" w14:textId="77777777" w:rsidR="000A56F3" w:rsidRPr="00657A41" w:rsidRDefault="000A56F3" w:rsidP="00BC69D9">
          <w:pPr>
            <w:tabs>
              <w:tab w:val="center" w:pos="4320"/>
              <w:tab w:val="right" w:pos="8640"/>
            </w:tabs>
            <w:spacing w:after="80"/>
            <w:rPr>
              <w:b/>
              <w:noProof/>
              <w:sz w:val="17"/>
            </w:rPr>
          </w:pPr>
        </w:p>
      </w:tc>
      <w:tc>
        <w:tcPr>
          <w:tcW w:w="4764" w:type="dxa"/>
          <w:shd w:val="clear" w:color="auto" w:fill="auto"/>
          <w:vAlign w:val="bottom"/>
        </w:tcPr>
        <w:p w14:paraId="70EB3BFC" w14:textId="61DEEDFF" w:rsidR="000A56F3" w:rsidRPr="00657A41" w:rsidRDefault="000A56F3" w:rsidP="00BC69D9">
          <w:pPr>
            <w:tabs>
              <w:tab w:val="center" w:pos="4320"/>
              <w:tab w:val="right" w:pos="8640"/>
            </w:tabs>
            <w:jc w:val="right"/>
            <w:rPr>
              <w:b/>
              <w:noProof/>
              <w:sz w:val="17"/>
            </w:rPr>
          </w:pPr>
          <w:r w:rsidRPr="00657A41">
            <w:rPr>
              <w:b/>
              <w:noProof/>
              <w:sz w:val="17"/>
            </w:rPr>
            <w:t>DP/DCP/</w:t>
          </w:r>
          <w:r w:rsidR="00EA5934">
            <w:rPr>
              <w:b/>
              <w:noProof/>
              <w:sz w:val="17"/>
            </w:rPr>
            <w:t>G</w:t>
          </w:r>
          <w:r w:rsidR="00310E74">
            <w:rPr>
              <w:b/>
              <w:noProof/>
              <w:sz w:val="17"/>
            </w:rPr>
            <w:t>IN</w:t>
          </w:r>
          <w:r w:rsidRPr="00657A41">
            <w:rPr>
              <w:b/>
              <w:noProof/>
              <w:sz w:val="17"/>
            </w:rPr>
            <w:t>/</w:t>
          </w:r>
          <w:r w:rsidR="00310E74">
            <w:rPr>
              <w:b/>
              <w:noProof/>
              <w:sz w:val="17"/>
            </w:rPr>
            <w:t>4</w:t>
          </w:r>
        </w:p>
      </w:tc>
    </w:tr>
  </w:tbl>
  <w:p w14:paraId="1A102CF2" w14:textId="77777777" w:rsidR="000A56F3" w:rsidRPr="00BC69D9" w:rsidRDefault="000A56F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56F3" w:rsidRPr="00657A41" w14:paraId="001207A7" w14:textId="77777777" w:rsidTr="00AA084E">
      <w:trPr>
        <w:trHeight w:hRule="exact" w:val="864"/>
      </w:trPr>
      <w:tc>
        <w:tcPr>
          <w:tcW w:w="1267" w:type="dxa"/>
          <w:tcBorders>
            <w:bottom w:val="single" w:sz="4" w:space="0" w:color="auto"/>
          </w:tcBorders>
          <w:shd w:val="clear" w:color="auto" w:fill="auto"/>
          <w:vAlign w:val="bottom"/>
        </w:tcPr>
        <w:p w14:paraId="3F188231" w14:textId="77777777" w:rsidR="000A56F3" w:rsidRPr="00657A41" w:rsidRDefault="000A56F3"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0A56F3" w:rsidRPr="00657A41" w:rsidRDefault="000A56F3"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0A56F3" w:rsidRPr="00657A41" w:rsidRDefault="000A56F3"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0F553E46" w:rsidR="000A56F3" w:rsidRPr="00657A41" w:rsidRDefault="000A56F3"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sidR="00310E74">
            <w:rPr>
              <w:spacing w:val="4"/>
              <w:w w:val="103"/>
              <w:kern w:val="14"/>
              <w:position w:val="-4"/>
            </w:rPr>
            <w:t>GIN</w:t>
          </w:r>
          <w:r w:rsidRPr="00657A41">
            <w:rPr>
              <w:spacing w:val="4"/>
              <w:w w:val="103"/>
              <w:kern w:val="14"/>
              <w:position w:val="-4"/>
            </w:rPr>
            <w:t>/</w:t>
          </w:r>
          <w:r w:rsidR="00310E74">
            <w:rPr>
              <w:spacing w:val="4"/>
              <w:w w:val="103"/>
              <w:kern w:val="14"/>
              <w:position w:val="-4"/>
            </w:rPr>
            <w:t>4</w:t>
          </w:r>
        </w:p>
      </w:tc>
    </w:tr>
    <w:tr w:rsidR="000A56F3" w:rsidRPr="00657A41" w14:paraId="46C5DFD1" w14:textId="77777777" w:rsidTr="00AA084E">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0A56F3" w:rsidRPr="00657A41" w:rsidRDefault="000A56F3"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0A56F3" w:rsidRPr="00657A41" w:rsidRDefault="000A56F3"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0462BE39" w:rsidR="000A56F3" w:rsidRPr="00F8489E" w:rsidRDefault="00DE4B9B"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6E5FDB">
            <w:rPr>
              <w:b/>
              <w:bCs/>
              <w:sz w:val="34"/>
              <w:lang w:val="en-GB"/>
            </w:rPr>
            <w:t>Executive Board of the</w:t>
          </w:r>
          <w:r w:rsidRPr="006E5FDB">
            <w:rPr>
              <w:b/>
              <w:bCs/>
              <w:sz w:val="34"/>
              <w:lang w:val="en-GB"/>
            </w:rPr>
            <w:br/>
            <w:t>United Nations Development</w:t>
          </w:r>
          <w:r w:rsidRPr="006E5FDB">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0A56F3" w:rsidRPr="00657A41" w:rsidRDefault="000A56F3"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0A56F3" w:rsidRPr="00657A41" w:rsidRDefault="000A56F3" w:rsidP="00BC69D9">
          <w:pPr>
            <w:suppressAutoHyphens/>
            <w:spacing w:before="240" w:line="240" w:lineRule="exact"/>
            <w:rPr>
              <w:spacing w:val="4"/>
              <w:w w:val="103"/>
              <w:kern w:val="14"/>
            </w:rPr>
          </w:pPr>
          <w:r w:rsidRPr="00657A41">
            <w:rPr>
              <w:spacing w:val="4"/>
              <w:w w:val="103"/>
              <w:kern w:val="14"/>
            </w:rPr>
            <w:t>Distr.: General</w:t>
          </w:r>
        </w:p>
        <w:p w14:paraId="06F5D2F3" w14:textId="1055B266" w:rsidR="000A56F3" w:rsidRPr="00657A41" w:rsidRDefault="00D335E1" w:rsidP="00BC69D9">
          <w:pPr>
            <w:suppressAutoHyphens/>
            <w:spacing w:line="240" w:lineRule="exact"/>
            <w:rPr>
              <w:spacing w:val="4"/>
              <w:w w:val="103"/>
              <w:kern w:val="14"/>
            </w:rPr>
          </w:pPr>
          <w:r>
            <w:rPr>
              <w:spacing w:val="4"/>
              <w:w w:val="103"/>
              <w:kern w:val="14"/>
            </w:rPr>
            <w:t>6</w:t>
          </w:r>
          <w:r w:rsidR="00DE4B9B">
            <w:rPr>
              <w:spacing w:val="4"/>
              <w:w w:val="103"/>
              <w:kern w:val="14"/>
            </w:rPr>
            <w:t xml:space="preserve"> </w:t>
          </w:r>
          <w:r>
            <w:rPr>
              <w:spacing w:val="4"/>
              <w:w w:val="103"/>
              <w:kern w:val="14"/>
            </w:rPr>
            <w:t>November</w:t>
          </w:r>
          <w:r w:rsidR="000A56F3">
            <w:rPr>
              <w:spacing w:val="4"/>
              <w:w w:val="103"/>
              <w:kern w:val="14"/>
            </w:rPr>
            <w:t xml:space="preserve"> 2023</w:t>
          </w:r>
        </w:p>
        <w:p w14:paraId="1FAA6AE7" w14:textId="77777777" w:rsidR="000A56F3" w:rsidRPr="00657A41" w:rsidRDefault="000A56F3" w:rsidP="00BC69D9">
          <w:pPr>
            <w:suppressAutoHyphens/>
            <w:spacing w:line="240" w:lineRule="exact"/>
            <w:rPr>
              <w:spacing w:val="4"/>
              <w:w w:val="103"/>
              <w:kern w:val="14"/>
            </w:rPr>
          </w:pPr>
        </w:p>
        <w:p w14:paraId="67D3E35A" w14:textId="77777777" w:rsidR="000A56F3" w:rsidRPr="00657A41" w:rsidRDefault="000A56F3"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0A56F3" w:rsidRPr="00597CD2" w:rsidRDefault="000A56F3">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0A56F3" w:rsidRDefault="000A56F3">
    <w:pPr>
      <w:pStyle w:val="Header"/>
    </w:pPr>
    <w:r>
      <w:rPr>
        <w:noProof/>
        <w:lang w:val="en-US" w:eastAsia="en-US"/>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28967722"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EA5934">
                                  <w:rPr>
                                    <w:rFonts w:ascii="Times New Roman" w:hAnsi="Times New Roman"/>
                                    <w:b/>
                                    <w:sz w:val="17"/>
                                    <w:szCs w:val="17"/>
                                    <w:lang w:val="en-US" w:eastAsia="en-US"/>
                                  </w:rPr>
                                  <w:t>G</w:t>
                                </w:r>
                                <w:r w:rsidR="00310E74">
                                  <w:rPr>
                                    <w:rFonts w:ascii="Times New Roman" w:hAnsi="Times New Roman"/>
                                    <w:b/>
                                    <w:sz w:val="17"/>
                                    <w:szCs w:val="17"/>
                                    <w:lang w:val="en-US" w:eastAsia="en-US"/>
                                  </w:rPr>
                                  <w:t>IN</w:t>
                                </w:r>
                                <w:r>
                                  <w:rPr>
                                    <w:rFonts w:ascii="Times New Roman" w:hAnsi="Times New Roman"/>
                                    <w:b/>
                                    <w:sz w:val="17"/>
                                    <w:szCs w:val="17"/>
                                    <w:lang w:val="en-US" w:eastAsia="en-US"/>
                                  </w:rPr>
                                  <w:t>/</w:t>
                                </w:r>
                                <w:r w:rsidR="00310E74">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28967722"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EA5934">
                            <w:rPr>
                              <w:rFonts w:ascii="Times New Roman" w:hAnsi="Times New Roman"/>
                              <w:b/>
                              <w:sz w:val="17"/>
                              <w:szCs w:val="17"/>
                              <w:lang w:val="en-US" w:eastAsia="en-US"/>
                            </w:rPr>
                            <w:t>G</w:t>
                          </w:r>
                          <w:r w:rsidR="00310E74">
                            <w:rPr>
                              <w:rFonts w:ascii="Times New Roman" w:hAnsi="Times New Roman"/>
                              <w:b/>
                              <w:sz w:val="17"/>
                              <w:szCs w:val="17"/>
                              <w:lang w:val="en-US" w:eastAsia="en-US"/>
                            </w:rPr>
                            <w:t>IN</w:t>
                          </w:r>
                          <w:r>
                            <w:rPr>
                              <w:rFonts w:ascii="Times New Roman" w:hAnsi="Times New Roman"/>
                              <w:b/>
                              <w:sz w:val="17"/>
                              <w:szCs w:val="17"/>
                              <w:lang w:val="en-US" w:eastAsia="en-US"/>
                            </w:rPr>
                            <w:t>/</w:t>
                          </w:r>
                          <w:r w:rsidR="00310E74">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0A56F3" w:rsidRPr="00657A41" w14:paraId="0755F833" w14:textId="77777777" w:rsidTr="00E022B9">
      <w:trPr>
        <w:trHeight w:hRule="exact" w:val="864"/>
      </w:trPr>
      <w:tc>
        <w:tcPr>
          <w:tcW w:w="4668" w:type="dxa"/>
          <w:shd w:val="clear" w:color="auto" w:fill="auto"/>
          <w:vAlign w:val="bottom"/>
        </w:tcPr>
        <w:p w14:paraId="74A7251A" w14:textId="77777777" w:rsidR="000A56F3" w:rsidRPr="00657A41" w:rsidRDefault="000A56F3" w:rsidP="00BC69D9">
          <w:pPr>
            <w:tabs>
              <w:tab w:val="center" w:pos="4320"/>
              <w:tab w:val="right" w:pos="8640"/>
            </w:tabs>
            <w:spacing w:after="80"/>
            <w:rPr>
              <w:b/>
              <w:noProof/>
              <w:sz w:val="17"/>
            </w:rPr>
          </w:pPr>
        </w:p>
      </w:tc>
      <w:tc>
        <w:tcPr>
          <w:tcW w:w="8382" w:type="dxa"/>
          <w:shd w:val="clear" w:color="auto" w:fill="auto"/>
          <w:vAlign w:val="bottom"/>
        </w:tcPr>
        <w:p w14:paraId="4B473F58" w14:textId="5006D512" w:rsidR="000A56F3" w:rsidRPr="00657A41" w:rsidRDefault="000A56F3" w:rsidP="00BC69D9">
          <w:pPr>
            <w:tabs>
              <w:tab w:val="center" w:pos="4320"/>
              <w:tab w:val="right" w:pos="8640"/>
            </w:tabs>
            <w:jc w:val="right"/>
            <w:rPr>
              <w:b/>
              <w:noProof/>
              <w:sz w:val="17"/>
            </w:rPr>
          </w:pPr>
          <w:r w:rsidRPr="00657A41">
            <w:rPr>
              <w:b/>
              <w:noProof/>
              <w:sz w:val="17"/>
            </w:rPr>
            <w:t>DP/DCP/</w:t>
          </w:r>
          <w:r w:rsidR="00EA5934">
            <w:rPr>
              <w:b/>
              <w:noProof/>
              <w:sz w:val="17"/>
            </w:rPr>
            <w:t>G</w:t>
          </w:r>
          <w:r w:rsidR="00310E74">
            <w:rPr>
              <w:b/>
              <w:noProof/>
              <w:sz w:val="17"/>
            </w:rPr>
            <w:t>IN</w:t>
          </w:r>
          <w:r w:rsidRPr="00657A41">
            <w:rPr>
              <w:b/>
              <w:noProof/>
              <w:sz w:val="17"/>
            </w:rPr>
            <w:t>/</w:t>
          </w:r>
          <w:r w:rsidR="00310E74">
            <w:rPr>
              <w:b/>
              <w:noProof/>
              <w:sz w:val="17"/>
            </w:rPr>
            <w:t>4</w:t>
          </w:r>
        </w:p>
      </w:tc>
    </w:tr>
  </w:tbl>
  <w:p w14:paraId="081F7F38" w14:textId="77777777" w:rsidR="000A56F3" w:rsidRPr="00BC69D9" w:rsidRDefault="000A56F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2FCDE"/>
    <w:lvl w:ilvl="0">
      <w:start w:val="1"/>
      <w:numFmt w:val="bullet"/>
      <w:pStyle w:val="ListBullet1"/>
      <w:lvlText w:val=""/>
      <w:lvlJc w:val="left"/>
      <w:pPr>
        <w:tabs>
          <w:tab w:val="left" w:pos="9781"/>
        </w:tabs>
        <w:ind w:left="9781" w:hanging="360"/>
      </w:pPr>
      <w:rPr>
        <w:rFonts w:ascii="Symbol" w:hAnsi="Symbol" w:hint="default"/>
      </w:rPr>
    </w:lvl>
  </w:abstractNum>
  <w:abstractNum w:abstractNumId="1" w15:restartNumberingAfterBreak="0">
    <w:nsid w:val="09041647"/>
    <w:multiLevelType w:val="hybridMultilevel"/>
    <w:tmpl w:val="524EE528"/>
    <w:lvl w:ilvl="0" w:tplc="AE9AB620">
      <w:start w:val="1"/>
      <w:numFmt w:val="decimal"/>
      <w:pStyle w:val="CPDTexte"/>
      <w:lvlText w:val="%1."/>
      <w:lvlJc w:val="left"/>
      <w:pPr>
        <w:ind w:left="1916" w:hanging="360"/>
      </w:pPr>
      <w:rPr>
        <w:b w:val="0"/>
        <w:bCs/>
      </w:rPr>
    </w:lvl>
    <w:lvl w:ilvl="1" w:tplc="280C0019">
      <w:start w:val="1"/>
      <w:numFmt w:val="lowerLetter"/>
      <w:lvlText w:val="%2."/>
      <w:lvlJc w:val="left"/>
      <w:pPr>
        <w:ind w:left="2636" w:hanging="360"/>
      </w:pPr>
    </w:lvl>
    <w:lvl w:ilvl="2" w:tplc="280C001B" w:tentative="1">
      <w:start w:val="1"/>
      <w:numFmt w:val="lowerRoman"/>
      <w:lvlText w:val="%3."/>
      <w:lvlJc w:val="right"/>
      <w:pPr>
        <w:ind w:left="3356" w:hanging="180"/>
      </w:pPr>
    </w:lvl>
    <w:lvl w:ilvl="3" w:tplc="280C000F" w:tentative="1">
      <w:start w:val="1"/>
      <w:numFmt w:val="decimal"/>
      <w:lvlText w:val="%4."/>
      <w:lvlJc w:val="left"/>
      <w:pPr>
        <w:ind w:left="4076" w:hanging="360"/>
      </w:pPr>
    </w:lvl>
    <w:lvl w:ilvl="4" w:tplc="280C0019" w:tentative="1">
      <w:start w:val="1"/>
      <w:numFmt w:val="lowerLetter"/>
      <w:lvlText w:val="%5."/>
      <w:lvlJc w:val="left"/>
      <w:pPr>
        <w:ind w:left="4796" w:hanging="360"/>
      </w:pPr>
    </w:lvl>
    <w:lvl w:ilvl="5" w:tplc="280C001B" w:tentative="1">
      <w:start w:val="1"/>
      <w:numFmt w:val="lowerRoman"/>
      <w:lvlText w:val="%6."/>
      <w:lvlJc w:val="right"/>
      <w:pPr>
        <w:ind w:left="5516" w:hanging="180"/>
      </w:pPr>
    </w:lvl>
    <w:lvl w:ilvl="6" w:tplc="280C000F" w:tentative="1">
      <w:start w:val="1"/>
      <w:numFmt w:val="decimal"/>
      <w:lvlText w:val="%7."/>
      <w:lvlJc w:val="left"/>
      <w:pPr>
        <w:ind w:left="6236" w:hanging="360"/>
      </w:pPr>
    </w:lvl>
    <w:lvl w:ilvl="7" w:tplc="280C0019" w:tentative="1">
      <w:start w:val="1"/>
      <w:numFmt w:val="lowerLetter"/>
      <w:lvlText w:val="%8."/>
      <w:lvlJc w:val="left"/>
      <w:pPr>
        <w:ind w:left="6956" w:hanging="360"/>
      </w:pPr>
    </w:lvl>
    <w:lvl w:ilvl="8" w:tplc="280C001B" w:tentative="1">
      <w:start w:val="1"/>
      <w:numFmt w:val="lowerRoman"/>
      <w:lvlText w:val="%9."/>
      <w:lvlJc w:val="right"/>
      <w:pPr>
        <w:ind w:left="7676" w:hanging="180"/>
      </w:pPr>
    </w:lvl>
  </w:abstractNum>
  <w:abstractNum w:abstractNumId="2" w15:restartNumberingAfterBreak="0">
    <w:nsid w:val="0BCA041C"/>
    <w:multiLevelType w:val="hybridMultilevel"/>
    <w:tmpl w:val="119835BC"/>
    <w:lvl w:ilvl="0" w:tplc="ADAE9C7E">
      <w:start w:val="1"/>
      <w:numFmt w:val="lowerLetter"/>
      <w:lvlText w:val="%1)"/>
      <w:lvlJc w:val="left"/>
      <w:pPr>
        <w:ind w:left="720" w:hanging="360"/>
      </w:pPr>
      <w:rPr>
        <w:rFonts w:ascii="Segoe UI" w:hAnsi="Segoe UI" w:cs="Segoe U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AB649F"/>
    <w:multiLevelType w:val="multilevel"/>
    <w:tmpl w:val="C85CEF8A"/>
    <w:lvl w:ilvl="0">
      <w:start w:val="1"/>
      <w:numFmt w:val="decimal"/>
      <w:pStyle w:val="ListBullet"/>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CB4AE4"/>
    <w:multiLevelType w:val="multilevel"/>
    <w:tmpl w:val="B29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E7A4F"/>
    <w:multiLevelType w:val="hybridMultilevel"/>
    <w:tmpl w:val="C8DA0018"/>
    <w:lvl w:ilvl="0" w:tplc="D5AEF502">
      <w:start w:val="1"/>
      <w:numFmt w:val="upperRoman"/>
      <w:lvlText w:val="%1."/>
      <w:lvlJc w:val="left"/>
      <w:pPr>
        <w:ind w:left="1620" w:hanging="720"/>
      </w:pPr>
      <w:rPr>
        <w:rFonts w:hint="default"/>
        <w:b/>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597714178">
    <w:abstractNumId w:val="6"/>
  </w:num>
  <w:num w:numId="2" w16cid:durableId="1621111863">
    <w:abstractNumId w:val="3"/>
  </w:num>
  <w:num w:numId="3" w16cid:durableId="1095056167">
    <w:abstractNumId w:val="1"/>
  </w:num>
  <w:num w:numId="4" w16cid:durableId="1653094994">
    <w:abstractNumId w:val="4"/>
  </w:num>
  <w:num w:numId="5" w16cid:durableId="482239320">
    <w:abstractNumId w:val="0"/>
  </w:num>
  <w:num w:numId="6" w16cid:durableId="1600327945">
    <w:abstractNumId w:val="2"/>
  </w:num>
  <w:num w:numId="7" w16cid:durableId="302664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327"/>
    <w:rsid w:val="000010B5"/>
    <w:rsid w:val="0000185A"/>
    <w:rsid w:val="000027D2"/>
    <w:rsid w:val="0000312F"/>
    <w:rsid w:val="00003B30"/>
    <w:rsid w:val="00003E8B"/>
    <w:rsid w:val="00005E26"/>
    <w:rsid w:val="00006E59"/>
    <w:rsid w:val="00012E88"/>
    <w:rsid w:val="0001309E"/>
    <w:rsid w:val="00013410"/>
    <w:rsid w:val="00013BF7"/>
    <w:rsid w:val="00013F42"/>
    <w:rsid w:val="00014320"/>
    <w:rsid w:val="000153EB"/>
    <w:rsid w:val="00015875"/>
    <w:rsid w:val="00015FDE"/>
    <w:rsid w:val="00016217"/>
    <w:rsid w:val="00016861"/>
    <w:rsid w:val="0001694D"/>
    <w:rsid w:val="0001774D"/>
    <w:rsid w:val="00017D05"/>
    <w:rsid w:val="000200CF"/>
    <w:rsid w:val="000205F1"/>
    <w:rsid w:val="00020C10"/>
    <w:rsid w:val="00022047"/>
    <w:rsid w:val="00022AF1"/>
    <w:rsid w:val="00023A8F"/>
    <w:rsid w:val="00023AEE"/>
    <w:rsid w:val="000274B9"/>
    <w:rsid w:val="0002758B"/>
    <w:rsid w:val="000276A0"/>
    <w:rsid w:val="00031B92"/>
    <w:rsid w:val="00031E57"/>
    <w:rsid w:val="0003257C"/>
    <w:rsid w:val="000330DB"/>
    <w:rsid w:val="0003429F"/>
    <w:rsid w:val="00034740"/>
    <w:rsid w:val="000351A4"/>
    <w:rsid w:val="0003562A"/>
    <w:rsid w:val="00036095"/>
    <w:rsid w:val="000367E0"/>
    <w:rsid w:val="00036AF4"/>
    <w:rsid w:val="000372D6"/>
    <w:rsid w:val="00037A18"/>
    <w:rsid w:val="00041C10"/>
    <w:rsid w:val="0004202A"/>
    <w:rsid w:val="000426C3"/>
    <w:rsid w:val="00043804"/>
    <w:rsid w:val="000441A1"/>
    <w:rsid w:val="00044448"/>
    <w:rsid w:val="000449B5"/>
    <w:rsid w:val="00050869"/>
    <w:rsid w:val="00050A98"/>
    <w:rsid w:val="00051E3C"/>
    <w:rsid w:val="00053699"/>
    <w:rsid w:val="00055596"/>
    <w:rsid w:val="00056014"/>
    <w:rsid w:val="000561C1"/>
    <w:rsid w:val="00056204"/>
    <w:rsid w:val="00056D08"/>
    <w:rsid w:val="000570D1"/>
    <w:rsid w:val="000571A9"/>
    <w:rsid w:val="00057BEC"/>
    <w:rsid w:val="00060243"/>
    <w:rsid w:val="00060290"/>
    <w:rsid w:val="000611AB"/>
    <w:rsid w:val="00063B1E"/>
    <w:rsid w:val="00063E24"/>
    <w:rsid w:val="00064089"/>
    <w:rsid w:val="000652EB"/>
    <w:rsid w:val="000657A1"/>
    <w:rsid w:val="00067466"/>
    <w:rsid w:val="000674EE"/>
    <w:rsid w:val="00070D6D"/>
    <w:rsid w:val="00071268"/>
    <w:rsid w:val="00072229"/>
    <w:rsid w:val="000728F8"/>
    <w:rsid w:val="00072AFD"/>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39E"/>
    <w:rsid w:val="00085E44"/>
    <w:rsid w:val="000871AD"/>
    <w:rsid w:val="00087322"/>
    <w:rsid w:val="000905D9"/>
    <w:rsid w:val="00090AD1"/>
    <w:rsid w:val="00090F4F"/>
    <w:rsid w:val="0009132A"/>
    <w:rsid w:val="00091476"/>
    <w:rsid w:val="00091984"/>
    <w:rsid w:val="00092879"/>
    <w:rsid w:val="00092C3A"/>
    <w:rsid w:val="00094E87"/>
    <w:rsid w:val="00095ACB"/>
    <w:rsid w:val="00097B45"/>
    <w:rsid w:val="00097FB2"/>
    <w:rsid w:val="000A0A05"/>
    <w:rsid w:val="000A151D"/>
    <w:rsid w:val="000A1AD0"/>
    <w:rsid w:val="000A1CA0"/>
    <w:rsid w:val="000A2440"/>
    <w:rsid w:val="000A24C5"/>
    <w:rsid w:val="000A2566"/>
    <w:rsid w:val="000A2967"/>
    <w:rsid w:val="000A2ABD"/>
    <w:rsid w:val="000A30A1"/>
    <w:rsid w:val="000A3683"/>
    <w:rsid w:val="000A3A38"/>
    <w:rsid w:val="000A3F7F"/>
    <w:rsid w:val="000A47FD"/>
    <w:rsid w:val="000A53BE"/>
    <w:rsid w:val="000A56F3"/>
    <w:rsid w:val="000A5DFF"/>
    <w:rsid w:val="000A7192"/>
    <w:rsid w:val="000A7F1F"/>
    <w:rsid w:val="000B0228"/>
    <w:rsid w:val="000B083D"/>
    <w:rsid w:val="000B1302"/>
    <w:rsid w:val="000B1430"/>
    <w:rsid w:val="000B2E16"/>
    <w:rsid w:val="000B3A13"/>
    <w:rsid w:val="000B4506"/>
    <w:rsid w:val="000B4BB2"/>
    <w:rsid w:val="000B6379"/>
    <w:rsid w:val="000B739B"/>
    <w:rsid w:val="000C1E8D"/>
    <w:rsid w:val="000C4E54"/>
    <w:rsid w:val="000C58E0"/>
    <w:rsid w:val="000C76B0"/>
    <w:rsid w:val="000C7BBE"/>
    <w:rsid w:val="000D0A55"/>
    <w:rsid w:val="000D0B14"/>
    <w:rsid w:val="000D2475"/>
    <w:rsid w:val="000D3680"/>
    <w:rsid w:val="000D442C"/>
    <w:rsid w:val="000D4DC4"/>
    <w:rsid w:val="000D4EE4"/>
    <w:rsid w:val="000D6464"/>
    <w:rsid w:val="000D7680"/>
    <w:rsid w:val="000E204A"/>
    <w:rsid w:val="000E4FDA"/>
    <w:rsid w:val="000E55D6"/>
    <w:rsid w:val="000E5DE5"/>
    <w:rsid w:val="000E612D"/>
    <w:rsid w:val="000E6AB1"/>
    <w:rsid w:val="000E6CED"/>
    <w:rsid w:val="000E737D"/>
    <w:rsid w:val="000E745A"/>
    <w:rsid w:val="000E7B26"/>
    <w:rsid w:val="000E7E9E"/>
    <w:rsid w:val="000F0044"/>
    <w:rsid w:val="000F093A"/>
    <w:rsid w:val="000F0EFD"/>
    <w:rsid w:val="000F37B3"/>
    <w:rsid w:val="000F5541"/>
    <w:rsid w:val="000F6B84"/>
    <w:rsid w:val="000F703B"/>
    <w:rsid w:val="000F72ED"/>
    <w:rsid w:val="000F7A4C"/>
    <w:rsid w:val="001017CE"/>
    <w:rsid w:val="00102C44"/>
    <w:rsid w:val="00103698"/>
    <w:rsid w:val="00103EA9"/>
    <w:rsid w:val="00106EF8"/>
    <w:rsid w:val="001079BC"/>
    <w:rsid w:val="001079CD"/>
    <w:rsid w:val="001101A2"/>
    <w:rsid w:val="00110B74"/>
    <w:rsid w:val="00111412"/>
    <w:rsid w:val="00111489"/>
    <w:rsid w:val="00111792"/>
    <w:rsid w:val="00111797"/>
    <w:rsid w:val="00111B19"/>
    <w:rsid w:val="00114A64"/>
    <w:rsid w:val="00115F59"/>
    <w:rsid w:val="00116C1A"/>
    <w:rsid w:val="00120A5D"/>
    <w:rsid w:val="00121554"/>
    <w:rsid w:val="00121EEB"/>
    <w:rsid w:val="00121F3E"/>
    <w:rsid w:val="0012229E"/>
    <w:rsid w:val="00123849"/>
    <w:rsid w:val="00123A5E"/>
    <w:rsid w:val="00124C82"/>
    <w:rsid w:val="00125010"/>
    <w:rsid w:val="001251C8"/>
    <w:rsid w:val="00125266"/>
    <w:rsid w:val="00125907"/>
    <w:rsid w:val="00125B82"/>
    <w:rsid w:val="001305E6"/>
    <w:rsid w:val="001315CD"/>
    <w:rsid w:val="00131C8D"/>
    <w:rsid w:val="0013239A"/>
    <w:rsid w:val="00132AC0"/>
    <w:rsid w:val="00132D93"/>
    <w:rsid w:val="001334D3"/>
    <w:rsid w:val="00133C6D"/>
    <w:rsid w:val="001355E9"/>
    <w:rsid w:val="00135E6E"/>
    <w:rsid w:val="00136ABC"/>
    <w:rsid w:val="0013761A"/>
    <w:rsid w:val="001379F1"/>
    <w:rsid w:val="00142CA1"/>
    <w:rsid w:val="0014350A"/>
    <w:rsid w:val="0014423A"/>
    <w:rsid w:val="00145CB0"/>
    <w:rsid w:val="00147042"/>
    <w:rsid w:val="001471A7"/>
    <w:rsid w:val="001506F6"/>
    <w:rsid w:val="001508E6"/>
    <w:rsid w:val="00151410"/>
    <w:rsid w:val="00154032"/>
    <w:rsid w:val="001547D3"/>
    <w:rsid w:val="0015573A"/>
    <w:rsid w:val="001557A9"/>
    <w:rsid w:val="001557F6"/>
    <w:rsid w:val="001559BD"/>
    <w:rsid w:val="00156B9D"/>
    <w:rsid w:val="00157F09"/>
    <w:rsid w:val="00157F79"/>
    <w:rsid w:val="001622AB"/>
    <w:rsid w:val="00163240"/>
    <w:rsid w:val="00163E84"/>
    <w:rsid w:val="0016546C"/>
    <w:rsid w:val="00165A12"/>
    <w:rsid w:val="001668AA"/>
    <w:rsid w:val="001675B1"/>
    <w:rsid w:val="0016789D"/>
    <w:rsid w:val="00167C87"/>
    <w:rsid w:val="00171F01"/>
    <w:rsid w:val="0017218A"/>
    <w:rsid w:val="00172EE3"/>
    <w:rsid w:val="0017349A"/>
    <w:rsid w:val="00174F19"/>
    <w:rsid w:val="00175746"/>
    <w:rsid w:val="00175DEE"/>
    <w:rsid w:val="001774D8"/>
    <w:rsid w:val="00177804"/>
    <w:rsid w:val="00177E7E"/>
    <w:rsid w:val="00180BB5"/>
    <w:rsid w:val="00181544"/>
    <w:rsid w:val="0018356F"/>
    <w:rsid w:val="001845F1"/>
    <w:rsid w:val="001849DF"/>
    <w:rsid w:val="00184CBF"/>
    <w:rsid w:val="001874A7"/>
    <w:rsid w:val="001876C5"/>
    <w:rsid w:val="00187BA9"/>
    <w:rsid w:val="00187D68"/>
    <w:rsid w:val="001900DF"/>
    <w:rsid w:val="00190155"/>
    <w:rsid w:val="001906B5"/>
    <w:rsid w:val="001913A7"/>
    <w:rsid w:val="00192198"/>
    <w:rsid w:val="00194163"/>
    <w:rsid w:val="00194359"/>
    <w:rsid w:val="00194881"/>
    <w:rsid w:val="00194EA9"/>
    <w:rsid w:val="00194FEB"/>
    <w:rsid w:val="0019541D"/>
    <w:rsid w:val="00195C90"/>
    <w:rsid w:val="001970A4"/>
    <w:rsid w:val="00197AD1"/>
    <w:rsid w:val="00197E6F"/>
    <w:rsid w:val="001A17DA"/>
    <w:rsid w:val="001A24AE"/>
    <w:rsid w:val="001A31ED"/>
    <w:rsid w:val="001A4BE8"/>
    <w:rsid w:val="001A6ACC"/>
    <w:rsid w:val="001A6C96"/>
    <w:rsid w:val="001B0020"/>
    <w:rsid w:val="001B09B6"/>
    <w:rsid w:val="001B3F87"/>
    <w:rsid w:val="001B4026"/>
    <w:rsid w:val="001B56AD"/>
    <w:rsid w:val="001B598C"/>
    <w:rsid w:val="001B6419"/>
    <w:rsid w:val="001B6A8B"/>
    <w:rsid w:val="001B6E76"/>
    <w:rsid w:val="001B76A6"/>
    <w:rsid w:val="001C07F8"/>
    <w:rsid w:val="001C1147"/>
    <w:rsid w:val="001C1BBD"/>
    <w:rsid w:val="001C2D7D"/>
    <w:rsid w:val="001C2F59"/>
    <w:rsid w:val="001C6C08"/>
    <w:rsid w:val="001D0646"/>
    <w:rsid w:val="001D08C3"/>
    <w:rsid w:val="001D1B55"/>
    <w:rsid w:val="001D2056"/>
    <w:rsid w:val="001D220F"/>
    <w:rsid w:val="001D42D1"/>
    <w:rsid w:val="001D448E"/>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E649A"/>
    <w:rsid w:val="001F27F4"/>
    <w:rsid w:val="001F2FCE"/>
    <w:rsid w:val="001F3DBB"/>
    <w:rsid w:val="001F3DC0"/>
    <w:rsid w:val="001F4871"/>
    <w:rsid w:val="001F4C5A"/>
    <w:rsid w:val="001F4EA9"/>
    <w:rsid w:val="001F4F73"/>
    <w:rsid w:val="001F6425"/>
    <w:rsid w:val="001F6772"/>
    <w:rsid w:val="001F6D30"/>
    <w:rsid w:val="001F7421"/>
    <w:rsid w:val="00200195"/>
    <w:rsid w:val="00200B5F"/>
    <w:rsid w:val="00201EEF"/>
    <w:rsid w:val="00202476"/>
    <w:rsid w:val="00202B58"/>
    <w:rsid w:val="002032DC"/>
    <w:rsid w:val="002047C8"/>
    <w:rsid w:val="002052B3"/>
    <w:rsid w:val="00205453"/>
    <w:rsid w:val="002058F9"/>
    <w:rsid w:val="0020650A"/>
    <w:rsid w:val="002078C2"/>
    <w:rsid w:val="0020799B"/>
    <w:rsid w:val="00207F32"/>
    <w:rsid w:val="002122BE"/>
    <w:rsid w:val="00212B1F"/>
    <w:rsid w:val="00213340"/>
    <w:rsid w:val="00213D7C"/>
    <w:rsid w:val="00214513"/>
    <w:rsid w:val="00214AAE"/>
    <w:rsid w:val="00214EC6"/>
    <w:rsid w:val="002155B7"/>
    <w:rsid w:val="002156BB"/>
    <w:rsid w:val="002157F3"/>
    <w:rsid w:val="0021735A"/>
    <w:rsid w:val="0021766A"/>
    <w:rsid w:val="00220C88"/>
    <w:rsid w:val="0022132F"/>
    <w:rsid w:val="002225D3"/>
    <w:rsid w:val="00222A35"/>
    <w:rsid w:val="0022301D"/>
    <w:rsid w:val="002236F0"/>
    <w:rsid w:val="00223F49"/>
    <w:rsid w:val="00224B2C"/>
    <w:rsid w:val="00226052"/>
    <w:rsid w:val="002267C1"/>
    <w:rsid w:val="00226E3A"/>
    <w:rsid w:val="00226F3A"/>
    <w:rsid w:val="002272E2"/>
    <w:rsid w:val="00227E55"/>
    <w:rsid w:val="00232AA0"/>
    <w:rsid w:val="00232C75"/>
    <w:rsid w:val="00232EC8"/>
    <w:rsid w:val="00234CDF"/>
    <w:rsid w:val="00236B91"/>
    <w:rsid w:val="00236BF6"/>
    <w:rsid w:val="00241295"/>
    <w:rsid w:val="002413D3"/>
    <w:rsid w:val="00241D6B"/>
    <w:rsid w:val="002424C0"/>
    <w:rsid w:val="00242617"/>
    <w:rsid w:val="00242CAA"/>
    <w:rsid w:val="0024503B"/>
    <w:rsid w:val="0024573D"/>
    <w:rsid w:val="00245D74"/>
    <w:rsid w:val="00246D03"/>
    <w:rsid w:val="00246DDF"/>
    <w:rsid w:val="002470FF"/>
    <w:rsid w:val="00247854"/>
    <w:rsid w:val="00254256"/>
    <w:rsid w:val="00255DB5"/>
    <w:rsid w:val="002573CC"/>
    <w:rsid w:val="00260FAA"/>
    <w:rsid w:val="00262338"/>
    <w:rsid w:val="00262F8C"/>
    <w:rsid w:val="00263694"/>
    <w:rsid w:val="00263938"/>
    <w:rsid w:val="002646D7"/>
    <w:rsid w:val="00264990"/>
    <w:rsid w:val="002650A0"/>
    <w:rsid w:val="0026538D"/>
    <w:rsid w:val="0026673B"/>
    <w:rsid w:val="00266ED0"/>
    <w:rsid w:val="002671D7"/>
    <w:rsid w:val="00271C29"/>
    <w:rsid w:val="0027259C"/>
    <w:rsid w:val="0027268F"/>
    <w:rsid w:val="00273122"/>
    <w:rsid w:val="00273543"/>
    <w:rsid w:val="00274C82"/>
    <w:rsid w:val="0027654D"/>
    <w:rsid w:val="00276B00"/>
    <w:rsid w:val="00277E29"/>
    <w:rsid w:val="002810DF"/>
    <w:rsid w:val="002812AB"/>
    <w:rsid w:val="00281314"/>
    <w:rsid w:val="002816D8"/>
    <w:rsid w:val="00281F8F"/>
    <w:rsid w:val="00282A8C"/>
    <w:rsid w:val="002854EE"/>
    <w:rsid w:val="0028565C"/>
    <w:rsid w:val="00285EE5"/>
    <w:rsid w:val="00286891"/>
    <w:rsid w:val="002875DE"/>
    <w:rsid w:val="00287914"/>
    <w:rsid w:val="00287E07"/>
    <w:rsid w:val="002902C7"/>
    <w:rsid w:val="00290EB3"/>
    <w:rsid w:val="00292846"/>
    <w:rsid w:val="00292A90"/>
    <w:rsid w:val="00293A5B"/>
    <w:rsid w:val="0029458F"/>
    <w:rsid w:val="00294E89"/>
    <w:rsid w:val="0029718F"/>
    <w:rsid w:val="002971D6"/>
    <w:rsid w:val="002A256A"/>
    <w:rsid w:val="002A26D9"/>
    <w:rsid w:val="002A2F08"/>
    <w:rsid w:val="002A3641"/>
    <w:rsid w:val="002A447A"/>
    <w:rsid w:val="002A495F"/>
    <w:rsid w:val="002A4CE1"/>
    <w:rsid w:val="002A58D1"/>
    <w:rsid w:val="002A628C"/>
    <w:rsid w:val="002A706F"/>
    <w:rsid w:val="002A70EA"/>
    <w:rsid w:val="002A7363"/>
    <w:rsid w:val="002A7F43"/>
    <w:rsid w:val="002B1292"/>
    <w:rsid w:val="002B365E"/>
    <w:rsid w:val="002B3769"/>
    <w:rsid w:val="002B3E6C"/>
    <w:rsid w:val="002B489A"/>
    <w:rsid w:val="002B5FC5"/>
    <w:rsid w:val="002B6341"/>
    <w:rsid w:val="002C031A"/>
    <w:rsid w:val="002C03C6"/>
    <w:rsid w:val="002C0526"/>
    <w:rsid w:val="002C27A8"/>
    <w:rsid w:val="002C333E"/>
    <w:rsid w:val="002C36C8"/>
    <w:rsid w:val="002C42E9"/>
    <w:rsid w:val="002C4E08"/>
    <w:rsid w:val="002C51A0"/>
    <w:rsid w:val="002C560D"/>
    <w:rsid w:val="002C57E0"/>
    <w:rsid w:val="002C5AE6"/>
    <w:rsid w:val="002C5CFD"/>
    <w:rsid w:val="002C641D"/>
    <w:rsid w:val="002C78B6"/>
    <w:rsid w:val="002C78BA"/>
    <w:rsid w:val="002C7971"/>
    <w:rsid w:val="002D0584"/>
    <w:rsid w:val="002D11D4"/>
    <w:rsid w:val="002D2A07"/>
    <w:rsid w:val="002D2E2A"/>
    <w:rsid w:val="002D3E21"/>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6AB9"/>
    <w:rsid w:val="002E7A79"/>
    <w:rsid w:val="002F0758"/>
    <w:rsid w:val="002F1847"/>
    <w:rsid w:val="002F1D9E"/>
    <w:rsid w:val="002F2C6E"/>
    <w:rsid w:val="002F3166"/>
    <w:rsid w:val="002F38EC"/>
    <w:rsid w:val="002F3C88"/>
    <w:rsid w:val="002F4067"/>
    <w:rsid w:val="002F47EB"/>
    <w:rsid w:val="002F49F1"/>
    <w:rsid w:val="002F71E8"/>
    <w:rsid w:val="002F729A"/>
    <w:rsid w:val="002F7339"/>
    <w:rsid w:val="002F7461"/>
    <w:rsid w:val="003025E2"/>
    <w:rsid w:val="00302B7F"/>
    <w:rsid w:val="00303CB0"/>
    <w:rsid w:val="00304430"/>
    <w:rsid w:val="00306084"/>
    <w:rsid w:val="00306D24"/>
    <w:rsid w:val="00307712"/>
    <w:rsid w:val="00307B8C"/>
    <w:rsid w:val="00310E74"/>
    <w:rsid w:val="0031404A"/>
    <w:rsid w:val="003143A4"/>
    <w:rsid w:val="00314B7C"/>
    <w:rsid w:val="00314E49"/>
    <w:rsid w:val="00314E4F"/>
    <w:rsid w:val="00315445"/>
    <w:rsid w:val="00317183"/>
    <w:rsid w:val="003204AE"/>
    <w:rsid w:val="003208EF"/>
    <w:rsid w:val="00321213"/>
    <w:rsid w:val="00322D47"/>
    <w:rsid w:val="00323747"/>
    <w:rsid w:val="00323D35"/>
    <w:rsid w:val="00324846"/>
    <w:rsid w:val="00324ABD"/>
    <w:rsid w:val="00324D9B"/>
    <w:rsid w:val="0032696C"/>
    <w:rsid w:val="003272A6"/>
    <w:rsid w:val="003273CB"/>
    <w:rsid w:val="00330041"/>
    <w:rsid w:val="0033125E"/>
    <w:rsid w:val="003323CE"/>
    <w:rsid w:val="00332ED2"/>
    <w:rsid w:val="0033325E"/>
    <w:rsid w:val="003339D8"/>
    <w:rsid w:val="00334E1B"/>
    <w:rsid w:val="0033519C"/>
    <w:rsid w:val="00335C99"/>
    <w:rsid w:val="00336913"/>
    <w:rsid w:val="0033718C"/>
    <w:rsid w:val="00337407"/>
    <w:rsid w:val="00337919"/>
    <w:rsid w:val="00337BB8"/>
    <w:rsid w:val="00340A68"/>
    <w:rsid w:val="00340E02"/>
    <w:rsid w:val="00341EC6"/>
    <w:rsid w:val="00341F33"/>
    <w:rsid w:val="00342E94"/>
    <w:rsid w:val="003438A4"/>
    <w:rsid w:val="00343E6E"/>
    <w:rsid w:val="00343E9A"/>
    <w:rsid w:val="00344F07"/>
    <w:rsid w:val="003450C8"/>
    <w:rsid w:val="00345BA7"/>
    <w:rsid w:val="0034647A"/>
    <w:rsid w:val="0034782B"/>
    <w:rsid w:val="00351E5C"/>
    <w:rsid w:val="00351F5A"/>
    <w:rsid w:val="0035374C"/>
    <w:rsid w:val="003538F7"/>
    <w:rsid w:val="0035580F"/>
    <w:rsid w:val="00356B58"/>
    <w:rsid w:val="00357278"/>
    <w:rsid w:val="00357685"/>
    <w:rsid w:val="00357B24"/>
    <w:rsid w:val="00357CB4"/>
    <w:rsid w:val="003604EE"/>
    <w:rsid w:val="00361035"/>
    <w:rsid w:val="0036139C"/>
    <w:rsid w:val="00361842"/>
    <w:rsid w:val="00361CEE"/>
    <w:rsid w:val="00361D64"/>
    <w:rsid w:val="0036286B"/>
    <w:rsid w:val="00362DDA"/>
    <w:rsid w:val="00363371"/>
    <w:rsid w:val="00364989"/>
    <w:rsid w:val="0036601B"/>
    <w:rsid w:val="003664C0"/>
    <w:rsid w:val="00366769"/>
    <w:rsid w:val="00367A28"/>
    <w:rsid w:val="00367E04"/>
    <w:rsid w:val="00370210"/>
    <w:rsid w:val="00370F9A"/>
    <w:rsid w:val="003732A0"/>
    <w:rsid w:val="00374C9A"/>
    <w:rsid w:val="00375B64"/>
    <w:rsid w:val="00375ED2"/>
    <w:rsid w:val="003761F2"/>
    <w:rsid w:val="00376A05"/>
    <w:rsid w:val="003774FE"/>
    <w:rsid w:val="00377DA4"/>
    <w:rsid w:val="003815EB"/>
    <w:rsid w:val="0038525F"/>
    <w:rsid w:val="00385951"/>
    <w:rsid w:val="00390741"/>
    <w:rsid w:val="00390E30"/>
    <w:rsid w:val="00392823"/>
    <w:rsid w:val="003938AC"/>
    <w:rsid w:val="00393ABE"/>
    <w:rsid w:val="00393DCA"/>
    <w:rsid w:val="00393EB3"/>
    <w:rsid w:val="0039458D"/>
    <w:rsid w:val="00394D61"/>
    <w:rsid w:val="00395201"/>
    <w:rsid w:val="0039570D"/>
    <w:rsid w:val="00395B45"/>
    <w:rsid w:val="00395B84"/>
    <w:rsid w:val="00395BDC"/>
    <w:rsid w:val="0039607A"/>
    <w:rsid w:val="003967E5"/>
    <w:rsid w:val="003A05FC"/>
    <w:rsid w:val="003A1F06"/>
    <w:rsid w:val="003A1F5A"/>
    <w:rsid w:val="003A20C4"/>
    <w:rsid w:val="003A2C1E"/>
    <w:rsid w:val="003A2ECE"/>
    <w:rsid w:val="003A3606"/>
    <w:rsid w:val="003A4252"/>
    <w:rsid w:val="003A42A7"/>
    <w:rsid w:val="003A539A"/>
    <w:rsid w:val="003A5F1B"/>
    <w:rsid w:val="003A62A4"/>
    <w:rsid w:val="003A7334"/>
    <w:rsid w:val="003A7476"/>
    <w:rsid w:val="003A7A31"/>
    <w:rsid w:val="003A7D82"/>
    <w:rsid w:val="003A7D86"/>
    <w:rsid w:val="003B0AA1"/>
    <w:rsid w:val="003B243D"/>
    <w:rsid w:val="003B271D"/>
    <w:rsid w:val="003B304F"/>
    <w:rsid w:val="003B33C0"/>
    <w:rsid w:val="003B354F"/>
    <w:rsid w:val="003B40C5"/>
    <w:rsid w:val="003B465A"/>
    <w:rsid w:val="003B5CDC"/>
    <w:rsid w:val="003B5D18"/>
    <w:rsid w:val="003B6928"/>
    <w:rsid w:val="003B795D"/>
    <w:rsid w:val="003B7EA0"/>
    <w:rsid w:val="003C26A6"/>
    <w:rsid w:val="003C26C1"/>
    <w:rsid w:val="003C2766"/>
    <w:rsid w:val="003C5C11"/>
    <w:rsid w:val="003C5C26"/>
    <w:rsid w:val="003C6A5A"/>
    <w:rsid w:val="003C6AAD"/>
    <w:rsid w:val="003C76E4"/>
    <w:rsid w:val="003D1BB2"/>
    <w:rsid w:val="003D1D4D"/>
    <w:rsid w:val="003D2D68"/>
    <w:rsid w:val="003D3682"/>
    <w:rsid w:val="003D37DD"/>
    <w:rsid w:val="003D45DF"/>
    <w:rsid w:val="003D47C6"/>
    <w:rsid w:val="003D4ED8"/>
    <w:rsid w:val="003D543F"/>
    <w:rsid w:val="003D78BF"/>
    <w:rsid w:val="003D7E38"/>
    <w:rsid w:val="003D7EAC"/>
    <w:rsid w:val="003E0A71"/>
    <w:rsid w:val="003E1AFA"/>
    <w:rsid w:val="003E2D1D"/>
    <w:rsid w:val="003E3441"/>
    <w:rsid w:val="003E375F"/>
    <w:rsid w:val="003E379A"/>
    <w:rsid w:val="003E52B0"/>
    <w:rsid w:val="003E64DC"/>
    <w:rsid w:val="003E7A43"/>
    <w:rsid w:val="003F0B58"/>
    <w:rsid w:val="003F0D40"/>
    <w:rsid w:val="003F0EFA"/>
    <w:rsid w:val="003F2236"/>
    <w:rsid w:val="003F27B7"/>
    <w:rsid w:val="003F39B2"/>
    <w:rsid w:val="003F4051"/>
    <w:rsid w:val="003F40A8"/>
    <w:rsid w:val="003F5812"/>
    <w:rsid w:val="003F625A"/>
    <w:rsid w:val="003F6AA4"/>
    <w:rsid w:val="003F6B5E"/>
    <w:rsid w:val="003F6EA1"/>
    <w:rsid w:val="00400E4A"/>
    <w:rsid w:val="004023C9"/>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1C78"/>
    <w:rsid w:val="004224CE"/>
    <w:rsid w:val="004235D0"/>
    <w:rsid w:val="00423D5E"/>
    <w:rsid w:val="00424A78"/>
    <w:rsid w:val="00424BED"/>
    <w:rsid w:val="004254DB"/>
    <w:rsid w:val="00427EEA"/>
    <w:rsid w:val="00431836"/>
    <w:rsid w:val="004321E6"/>
    <w:rsid w:val="004323A9"/>
    <w:rsid w:val="00432649"/>
    <w:rsid w:val="0043278E"/>
    <w:rsid w:val="004327FB"/>
    <w:rsid w:val="004332A4"/>
    <w:rsid w:val="00434B72"/>
    <w:rsid w:val="004360AC"/>
    <w:rsid w:val="004366D3"/>
    <w:rsid w:val="004367E0"/>
    <w:rsid w:val="004369FE"/>
    <w:rsid w:val="00436B83"/>
    <w:rsid w:val="00437C10"/>
    <w:rsid w:val="00437DC3"/>
    <w:rsid w:val="00441061"/>
    <w:rsid w:val="004411A3"/>
    <w:rsid w:val="00443AB3"/>
    <w:rsid w:val="0044457F"/>
    <w:rsid w:val="0044560C"/>
    <w:rsid w:val="004501C9"/>
    <w:rsid w:val="0045086C"/>
    <w:rsid w:val="00450C70"/>
    <w:rsid w:val="00451F2C"/>
    <w:rsid w:val="00452612"/>
    <w:rsid w:val="00453297"/>
    <w:rsid w:val="00453344"/>
    <w:rsid w:val="00453F32"/>
    <w:rsid w:val="00454E76"/>
    <w:rsid w:val="00455E48"/>
    <w:rsid w:val="00456297"/>
    <w:rsid w:val="0045635C"/>
    <w:rsid w:val="00457080"/>
    <w:rsid w:val="00460472"/>
    <w:rsid w:val="00460891"/>
    <w:rsid w:val="00461411"/>
    <w:rsid w:val="0046245F"/>
    <w:rsid w:val="004637CD"/>
    <w:rsid w:val="00463969"/>
    <w:rsid w:val="00463B85"/>
    <w:rsid w:val="004649C3"/>
    <w:rsid w:val="00464FB2"/>
    <w:rsid w:val="00465356"/>
    <w:rsid w:val="004660A4"/>
    <w:rsid w:val="004662A8"/>
    <w:rsid w:val="00466CDC"/>
    <w:rsid w:val="0046745E"/>
    <w:rsid w:val="00470EFA"/>
    <w:rsid w:val="004710E4"/>
    <w:rsid w:val="004725ED"/>
    <w:rsid w:val="004736BE"/>
    <w:rsid w:val="0047556D"/>
    <w:rsid w:val="00475789"/>
    <w:rsid w:val="00475B5A"/>
    <w:rsid w:val="00476170"/>
    <w:rsid w:val="00477243"/>
    <w:rsid w:val="004801D4"/>
    <w:rsid w:val="00480284"/>
    <w:rsid w:val="00481DC4"/>
    <w:rsid w:val="004820B0"/>
    <w:rsid w:val="00482117"/>
    <w:rsid w:val="00482E2F"/>
    <w:rsid w:val="00484BE0"/>
    <w:rsid w:val="004859B4"/>
    <w:rsid w:val="00486ACD"/>
    <w:rsid w:val="004871C6"/>
    <w:rsid w:val="00487210"/>
    <w:rsid w:val="004876A1"/>
    <w:rsid w:val="00490B8D"/>
    <w:rsid w:val="00491C6C"/>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E93"/>
    <w:rsid w:val="004B021E"/>
    <w:rsid w:val="004B0D34"/>
    <w:rsid w:val="004B2A28"/>
    <w:rsid w:val="004B3171"/>
    <w:rsid w:val="004B3CFB"/>
    <w:rsid w:val="004B5105"/>
    <w:rsid w:val="004B5D6B"/>
    <w:rsid w:val="004B76F8"/>
    <w:rsid w:val="004C1327"/>
    <w:rsid w:val="004C1C03"/>
    <w:rsid w:val="004C1FA6"/>
    <w:rsid w:val="004C2869"/>
    <w:rsid w:val="004C3C88"/>
    <w:rsid w:val="004C442E"/>
    <w:rsid w:val="004C45FF"/>
    <w:rsid w:val="004C4A0F"/>
    <w:rsid w:val="004C5CFD"/>
    <w:rsid w:val="004C71CB"/>
    <w:rsid w:val="004C7777"/>
    <w:rsid w:val="004D12C0"/>
    <w:rsid w:val="004D18EA"/>
    <w:rsid w:val="004D2541"/>
    <w:rsid w:val="004D2B29"/>
    <w:rsid w:val="004D30EE"/>
    <w:rsid w:val="004D31E6"/>
    <w:rsid w:val="004D3713"/>
    <w:rsid w:val="004D44AA"/>
    <w:rsid w:val="004D59D7"/>
    <w:rsid w:val="004D6254"/>
    <w:rsid w:val="004D70FD"/>
    <w:rsid w:val="004D7E99"/>
    <w:rsid w:val="004E00CE"/>
    <w:rsid w:val="004E079D"/>
    <w:rsid w:val="004E13C8"/>
    <w:rsid w:val="004E2BDB"/>
    <w:rsid w:val="004E307B"/>
    <w:rsid w:val="004E33D0"/>
    <w:rsid w:val="004F02E0"/>
    <w:rsid w:val="004F0966"/>
    <w:rsid w:val="004F3B24"/>
    <w:rsid w:val="004F435F"/>
    <w:rsid w:val="004F50AF"/>
    <w:rsid w:val="004F526B"/>
    <w:rsid w:val="004F53D6"/>
    <w:rsid w:val="004F590C"/>
    <w:rsid w:val="004F681D"/>
    <w:rsid w:val="004F6E14"/>
    <w:rsid w:val="004F7886"/>
    <w:rsid w:val="005008B0"/>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3CFF"/>
    <w:rsid w:val="00514A55"/>
    <w:rsid w:val="00514B36"/>
    <w:rsid w:val="00514EF5"/>
    <w:rsid w:val="00515F7F"/>
    <w:rsid w:val="0051782D"/>
    <w:rsid w:val="0052087E"/>
    <w:rsid w:val="00521BC4"/>
    <w:rsid w:val="0052315E"/>
    <w:rsid w:val="005238AE"/>
    <w:rsid w:val="00523B73"/>
    <w:rsid w:val="0052632B"/>
    <w:rsid w:val="005265CD"/>
    <w:rsid w:val="00530ED3"/>
    <w:rsid w:val="00532D58"/>
    <w:rsid w:val="00533D2D"/>
    <w:rsid w:val="00534013"/>
    <w:rsid w:val="0053438E"/>
    <w:rsid w:val="005343E5"/>
    <w:rsid w:val="005346B7"/>
    <w:rsid w:val="005355EE"/>
    <w:rsid w:val="00535800"/>
    <w:rsid w:val="00535B16"/>
    <w:rsid w:val="005366D0"/>
    <w:rsid w:val="00537E27"/>
    <w:rsid w:val="00540B4D"/>
    <w:rsid w:val="00540FFA"/>
    <w:rsid w:val="005415E7"/>
    <w:rsid w:val="00542930"/>
    <w:rsid w:val="005435B3"/>
    <w:rsid w:val="00544C9E"/>
    <w:rsid w:val="00545568"/>
    <w:rsid w:val="00550849"/>
    <w:rsid w:val="00550866"/>
    <w:rsid w:val="005511F4"/>
    <w:rsid w:val="00554BF3"/>
    <w:rsid w:val="0055655F"/>
    <w:rsid w:val="0055657D"/>
    <w:rsid w:val="0055658E"/>
    <w:rsid w:val="0055706C"/>
    <w:rsid w:val="005579B9"/>
    <w:rsid w:val="00560D0D"/>
    <w:rsid w:val="005629D4"/>
    <w:rsid w:val="00562D06"/>
    <w:rsid w:val="005632F1"/>
    <w:rsid w:val="00563C85"/>
    <w:rsid w:val="00564418"/>
    <w:rsid w:val="005644AD"/>
    <w:rsid w:val="00565FB1"/>
    <w:rsid w:val="005662FB"/>
    <w:rsid w:val="00567781"/>
    <w:rsid w:val="00567ECC"/>
    <w:rsid w:val="0057019C"/>
    <w:rsid w:val="005713B1"/>
    <w:rsid w:val="0057254F"/>
    <w:rsid w:val="0057363E"/>
    <w:rsid w:val="00575904"/>
    <w:rsid w:val="0057624B"/>
    <w:rsid w:val="0057644D"/>
    <w:rsid w:val="0057649A"/>
    <w:rsid w:val="00582995"/>
    <w:rsid w:val="00583090"/>
    <w:rsid w:val="005835F4"/>
    <w:rsid w:val="00583EFE"/>
    <w:rsid w:val="00584076"/>
    <w:rsid w:val="005841A3"/>
    <w:rsid w:val="00585436"/>
    <w:rsid w:val="00585D54"/>
    <w:rsid w:val="00586D9A"/>
    <w:rsid w:val="00587460"/>
    <w:rsid w:val="00590EAE"/>
    <w:rsid w:val="0059112A"/>
    <w:rsid w:val="0059116B"/>
    <w:rsid w:val="005914CD"/>
    <w:rsid w:val="005914FD"/>
    <w:rsid w:val="00591B65"/>
    <w:rsid w:val="005924E3"/>
    <w:rsid w:val="0059278A"/>
    <w:rsid w:val="00592A14"/>
    <w:rsid w:val="00593216"/>
    <w:rsid w:val="005933D3"/>
    <w:rsid w:val="0059376D"/>
    <w:rsid w:val="00594BC3"/>
    <w:rsid w:val="00594DD8"/>
    <w:rsid w:val="00596CA7"/>
    <w:rsid w:val="00596DC8"/>
    <w:rsid w:val="00596E16"/>
    <w:rsid w:val="005972EB"/>
    <w:rsid w:val="00597A78"/>
    <w:rsid w:val="00597CD2"/>
    <w:rsid w:val="00597DC7"/>
    <w:rsid w:val="005A10FF"/>
    <w:rsid w:val="005A1608"/>
    <w:rsid w:val="005A16A3"/>
    <w:rsid w:val="005A1C48"/>
    <w:rsid w:val="005A253A"/>
    <w:rsid w:val="005A2AD8"/>
    <w:rsid w:val="005A2DDF"/>
    <w:rsid w:val="005A3152"/>
    <w:rsid w:val="005A40AF"/>
    <w:rsid w:val="005A5EBA"/>
    <w:rsid w:val="005A6064"/>
    <w:rsid w:val="005A64BF"/>
    <w:rsid w:val="005A72CC"/>
    <w:rsid w:val="005B0565"/>
    <w:rsid w:val="005B15A4"/>
    <w:rsid w:val="005B4421"/>
    <w:rsid w:val="005B513F"/>
    <w:rsid w:val="005B7044"/>
    <w:rsid w:val="005B7483"/>
    <w:rsid w:val="005B7929"/>
    <w:rsid w:val="005C0643"/>
    <w:rsid w:val="005C23AF"/>
    <w:rsid w:val="005C25D1"/>
    <w:rsid w:val="005C2A00"/>
    <w:rsid w:val="005C2C72"/>
    <w:rsid w:val="005C2F2F"/>
    <w:rsid w:val="005C35A9"/>
    <w:rsid w:val="005C464B"/>
    <w:rsid w:val="005C4E5F"/>
    <w:rsid w:val="005C502F"/>
    <w:rsid w:val="005C64B6"/>
    <w:rsid w:val="005C74A0"/>
    <w:rsid w:val="005D052C"/>
    <w:rsid w:val="005D08AE"/>
    <w:rsid w:val="005D16FE"/>
    <w:rsid w:val="005D4084"/>
    <w:rsid w:val="005D4777"/>
    <w:rsid w:val="005D4C2B"/>
    <w:rsid w:val="005D5784"/>
    <w:rsid w:val="005D6B2B"/>
    <w:rsid w:val="005D6E02"/>
    <w:rsid w:val="005D6E0A"/>
    <w:rsid w:val="005E22CD"/>
    <w:rsid w:val="005E37AB"/>
    <w:rsid w:val="005E384D"/>
    <w:rsid w:val="005E4A4D"/>
    <w:rsid w:val="005E51FB"/>
    <w:rsid w:val="005E6280"/>
    <w:rsid w:val="005E6394"/>
    <w:rsid w:val="005E6B93"/>
    <w:rsid w:val="005E6F30"/>
    <w:rsid w:val="005E7953"/>
    <w:rsid w:val="005E7E82"/>
    <w:rsid w:val="005F2C42"/>
    <w:rsid w:val="005F5039"/>
    <w:rsid w:val="005F6BAB"/>
    <w:rsid w:val="005F6C28"/>
    <w:rsid w:val="005F717D"/>
    <w:rsid w:val="005F7980"/>
    <w:rsid w:val="005F7AB6"/>
    <w:rsid w:val="005F7E3C"/>
    <w:rsid w:val="00600402"/>
    <w:rsid w:val="00600FA8"/>
    <w:rsid w:val="0060111D"/>
    <w:rsid w:val="006039A6"/>
    <w:rsid w:val="00604A08"/>
    <w:rsid w:val="00605AE9"/>
    <w:rsid w:val="006063DA"/>
    <w:rsid w:val="00606CD0"/>
    <w:rsid w:val="00606CE3"/>
    <w:rsid w:val="00607251"/>
    <w:rsid w:val="006119F8"/>
    <w:rsid w:val="00611B6A"/>
    <w:rsid w:val="00611DD3"/>
    <w:rsid w:val="00611EF0"/>
    <w:rsid w:val="00612219"/>
    <w:rsid w:val="00612A87"/>
    <w:rsid w:val="00612E04"/>
    <w:rsid w:val="0061629E"/>
    <w:rsid w:val="006173A4"/>
    <w:rsid w:val="006173E9"/>
    <w:rsid w:val="00617C44"/>
    <w:rsid w:val="00620086"/>
    <w:rsid w:val="00621639"/>
    <w:rsid w:val="00622074"/>
    <w:rsid w:val="00622CE4"/>
    <w:rsid w:val="00623425"/>
    <w:rsid w:val="006234A7"/>
    <w:rsid w:val="00623F8E"/>
    <w:rsid w:val="00625052"/>
    <w:rsid w:val="00625917"/>
    <w:rsid w:val="0062789F"/>
    <w:rsid w:val="006278BD"/>
    <w:rsid w:val="00627AB5"/>
    <w:rsid w:val="006301BE"/>
    <w:rsid w:val="006307FC"/>
    <w:rsid w:val="0063096E"/>
    <w:rsid w:val="00631969"/>
    <w:rsid w:val="00632DB2"/>
    <w:rsid w:val="00633349"/>
    <w:rsid w:val="006337AF"/>
    <w:rsid w:val="00633D61"/>
    <w:rsid w:val="0063402B"/>
    <w:rsid w:val="0063469F"/>
    <w:rsid w:val="006347D1"/>
    <w:rsid w:val="00634E8B"/>
    <w:rsid w:val="006352C9"/>
    <w:rsid w:val="006364A9"/>
    <w:rsid w:val="00636570"/>
    <w:rsid w:val="00636F40"/>
    <w:rsid w:val="00637859"/>
    <w:rsid w:val="00637901"/>
    <w:rsid w:val="00637E1B"/>
    <w:rsid w:val="006402DF"/>
    <w:rsid w:val="006413E2"/>
    <w:rsid w:val="0064164B"/>
    <w:rsid w:val="006435EB"/>
    <w:rsid w:val="0064416A"/>
    <w:rsid w:val="00644468"/>
    <w:rsid w:val="00645F5E"/>
    <w:rsid w:val="00647B1E"/>
    <w:rsid w:val="00647C55"/>
    <w:rsid w:val="0065008B"/>
    <w:rsid w:val="0065054D"/>
    <w:rsid w:val="00651443"/>
    <w:rsid w:val="00652270"/>
    <w:rsid w:val="006535A5"/>
    <w:rsid w:val="00653721"/>
    <w:rsid w:val="00653A3B"/>
    <w:rsid w:val="00653FD9"/>
    <w:rsid w:val="006543A2"/>
    <w:rsid w:val="00654504"/>
    <w:rsid w:val="00654D42"/>
    <w:rsid w:val="006556BB"/>
    <w:rsid w:val="00656226"/>
    <w:rsid w:val="00656328"/>
    <w:rsid w:val="00656606"/>
    <w:rsid w:val="006568EA"/>
    <w:rsid w:val="006569B6"/>
    <w:rsid w:val="00656D0E"/>
    <w:rsid w:val="006601FA"/>
    <w:rsid w:val="00660279"/>
    <w:rsid w:val="0066047B"/>
    <w:rsid w:val="00660A94"/>
    <w:rsid w:val="00660B22"/>
    <w:rsid w:val="00660D13"/>
    <w:rsid w:val="006610B7"/>
    <w:rsid w:val="006622B9"/>
    <w:rsid w:val="00662943"/>
    <w:rsid w:val="00662E1E"/>
    <w:rsid w:val="006631F7"/>
    <w:rsid w:val="0066371E"/>
    <w:rsid w:val="00663A34"/>
    <w:rsid w:val="0066455B"/>
    <w:rsid w:val="006647BE"/>
    <w:rsid w:val="00666744"/>
    <w:rsid w:val="006707A0"/>
    <w:rsid w:val="00670BC4"/>
    <w:rsid w:val="006713F1"/>
    <w:rsid w:val="006718ED"/>
    <w:rsid w:val="006724AD"/>
    <w:rsid w:val="00672BAB"/>
    <w:rsid w:val="0067314A"/>
    <w:rsid w:val="006738B7"/>
    <w:rsid w:val="00673D1E"/>
    <w:rsid w:val="00673EE5"/>
    <w:rsid w:val="0067557E"/>
    <w:rsid w:val="00675E9D"/>
    <w:rsid w:val="0067702E"/>
    <w:rsid w:val="006779CF"/>
    <w:rsid w:val="00677A8F"/>
    <w:rsid w:val="00677B5E"/>
    <w:rsid w:val="00677D63"/>
    <w:rsid w:val="00677F8A"/>
    <w:rsid w:val="006821E3"/>
    <w:rsid w:val="0068221E"/>
    <w:rsid w:val="00683AD6"/>
    <w:rsid w:val="006842AE"/>
    <w:rsid w:val="006846A6"/>
    <w:rsid w:val="006866C9"/>
    <w:rsid w:val="006875BA"/>
    <w:rsid w:val="0069097D"/>
    <w:rsid w:val="00693FEA"/>
    <w:rsid w:val="006945EC"/>
    <w:rsid w:val="00694C68"/>
    <w:rsid w:val="00694E8A"/>
    <w:rsid w:val="00695BC7"/>
    <w:rsid w:val="006A0952"/>
    <w:rsid w:val="006A34FA"/>
    <w:rsid w:val="006A511D"/>
    <w:rsid w:val="006A5773"/>
    <w:rsid w:val="006A5804"/>
    <w:rsid w:val="006A58F0"/>
    <w:rsid w:val="006A6262"/>
    <w:rsid w:val="006A7CE7"/>
    <w:rsid w:val="006B0372"/>
    <w:rsid w:val="006B0764"/>
    <w:rsid w:val="006B081C"/>
    <w:rsid w:val="006B4467"/>
    <w:rsid w:val="006B45BE"/>
    <w:rsid w:val="006B4E6E"/>
    <w:rsid w:val="006B6C46"/>
    <w:rsid w:val="006B6E78"/>
    <w:rsid w:val="006B76AB"/>
    <w:rsid w:val="006B7970"/>
    <w:rsid w:val="006C0039"/>
    <w:rsid w:val="006C1927"/>
    <w:rsid w:val="006C20B9"/>
    <w:rsid w:val="006C2585"/>
    <w:rsid w:val="006C3616"/>
    <w:rsid w:val="006C39DD"/>
    <w:rsid w:val="006C3D70"/>
    <w:rsid w:val="006C4008"/>
    <w:rsid w:val="006C4E2C"/>
    <w:rsid w:val="006C5931"/>
    <w:rsid w:val="006C73EF"/>
    <w:rsid w:val="006D1723"/>
    <w:rsid w:val="006D1E65"/>
    <w:rsid w:val="006D3B21"/>
    <w:rsid w:val="006D5D3F"/>
    <w:rsid w:val="006D5D99"/>
    <w:rsid w:val="006D60ED"/>
    <w:rsid w:val="006D6AF6"/>
    <w:rsid w:val="006E1166"/>
    <w:rsid w:val="006E24D9"/>
    <w:rsid w:val="006E25BA"/>
    <w:rsid w:val="006E27C6"/>
    <w:rsid w:val="006E4834"/>
    <w:rsid w:val="006E596E"/>
    <w:rsid w:val="006E65E0"/>
    <w:rsid w:val="006E6C17"/>
    <w:rsid w:val="006F033F"/>
    <w:rsid w:val="006F0D66"/>
    <w:rsid w:val="006F24D8"/>
    <w:rsid w:val="006F33B8"/>
    <w:rsid w:val="006F4C9C"/>
    <w:rsid w:val="006F640F"/>
    <w:rsid w:val="006F64B8"/>
    <w:rsid w:val="006F6ECF"/>
    <w:rsid w:val="006F6EED"/>
    <w:rsid w:val="006F762A"/>
    <w:rsid w:val="00701B6B"/>
    <w:rsid w:val="007026CB"/>
    <w:rsid w:val="00702D07"/>
    <w:rsid w:val="0070384F"/>
    <w:rsid w:val="00703A9E"/>
    <w:rsid w:val="00703D6D"/>
    <w:rsid w:val="00704095"/>
    <w:rsid w:val="00704152"/>
    <w:rsid w:val="00704284"/>
    <w:rsid w:val="00704AC5"/>
    <w:rsid w:val="00704FB5"/>
    <w:rsid w:val="00706B71"/>
    <w:rsid w:val="0071022A"/>
    <w:rsid w:val="00711062"/>
    <w:rsid w:val="00711D06"/>
    <w:rsid w:val="00711F79"/>
    <w:rsid w:val="0071277A"/>
    <w:rsid w:val="00712EE5"/>
    <w:rsid w:val="00713493"/>
    <w:rsid w:val="00713494"/>
    <w:rsid w:val="007139FE"/>
    <w:rsid w:val="00713EA7"/>
    <w:rsid w:val="00714031"/>
    <w:rsid w:val="0071409E"/>
    <w:rsid w:val="0071466E"/>
    <w:rsid w:val="00714843"/>
    <w:rsid w:val="00714A6C"/>
    <w:rsid w:val="00714CD3"/>
    <w:rsid w:val="0071582C"/>
    <w:rsid w:val="00716174"/>
    <w:rsid w:val="007203D8"/>
    <w:rsid w:val="007206A8"/>
    <w:rsid w:val="0072070F"/>
    <w:rsid w:val="00721032"/>
    <w:rsid w:val="0072116D"/>
    <w:rsid w:val="007218B2"/>
    <w:rsid w:val="007219FA"/>
    <w:rsid w:val="0072226F"/>
    <w:rsid w:val="00722B3F"/>
    <w:rsid w:val="0072318D"/>
    <w:rsid w:val="00725618"/>
    <w:rsid w:val="00725B78"/>
    <w:rsid w:val="00727082"/>
    <w:rsid w:val="00730F7D"/>
    <w:rsid w:val="0073110A"/>
    <w:rsid w:val="00731936"/>
    <w:rsid w:val="0073233C"/>
    <w:rsid w:val="00732D0C"/>
    <w:rsid w:val="00733CA6"/>
    <w:rsid w:val="00733EAD"/>
    <w:rsid w:val="00734A93"/>
    <w:rsid w:val="00734F54"/>
    <w:rsid w:val="007358C1"/>
    <w:rsid w:val="00736D93"/>
    <w:rsid w:val="00737C04"/>
    <w:rsid w:val="00737F64"/>
    <w:rsid w:val="007422C9"/>
    <w:rsid w:val="00742553"/>
    <w:rsid w:val="00743EC6"/>
    <w:rsid w:val="00744110"/>
    <w:rsid w:val="00744595"/>
    <w:rsid w:val="00744C3C"/>
    <w:rsid w:val="00745C26"/>
    <w:rsid w:val="00746303"/>
    <w:rsid w:val="0074695A"/>
    <w:rsid w:val="00747A52"/>
    <w:rsid w:val="00750B58"/>
    <w:rsid w:val="00750F1E"/>
    <w:rsid w:val="00751742"/>
    <w:rsid w:val="00751A8A"/>
    <w:rsid w:val="00751AE4"/>
    <w:rsid w:val="00751C12"/>
    <w:rsid w:val="007522E7"/>
    <w:rsid w:val="00752691"/>
    <w:rsid w:val="007528F2"/>
    <w:rsid w:val="00752B03"/>
    <w:rsid w:val="007543C1"/>
    <w:rsid w:val="007552C9"/>
    <w:rsid w:val="007575C4"/>
    <w:rsid w:val="00757D63"/>
    <w:rsid w:val="00760699"/>
    <w:rsid w:val="00760987"/>
    <w:rsid w:val="00760C36"/>
    <w:rsid w:val="007610D4"/>
    <w:rsid w:val="00762675"/>
    <w:rsid w:val="00762A1B"/>
    <w:rsid w:val="00762D6D"/>
    <w:rsid w:val="00763700"/>
    <w:rsid w:val="0076427C"/>
    <w:rsid w:val="0076511A"/>
    <w:rsid w:val="00765217"/>
    <w:rsid w:val="007655C0"/>
    <w:rsid w:val="007659AA"/>
    <w:rsid w:val="00766334"/>
    <w:rsid w:val="007670F2"/>
    <w:rsid w:val="00767F22"/>
    <w:rsid w:val="00771A6A"/>
    <w:rsid w:val="0077266C"/>
    <w:rsid w:val="00772802"/>
    <w:rsid w:val="00772925"/>
    <w:rsid w:val="00772DE3"/>
    <w:rsid w:val="00772F44"/>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4509"/>
    <w:rsid w:val="0079526D"/>
    <w:rsid w:val="00795A2C"/>
    <w:rsid w:val="00795F3D"/>
    <w:rsid w:val="00797309"/>
    <w:rsid w:val="00797390"/>
    <w:rsid w:val="007A0015"/>
    <w:rsid w:val="007A02D4"/>
    <w:rsid w:val="007A05B6"/>
    <w:rsid w:val="007A1C0A"/>
    <w:rsid w:val="007A1C59"/>
    <w:rsid w:val="007A1D4E"/>
    <w:rsid w:val="007A357F"/>
    <w:rsid w:val="007A4397"/>
    <w:rsid w:val="007A5B41"/>
    <w:rsid w:val="007A5B57"/>
    <w:rsid w:val="007B0732"/>
    <w:rsid w:val="007B0D58"/>
    <w:rsid w:val="007B0E9E"/>
    <w:rsid w:val="007B15B4"/>
    <w:rsid w:val="007B3372"/>
    <w:rsid w:val="007B3A76"/>
    <w:rsid w:val="007B5792"/>
    <w:rsid w:val="007B6AAE"/>
    <w:rsid w:val="007C0742"/>
    <w:rsid w:val="007C1032"/>
    <w:rsid w:val="007C1FF3"/>
    <w:rsid w:val="007C2934"/>
    <w:rsid w:val="007C31E2"/>
    <w:rsid w:val="007C3402"/>
    <w:rsid w:val="007C5CE1"/>
    <w:rsid w:val="007C5F8D"/>
    <w:rsid w:val="007C6F85"/>
    <w:rsid w:val="007D0569"/>
    <w:rsid w:val="007D16B1"/>
    <w:rsid w:val="007D19E4"/>
    <w:rsid w:val="007D2001"/>
    <w:rsid w:val="007D2C1F"/>
    <w:rsid w:val="007D3A64"/>
    <w:rsid w:val="007D5086"/>
    <w:rsid w:val="007D5591"/>
    <w:rsid w:val="007D7400"/>
    <w:rsid w:val="007D7761"/>
    <w:rsid w:val="007D79FF"/>
    <w:rsid w:val="007E02A7"/>
    <w:rsid w:val="007E19C4"/>
    <w:rsid w:val="007E283B"/>
    <w:rsid w:val="007E3D9C"/>
    <w:rsid w:val="007E468A"/>
    <w:rsid w:val="007E47B2"/>
    <w:rsid w:val="007E4CA1"/>
    <w:rsid w:val="007E51A5"/>
    <w:rsid w:val="007E5216"/>
    <w:rsid w:val="007E557A"/>
    <w:rsid w:val="007E5629"/>
    <w:rsid w:val="007E5E62"/>
    <w:rsid w:val="007E69E6"/>
    <w:rsid w:val="007E74E7"/>
    <w:rsid w:val="007E7F4C"/>
    <w:rsid w:val="007F067D"/>
    <w:rsid w:val="007F2EC6"/>
    <w:rsid w:val="007F3018"/>
    <w:rsid w:val="007F3758"/>
    <w:rsid w:val="007F3BD5"/>
    <w:rsid w:val="007F3D70"/>
    <w:rsid w:val="007F4DE5"/>
    <w:rsid w:val="007F5E06"/>
    <w:rsid w:val="007F6332"/>
    <w:rsid w:val="007F6862"/>
    <w:rsid w:val="008013FC"/>
    <w:rsid w:val="00801B23"/>
    <w:rsid w:val="00801F09"/>
    <w:rsid w:val="0080202C"/>
    <w:rsid w:val="008032CA"/>
    <w:rsid w:val="008060C3"/>
    <w:rsid w:val="008063A1"/>
    <w:rsid w:val="008079CD"/>
    <w:rsid w:val="00807E95"/>
    <w:rsid w:val="00807F00"/>
    <w:rsid w:val="008117E6"/>
    <w:rsid w:val="00812095"/>
    <w:rsid w:val="008134BD"/>
    <w:rsid w:val="008139A5"/>
    <w:rsid w:val="00814656"/>
    <w:rsid w:val="0081598A"/>
    <w:rsid w:val="008169A8"/>
    <w:rsid w:val="00816DA8"/>
    <w:rsid w:val="00820E45"/>
    <w:rsid w:val="00821E2C"/>
    <w:rsid w:val="00822835"/>
    <w:rsid w:val="00823836"/>
    <w:rsid w:val="0082459B"/>
    <w:rsid w:val="00824902"/>
    <w:rsid w:val="00826758"/>
    <w:rsid w:val="00826A13"/>
    <w:rsid w:val="008313D1"/>
    <w:rsid w:val="00833045"/>
    <w:rsid w:val="00833261"/>
    <w:rsid w:val="008344AE"/>
    <w:rsid w:val="00834A48"/>
    <w:rsid w:val="00834A7F"/>
    <w:rsid w:val="00834CEC"/>
    <w:rsid w:val="008353E0"/>
    <w:rsid w:val="00835C6F"/>
    <w:rsid w:val="00835EAA"/>
    <w:rsid w:val="00836179"/>
    <w:rsid w:val="008365F0"/>
    <w:rsid w:val="00836AF0"/>
    <w:rsid w:val="00836B6F"/>
    <w:rsid w:val="00841534"/>
    <w:rsid w:val="00841A06"/>
    <w:rsid w:val="008423C3"/>
    <w:rsid w:val="00843F2E"/>
    <w:rsid w:val="00844422"/>
    <w:rsid w:val="008462C7"/>
    <w:rsid w:val="008462F1"/>
    <w:rsid w:val="00846930"/>
    <w:rsid w:val="00846C7D"/>
    <w:rsid w:val="0085066C"/>
    <w:rsid w:val="00850D52"/>
    <w:rsid w:val="00850FDE"/>
    <w:rsid w:val="00852876"/>
    <w:rsid w:val="008543F5"/>
    <w:rsid w:val="00855004"/>
    <w:rsid w:val="008552F2"/>
    <w:rsid w:val="00855994"/>
    <w:rsid w:val="00855CD1"/>
    <w:rsid w:val="008565E7"/>
    <w:rsid w:val="008572C4"/>
    <w:rsid w:val="0085733E"/>
    <w:rsid w:val="0085765A"/>
    <w:rsid w:val="008604A8"/>
    <w:rsid w:val="00860E64"/>
    <w:rsid w:val="008613CE"/>
    <w:rsid w:val="008616F7"/>
    <w:rsid w:val="00861AFA"/>
    <w:rsid w:val="00863214"/>
    <w:rsid w:val="008637E8"/>
    <w:rsid w:val="00863C61"/>
    <w:rsid w:val="00865522"/>
    <w:rsid w:val="008658B6"/>
    <w:rsid w:val="00865ADF"/>
    <w:rsid w:val="0086644C"/>
    <w:rsid w:val="008666B5"/>
    <w:rsid w:val="008703B3"/>
    <w:rsid w:val="008706EB"/>
    <w:rsid w:val="00871F13"/>
    <w:rsid w:val="0087202F"/>
    <w:rsid w:val="00872B72"/>
    <w:rsid w:val="00874757"/>
    <w:rsid w:val="008749AE"/>
    <w:rsid w:val="00875665"/>
    <w:rsid w:val="00876985"/>
    <w:rsid w:val="008770B0"/>
    <w:rsid w:val="008771AF"/>
    <w:rsid w:val="00877DBC"/>
    <w:rsid w:val="008808E6"/>
    <w:rsid w:val="00883780"/>
    <w:rsid w:val="00883856"/>
    <w:rsid w:val="00883B99"/>
    <w:rsid w:val="00884B56"/>
    <w:rsid w:val="00885066"/>
    <w:rsid w:val="00885AAD"/>
    <w:rsid w:val="00885F85"/>
    <w:rsid w:val="0088665E"/>
    <w:rsid w:val="00886BFA"/>
    <w:rsid w:val="008876DF"/>
    <w:rsid w:val="00887F48"/>
    <w:rsid w:val="00891DA4"/>
    <w:rsid w:val="008923C8"/>
    <w:rsid w:val="008924B5"/>
    <w:rsid w:val="0089306F"/>
    <w:rsid w:val="00893260"/>
    <w:rsid w:val="008932A8"/>
    <w:rsid w:val="00893756"/>
    <w:rsid w:val="00893CFF"/>
    <w:rsid w:val="00893E9A"/>
    <w:rsid w:val="00894A9E"/>
    <w:rsid w:val="008950F6"/>
    <w:rsid w:val="00895175"/>
    <w:rsid w:val="008961E1"/>
    <w:rsid w:val="00896815"/>
    <w:rsid w:val="008A0653"/>
    <w:rsid w:val="008A0744"/>
    <w:rsid w:val="008A0A6E"/>
    <w:rsid w:val="008A0AB3"/>
    <w:rsid w:val="008A0D0F"/>
    <w:rsid w:val="008A20FA"/>
    <w:rsid w:val="008A2F49"/>
    <w:rsid w:val="008A2FB3"/>
    <w:rsid w:val="008A398B"/>
    <w:rsid w:val="008A39AD"/>
    <w:rsid w:val="008A4A79"/>
    <w:rsid w:val="008A4C9C"/>
    <w:rsid w:val="008A5601"/>
    <w:rsid w:val="008A58EB"/>
    <w:rsid w:val="008A59AD"/>
    <w:rsid w:val="008B0EEB"/>
    <w:rsid w:val="008B431D"/>
    <w:rsid w:val="008B4504"/>
    <w:rsid w:val="008B4DD0"/>
    <w:rsid w:val="008B51FD"/>
    <w:rsid w:val="008B6269"/>
    <w:rsid w:val="008B6766"/>
    <w:rsid w:val="008B70F5"/>
    <w:rsid w:val="008B7186"/>
    <w:rsid w:val="008B7192"/>
    <w:rsid w:val="008B7D40"/>
    <w:rsid w:val="008C1939"/>
    <w:rsid w:val="008C2130"/>
    <w:rsid w:val="008C23E9"/>
    <w:rsid w:val="008C3396"/>
    <w:rsid w:val="008C5974"/>
    <w:rsid w:val="008C621C"/>
    <w:rsid w:val="008C697C"/>
    <w:rsid w:val="008C7448"/>
    <w:rsid w:val="008C75ED"/>
    <w:rsid w:val="008C7649"/>
    <w:rsid w:val="008C7AC7"/>
    <w:rsid w:val="008D5010"/>
    <w:rsid w:val="008D5D86"/>
    <w:rsid w:val="008E01B3"/>
    <w:rsid w:val="008E03B0"/>
    <w:rsid w:val="008E0991"/>
    <w:rsid w:val="008E1FCD"/>
    <w:rsid w:val="008E2A70"/>
    <w:rsid w:val="008E338E"/>
    <w:rsid w:val="008E37D6"/>
    <w:rsid w:val="008E43EB"/>
    <w:rsid w:val="008E4444"/>
    <w:rsid w:val="008E57FE"/>
    <w:rsid w:val="008E5C54"/>
    <w:rsid w:val="008E5DB7"/>
    <w:rsid w:val="008E6B56"/>
    <w:rsid w:val="008F14CC"/>
    <w:rsid w:val="008F16BB"/>
    <w:rsid w:val="008F1818"/>
    <w:rsid w:val="008F2665"/>
    <w:rsid w:val="008F446B"/>
    <w:rsid w:val="008F507E"/>
    <w:rsid w:val="008F5251"/>
    <w:rsid w:val="008F5971"/>
    <w:rsid w:val="008F6376"/>
    <w:rsid w:val="00900CC2"/>
    <w:rsid w:val="009013A3"/>
    <w:rsid w:val="00901770"/>
    <w:rsid w:val="009019FB"/>
    <w:rsid w:val="00902AA5"/>
    <w:rsid w:val="009031E9"/>
    <w:rsid w:val="009049B6"/>
    <w:rsid w:val="009052B7"/>
    <w:rsid w:val="0090548D"/>
    <w:rsid w:val="00905B05"/>
    <w:rsid w:val="00906B5A"/>
    <w:rsid w:val="0090753C"/>
    <w:rsid w:val="00907579"/>
    <w:rsid w:val="0090759D"/>
    <w:rsid w:val="00911093"/>
    <w:rsid w:val="0091156F"/>
    <w:rsid w:val="00911B66"/>
    <w:rsid w:val="009122D4"/>
    <w:rsid w:val="00912A7E"/>
    <w:rsid w:val="00912FA3"/>
    <w:rsid w:val="009141B0"/>
    <w:rsid w:val="00915330"/>
    <w:rsid w:val="00916E69"/>
    <w:rsid w:val="00917525"/>
    <w:rsid w:val="00917671"/>
    <w:rsid w:val="0091777D"/>
    <w:rsid w:val="00917C39"/>
    <w:rsid w:val="0092057D"/>
    <w:rsid w:val="00920E6D"/>
    <w:rsid w:val="0092113B"/>
    <w:rsid w:val="009218DE"/>
    <w:rsid w:val="00922D00"/>
    <w:rsid w:val="009233CC"/>
    <w:rsid w:val="00923626"/>
    <w:rsid w:val="00923F17"/>
    <w:rsid w:val="009266DA"/>
    <w:rsid w:val="00927F35"/>
    <w:rsid w:val="00930DE8"/>
    <w:rsid w:val="00931269"/>
    <w:rsid w:val="009318DD"/>
    <w:rsid w:val="0093280B"/>
    <w:rsid w:val="00934FEB"/>
    <w:rsid w:val="009352C3"/>
    <w:rsid w:val="00935413"/>
    <w:rsid w:val="009355C2"/>
    <w:rsid w:val="00935F5D"/>
    <w:rsid w:val="0093669F"/>
    <w:rsid w:val="009368E0"/>
    <w:rsid w:val="0094260B"/>
    <w:rsid w:val="00942661"/>
    <w:rsid w:val="00945307"/>
    <w:rsid w:val="0094558D"/>
    <w:rsid w:val="0094697C"/>
    <w:rsid w:val="00946FCE"/>
    <w:rsid w:val="00950334"/>
    <w:rsid w:val="009515BC"/>
    <w:rsid w:val="0095349A"/>
    <w:rsid w:val="00953B5B"/>
    <w:rsid w:val="00953ED0"/>
    <w:rsid w:val="00954887"/>
    <w:rsid w:val="0095492E"/>
    <w:rsid w:val="00955F7D"/>
    <w:rsid w:val="00957047"/>
    <w:rsid w:val="00960FDF"/>
    <w:rsid w:val="00962055"/>
    <w:rsid w:val="0096242F"/>
    <w:rsid w:val="00962E3B"/>
    <w:rsid w:val="00962FF5"/>
    <w:rsid w:val="0096341C"/>
    <w:rsid w:val="00964A4E"/>
    <w:rsid w:val="00965B02"/>
    <w:rsid w:val="00965C07"/>
    <w:rsid w:val="00965D2D"/>
    <w:rsid w:val="009666D7"/>
    <w:rsid w:val="00967C86"/>
    <w:rsid w:val="00970A16"/>
    <w:rsid w:val="00971847"/>
    <w:rsid w:val="00972964"/>
    <w:rsid w:val="00972E33"/>
    <w:rsid w:val="00973EA9"/>
    <w:rsid w:val="0097762F"/>
    <w:rsid w:val="00977B11"/>
    <w:rsid w:val="00977C0A"/>
    <w:rsid w:val="009806D2"/>
    <w:rsid w:val="00981361"/>
    <w:rsid w:val="009815DB"/>
    <w:rsid w:val="009816B8"/>
    <w:rsid w:val="00983B45"/>
    <w:rsid w:val="00983B5C"/>
    <w:rsid w:val="00985E6B"/>
    <w:rsid w:val="00986177"/>
    <w:rsid w:val="0098709A"/>
    <w:rsid w:val="0098766F"/>
    <w:rsid w:val="009905F3"/>
    <w:rsid w:val="00993912"/>
    <w:rsid w:val="00993ABC"/>
    <w:rsid w:val="00994050"/>
    <w:rsid w:val="0099556F"/>
    <w:rsid w:val="009962CF"/>
    <w:rsid w:val="009969D6"/>
    <w:rsid w:val="00997812"/>
    <w:rsid w:val="009A0CF2"/>
    <w:rsid w:val="009A12D7"/>
    <w:rsid w:val="009A4268"/>
    <w:rsid w:val="009A4543"/>
    <w:rsid w:val="009A5DB1"/>
    <w:rsid w:val="009A7C5A"/>
    <w:rsid w:val="009A7E51"/>
    <w:rsid w:val="009B2040"/>
    <w:rsid w:val="009B21B9"/>
    <w:rsid w:val="009B2FAD"/>
    <w:rsid w:val="009B3494"/>
    <w:rsid w:val="009B44CB"/>
    <w:rsid w:val="009B4CD0"/>
    <w:rsid w:val="009B4DA7"/>
    <w:rsid w:val="009C0C53"/>
    <w:rsid w:val="009C21C6"/>
    <w:rsid w:val="009C383B"/>
    <w:rsid w:val="009C3A80"/>
    <w:rsid w:val="009C41EC"/>
    <w:rsid w:val="009C45B8"/>
    <w:rsid w:val="009C5238"/>
    <w:rsid w:val="009C56B7"/>
    <w:rsid w:val="009C5D8F"/>
    <w:rsid w:val="009C755B"/>
    <w:rsid w:val="009C75F0"/>
    <w:rsid w:val="009C79C9"/>
    <w:rsid w:val="009D12B4"/>
    <w:rsid w:val="009D1526"/>
    <w:rsid w:val="009D1E70"/>
    <w:rsid w:val="009D2135"/>
    <w:rsid w:val="009D21BF"/>
    <w:rsid w:val="009D2FA7"/>
    <w:rsid w:val="009D3673"/>
    <w:rsid w:val="009D37DC"/>
    <w:rsid w:val="009D4166"/>
    <w:rsid w:val="009D4CAE"/>
    <w:rsid w:val="009D55F9"/>
    <w:rsid w:val="009D5837"/>
    <w:rsid w:val="009D5A11"/>
    <w:rsid w:val="009D5CCF"/>
    <w:rsid w:val="009D6139"/>
    <w:rsid w:val="009D752D"/>
    <w:rsid w:val="009D765F"/>
    <w:rsid w:val="009D7760"/>
    <w:rsid w:val="009E16E6"/>
    <w:rsid w:val="009E1C0D"/>
    <w:rsid w:val="009E1E62"/>
    <w:rsid w:val="009E2953"/>
    <w:rsid w:val="009E30CE"/>
    <w:rsid w:val="009E3414"/>
    <w:rsid w:val="009E4BA2"/>
    <w:rsid w:val="009E4CDF"/>
    <w:rsid w:val="009E62A8"/>
    <w:rsid w:val="009E738D"/>
    <w:rsid w:val="009F04C3"/>
    <w:rsid w:val="009F0760"/>
    <w:rsid w:val="009F0DA4"/>
    <w:rsid w:val="009F102B"/>
    <w:rsid w:val="009F3B29"/>
    <w:rsid w:val="009F3DC7"/>
    <w:rsid w:val="009F4860"/>
    <w:rsid w:val="009F4BF4"/>
    <w:rsid w:val="009F5BF2"/>
    <w:rsid w:val="009F7076"/>
    <w:rsid w:val="009F783C"/>
    <w:rsid w:val="009F7F13"/>
    <w:rsid w:val="009F7FF4"/>
    <w:rsid w:val="00A00057"/>
    <w:rsid w:val="00A00485"/>
    <w:rsid w:val="00A00EBA"/>
    <w:rsid w:val="00A01432"/>
    <w:rsid w:val="00A01690"/>
    <w:rsid w:val="00A01939"/>
    <w:rsid w:val="00A01A5F"/>
    <w:rsid w:val="00A025AC"/>
    <w:rsid w:val="00A026B2"/>
    <w:rsid w:val="00A02C96"/>
    <w:rsid w:val="00A02DEC"/>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0FD9"/>
    <w:rsid w:val="00A21BFC"/>
    <w:rsid w:val="00A21C6C"/>
    <w:rsid w:val="00A23314"/>
    <w:rsid w:val="00A2365A"/>
    <w:rsid w:val="00A24133"/>
    <w:rsid w:val="00A249BF"/>
    <w:rsid w:val="00A24B81"/>
    <w:rsid w:val="00A262BF"/>
    <w:rsid w:val="00A27809"/>
    <w:rsid w:val="00A30533"/>
    <w:rsid w:val="00A3084A"/>
    <w:rsid w:val="00A3087F"/>
    <w:rsid w:val="00A3122E"/>
    <w:rsid w:val="00A317B0"/>
    <w:rsid w:val="00A31BF6"/>
    <w:rsid w:val="00A3225D"/>
    <w:rsid w:val="00A34591"/>
    <w:rsid w:val="00A345DB"/>
    <w:rsid w:val="00A34E44"/>
    <w:rsid w:val="00A35B8F"/>
    <w:rsid w:val="00A3640F"/>
    <w:rsid w:val="00A37D10"/>
    <w:rsid w:val="00A37ECF"/>
    <w:rsid w:val="00A40CE2"/>
    <w:rsid w:val="00A41F05"/>
    <w:rsid w:val="00A42248"/>
    <w:rsid w:val="00A427B8"/>
    <w:rsid w:val="00A42FAE"/>
    <w:rsid w:val="00A43175"/>
    <w:rsid w:val="00A43553"/>
    <w:rsid w:val="00A435BF"/>
    <w:rsid w:val="00A44891"/>
    <w:rsid w:val="00A45884"/>
    <w:rsid w:val="00A47176"/>
    <w:rsid w:val="00A475C5"/>
    <w:rsid w:val="00A4768C"/>
    <w:rsid w:val="00A47E50"/>
    <w:rsid w:val="00A50A68"/>
    <w:rsid w:val="00A50D3B"/>
    <w:rsid w:val="00A50E38"/>
    <w:rsid w:val="00A510C6"/>
    <w:rsid w:val="00A51775"/>
    <w:rsid w:val="00A518AA"/>
    <w:rsid w:val="00A525E7"/>
    <w:rsid w:val="00A52C60"/>
    <w:rsid w:val="00A52F9E"/>
    <w:rsid w:val="00A539ED"/>
    <w:rsid w:val="00A54658"/>
    <w:rsid w:val="00A56348"/>
    <w:rsid w:val="00A5703F"/>
    <w:rsid w:val="00A571F0"/>
    <w:rsid w:val="00A57D39"/>
    <w:rsid w:val="00A60B95"/>
    <w:rsid w:val="00A61825"/>
    <w:rsid w:val="00A61E2D"/>
    <w:rsid w:val="00A62496"/>
    <w:rsid w:val="00A6316B"/>
    <w:rsid w:val="00A633C6"/>
    <w:rsid w:val="00A65316"/>
    <w:rsid w:val="00A674FF"/>
    <w:rsid w:val="00A70AD9"/>
    <w:rsid w:val="00A70F69"/>
    <w:rsid w:val="00A72113"/>
    <w:rsid w:val="00A72611"/>
    <w:rsid w:val="00A7312E"/>
    <w:rsid w:val="00A73ABB"/>
    <w:rsid w:val="00A74A48"/>
    <w:rsid w:val="00A751A1"/>
    <w:rsid w:val="00A76088"/>
    <w:rsid w:val="00A76D2C"/>
    <w:rsid w:val="00A77746"/>
    <w:rsid w:val="00A80459"/>
    <w:rsid w:val="00A806AA"/>
    <w:rsid w:val="00A8224E"/>
    <w:rsid w:val="00A83594"/>
    <w:rsid w:val="00A83BF6"/>
    <w:rsid w:val="00A84BAC"/>
    <w:rsid w:val="00A84C0D"/>
    <w:rsid w:val="00A84CBA"/>
    <w:rsid w:val="00A85BA3"/>
    <w:rsid w:val="00A87B4F"/>
    <w:rsid w:val="00A87F31"/>
    <w:rsid w:val="00A90613"/>
    <w:rsid w:val="00A90D27"/>
    <w:rsid w:val="00A9103B"/>
    <w:rsid w:val="00A91284"/>
    <w:rsid w:val="00A91799"/>
    <w:rsid w:val="00A918A7"/>
    <w:rsid w:val="00A92871"/>
    <w:rsid w:val="00A94D72"/>
    <w:rsid w:val="00A950DA"/>
    <w:rsid w:val="00A95391"/>
    <w:rsid w:val="00A955EB"/>
    <w:rsid w:val="00A958A6"/>
    <w:rsid w:val="00A9591E"/>
    <w:rsid w:val="00AA084E"/>
    <w:rsid w:val="00AA1F49"/>
    <w:rsid w:val="00AA2053"/>
    <w:rsid w:val="00AA3A2E"/>
    <w:rsid w:val="00AA4099"/>
    <w:rsid w:val="00AA4619"/>
    <w:rsid w:val="00AA4D5A"/>
    <w:rsid w:val="00AA5E97"/>
    <w:rsid w:val="00AA6835"/>
    <w:rsid w:val="00AA688A"/>
    <w:rsid w:val="00AA6913"/>
    <w:rsid w:val="00AB00F3"/>
    <w:rsid w:val="00AB0650"/>
    <w:rsid w:val="00AB1101"/>
    <w:rsid w:val="00AB1151"/>
    <w:rsid w:val="00AB1D9C"/>
    <w:rsid w:val="00AB2190"/>
    <w:rsid w:val="00AB2456"/>
    <w:rsid w:val="00AB2CA0"/>
    <w:rsid w:val="00AB39EB"/>
    <w:rsid w:val="00AB3F27"/>
    <w:rsid w:val="00AB3FD9"/>
    <w:rsid w:val="00AB5002"/>
    <w:rsid w:val="00AB7073"/>
    <w:rsid w:val="00AB7DE7"/>
    <w:rsid w:val="00AC01D4"/>
    <w:rsid w:val="00AC03AB"/>
    <w:rsid w:val="00AC0650"/>
    <w:rsid w:val="00AC07E0"/>
    <w:rsid w:val="00AC1BE7"/>
    <w:rsid w:val="00AC1F02"/>
    <w:rsid w:val="00AC275F"/>
    <w:rsid w:val="00AC3ADE"/>
    <w:rsid w:val="00AC3EE4"/>
    <w:rsid w:val="00AC4D72"/>
    <w:rsid w:val="00AC50A4"/>
    <w:rsid w:val="00AC5647"/>
    <w:rsid w:val="00AC5666"/>
    <w:rsid w:val="00AC5A95"/>
    <w:rsid w:val="00AC6074"/>
    <w:rsid w:val="00AC6471"/>
    <w:rsid w:val="00AD1751"/>
    <w:rsid w:val="00AD1BA6"/>
    <w:rsid w:val="00AD2B6E"/>
    <w:rsid w:val="00AD340D"/>
    <w:rsid w:val="00AD3443"/>
    <w:rsid w:val="00AD34F6"/>
    <w:rsid w:val="00AD3E9B"/>
    <w:rsid w:val="00AD4B3C"/>
    <w:rsid w:val="00AD5047"/>
    <w:rsid w:val="00AD65A1"/>
    <w:rsid w:val="00AD66C0"/>
    <w:rsid w:val="00AD68A5"/>
    <w:rsid w:val="00AD73EF"/>
    <w:rsid w:val="00AD7E63"/>
    <w:rsid w:val="00AE147F"/>
    <w:rsid w:val="00AE185D"/>
    <w:rsid w:val="00AE1BFE"/>
    <w:rsid w:val="00AE22F5"/>
    <w:rsid w:val="00AE2968"/>
    <w:rsid w:val="00AE3842"/>
    <w:rsid w:val="00AE3D83"/>
    <w:rsid w:val="00AE4374"/>
    <w:rsid w:val="00AE466A"/>
    <w:rsid w:val="00AE47E9"/>
    <w:rsid w:val="00AE485C"/>
    <w:rsid w:val="00AE7D4F"/>
    <w:rsid w:val="00AE7FE4"/>
    <w:rsid w:val="00AF0117"/>
    <w:rsid w:val="00AF029D"/>
    <w:rsid w:val="00AF17D3"/>
    <w:rsid w:val="00AF1D77"/>
    <w:rsid w:val="00AF1E50"/>
    <w:rsid w:val="00AF286A"/>
    <w:rsid w:val="00AF38BA"/>
    <w:rsid w:val="00AF4808"/>
    <w:rsid w:val="00AF4F67"/>
    <w:rsid w:val="00AF5811"/>
    <w:rsid w:val="00AF6509"/>
    <w:rsid w:val="00B00BBE"/>
    <w:rsid w:val="00B01379"/>
    <w:rsid w:val="00B016C9"/>
    <w:rsid w:val="00B02F19"/>
    <w:rsid w:val="00B04449"/>
    <w:rsid w:val="00B0456E"/>
    <w:rsid w:val="00B0457D"/>
    <w:rsid w:val="00B06A05"/>
    <w:rsid w:val="00B06BF6"/>
    <w:rsid w:val="00B06F7F"/>
    <w:rsid w:val="00B06FAD"/>
    <w:rsid w:val="00B100F0"/>
    <w:rsid w:val="00B13078"/>
    <w:rsid w:val="00B1402E"/>
    <w:rsid w:val="00B142FD"/>
    <w:rsid w:val="00B14865"/>
    <w:rsid w:val="00B1561B"/>
    <w:rsid w:val="00B16BB3"/>
    <w:rsid w:val="00B206A5"/>
    <w:rsid w:val="00B20B93"/>
    <w:rsid w:val="00B21D50"/>
    <w:rsid w:val="00B229BE"/>
    <w:rsid w:val="00B22F9B"/>
    <w:rsid w:val="00B22FD3"/>
    <w:rsid w:val="00B23747"/>
    <w:rsid w:val="00B23E0A"/>
    <w:rsid w:val="00B24090"/>
    <w:rsid w:val="00B257E3"/>
    <w:rsid w:val="00B260C7"/>
    <w:rsid w:val="00B27494"/>
    <w:rsid w:val="00B279B9"/>
    <w:rsid w:val="00B27BFD"/>
    <w:rsid w:val="00B27DF7"/>
    <w:rsid w:val="00B304BF"/>
    <w:rsid w:val="00B3062C"/>
    <w:rsid w:val="00B307CA"/>
    <w:rsid w:val="00B30FD0"/>
    <w:rsid w:val="00B34F48"/>
    <w:rsid w:val="00B37F84"/>
    <w:rsid w:val="00B4117C"/>
    <w:rsid w:val="00B4151A"/>
    <w:rsid w:val="00B41B38"/>
    <w:rsid w:val="00B4402F"/>
    <w:rsid w:val="00B44A7E"/>
    <w:rsid w:val="00B44B19"/>
    <w:rsid w:val="00B45DF2"/>
    <w:rsid w:val="00B47780"/>
    <w:rsid w:val="00B50AFB"/>
    <w:rsid w:val="00B50D9D"/>
    <w:rsid w:val="00B51BA0"/>
    <w:rsid w:val="00B51BDC"/>
    <w:rsid w:val="00B51E18"/>
    <w:rsid w:val="00B535BD"/>
    <w:rsid w:val="00B53701"/>
    <w:rsid w:val="00B53910"/>
    <w:rsid w:val="00B539F7"/>
    <w:rsid w:val="00B5509D"/>
    <w:rsid w:val="00B56A26"/>
    <w:rsid w:val="00B56C5F"/>
    <w:rsid w:val="00B570C4"/>
    <w:rsid w:val="00B573E6"/>
    <w:rsid w:val="00B6110A"/>
    <w:rsid w:val="00B6176A"/>
    <w:rsid w:val="00B6301A"/>
    <w:rsid w:val="00B633CE"/>
    <w:rsid w:val="00B642FB"/>
    <w:rsid w:val="00B646D1"/>
    <w:rsid w:val="00B64799"/>
    <w:rsid w:val="00B64845"/>
    <w:rsid w:val="00B64CAD"/>
    <w:rsid w:val="00B651FA"/>
    <w:rsid w:val="00B66751"/>
    <w:rsid w:val="00B66B7C"/>
    <w:rsid w:val="00B66CD7"/>
    <w:rsid w:val="00B67643"/>
    <w:rsid w:val="00B67AA6"/>
    <w:rsid w:val="00B70508"/>
    <w:rsid w:val="00B7066C"/>
    <w:rsid w:val="00B717D8"/>
    <w:rsid w:val="00B718E0"/>
    <w:rsid w:val="00B71992"/>
    <w:rsid w:val="00B72DF3"/>
    <w:rsid w:val="00B74146"/>
    <w:rsid w:val="00B747A3"/>
    <w:rsid w:val="00B753D3"/>
    <w:rsid w:val="00B75A27"/>
    <w:rsid w:val="00B75E52"/>
    <w:rsid w:val="00B76F6C"/>
    <w:rsid w:val="00B77ECF"/>
    <w:rsid w:val="00B8080B"/>
    <w:rsid w:val="00B811EF"/>
    <w:rsid w:val="00B81568"/>
    <w:rsid w:val="00B819C0"/>
    <w:rsid w:val="00B82740"/>
    <w:rsid w:val="00B82B06"/>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4DC4"/>
    <w:rsid w:val="00BA516F"/>
    <w:rsid w:val="00BA628C"/>
    <w:rsid w:val="00BA7059"/>
    <w:rsid w:val="00BA7387"/>
    <w:rsid w:val="00BB0051"/>
    <w:rsid w:val="00BB02C6"/>
    <w:rsid w:val="00BB0EB7"/>
    <w:rsid w:val="00BB1031"/>
    <w:rsid w:val="00BB1082"/>
    <w:rsid w:val="00BB173F"/>
    <w:rsid w:val="00BB2127"/>
    <w:rsid w:val="00BB3805"/>
    <w:rsid w:val="00BB4109"/>
    <w:rsid w:val="00BB4589"/>
    <w:rsid w:val="00BB52A5"/>
    <w:rsid w:val="00BB5893"/>
    <w:rsid w:val="00BB5EA5"/>
    <w:rsid w:val="00BB6740"/>
    <w:rsid w:val="00BB6D3D"/>
    <w:rsid w:val="00BB77E7"/>
    <w:rsid w:val="00BB7EA1"/>
    <w:rsid w:val="00BB7EDA"/>
    <w:rsid w:val="00BB7F81"/>
    <w:rsid w:val="00BC045B"/>
    <w:rsid w:val="00BC2059"/>
    <w:rsid w:val="00BC261E"/>
    <w:rsid w:val="00BC269B"/>
    <w:rsid w:val="00BC27D2"/>
    <w:rsid w:val="00BC28A4"/>
    <w:rsid w:val="00BC299D"/>
    <w:rsid w:val="00BC44BA"/>
    <w:rsid w:val="00BC4D71"/>
    <w:rsid w:val="00BC5C65"/>
    <w:rsid w:val="00BC69D9"/>
    <w:rsid w:val="00BC6D0F"/>
    <w:rsid w:val="00BD085F"/>
    <w:rsid w:val="00BD087B"/>
    <w:rsid w:val="00BD1F07"/>
    <w:rsid w:val="00BD2E69"/>
    <w:rsid w:val="00BD35E1"/>
    <w:rsid w:val="00BD3A56"/>
    <w:rsid w:val="00BD54FC"/>
    <w:rsid w:val="00BD60F3"/>
    <w:rsid w:val="00BD63C3"/>
    <w:rsid w:val="00BD67CE"/>
    <w:rsid w:val="00BD76A4"/>
    <w:rsid w:val="00BE0186"/>
    <w:rsid w:val="00BE1C8A"/>
    <w:rsid w:val="00BE2069"/>
    <w:rsid w:val="00BE2C5A"/>
    <w:rsid w:val="00BE3D79"/>
    <w:rsid w:val="00BE4857"/>
    <w:rsid w:val="00BE5847"/>
    <w:rsid w:val="00BE5BE0"/>
    <w:rsid w:val="00BE5CA2"/>
    <w:rsid w:val="00BE5D1D"/>
    <w:rsid w:val="00BE5E24"/>
    <w:rsid w:val="00BE6827"/>
    <w:rsid w:val="00BE697B"/>
    <w:rsid w:val="00BE6E79"/>
    <w:rsid w:val="00BE70E8"/>
    <w:rsid w:val="00BE7982"/>
    <w:rsid w:val="00BF0E76"/>
    <w:rsid w:val="00BF19DC"/>
    <w:rsid w:val="00BF2238"/>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2EC"/>
    <w:rsid w:val="00C1043C"/>
    <w:rsid w:val="00C10D90"/>
    <w:rsid w:val="00C11BB5"/>
    <w:rsid w:val="00C12A51"/>
    <w:rsid w:val="00C12C65"/>
    <w:rsid w:val="00C12CD1"/>
    <w:rsid w:val="00C13FD4"/>
    <w:rsid w:val="00C1591E"/>
    <w:rsid w:val="00C15EDD"/>
    <w:rsid w:val="00C1601B"/>
    <w:rsid w:val="00C173EE"/>
    <w:rsid w:val="00C20D36"/>
    <w:rsid w:val="00C21038"/>
    <w:rsid w:val="00C2286B"/>
    <w:rsid w:val="00C2396B"/>
    <w:rsid w:val="00C25C27"/>
    <w:rsid w:val="00C26865"/>
    <w:rsid w:val="00C26E4B"/>
    <w:rsid w:val="00C2785F"/>
    <w:rsid w:val="00C30BA6"/>
    <w:rsid w:val="00C31467"/>
    <w:rsid w:val="00C3174D"/>
    <w:rsid w:val="00C32E6D"/>
    <w:rsid w:val="00C33B06"/>
    <w:rsid w:val="00C33CB1"/>
    <w:rsid w:val="00C33F0C"/>
    <w:rsid w:val="00C34CCB"/>
    <w:rsid w:val="00C34D57"/>
    <w:rsid w:val="00C35382"/>
    <w:rsid w:val="00C35515"/>
    <w:rsid w:val="00C35807"/>
    <w:rsid w:val="00C35A4B"/>
    <w:rsid w:val="00C36696"/>
    <w:rsid w:val="00C36720"/>
    <w:rsid w:val="00C36777"/>
    <w:rsid w:val="00C36FA8"/>
    <w:rsid w:val="00C37518"/>
    <w:rsid w:val="00C37F00"/>
    <w:rsid w:val="00C4090B"/>
    <w:rsid w:val="00C421C9"/>
    <w:rsid w:val="00C426C5"/>
    <w:rsid w:val="00C42A27"/>
    <w:rsid w:val="00C42A3A"/>
    <w:rsid w:val="00C42D47"/>
    <w:rsid w:val="00C437C6"/>
    <w:rsid w:val="00C4517F"/>
    <w:rsid w:val="00C45232"/>
    <w:rsid w:val="00C45468"/>
    <w:rsid w:val="00C46646"/>
    <w:rsid w:val="00C46AA1"/>
    <w:rsid w:val="00C46E94"/>
    <w:rsid w:val="00C4704E"/>
    <w:rsid w:val="00C4713F"/>
    <w:rsid w:val="00C505E3"/>
    <w:rsid w:val="00C5090C"/>
    <w:rsid w:val="00C51509"/>
    <w:rsid w:val="00C52097"/>
    <w:rsid w:val="00C52BA5"/>
    <w:rsid w:val="00C52F47"/>
    <w:rsid w:val="00C5321A"/>
    <w:rsid w:val="00C53323"/>
    <w:rsid w:val="00C53F9A"/>
    <w:rsid w:val="00C5400B"/>
    <w:rsid w:val="00C54D8C"/>
    <w:rsid w:val="00C55296"/>
    <w:rsid w:val="00C55398"/>
    <w:rsid w:val="00C56828"/>
    <w:rsid w:val="00C56AF6"/>
    <w:rsid w:val="00C56F43"/>
    <w:rsid w:val="00C56F74"/>
    <w:rsid w:val="00C57493"/>
    <w:rsid w:val="00C605E6"/>
    <w:rsid w:val="00C60AA2"/>
    <w:rsid w:val="00C61242"/>
    <w:rsid w:val="00C63EF4"/>
    <w:rsid w:val="00C64533"/>
    <w:rsid w:val="00C64693"/>
    <w:rsid w:val="00C64D07"/>
    <w:rsid w:val="00C653CC"/>
    <w:rsid w:val="00C66CEF"/>
    <w:rsid w:val="00C670FE"/>
    <w:rsid w:val="00C6758A"/>
    <w:rsid w:val="00C67A0B"/>
    <w:rsid w:val="00C70DE0"/>
    <w:rsid w:val="00C71087"/>
    <w:rsid w:val="00C71E3C"/>
    <w:rsid w:val="00C73BC0"/>
    <w:rsid w:val="00C73C17"/>
    <w:rsid w:val="00C75492"/>
    <w:rsid w:val="00C76CF1"/>
    <w:rsid w:val="00C76F93"/>
    <w:rsid w:val="00C77037"/>
    <w:rsid w:val="00C77C78"/>
    <w:rsid w:val="00C8146C"/>
    <w:rsid w:val="00C8231E"/>
    <w:rsid w:val="00C846DD"/>
    <w:rsid w:val="00C85CA6"/>
    <w:rsid w:val="00C85E3F"/>
    <w:rsid w:val="00C8658F"/>
    <w:rsid w:val="00C873DA"/>
    <w:rsid w:val="00C90A7F"/>
    <w:rsid w:val="00C91200"/>
    <w:rsid w:val="00C9147E"/>
    <w:rsid w:val="00C925ED"/>
    <w:rsid w:val="00C92799"/>
    <w:rsid w:val="00C92D34"/>
    <w:rsid w:val="00C9339F"/>
    <w:rsid w:val="00C93D62"/>
    <w:rsid w:val="00C95976"/>
    <w:rsid w:val="00C96618"/>
    <w:rsid w:val="00C96A10"/>
    <w:rsid w:val="00C9753B"/>
    <w:rsid w:val="00CA0C87"/>
    <w:rsid w:val="00CA19CD"/>
    <w:rsid w:val="00CA1DC1"/>
    <w:rsid w:val="00CA1F28"/>
    <w:rsid w:val="00CA2093"/>
    <w:rsid w:val="00CA20F3"/>
    <w:rsid w:val="00CA2747"/>
    <w:rsid w:val="00CA2B52"/>
    <w:rsid w:val="00CA2BE4"/>
    <w:rsid w:val="00CA4A62"/>
    <w:rsid w:val="00CA561E"/>
    <w:rsid w:val="00CA5B58"/>
    <w:rsid w:val="00CA659E"/>
    <w:rsid w:val="00CA6A39"/>
    <w:rsid w:val="00CA7DAD"/>
    <w:rsid w:val="00CB0E83"/>
    <w:rsid w:val="00CB23DD"/>
    <w:rsid w:val="00CB2757"/>
    <w:rsid w:val="00CB2FE7"/>
    <w:rsid w:val="00CB3B57"/>
    <w:rsid w:val="00CB3D33"/>
    <w:rsid w:val="00CB42AE"/>
    <w:rsid w:val="00CB5100"/>
    <w:rsid w:val="00CB6203"/>
    <w:rsid w:val="00CB6768"/>
    <w:rsid w:val="00CB768F"/>
    <w:rsid w:val="00CC0848"/>
    <w:rsid w:val="00CC17DB"/>
    <w:rsid w:val="00CC20D5"/>
    <w:rsid w:val="00CC2CF9"/>
    <w:rsid w:val="00CC2F01"/>
    <w:rsid w:val="00CC5661"/>
    <w:rsid w:val="00CC586C"/>
    <w:rsid w:val="00CC5BCB"/>
    <w:rsid w:val="00CC6453"/>
    <w:rsid w:val="00CD2D8A"/>
    <w:rsid w:val="00CD31EA"/>
    <w:rsid w:val="00CD36D8"/>
    <w:rsid w:val="00CD442F"/>
    <w:rsid w:val="00CD4B6F"/>
    <w:rsid w:val="00CD5817"/>
    <w:rsid w:val="00CD692F"/>
    <w:rsid w:val="00CE0392"/>
    <w:rsid w:val="00CE184D"/>
    <w:rsid w:val="00CE2303"/>
    <w:rsid w:val="00CE2576"/>
    <w:rsid w:val="00CE2604"/>
    <w:rsid w:val="00CE2A86"/>
    <w:rsid w:val="00CE34B8"/>
    <w:rsid w:val="00CE392B"/>
    <w:rsid w:val="00CE46E3"/>
    <w:rsid w:val="00CE5481"/>
    <w:rsid w:val="00CE54D7"/>
    <w:rsid w:val="00CE5866"/>
    <w:rsid w:val="00CF003F"/>
    <w:rsid w:val="00CF0045"/>
    <w:rsid w:val="00CF019D"/>
    <w:rsid w:val="00CF278D"/>
    <w:rsid w:val="00CF7194"/>
    <w:rsid w:val="00CF744B"/>
    <w:rsid w:val="00CF74AE"/>
    <w:rsid w:val="00CF75E6"/>
    <w:rsid w:val="00CF7C90"/>
    <w:rsid w:val="00CF7EA0"/>
    <w:rsid w:val="00D00393"/>
    <w:rsid w:val="00D00600"/>
    <w:rsid w:val="00D00A29"/>
    <w:rsid w:val="00D02612"/>
    <w:rsid w:val="00D0329F"/>
    <w:rsid w:val="00D041D1"/>
    <w:rsid w:val="00D04372"/>
    <w:rsid w:val="00D04604"/>
    <w:rsid w:val="00D04F9C"/>
    <w:rsid w:val="00D05DB1"/>
    <w:rsid w:val="00D06299"/>
    <w:rsid w:val="00D0750D"/>
    <w:rsid w:val="00D07781"/>
    <w:rsid w:val="00D1045D"/>
    <w:rsid w:val="00D109DE"/>
    <w:rsid w:val="00D133AA"/>
    <w:rsid w:val="00D13B0B"/>
    <w:rsid w:val="00D13CCF"/>
    <w:rsid w:val="00D14CF7"/>
    <w:rsid w:val="00D1576E"/>
    <w:rsid w:val="00D15943"/>
    <w:rsid w:val="00D15BBC"/>
    <w:rsid w:val="00D15E67"/>
    <w:rsid w:val="00D170C5"/>
    <w:rsid w:val="00D17767"/>
    <w:rsid w:val="00D17F09"/>
    <w:rsid w:val="00D2057B"/>
    <w:rsid w:val="00D20ABB"/>
    <w:rsid w:val="00D24AEE"/>
    <w:rsid w:val="00D25315"/>
    <w:rsid w:val="00D25B4B"/>
    <w:rsid w:val="00D26A33"/>
    <w:rsid w:val="00D27CA4"/>
    <w:rsid w:val="00D30168"/>
    <w:rsid w:val="00D3073E"/>
    <w:rsid w:val="00D30EC2"/>
    <w:rsid w:val="00D31676"/>
    <w:rsid w:val="00D316C8"/>
    <w:rsid w:val="00D335E1"/>
    <w:rsid w:val="00D337D5"/>
    <w:rsid w:val="00D33FB9"/>
    <w:rsid w:val="00D340A6"/>
    <w:rsid w:val="00D34817"/>
    <w:rsid w:val="00D3504E"/>
    <w:rsid w:val="00D365BB"/>
    <w:rsid w:val="00D36F8C"/>
    <w:rsid w:val="00D3795A"/>
    <w:rsid w:val="00D37AB5"/>
    <w:rsid w:val="00D40212"/>
    <w:rsid w:val="00D404D9"/>
    <w:rsid w:val="00D40C74"/>
    <w:rsid w:val="00D43282"/>
    <w:rsid w:val="00D43EA4"/>
    <w:rsid w:val="00D44508"/>
    <w:rsid w:val="00D44776"/>
    <w:rsid w:val="00D476E4"/>
    <w:rsid w:val="00D47810"/>
    <w:rsid w:val="00D50FB8"/>
    <w:rsid w:val="00D5128E"/>
    <w:rsid w:val="00D52FD0"/>
    <w:rsid w:val="00D53581"/>
    <w:rsid w:val="00D535E4"/>
    <w:rsid w:val="00D53C9E"/>
    <w:rsid w:val="00D53D9D"/>
    <w:rsid w:val="00D54385"/>
    <w:rsid w:val="00D54CBD"/>
    <w:rsid w:val="00D6011B"/>
    <w:rsid w:val="00D60591"/>
    <w:rsid w:val="00D606D9"/>
    <w:rsid w:val="00D61591"/>
    <w:rsid w:val="00D6259C"/>
    <w:rsid w:val="00D63630"/>
    <w:rsid w:val="00D636FD"/>
    <w:rsid w:val="00D63B91"/>
    <w:rsid w:val="00D64A4A"/>
    <w:rsid w:val="00D657C5"/>
    <w:rsid w:val="00D659F7"/>
    <w:rsid w:val="00D6679C"/>
    <w:rsid w:val="00D66B09"/>
    <w:rsid w:val="00D676D1"/>
    <w:rsid w:val="00D67C3D"/>
    <w:rsid w:val="00D70036"/>
    <w:rsid w:val="00D72F5D"/>
    <w:rsid w:val="00D7309F"/>
    <w:rsid w:val="00D735F7"/>
    <w:rsid w:val="00D7370C"/>
    <w:rsid w:val="00D73EE6"/>
    <w:rsid w:val="00D73FAF"/>
    <w:rsid w:val="00D73FE3"/>
    <w:rsid w:val="00D742D2"/>
    <w:rsid w:val="00D744DC"/>
    <w:rsid w:val="00D74556"/>
    <w:rsid w:val="00D7552E"/>
    <w:rsid w:val="00D75CF7"/>
    <w:rsid w:val="00D75F59"/>
    <w:rsid w:val="00D763B2"/>
    <w:rsid w:val="00D764CC"/>
    <w:rsid w:val="00D776C3"/>
    <w:rsid w:val="00D77817"/>
    <w:rsid w:val="00D80153"/>
    <w:rsid w:val="00D814BC"/>
    <w:rsid w:val="00D81AC7"/>
    <w:rsid w:val="00D83E45"/>
    <w:rsid w:val="00D842C5"/>
    <w:rsid w:val="00D842CD"/>
    <w:rsid w:val="00D8495C"/>
    <w:rsid w:val="00D86737"/>
    <w:rsid w:val="00D8696A"/>
    <w:rsid w:val="00D90419"/>
    <w:rsid w:val="00D90551"/>
    <w:rsid w:val="00D90F5A"/>
    <w:rsid w:val="00D9153B"/>
    <w:rsid w:val="00D9160A"/>
    <w:rsid w:val="00D9193A"/>
    <w:rsid w:val="00D94372"/>
    <w:rsid w:val="00D95903"/>
    <w:rsid w:val="00D95D78"/>
    <w:rsid w:val="00D9714D"/>
    <w:rsid w:val="00DA0810"/>
    <w:rsid w:val="00DA12D6"/>
    <w:rsid w:val="00DA1402"/>
    <w:rsid w:val="00DA1CB8"/>
    <w:rsid w:val="00DA2615"/>
    <w:rsid w:val="00DA2DD8"/>
    <w:rsid w:val="00DA37B7"/>
    <w:rsid w:val="00DA3FCE"/>
    <w:rsid w:val="00DA4B42"/>
    <w:rsid w:val="00DA57DA"/>
    <w:rsid w:val="00DA695B"/>
    <w:rsid w:val="00DA6FC6"/>
    <w:rsid w:val="00DA7865"/>
    <w:rsid w:val="00DB0673"/>
    <w:rsid w:val="00DB1F63"/>
    <w:rsid w:val="00DB2BE7"/>
    <w:rsid w:val="00DB40EF"/>
    <w:rsid w:val="00DB4130"/>
    <w:rsid w:val="00DB4203"/>
    <w:rsid w:val="00DB428C"/>
    <w:rsid w:val="00DB4C4C"/>
    <w:rsid w:val="00DB6B88"/>
    <w:rsid w:val="00DB6CCB"/>
    <w:rsid w:val="00DB7CA1"/>
    <w:rsid w:val="00DC094F"/>
    <w:rsid w:val="00DC185F"/>
    <w:rsid w:val="00DC24B5"/>
    <w:rsid w:val="00DC25DA"/>
    <w:rsid w:val="00DC2676"/>
    <w:rsid w:val="00DC3FFB"/>
    <w:rsid w:val="00DC410C"/>
    <w:rsid w:val="00DC4325"/>
    <w:rsid w:val="00DC4915"/>
    <w:rsid w:val="00DC4C59"/>
    <w:rsid w:val="00DC5149"/>
    <w:rsid w:val="00DC5B77"/>
    <w:rsid w:val="00DC5D9A"/>
    <w:rsid w:val="00DC68E1"/>
    <w:rsid w:val="00DC7FCE"/>
    <w:rsid w:val="00DD0452"/>
    <w:rsid w:val="00DD0F08"/>
    <w:rsid w:val="00DD1663"/>
    <w:rsid w:val="00DD1B88"/>
    <w:rsid w:val="00DD334C"/>
    <w:rsid w:val="00DD34E8"/>
    <w:rsid w:val="00DD34F8"/>
    <w:rsid w:val="00DD3594"/>
    <w:rsid w:val="00DD3C08"/>
    <w:rsid w:val="00DE0476"/>
    <w:rsid w:val="00DE1189"/>
    <w:rsid w:val="00DE1B2F"/>
    <w:rsid w:val="00DE1C5A"/>
    <w:rsid w:val="00DE2A65"/>
    <w:rsid w:val="00DE2AAC"/>
    <w:rsid w:val="00DE2AEC"/>
    <w:rsid w:val="00DE3889"/>
    <w:rsid w:val="00DE4B9B"/>
    <w:rsid w:val="00DE54F2"/>
    <w:rsid w:val="00DE5BC1"/>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5A9B"/>
    <w:rsid w:val="00DF6280"/>
    <w:rsid w:val="00DF6E8D"/>
    <w:rsid w:val="00DF7B14"/>
    <w:rsid w:val="00DF7B16"/>
    <w:rsid w:val="00E00009"/>
    <w:rsid w:val="00E01EF4"/>
    <w:rsid w:val="00E022B9"/>
    <w:rsid w:val="00E02A90"/>
    <w:rsid w:val="00E02CF2"/>
    <w:rsid w:val="00E035EE"/>
    <w:rsid w:val="00E04947"/>
    <w:rsid w:val="00E05041"/>
    <w:rsid w:val="00E057E9"/>
    <w:rsid w:val="00E064D9"/>
    <w:rsid w:val="00E069F7"/>
    <w:rsid w:val="00E06C35"/>
    <w:rsid w:val="00E0710D"/>
    <w:rsid w:val="00E0729F"/>
    <w:rsid w:val="00E07F71"/>
    <w:rsid w:val="00E101C6"/>
    <w:rsid w:val="00E10317"/>
    <w:rsid w:val="00E10658"/>
    <w:rsid w:val="00E113E4"/>
    <w:rsid w:val="00E114D8"/>
    <w:rsid w:val="00E116ED"/>
    <w:rsid w:val="00E11735"/>
    <w:rsid w:val="00E1256E"/>
    <w:rsid w:val="00E1347F"/>
    <w:rsid w:val="00E1621B"/>
    <w:rsid w:val="00E16BC4"/>
    <w:rsid w:val="00E21114"/>
    <w:rsid w:val="00E22B84"/>
    <w:rsid w:val="00E22CA6"/>
    <w:rsid w:val="00E25363"/>
    <w:rsid w:val="00E25E8A"/>
    <w:rsid w:val="00E26045"/>
    <w:rsid w:val="00E26BDB"/>
    <w:rsid w:val="00E26DF9"/>
    <w:rsid w:val="00E27298"/>
    <w:rsid w:val="00E27304"/>
    <w:rsid w:val="00E27E57"/>
    <w:rsid w:val="00E304D5"/>
    <w:rsid w:val="00E307BE"/>
    <w:rsid w:val="00E30CC7"/>
    <w:rsid w:val="00E33084"/>
    <w:rsid w:val="00E330D9"/>
    <w:rsid w:val="00E337F5"/>
    <w:rsid w:val="00E339E4"/>
    <w:rsid w:val="00E34EBC"/>
    <w:rsid w:val="00E3529F"/>
    <w:rsid w:val="00E352D0"/>
    <w:rsid w:val="00E354A9"/>
    <w:rsid w:val="00E35E41"/>
    <w:rsid w:val="00E35E77"/>
    <w:rsid w:val="00E37211"/>
    <w:rsid w:val="00E37567"/>
    <w:rsid w:val="00E37848"/>
    <w:rsid w:val="00E4034D"/>
    <w:rsid w:val="00E40366"/>
    <w:rsid w:val="00E404B3"/>
    <w:rsid w:val="00E41EE7"/>
    <w:rsid w:val="00E42084"/>
    <w:rsid w:val="00E44854"/>
    <w:rsid w:val="00E4540D"/>
    <w:rsid w:val="00E45C88"/>
    <w:rsid w:val="00E46CA7"/>
    <w:rsid w:val="00E47B94"/>
    <w:rsid w:val="00E47C56"/>
    <w:rsid w:val="00E50B82"/>
    <w:rsid w:val="00E5135E"/>
    <w:rsid w:val="00E51630"/>
    <w:rsid w:val="00E53763"/>
    <w:rsid w:val="00E53D81"/>
    <w:rsid w:val="00E542AD"/>
    <w:rsid w:val="00E543FB"/>
    <w:rsid w:val="00E552CC"/>
    <w:rsid w:val="00E55808"/>
    <w:rsid w:val="00E559EA"/>
    <w:rsid w:val="00E55EFC"/>
    <w:rsid w:val="00E5696D"/>
    <w:rsid w:val="00E56C91"/>
    <w:rsid w:val="00E56E45"/>
    <w:rsid w:val="00E6161C"/>
    <w:rsid w:val="00E62DEC"/>
    <w:rsid w:val="00E63233"/>
    <w:rsid w:val="00E63632"/>
    <w:rsid w:val="00E63FE6"/>
    <w:rsid w:val="00E65960"/>
    <w:rsid w:val="00E65F8A"/>
    <w:rsid w:val="00E66ECB"/>
    <w:rsid w:val="00E67486"/>
    <w:rsid w:val="00E7055E"/>
    <w:rsid w:val="00E71139"/>
    <w:rsid w:val="00E717FF"/>
    <w:rsid w:val="00E727CE"/>
    <w:rsid w:val="00E73D84"/>
    <w:rsid w:val="00E749E1"/>
    <w:rsid w:val="00E8007A"/>
    <w:rsid w:val="00E803C0"/>
    <w:rsid w:val="00E80578"/>
    <w:rsid w:val="00E80B43"/>
    <w:rsid w:val="00E82872"/>
    <w:rsid w:val="00E833CB"/>
    <w:rsid w:val="00E83995"/>
    <w:rsid w:val="00E83CBA"/>
    <w:rsid w:val="00E83D2E"/>
    <w:rsid w:val="00E83E6F"/>
    <w:rsid w:val="00E83FB2"/>
    <w:rsid w:val="00E844D4"/>
    <w:rsid w:val="00E85BC9"/>
    <w:rsid w:val="00E85FEA"/>
    <w:rsid w:val="00E87681"/>
    <w:rsid w:val="00E90615"/>
    <w:rsid w:val="00E916E6"/>
    <w:rsid w:val="00E9185D"/>
    <w:rsid w:val="00E91FE0"/>
    <w:rsid w:val="00E952BC"/>
    <w:rsid w:val="00E95AC2"/>
    <w:rsid w:val="00E97167"/>
    <w:rsid w:val="00E97787"/>
    <w:rsid w:val="00E97DBB"/>
    <w:rsid w:val="00EA0169"/>
    <w:rsid w:val="00EA093A"/>
    <w:rsid w:val="00EA3781"/>
    <w:rsid w:val="00EA4040"/>
    <w:rsid w:val="00EA5017"/>
    <w:rsid w:val="00EA5023"/>
    <w:rsid w:val="00EA5934"/>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C2DEA"/>
    <w:rsid w:val="00EC5794"/>
    <w:rsid w:val="00EC5A6C"/>
    <w:rsid w:val="00ED024E"/>
    <w:rsid w:val="00ED0615"/>
    <w:rsid w:val="00ED194C"/>
    <w:rsid w:val="00ED2C26"/>
    <w:rsid w:val="00ED3898"/>
    <w:rsid w:val="00ED38BF"/>
    <w:rsid w:val="00ED3F25"/>
    <w:rsid w:val="00ED5DB2"/>
    <w:rsid w:val="00ED5EC2"/>
    <w:rsid w:val="00ED6DC4"/>
    <w:rsid w:val="00ED7975"/>
    <w:rsid w:val="00EE009D"/>
    <w:rsid w:val="00EE0A9C"/>
    <w:rsid w:val="00EE0DF2"/>
    <w:rsid w:val="00EE1124"/>
    <w:rsid w:val="00EE15E5"/>
    <w:rsid w:val="00EE21DD"/>
    <w:rsid w:val="00EE3D15"/>
    <w:rsid w:val="00EE4131"/>
    <w:rsid w:val="00EE56DF"/>
    <w:rsid w:val="00EE587F"/>
    <w:rsid w:val="00EE5ED7"/>
    <w:rsid w:val="00EE64CC"/>
    <w:rsid w:val="00EE6A62"/>
    <w:rsid w:val="00EE6D6B"/>
    <w:rsid w:val="00EE6EA2"/>
    <w:rsid w:val="00EE70C7"/>
    <w:rsid w:val="00EF1A24"/>
    <w:rsid w:val="00EF1BF1"/>
    <w:rsid w:val="00EF2C75"/>
    <w:rsid w:val="00EF35FC"/>
    <w:rsid w:val="00EF4FAC"/>
    <w:rsid w:val="00EF5716"/>
    <w:rsid w:val="00EF67A6"/>
    <w:rsid w:val="00EF7156"/>
    <w:rsid w:val="00EF71E1"/>
    <w:rsid w:val="00F003B9"/>
    <w:rsid w:val="00F0149D"/>
    <w:rsid w:val="00F01BD5"/>
    <w:rsid w:val="00F024E3"/>
    <w:rsid w:val="00F025C0"/>
    <w:rsid w:val="00F0264E"/>
    <w:rsid w:val="00F02815"/>
    <w:rsid w:val="00F041B2"/>
    <w:rsid w:val="00F04ED2"/>
    <w:rsid w:val="00F0505F"/>
    <w:rsid w:val="00F05EAF"/>
    <w:rsid w:val="00F063E8"/>
    <w:rsid w:val="00F0656F"/>
    <w:rsid w:val="00F069F3"/>
    <w:rsid w:val="00F06D7C"/>
    <w:rsid w:val="00F079F3"/>
    <w:rsid w:val="00F1049D"/>
    <w:rsid w:val="00F110C4"/>
    <w:rsid w:val="00F119F0"/>
    <w:rsid w:val="00F147FD"/>
    <w:rsid w:val="00F1559F"/>
    <w:rsid w:val="00F159F0"/>
    <w:rsid w:val="00F15C8C"/>
    <w:rsid w:val="00F15FC1"/>
    <w:rsid w:val="00F166CE"/>
    <w:rsid w:val="00F16D07"/>
    <w:rsid w:val="00F17762"/>
    <w:rsid w:val="00F23024"/>
    <w:rsid w:val="00F23C5A"/>
    <w:rsid w:val="00F23E91"/>
    <w:rsid w:val="00F24F77"/>
    <w:rsid w:val="00F261BC"/>
    <w:rsid w:val="00F268E4"/>
    <w:rsid w:val="00F277D4"/>
    <w:rsid w:val="00F30466"/>
    <w:rsid w:val="00F30A70"/>
    <w:rsid w:val="00F31104"/>
    <w:rsid w:val="00F31D17"/>
    <w:rsid w:val="00F33E65"/>
    <w:rsid w:val="00F34E93"/>
    <w:rsid w:val="00F358F0"/>
    <w:rsid w:val="00F35E7D"/>
    <w:rsid w:val="00F36A90"/>
    <w:rsid w:val="00F417E3"/>
    <w:rsid w:val="00F43F5A"/>
    <w:rsid w:val="00F44511"/>
    <w:rsid w:val="00F4474B"/>
    <w:rsid w:val="00F44FCF"/>
    <w:rsid w:val="00F45197"/>
    <w:rsid w:val="00F45708"/>
    <w:rsid w:val="00F459D8"/>
    <w:rsid w:val="00F46312"/>
    <w:rsid w:val="00F475FD"/>
    <w:rsid w:val="00F5097D"/>
    <w:rsid w:val="00F513E5"/>
    <w:rsid w:val="00F5219B"/>
    <w:rsid w:val="00F526C5"/>
    <w:rsid w:val="00F527A6"/>
    <w:rsid w:val="00F53138"/>
    <w:rsid w:val="00F534C0"/>
    <w:rsid w:val="00F5475D"/>
    <w:rsid w:val="00F54930"/>
    <w:rsid w:val="00F5523B"/>
    <w:rsid w:val="00F561ED"/>
    <w:rsid w:val="00F563F5"/>
    <w:rsid w:val="00F57FBE"/>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3DFB"/>
    <w:rsid w:val="00F80602"/>
    <w:rsid w:val="00F81376"/>
    <w:rsid w:val="00F814DF"/>
    <w:rsid w:val="00F81716"/>
    <w:rsid w:val="00F81E48"/>
    <w:rsid w:val="00F82A70"/>
    <w:rsid w:val="00F83AF1"/>
    <w:rsid w:val="00F8489E"/>
    <w:rsid w:val="00F84C20"/>
    <w:rsid w:val="00F85D2B"/>
    <w:rsid w:val="00F87614"/>
    <w:rsid w:val="00F87F8F"/>
    <w:rsid w:val="00F91871"/>
    <w:rsid w:val="00F91FFB"/>
    <w:rsid w:val="00F92112"/>
    <w:rsid w:val="00F9230A"/>
    <w:rsid w:val="00F92366"/>
    <w:rsid w:val="00F92753"/>
    <w:rsid w:val="00F94606"/>
    <w:rsid w:val="00F9598E"/>
    <w:rsid w:val="00F96B32"/>
    <w:rsid w:val="00F9735A"/>
    <w:rsid w:val="00FA42F4"/>
    <w:rsid w:val="00FA4EBA"/>
    <w:rsid w:val="00FA6502"/>
    <w:rsid w:val="00FA6AFC"/>
    <w:rsid w:val="00FA7B72"/>
    <w:rsid w:val="00FB0139"/>
    <w:rsid w:val="00FB0730"/>
    <w:rsid w:val="00FB0BC1"/>
    <w:rsid w:val="00FB0F68"/>
    <w:rsid w:val="00FB14A0"/>
    <w:rsid w:val="00FB34A3"/>
    <w:rsid w:val="00FB3EF1"/>
    <w:rsid w:val="00FB4E4A"/>
    <w:rsid w:val="00FB5BE3"/>
    <w:rsid w:val="00FB6C88"/>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1DE2"/>
    <w:rsid w:val="00FD3049"/>
    <w:rsid w:val="00FD3151"/>
    <w:rsid w:val="00FD5177"/>
    <w:rsid w:val="00FD5398"/>
    <w:rsid w:val="00FD6A47"/>
    <w:rsid w:val="00FE0980"/>
    <w:rsid w:val="00FE0E12"/>
    <w:rsid w:val="00FE35E1"/>
    <w:rsid w:val="00FE3AFC"/>
    <w:rsid w:val="00FE4168"/>
    <w:rsid w:val="00FE4D5E"/>
    <w:rsid w:val="00FE6D86"/>
    <w:rsid w:val="00FE7385"/>
    <w:rsid w:val="00FE7FB0"/>
    <w:rsid w:val="00FF0DA7"/>
    <w:rsid w:val="00FF252B"/>
    <w:rsid w:val="00FF290C"/>
    <w:rsid w:val="00FF2C03"/>
    <w:rsid w:val="00FF3276"/>
    <w:rsid w:val="00FF3C7C"/>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uiPriority w:val="9"/>
    <w:qFormat/>
    <w:rsid w:val="00D9153B"/>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locked/>
    <w:rsid w:val="0059376D"/>
    <w:pPr>
      <w:keepNext/>
      <w:keepLines/>
      <w:spacing w:line="259" w:lineRule="auto"/>
      <w:ind w:left="708"/>
      <w:outlineLvl w:val="2"/>
    </w:pPr>
    <w:rPr>
      <w:b/>
      <w:sz w:val="24"/>
      <w:szCs w:val="24"/>
      <w:lang w:val="fr-FR"/>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uiPriority w:val="99"/>
    <w:semiHidden/>
    <w:unhideWhenUsed/>
    <w:rsid w:val="00704095"/>
    <w:rPr>
      <w:color w:val="800080" w:themeColor="followedHyperlink"/>
      <w:u w:val="single"/>
    </w:rPr>
  </w:style>
  <w:style w:type="character" w:customStyle="1" w:styleId="Mentionnonrsolue1">
    <w:name w:val="Mention non résolue1"/>
    <w:basedOn w:val="DefaultParagraphFont"/>
    <w:uiPriority w:val="99"/>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harCharChar">
    <w:name w:val="BVI fnr Char Char Char"/>
    <w:aliases w:val="ftref Char Char Char,16 Point Char Char Char,Superscript 6 Point Char Char Char"/>
    <w:basedOn w:val="Normal"/>
    <w:uiPriority w:val="99"/>
    <w:rsid w:val="00E22CA6"/>
    <w:pPr>
      <w:spacing w:before="120" w:line="240" w:lineRule="exact"/>
      <w:jc w:val="both"/>
    </w:pPr>
    <w:rPr>
      <w:vertAlign w:val="superscript"/>
      <w:lang w:val="fr-FR" w:eastAsia="fr-FR"/>
    </w:rPr>
  </w:style>
  <w:style w:type="paragraph" w:customStyle="1" w:styleId="CPDTexte">
    <w:name w:val="CPD Texte"/>
    <w:basedOn w:val="ListParagraph"/>
    <w:link w:val="CPDTexteCar"/>
    <w:qFormat/>
    <w:rsid w:val="00E22CA6"/>
    <w:pPr>
      <w:numPr>
        <w:numId w:val="3"/>
      </w:numPr>
      <w:tabs>
        <w:tab w:val="left" w:pos="1560"/>
      </w:tabs>
      <w:suppressAutoHyphens/>
      <w:autoSpaceDN w:val="0"/>
      <w:spacing w:after="120"/>
      <w:ind w:left="1196" w:right="1196" w:firstLine="0"/>
      <w:jc w:val="both"/>
      <w:textAlignment w:val="baseline"/>
    </w:pPr>
  </w:style>
  <w:style w:type="character" w:customStyle="1" w:styleId="CPDTexteCar">
    <w:name w:val="CPD Texte Car"/>
    <w:basedOn w:val="DefaultParagraphFont"/>
    <w:link w:val="CPDTexte"/>
    <w:rsid w:val="00E22CA6"/>
    <w:rPr>
      <w:lang w:val="en-US" w:eastAsia="en-US"/>
    </w:rPr>
  </w:style>
  <w:style w:type="character" w:customStyle="1" w:styleId="normaltextrun">
    <w:name w:val="normaltextrun"/>
    <w:basedOn w:val="DefaultParagraphFont"/>
    <w:rsid w:val="00D73FE3"/>
  </w:style>
  <w:style w:type="paragraph" w:customStyle="1" w:styleId="BVIfnrCarCar">
    <w:name w:val="BVI fnr Car Car"/>
    <w:aliases w:val="BVI fnr Car,BVI fnr Car Car Car Car"/>
    <w:basedOn w:val="Normal"/>
    <w:uiPriority w:val="99"/>
    <w:rsid w:val="00BE6E79"/>
    <w:pPr>
      <w:autoSpaceDE w:val="0"/>
      <w:autoSpaceDN w:val="0"/>
      <w:adjustRightInd w:val="0"/>
      <w:spacing w:line="240" w:lineRule="exact"/>
    </w:pPr>
    <w:rPr>
      <w:vertAlign w:val="superscript"/>
      <w:lang w:val="en-GB" w:eastAsia="en-GB"/>
    </w:rPr>
  </w:style>
  <w:style w:type="paragraph" w:customStyle="1" w:styleId="xxparagraph">
    <w:name w:val="x_xparagraph"/>
    <w:basedOn w:val="Normal"/>
    <w:rsid w:val="00BE6E79"/>
    <w:pPr>
      <w:spacing w:before="100" w:beforeAutospacing="1" w:after="100" w:afterAutospacing="1"/>
    </w:pPr>
    <w:rPr>
      <w:rFonts w:ascii="Calibri" w:eastAsiaTheme="minorHAnsi" w:hAnsi="Calibri"/>
      <w:sz w:val="22"/>
      <w:szCs w:val="22"/>
      <w:lang w:val="en-GB" w:eastAsia="en-GB"/>
    </w:rPr>
  </w:style>
  <w:style w:type="character" w:customStyle="1" w:styleId="eop">
    <w:name w:val="eop"/>
    <w:basedOn w:val="DefaultParagraphFont"/>
    <w:rsid w:val="00BE6E79"/>
  </w:style>
  <w:style w:type="paragraph" w:customStyle="1" w:styleId="paragraph">
    <w:name w:val="paragraph"/>
    <w:basedOn w:val="Normal"/>
    <w:rsid w:val="00BE6E79"/>
    <w:pPr>
      <w:spacing w:before="100" w:beforeAutospacing="1" w:after="100" w:afterAutospacing="1"/>
    </w:pPr>
    <w:rPr>
      <w:sz w:val="24"/>
      <w:szCs w:val="24"/>
    </w:rPr>
  </w:style>
  <w:style w:type="character" w:customStyle="1" w:styleId="apple-converted-space">
    <w:name w:val="apple-converted-space"/>
    <w:basedOn w:val="DefaultParagraphFont"/>
    <w:rsid w:val="00BE6E79"/>
  </w:style>
  <w:style w:type="paragraph" w:customStyle="1" w:styleId="ListBullet1">
    <w:name w:val="List Bullet1"/>
    <w:basedOn w:val="Normal"/>
    <w:next w:val="ListBullet"/>
    <w:uiPriority w:val="99"/>
    <w:semiHidden/>
    <w:rsid w:val="00745C26"/>
    <w:pPr>
      <w:numPr>
        <w:numId w:val="5"/>
      </w:numPr>
      <w:tabs>
        <w:tab w:val="clear" w:pos="9781"/>
        <w:tab w:val="num" w:pos="360"/>
      </w:tabs>
      <w:spacing w:after="160" w:line="256" w:lineRule="auto"/>
      <w:ind w:left="360"/>
      <w:contextualSpacing/>
    </w:pPr>
    <w:rPr>
      <w:vertAlign w:val="superscript"/>
      <w:lang w:val="en-GB" w:eastAsia="en-GB"/>
    </w:rPr>
  </w:style>
  <w:style w:type="paragraph" w:styleId="ListBullet">
    <w:name w:val="List Bullet"/>
    <w:basedOn w:val="Normal"/>
    <w:unhideWhenUsed/>
    <w:rsid w:val="00745C26"/>
    <w:pPr>
      <w:numPr>
        <w:numId w:val="4"/>
      </w:numPr>
      <w:contextualSpacing/>
    </w:pPr>
  </w:style>
  <w:style w:type="paragraph" w:customStyle="1" w:styleId="Default">
    <w:name w:val="Default"/>
    <w:qFormat/>
    <w:rsid w:val="00835EAA"/>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8C5974"/>
    <w:rPr>
      <w:color w:val="605E5C"/>
      <w:shd w:val="clear" w:color="auto" w:fill="E1DFDD"/>
    </w:rPr>
  </w:style>
  <w:style w:type="paragraph" w:styleId="EndnoteText">
    <w:name w:val="endnote text"/>
    <w:basedOn w:val="Normal"/>
    <w:link w:val="EndnoteTextChar"/>
    <w:uiPriority w:val="99"/>
    <w:semiHidden/>
    <w:unhideWhenUsed/>
    <w:rsid w:val="008C5974"/>
  </w:style>
  <w:style w:type="character" w:customStyle="1" w:styleId="EndnoteTextChar">
    <w:name w:val="Endnote Text Char"/>
    <w:basedOn w:val="DefaultParagraphFont"/>
    <w:link w:val="EndnoteText"/>
    <w:uiPriority w:val="99"/>
    <w:semiHidden/>
    <w:rsid w:val="008C5974"/>
    <w:rPr>
      <w:lang w:val="en-US" w:eastAsia="en-US"/>
    </w:rPr>
  </w:style>
  <w:style w:type="character" w:styleId="EndnoteReference">
    <w:name w:val="endnote reference"/>
    <w:basedOn w:val="DefaultParagraphFont"/>
    <w:uiPriority w:val="99"/>
    <w:semiHidden/>
    <w:unhideWhenUsed/>
    <w:rsid w:val="008C5974"/>
    <w:rPr>
      <w:vertAlign w:val="superscript"/>
    </w:rPr>
  </w:style>
  <w:style w:type="paragraph" w:styleId="HTMLPreformatted">
    <w:name w:val="HTML Preformatted"/>
    <w:basedOn w:val="Normal"/>
    <w:link w:val="HTMLPreformattedChar"/>
    <w:uiPriority w:val="99"/>
    <w:unhideWhenUsed/>
    <w:rsid w:val="008C5974"/>
    <w:rPr>
      <w:rFonts w:ascii="Consolas" w:hAnsi="Consolas"/>
    </w:rPr>
  </w:style>
  <w:style w:type="character" w:customStyle="1" w:styleId="HTMLPreformattedChar">
    <w:name w:val="HTML Preformatted Char"/>
    <w:basedOn w:val="DefaultParagraphFont"/>
    <w:link w:val="HTMLPreformatted"/>
    <w:uiPriority w:val="99"/>
    <w:rsid w:val="008C5974"/>
    <w:rPr>
      <w:rFonts w:ascii="Consolas" w:hAnsi="Consolas"/>
      <w:lang w:val="en-US" w:eastAsia="en-US"/>
    </w:rPr>
  </w:style>
  <w:style w:type="character" w:customStyle="1" w:styleId="ParagraphedelisteCar1">
    <w:name w:val="Paragraphe de liste Car1"/>
    <w:aliases w:val="List Paragraph (numbered (a)) Car1,Lapis Bulleted List Car1,Dot pt Car1,F5 List Paragraph Car1,List Paragraph1 Car1,No Spacing1 Car1,List Paragraph Char Char Char Car1,Indicator Text Car1,Numbered Para 1 Car1,Bullet 1 Car1,L Car"/>
    <w:uiPriority w:val="34"/>
    <w:qFormat/>
    <w:locked/>
    <w:rsid w:val="008C5974"/>
    <w:rPr>
      <w:lang w:val="en-US" w:eastAsia="en-US"/>
    </w:rPr>
  </w:style>
  <w:style w:type="paragraph" w:styleId="TOCHeading">
    <w:name w:val="TOC Heading"/>
    <w:basedOn w:val="Heading1"/>
    <w:next w:val="Normal"/>
    <w:uiPriority w:val="39"/>
    <w:unhideWhenUsed/>
    <w:qFormat/>
    <w:rsid w:val="005265CD"/>
    <w:pPr>
      <w:keepLines/>
      <w:widowControl/>
      <w:suppressAutoHyphens w:val="0"/>
      <w:spacing w:before="24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customStyle="1" w:styleId="Heading3Char">
    <w:name w:val="Heading 3 Char"/>
    <w:basedOn w:val="DefaultParagraphFont"/>
    <w:link w:val="Heading3"/>
    <w:uiPriority w:val="9"/>
    <w:rsid w:val="0059376D"/>
    <w:rPr>
      <w:b/>
      <w:sz w:val="24"/>
      <w:szCs w:val="24"/>
      <w:lang w:val="fr-FR" w:eastAsia="en-US"/>
    </w:rPr>
  </w:style>
  <w:style w:type="character" w:customStyle="1" w:styleId="Heading2Char">
    <w:name w:val="Heading 2 Char"/>
    <w:link w:val="Heading2"/>
    <w:uiPriority w:val="9"/>
    <w:rsid w:val="0059376D"/>
    <w:rPr>
      <w:rFonts w:ascii="Arial" w:hAnsi="Arial"/>
      <w:b/>
      <w:sz w:val="28"/>
      <w:lang w:val="en-US" w:eastAsia="en-US"/>
    </w:rPr>
  </w:style>
  <w:style w:type="paragraph" w:styleId="TOC1">
    <w:name w:val="toc 1"/>
    <w:basedOn w:val="Normal"/>
    <w:next w:val="Normal"/>
    <w:autoRedefine/>
    <w:uiPriority w:val="39"/>
    <w:unhideWhenUsed/>
    <w:rsid w:val="0059376D"/>
    <w:pPr>
      <w:tabs>
        <w:tab w:val="left" w:pos="440"/>
        <w:tab w:val="right" w:leader="dot" w:pos="9062"/>
      </w:tabs>
      <w:spacing w:after="100" w:line="259" w:lineRule="auto"/>
    </w:pPr>
    <w:rPr>
      <w:rFonts w:ascii="Calibri" w:eastAsia="Calibri" w:hAnsi="Calibri"/>
      <w:sz w:val="22"/>
      <w:szCs w:val="22"/>
      <w:lang w:val="fr-FR"/>
    </w:rPr>
  </w:style>
  <w:style w:type="paragraph" w:styleId="TOC2">
    <w:name w:val="toc 2"/>
    <w:basedOn w:val="Normal"/>
    <w:next w:val="Normal"/>
    <w:autoRedefine/>
    <w:uiPriority w:val="39"/>
    <w:unhideWhenUsed/>
    <w:rsid w:val="0059376D"/>
    <w:pPr>
      <w:spacing w:after="100" w:line="259" w:lineRule="auto"/>
      <w:ind w:left="220"/>
    </w:pPr>
    <w:rPr>
      <w:rFonts w:ascii="Calibri" w:eastAsia="Calibri" w:hAnsi="Calibri"/>
      <w:sz w:val="22"/>
      <w:szCs w:val="22"/>
      <w:lang w:val="fr-FR"/>
    </w:rPr>
  </w:style>
  <w:style w:type="paragraph" w:styleId="TOC3">
    <w:name w:val="toc 3"/>
    <w:basedOn w:val="Normal"/>
    <w:next w:val="Normal"/>
    <w:autoRedefine/>
    <w:uiPriority w:val="39"/>
    <w:unhideWhenUsed/>
    <w:rsid w:val="0059376D"/>
    <w:pPr>
      <w:spacing w:after="100" w:line="259" w:lineRule="auto"/>
      <w:ind w:left="440"/>
    </w:pPr>
    <w:rPr>
      <w:rFonts w:ascii="Calibri" w:eastAsia="Calibri" w:hAnsi="Calibri"/>
      <w:sz w:val="22"/>
      <w:szCs w:val="22"/>
      <w:lang w:val="fr-FR"/>
    </w:rPr>
  </w:style>
  <w:style w:type="paragraph" w:styleId="Title">
    <w:name w:val="Title"/>
    <w:basedOn w:val="Normal"/>
    <w:next w:val="Normal"/>
    <w:link w:val="TitleChar"/>
    <w:uiPriority w:val="10"/>
    <w:qFormat/>
    <w:locked/>
    <w:rsid w:val="0059376D"/>
    <w:pPr>
      <w:contextualSpacing/>
    </w:pPr>
    <w:rPr>
      <w:rFonts w:ascii="Calibri Light" w:hAnsi="Calibri Light"/>
      <w:spacing w:val="-10"/>
      <w:kern w:val="28"/>
      <w:sz w:val="56"/>
      <w:szCs w:val="56"/>
      <w:lang w:val="fr-FR"/>
    </w:rPr>
  </w:style>
  <w:style w:type="character" w:customStyle="1" w:styleId="TitleChar">
    <w:name w:val="Title Char"/>
    <w:basedOn w:val="DefaultParagraphFont"/>
    <w:link w:val="Title"/>
    <w:uiPriority w:val="10"/>
    <w:rsid w:val="0059376D"/>
    <w:rPr>
      <w:rFonts w:ascii="Calibri Light" w:hAnsi="Calibri Light"/>
      <w:spacing w:val="-10"/>
      <w:kern w:val="28"/>
      <w:sz w:val="56"/>
      <w:szCs w:val="56"/>
      <w:lang w:val="fr-FR" w:eastAsia="en-US"/>
    </w:rPr>
  </w:style>
  <w:style w:type="character" w:customStyle="1" w:styleId="rynqvb">
    <w:name w:val="rynqvb"/>
    <w:basedOn w:val="DefaultParagraphFont"/>
    <w:rsid w:val="0059376D"/>
  </w:style>
  <w:style w:type="character" w:customStyle="1" w:styleId="markedcontent">
    <w:name w:val="markedcontent"/>
    <w:basedOn w:val="DefaultParagraphFont"/>
    <w:rsid w:val="0059376D"/>
  </w:style>
  <w:style w:type="character" w:styleId="Strong">
    <w:name w:val="Strong"/>
    <w:uiPriority w:val="22"/>
    <w:qFormat/>
    <w:locked/>
    <w:rsid w:val="0059376D"/>
    <w:rPr>
      <w:b/>
      <w:bCs/>
    </w:rPr>
  </w:style>
  <w:style w:type="character" w:styleId="HTMLCite">
    <w:name w:val="HTML Cite"/>
    <w:uiPriority w:val="99"/>
    <w:semiHidden/>
    <w:unhideWhenUsed/>
    <w:rsid w:val="0059376D"/>
    <w:rPr>
      <w:i/>
      <w:iCs/>
    </w:rPr>
  </w:style>
  <w:style w:type="table" w:customStyle="1" w:styleId="Grilledutableau1">
    <w:name w:val="Grille du tableau1"/>
    <w:basedOn w:val="TableNormal"/>
    <w:next w:val="TableGrid"/>
    <w:uiPriority w:val="39"/>
    <w:rsid w:val="0059376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9376D"/>
  </w:style>
  <w:style w:type="character" w:customStyle="1" w:styleId="hps">
    <w:name w:val="hps"/>
    <w:basedOn w:val="DefaultParagraphFont"/>
    <w:rsid w:val="0059376D"/>
  </w:style>
  <w:style w:type="character" w:styleId="Emphasis">
    <w:name w:val="Emphasis"/>
    <w:basedOn w:val="DefaultParagraphFont"/>
    <w:uiPriority w:val="20"/>
    <w:qFormat/>
    <w:locked/>
    <w:rsid w:val="0059376D"/>
    <w:rPr>
      <w:i/>
      <w:iCs/>
    </w:rPr>
  </w:style>
  <w:style w:type="character" w:customStyle="1" w:styleId="cf11">
    <w:name w:val="cf11"/>
    <w:basedOn w:val="DefaultParagraphFont"/>
    <w:rsid w:val="0059376D"/>
    <w:rPr>
      <w:rFonts w:ascii="Segoe UI" w:hAnsi="Segoe UI" w:cs="Segoe UI" w:hint="default"/>
      <w:color w:val="4D5156"/>
      <w:sz w:val="18"/>
      <w:szCs w:val="18"/>
      <w:shd w:val="clear" w:color="auto" w:fill="FFFFFF"/>
    </w:rPr>
  </w:style>
  <w:style w:type="paragraph" w:customStyle="1" w:styleId="pf0">
    <w:name w:val="pf0"/>
    <w:basedOn w:val="Normal"/>
    <w:rsid w:val="0059376D"/>
    <w:pPr>
      <w:spacing w:before="100" w:beforeAutospacing="1" w:after="100" w:afterAutospacing="1"/>
    </w:pPr>
    <w:rPr>
      <w:sz w:val="24"/>
      <w:szCs w:val="24"/>
      <w:lang w:val="fr-FR" w:eastAsia="fr-FR"/>
    </w:rPr>
  </w:style>
  <w:style w:type="character" w:customStyle="1" w:styleId="hwtze">
    <w:name w:val="hwtze"/>
    <w:basedOn w:val="DefaultParagraphFont"/>
    <w:rsid w:val="0059376D"/>
  </w:style>
  <w:style w:type="character" w:customStyle="1" w:styleId="y2iqfc">
    <w:name w:val="y2iqfc"/>
    <w:basedOn w:val="DefaultParagraphFont"/>
    <w:rsid w:val="0059376D"/>
  </w:style>
  <w:style w:type="character" w:customStyle="1" w:styleId="BalloonTextChar">
    <w:name w:val="Balloon Text Char"/>
    <w:basedOn w:val="DefaultParagraphFont"/>
    <w:link w:val="BalloonText"/>
    <w:uiPriority w:val="99"/>
    <w:semiHidden/>
    <w:rsid w:val="0059376D"/>
    <w:rPr>
      <w:rFonts w:ascii="Tahoma" w:hAnsi="Tahoma" w:cs="Tahoma"/>
      <w:sz w:val="16"/>
      <w:szCs w:val="16"/>
      <w:lang w:val="en-US" w:eastAsia="en-US"/>
    </w:rPr>
  </w:style>
  <w:style w:type="character" w:customStyle="1" w:styleId="fui-primitive">
    <w:name w:val="fui-primitive"/>
    <w:basedOn w:val="DefaultParagraphFont"/>
    <w:rsid w:val="0059376D"/>
  </w:style>
  <w:style w:type="character" w:customStyle="1" w:styleId="cf21">
    <w:name w:val="cf21"/>
    <w:basedOn w:val="DefaultParagraphFont"/>
    <w:rsid w:val="0059376D"/>
    <w:rPr>
      <w:rFonts w:ascii="Segoe UI" w:hAnsi="Segoe UI" w:cs="Segoe UI" w:hint="default"/>
      <w:sz w:val="18"/>
      <w:szCs w:val="18"/>
      <w:u w:val="single"/>
      <w:shd w:val="clear" w:color="auto" w:fill="FFFFFF"/>
    </w:rPr>
  </w:style>
  <w:style w:type="character" w:customStyle="1" w:styleId="cf31">
    <w:name w:val="cf31"/>
    <w:basedOn w:val="DefaultParagraphFont"/>
    <w:rsid w:val="005937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ntranet.undp.org/unit/pb/resmob/SitePages/Islamic%20Development%20Bank%20(IsDB).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Props1.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3.xml><?xml version="1.0" encoding="utf-8"?>
<ds:datastoreItem xmlns:ds="http://schemas.openxmlformats.org/officeDocument/2006/customXml" ds:itemID="{FD6F7090-AACD-4808-B9B4-8227A4FC09E2}">
  <ds:schemaRefs>
    <ds:schemaRef ds:uri="http://schemas.openxmlformats.org/officeDocument/2006/bibliography"/>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6474</Words>
  <Characters>36905</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20</cp:revision>
  <cp:lastPrinted>2023-05-11T21:39:00Z</cp:lastPrinted>
  <dcterms:created xsi:type="dcterms:W3CDTF">2023-10-30T13:17:00Z</dcterms:created>
  <dcterms:modified xsi:type="dcterms:W3CDTF">2023-11-06T21:51:00Z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