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692B3854" w:rsidR="00461411" w:rsidRPr="009766D5" w:rsidRDefault="00461411" w:rsidP="00936EF3">
      <w:pPr>
        <w:tabs>
          <w:tab w:val="left" w:pos="8789"/>
        </w:tabs>
        <w:ind w:left="-432" w:right="288"/>
        <w:rPr>
          <w:b/>
          <w:color w:val="000000"/>
          <w:lang w:val="en-GB"/>
        </w:rPr>
      </w:pPr>
      <w:r w:rsidRPr="009766D5">
        <w:rPr>
          <w:b/>
          <w:color w:val="000000"/>
          <w:lang w:val="en-GB"/>
        </w:rPr>
        <w:t>Second regular session 202</w:t>
      </w:r>
      <w:r w:rsidR="002203EE" w:rsidRPr="009766D5">
        <w:rPr>
          <w:b/>
          <w:color w:val="000000"/>
          <w:lang w:val="en-GB"/>
        </w:rPr>
        <w:t>3</w:t>
      </w:r>
    </w:p>
    <w:p w14:paraId="3C138055" w14:textId="4FEC2AAA" w:rsidR="00461411" w:rsidRPr="009766D5" w:rsidRDefault="00B1561B" w:rsidP="002203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9766D5">
        <w:rPr>
          <w:color w:val="000000"/>
          <w:lang w:val="en-GB"/>
        </w:rPr>
        <w:t>2</w:t>
      </w:r>
      <w:r w:rsidR="002203EE" w:rsidRPr="009766D5">
        <w:rPr>
          <w:color w:val="000000"/>
          <w:lang w:val="en-GB"/>
        </w:rPr>
        <w:t>8</w:t>
      </w:r>
      <w:r w:rsidRPr="009766D5">
        <w:rPr>
          <w:color w:val="000000"/>
          <w:lang w:val="en-GB"/>
        </w:rPr>
        <w:t xml:space="preserve"> to </w:t>
      </w:r>
      <w:r w:rsidR="00A333D3" w:rsidRPr="009766D5">
        <w:rPr>
          <w:color w:val="000000"/>
          <w:lang w:val="en-GB"/>
        </w:rPr>
        <w:t>31</w:t>
      </w:r>
      <w:r w:rsidRPr="009766D5">
        <w:rPr>
          <w:color w:val="000000"/>
          <w:lang w:val="en-GB"/>
        </w:rPr>
        <w:t xml:space="preserve"> </w:t>
      </w:r>
      <w:r w:rsidR="00A333D3" w:rsidRPr="009766D5">
        <w:rPr>
          <w:color w:val="000000"/>
          <w:lang w:val="en-GB"/>
        </w:rPr>
        <w:t xml:space="preserve">August </w:t>
      </w:r>
      <w:r w:rsidR="00461411" w:rsidRPr="009766D5">
        <w:rPr>
          <w:color w:val="000000"/>
          <w:lang w:val="en-GB"/>
        </w:rPr>
        <w:t>202</w:t>
      </w:r>
      <w:r w:rsidR="002203EE" w:rsidRPr="009766D5">
        <w:rPr>
          <w:color w:val="000000"/>
          <w:lang w:val="en-GB"/>
        </w:rPr>
        <w:t>3</w:t>
      </w:r>
      <w:r w:rsidR="00461411" w:rsidRPr="009766D5">
        <w:rPr>
          <w:color w:val="000000"/>
          <w:lang w:val="en-GB"/>
        </w:rPr>
        <w:t>, New York</w:t>
      </w:r>
    </w:p>
    <w:p w14:paraId="532F0A5B" w14:textId="1A5E8B18" w:rsidR="00461411" w:rsidRPr="009766D5" w:rsidRDefault="00461411" w:rsidP="002203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9766D5">
        <w:rPr>
          <w:color w:val="000000"/>
          <w:lang w:val="en-GB"/>
        </w:rPr>
        <w:t xml:space="preserve">Item </w:t>
      </w:r>
      <w:r w:rsidR="00145CB0" w:rsidRPr="009766D5">
        <w:rPr>
          <w:color w:val="000000"/>
          <w:lang w:val="en-GB"/>
        </w:rPr>
        <w:t>3</w:t>
      </w:r>
      <w:r w:rsidRPr="009766D5">
        <w:rPr>
          <w:color w:val="000000"/>
          <w:lang w:val="en-GB"/>
        </w:rPr>
        <w:t xml:space="preserve"> of the provisional agenda</w:t>
      </w:r>
    </w:p>
    <w:p w14:paraId="4EAD17DB" w14:textId="77777777" w:rsidR="00461411" w:rsidRPr="009766D5" w:rsidRDefault="00461411" w:rsidP="002203EE">
      <w:pPr>
        <w:ind w:left="-426" w:right="1260"/>
        <w:rPr>
          <w:b/>
          <w:color w:val="000000"/>
          <w:lang w:val="en-GB"/>
        </w:rPr>
      </w:pPr>
      <w:r w:rsidRPr="009766D5">
        <w:rPr>
          <w:b/>
          <w:color w:val="000000"/>
          <w:lang w:val="en-GB"/>
        </w:rPr>
        <w:t>Country programmes and related matters</w:t>
      </w:r>
    </w:p>
    <w:p w14:paraId="6178FB62" w14:textId="77777777" w:rsidR="00461411" w:rsidRPr="009766D5" w:rsidRDefault="00461411" w:rsidP="00461411">
      <w:pPr>
        <w:jc w:val="both"/>
        <w:rPr>
          <w:b/>
          <w:lang w:val="en-GB"/>
        </w:rPr>
      </w:pPr>
    </w:p>
    <w:p w14:paraId="7950BBBC" w14:textId="77777777" w:rsidR="00461411" w:rsidRPr="009766D5"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4BAB0784" w:rsidR="00461411" w:rsidRPr="009766D5"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9766D5">
        <w:rPr>
          <w:b/>
          <w:sz w:val="28"/>
          <w:szCs w:val="28"/>
          <w:lang w:val="en-GB"/>
        </w:rPr>
        <w:t xml:space="preserve">Draft country programme document for </w:t>
      </w:r>
      <w:r w:rsidR="002203EE" w:rsidRPr="009766D5">
        <w:rPr>
          <w:b/>
          <w:sz w:val="28"/>
          <w:szCs w:val="28"/>
          <w:lang w:val="en-GB"/>
        </w:rPr>
        <w:t>Benin</w:t>
      </w:r>
      <w:r w:rsidRPr="009766D5">
        <w:rPr>
          <w:b/>
          <w:sz w:val="28"/>
          <w:szCs w:val="28"/>
          <w:lang w:val="en-GB"/>
        </w:rPr>
        <w:t xml:space="preserve"> (202</w:t>
      </w:r>
      <w:r w:rsidR="002203EE" w:rsidRPr="009766D5">
        <w:rPr>
          <w:b/>
          <w:sz w:val="28"/>
          <w:szCs w:val="28"/>
          <w:lang w:val="en-GB"/>
        </w:rPr>
        <w:t>4</w:t>
      </w:r>
      <w:r w:rsidRPr="009766D5">
        <w:rPr>
          <w:b/>
          <w:sz w:val="28"/>
          <w:szCs w:val="28"/>
          <w:lang w:val="en-GB"/>
        </w:rPr>
        <w:t>-202</w:t>
      </w:r>
      <w:r w:rsidR="002203EE" w:rsidRPr="009766D5">
        <w:rPr>
          <w:b/>
          <w:sz w:val="28"/>
          <w:szCs w:val="28"/>
          <w:lang w:val="en-GB"/>
        </w:rPr>
        <w:t>6</w:t>
      </w:r>
      <w:r w:rsidRPr="009766D5">
        <w:rPr>
          <w:b/>
          <w:sz w:val="28"/>
          <w:szCs w:val="28"/>
          <w:lang w:val="en-GB"/>
        </w:rPr>
        <w:t>)</w:t>
      </w:r>
      <w:r w:rsidRPr="009766D5">
        <w:rPr>
          <w:b/>
          <w:sz w:val="28"/>
          <w:szCs w:val="28"/>
          <w:lang w:val="en-GB"/>
        </w:rPr>
        <w:br/>
      </w:r>
    </w:p>
    <w:p w14:paraId="73C9FDEF" w14:textId="77777777" w:rsidR="00461411" w:rsidRPr="009766D5"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9766D5"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9766D5">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9766D5" w14:paraId="06110C97" w14:textId="77777777" w:rsidTr="00654147">
        <w:tc>
          <w:tcPr>
            <w:tcW w:w="1260" w:type="dxa"/>
            <w:shd w:val="clear" w:color="auto" w:fill="auto"/>
          </w:tcPr>
          <w:p w14:paraId="0442321F" w14:textId="77777777" w:rsidR="00461411" w:rsidRPr="009766D5" w:rsidRDefault="00461411" w:rsidP="00654147">
            <w:pPr>
              <w:tabs>
                <w:tab w:val="left" w:pos="1620"/>
              </w:tabs>
              <w:suppressAutoHyphens/>
              <w:spacing w:after="120"/>
              <w:jc w:val="right"/>
              <w:rPr>
                <w:i/>
                <w:color w:val="000000"/>
                <w:spacing w:val="4"/>
                <w:w w:val="103"/>
                <w:kern w:val="14"/>
                <w:sz w:val="14"/>
                <w:lang w:val="en-GB" w:eastAsia="fr-FR"/>
              </w:rPr>
            </w:pPr>
            <w:r w:rsidRPr="009766D5">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9766D5" w:rsidRDefault="00461411" w:rsidP="00654147">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9766D5" w:rsidRDefault="00461411" w:rsidP="00654147">
            <w:pPr>
              <w:tabs>
                <w:tab w:val="left" w:pos="1620"/>
              </w:tabs>
              <w:suppressAutoHyphens/>
              <w:spacing w:after="120"/>
              <w:jc w:val="right"/>
              <w:rPr>
                <w:i/>
                <w:color w:val="000000"/>
                <w:spacing w:val="4"/>
                <w:w w:val="103"/>
                <w:kern w:val="14"/>
                <w:sz w:val="14"/>
                <w:lang w:val="en-GB" w:eastAsia="fr-FR"/>
              </w:rPr>
            </w:pPr>
            <w:r w:rsidRPr="009766D5">
              <w:rPr>
                <w:i/>
                <w:iCs/>
                <w:color w:val="000000"/>
                <w:kern w:val="14"/>
                <w:sz w:val="14"/>
                <w:lang w:val="en-GB" w:eastAsia="fr-FR"/>
              </w:rPr>
              <w:t>Page</w:t>
            </w:r>
          </w:p>
        </w:tc>
      </w:tr>
      <w:tr w:rsidR="00461411" w:rsidRPr="009766D5" w14:paraId="196D92D0" w14:textId="77777777" w:rsidTr="00654147">
        <w:tc>
          <w:tcPr>
            <w:tcW w:w="9540" w:type="dxa"/>
            <w:gridSpan w:val="3"/>
            <w:shd w:val="clear" w:color="auto" w:fill="auto"/>
          </w:tcPr>
          <w:p w14:paraId="571CA983" w14:textId="77777777" w:rsidR="00461411" w:rsidRPr="009766D5" w:rsidRDefault="00461411" w:rsidP="00461411">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9766D5">
              <w:rPr>
                <w:color w:val="000000"/>
                <w:kern w:val="14"/>
                <w:lang w:val="en-GB" w:eastAsia="fr-FR"/>
              </w:rPr>
              <w:tab/>
              <w:t xml:space="preserve">UNDP within the </w:t>
            </w:r>
            <w:bookmarkStart w:id="0" w:name="_Hlk102471570"/>
            <w:r w:rsidRPr="009766D5">
              <w:rPr>
                <w:color w:val="000000"/>
                <w:kern w:val="14"/>
                <w:lang w:val="en-GB" w:eastAsia="fr-FR"/>
              </w:rPr>
              <w:t>United Nations Sustainable Development Cooperation Framework</w:t>
            </w:r>
            <w:bookmarkEnd w:id="0"/>
            <w:r w:rsidRPr="009766D5">
              <w:rPr>
                <w:color w:val="000000"/>
                <w:sz w:val="24"/>
                <w:szCs w:val="24"/>
                <w:lang w:val="en-GB" w:eastAsia="fr-FR"/>
              </w:rPr>
              <w:tab/>
            </w:r>
          </w:p>
        </w:tc>
        <w:tc>
          <w:tcPr>
            <w:tcW w:w="362" w:type="dxa"/>
            <w:vMerge w:val="restart"/>
            <w:shd w:val="clear" w:color="auto" w:fill="auto"/>
            <w:vAlign w:val="bottom"/>
          </w:tcPr>
          <w:p w14:paraId="019FEA53" w14:textId="77777777" w:rsidR="00461411" w:rsidRPr="009766D5" w:rsidRDefault="00461411" w:rsidP="00654147">
            <w:pPr>
              <w:tabs>
                <w:tab w:val="left" w:pos="1620"/>
              </w:tabs>
              <w:suppressAutoHyphens/>
              <w:spacing w:after="120" w:line="240" w:lineRule="exact"/>
              <w:jc w:val="right"/>
              <w:rPr>
                <w:color w:val="000000"/>
                <w:spacing w:val="4"/>
                <w:w w:val="103"/>
                <w:kern w:val="14"/>
                <w:lang w:val="en-GB" w:eastAsia="fr-FR"/>
              </w:rPr>
            </w:pPr>
            <w:r w:rsidRPr="009766D5">
              <w:rPr>
                <w:color w:val="000000"/>
                <w:kern w:val="14"/>
                <w:lang w:val="en-GB" w:eastAsia="fr-FR"/>
              </w:rPr>
              <w:t>2</w:t>
            </w:r>
          </w:p>
          <w:p w14:paraId="6EED1C8F" w14:textId="2FC484DF" w:rsidR="00461411" w:rsidRPr="009766D5" w:rsidRDefault="00187BA9" w:rsidP="00654147">
            <w:pPr>
              <w:tabs>
                <w:tab w:val="left" w:pos="1620"/>
              </w:tabs>
              <w:suppressAutoHyphens/>
              <w:spacing w:after="120" w:line="240" w:lineRule="exact"/>
              <w:jc w:val="right"/>
              <w:rPr>
                <w:color w:val="000000"/>
                <w:spacing w:val="4"/>
                <w:w w:val="103"/>
                <w:kern w:val="14"/>
                <w:lang w:val="en-GB" w:eastAsia="fr-FR"/>
              </w:rPr>
            </w:pPr>
            <w:r w:rsidRPr="009766D5">
              <w:rPr>
                <w:color w:val="000000"/>
                <w:spacing w:val="4"/>
                <w:w w:val="103"/>
                <w:kern w:val="14"/>
                <w:lang w:val="en-GB" w:eastAsia="fr-FR"/>
              </w:rPr>
              <w:t>3</w:t>
            </w:r>
          </w:p>
        </w:tc>
      </w:tr>
      <w:tr w:rsidR="00461411" w:rsidRPr="009766D5" w14:paraId="59501F8B" w14:textId="77777777" w:rsidTr="00654147">
        <w:tc>
          <w:tcPr>
            <w:tcW w:w="9540" w:type="dxa"/>
            <w:gridSpan w:val="3"/>
            <w:shd w:val="clear" w:color="auto" w:fill="auto"/>
          </w:tcPr>
          <w:p w14:paraId="1BA5F421" w14:textId="77777777" w:rsidR="00461411" w:rsidRPr="009766D5" w:rsidRDefault="00461411" w:rsidP="00461411">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9766D5">
              <w:rPr>
                <w:color w:val="000000"/>
                <w:kern w:val="14"/>
                <w:lang w:val="en-GB" w:eastAsia="fr-FR"/>
              </w:rPr>
              <w:tab/>
              <w:t>Programme priorities and partnerships</w:t>
            </w:r>
            <w:r w:rsidRPr="009766D5">
              <w:rPr>
                <w:color w:val="000000"/>
                <w:lang w:val="en-GB" w:eastAsia="fr-FR"/>
              </w:rPr>
              <w:t>………………………………………………….</w:t>
            </w:r>
            <w:r w:rsidRPr="009766D5">
              <w:rPr>
                <w:color w:val="000000"/>
                <w:lang w:val="en-GB" w:eastAsia="fr-FR"/>
              </w:rPr>
              <w:tab/>
              <w:t>……….…</w:t>
            </w:r>
          </w:p>
        </w:tc>
        <w:tc>
          <w:tcPr>
            <w:tcW w:w="362" w:type="dxa"/>
            <w:vMerge/>
            <w:shd w:val="clear" w:color="auto" w:fill="auto"/>
            <w:vAlign w:val="bottom"/>
          </w:tcPr>
          <w:p w14:paraId="4893632A" w14:textId="77777777" w:rsidR="00461411" w:rsidRPr="009766D5" w:rsidRDefault="00461411" w:rsidP="00654147">
            <w:pPr>
              <w:tabs>
                <w:tab w:val="left" w:pos="1620"/>
              </w:tabs>
              <w:suppressAutoHyphens/>
              <w:spacing w:after="120" w:line="240" w:lineRule="exact"/>
              <w:jc w:val="right"/>
              <w:rPr>
                <w:color w:val="000000"/>
                <w:spacing w:val="4"/>
                <w:w w:val="103"/>
                <w:kern w:val="14"/>
                <w:lang w:val="en-GB" w:eastAsia="fr-FR"/>
              </w:rPr>
            </w:pPr>
          </w:p>
        </w:tc>
      </w:tr>
      <w:tr w:rsidR="00461411" w:rsidRPr="009766D5" w14:paraId="5E92E0F3" w14:textId="77777777" w:rsidTr="00654147">
        <w:tc>
          <w:tcPr>
            <w:tcW w:w="9540" w:type="dxa"/>
            <w:gridSpan w:val="3"/>
            <w:shd w:val="clear" w:color="auto" w:fill="auto"/>
          </w:tcPr>
          <w:p w14:paraId="71D6F6CD" w14:textId="77777777" w:rsidR="00461411" w:rsidRPr="009766D5" w:rsidRDefault="00461411" w:rsidP="00461411">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9766D5">
              <w:rPr>
                <w:color w:val="000000"/>
                <w:kern w:val="14"/>
                <w:lang w:val="en-GB" w:eastAsia="fr-FR"/>
              </w:rPr>
              <w:tab/>
              <w:t xml:space="preserve">Programme and risk management </w:t>
            </w:r>
            <w:r w:rsidRPr="009766D5">
              <w:rPr>
                <w:color w:val="000000"/>
                <w:lang w:val="en-GB" w:eastAsia="fr-FR"/>
              </w:rPr>
              <w:t>……………………………………………….…………………</w:t>
            </w:r>
          </w:p>
        </w:tc>
        <w:tc>
          <w:tcPr>
            <w:tcW w:w="362" w:type="dxa"/>
            <w:vMerge w:val="restart"/>
            <w:shd w:val="clear" w:color="auto" w:fill="auto"/>
            <w:vAlign w:val="bottom"/>
          </w:tcPr>
          <w:p w14:paraId="5EC71879" w14:textId="3534A98B" w:rsidR="00461411" w:rsidRPr="009766D5" w:rsidRDefault="00290ED4" w:rsidP="00654147">
            <w:pPr>
              <w:tabs>
                <w:tab w:val="left" w:pos="1620"/>
              </w:tabs>
              <w:suppressAutoHyphens/>
              <w:spacing w:after="120" w:line="240" w:lineRule="exact"/>
              <w:jc w:val="right"/>
              <w:rPr>
                <w:color w:val="000000"/>
                <w:spacing w:val="4"/>
                <w:w w:val="103"/>
                <w:kern w:val="14"/>
                <w:lang w:val="en-GB" w:eastAsia="fr-FR"/>
              </w:rPr>
            </w:pPr>
            <w:r w:rsidRPr="009766D5">
              <w:rPr>
                <w:color w:val="000000"/>
                <w:spacing w:val="4"/>
                <w:w w:val="103"/>
                <w:kern w:val="14"/>
                <w:lang w:val="en-GB" w:eastAsia="fr-FR"/>
              </w:rPr>
              <w:t>6</w:t>
            </w:r>
          </w:p>
          <w:p w14:paraId="1702B97E" w14:textId="5599115E" w:rsidR="00461411" w:rsidRPr="009766D5" w:rsidRDefault="00187BA9" w:rsidP="00654147">
            <w:pPr>
              <w:tabs>
                <w:tab w:val="left" w:pos="1620"/>
              </w:tabs>
              <w:suppressAutoHyphens/>
              <w:spacing w:after="120" w:line="240" w:lineRule="exact"/>
              <w:jc w:val="right"/>
              <w:rPr>
                <w:color w:val="000000"/>
                <w:spacing w:val="4"/>
                <w:w w:val="103"/>
                <w:kern w:val="14"/>
                <w:lang w:val="en-GB" w:eastAsia="fr-FR"/>
              </w:rPr>
            </w:pPr>
            <w:r w:rsidRPr="009766D5">
              <w:rPr>
                <w:color w:val="000000"/>
                <w:spacing w:val="4"/>
                <w:w w:val="103"/>
                <w:kern w:val="14"/>
                <w:lang w:val="en-GB" w:eastAsia="fr-FR"/>
              </w:rPr>
              <w:t>7</w:t>
            </w:r>
          </w:p>
        </w:tc>
      </w:tr>
      <w:tr w:rsidR="00461411" w:rsidRPr="009766D5" w14:paraId="77201C49" w14:textId="77777777" w:rsidTr="00654147">
        <w:tc>
          <w:tcPr>
            <w:tcW w:w="9540" w:type="dxa"/>
            <w:gridSpan w:val="3"/>
            <w:shd w:val="clear" w:color="auto" w:fill="auto"/>
          </w:tcPr>
          <w:p w14:paraId="43CCC3BC" w14:textId="77777777" w:rsidR="00461411" w:rsidRPr="009766D5" w:rsidRDefault="00461411" w:rsidP="00461411">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9766D5">
              <w:rPr>
                <w:color w:val="000000"/>
                <w:kern w:val="14"/>
                <w:lang w:val="en-GB" w:eastAsia="fr-FR"/>
              </w:rPr>
              <w:tab/>
              <w:t>Monitoring and evaluation</w:t>
            </w:r>
            <w:r w:rsidRPr="009766D5">
              <w:rPr>
                <w:color w:val="000000"/>
                <w:sz w:val="24"/>
                <w:szCs w:val="24"/>
                <w:lang w:val="en-GB" w:eastAsia="fr-FR"/>
              </w:rPr>
              <w:tab/>
            </w:r>
            <w:r w:rsidRPr="009766D5">
              <w:rPr>
                <w:color w:val="000000"/>
                <w:lang w:val="en-GB" w:eastAsia="fr-FR"/>
              </w:rPr>
              <w:t>…………………………………………………….……………………</w:t>
            </w:r>
          </w:p>
        </w:tc>
        <w:tc>
          <w:tcPr>
            <w:tcW w:w="362" w:type="dxa"/>
            <w:vMerge/>
            <w:shd w:val="clear" w:color="auto" w:fill="auto"/>
            <w:vAlign w:val="bottom"/>
          </w:tcPr>
          <w:p w14:paraId="217DEDFF" w14:textId="77777777" w:rsidR="00461411" w:rsidRPr="009766D5" w:rsidRDefault="00461411" w:rsidP="00654147">
            <w:pPr>
              <w:tabs>
                <w:tab w:val="left" w:pos="1620"/>
              </w:tabs>
              <w:suppressAutoHyphens/>
              <w:spacing w:after="120" w:line="240" w:lineRule="exact"/>
              <w:jc w:val="right"/>
              <w:rPr>
                <w:color w:val="000000"/>
                <w:spacing w:val="4"/>
                <w:w w:val="103"/>
                <w:kern w:val="14"/>
                <w:lang w:val="en-GB" w:eastAsia="fr-FR"/>
              </w:rPr>
            </w:pPr>
          </w:p>
        </w:tc>
      </w:tr>
      <w:tr w:rsidR="00461411" w:rsidRPr="009766D5" w14:paraId="6D51F709" w14:textId="77777777" w:rsidTr="00654147">
        <w:tc>
          <w:tcPr>
            <w:tcW w:w="9369" w:type="dxa"/>
            <w:gridSpan w:val="2"/>
            <w:shd w:val="clear" w:color="auto" w:fill="auto"/>
          </w:tcPr>
          <w:p w14:paraId="25EA15C1" w14:textId="77777777" w:rsidR="00461411" w:rsidRPr="009766D5" w:rsidRDefault="00461411" w:rsidP="0065414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9766D5">
              <w:rPr>
                <w:color w:val="000000"/>
                <w:kern w:val="14"/>
                <w:lang w:val="en-GB" w:eastAsia="fr-FR"/>
              </w:rPr>
              <w:t>Annex</w:t>
            </w:r>
          </w:p>
        </w:tc>
        <w:tc>
          <w:tcPr>
            <w:tcW w:w="533" w:type="dxa"/>
            <w:gridSpan w:val="2"/>
            <w:shd w:val="clear" w:color="auto" w:fill="auto"/>
            <w:vAlign w:val="bottom"/>
          </w:tcPr>
          <w:p w14:paraId="2051630F" w14:textId="77777777" w:rsidR="00461411" w:rsidRPr="009766D5" w:rsidRDefault="00461411" w:rsidP="00654147">
            <w:pPr>
              <w:tabs>
                <w:tab w:val="left" w:pos="1620"/>
              </w:tabs>
              <w:suppressAutoHyphens/>
              <w:spacing w:after="120" w:line="240" w:lineRule="exact"/>
              <w:jc w:val="right"/>
              <w:rPr>
                <w:color w:val="000000"/>
                <w:spacing w:val="4"/>
                <w:w w:val="103"/>
                <w:kern w:val="14"/>
                <w:lang w:val="en-GB" w:eastAsia="fr-FR"/>
              </w:rPr>
            </w:pPr>
          </w:p>
        </w:tc>
      </w:tr>
      <w:tr w:rsidR="00461411" w:rsidRPr="009766D5" w14:paraId="230CA8A9" w14:textId="77777777" w:rsidTr="00654147">
        <w:tc>
          <w:tcPr>
            <w:tcW w:w="9369" w:type="dxa"/>
            <w:gridSpan w:val="2"/>
            <w:shd w:val="clear" w:color="auto" w:fill="auto"/>
          </w:tcPr>
          <w:p w14:paraId="7C7F0422" w14:textId="522A150D" w:rsidR="00461411" w:rsidRPr="009766D5" w:rsidRDefault="00461411" w:rsidP="0065414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9766D5">
              <w:rPr>
                <w:color w:val="000000"/>
                <w:kern w:val="14"/>
                <w:lang w:val="en-GB" w:eastAsia="fr-FR"/>
              </w:rPr>
              <w:t xml:space="preserve">Results and resources framework for </w:t>
            </w:r>
            <w:r w:rsidR="002203EE" w:rsidRPr="009766D5">
              <w:rPr>
                <w:color w:val="000000"/>
                <w:kern w:val="14"/>
                <w:lang w:val="en-GB" w:eastAsia="fr-FR"/>
              </w:rPr>
              <w:t>Benin</w:t>
            </w:r>
            <w:r w:rsidRPr="009766D5">
              <w:rPr>
                <w:color w:val="000000"/>
                <w:kern w:val="14"/>
                <w:lang w:val="en-GB" w:eastAsia="fr-FR"/>
              </w:rPr>
              <w:t xml:space="preserve"> (202</w:t>
            </w:r>
            <w:r w:rsidR="002203EE" w:rsidRPr="009766D5">
              <w:rPr>
                <w:color w:val="000000"/>
                <w:kern w:val="14"/>
                <w:lang w:val="en-GB" w:eastAsia="fr-FR"/>
              </w:rPr>
              <w:t>4</w:t>
            </w:r>
            <w:r w:rsidRPr="009766D5">
              <w:rPr>
                <w:color w:val="000000"/>
                <w:kern w:val="14"/>
                <w:lang w:val="en-GB" w:eastAsia="fr-FR"/>
              </w:rPr>
              <w:t>-202</w:t>
            </w:r>
            <w:r w:rsidR="002203EE" w:rsidRPr="009766D5">
              <w:rPr>
                <w:color w:val="000000"/>
                <w:kern w:val="14"/>
                <w:lang w:val="en-GB" w:eastAsia="fr-FR"/>
              </w:rPr>
              <w:t>6</w:t>
            </w:r>
            <w:r w:rsidRPr="009766D5">
              <w:rPr>
                <w:color w:val="000000"/>
                <w:kern w:val="14"/>
                <w:lang w:val="en-GB" w:eastAsia="fr-FR"/>
              </w:rPr>
              <w:t>)</w:t>
            </w:r>
            <w:r w:rsidRPr="009766D5">
              <w:rPr>
                <w:color w:val="000000"/>
                <w:sz w:val="24"/>
                <w:szCs w:val="24"/>
                <w:lang w:val="en-GB" w:eastAsia="fr-FR"/>
              </w:rPr>
              <w:tab/>
            </w:r>
          </w:p>
        </w:tc>
        <w:tc>
          <w:tcPr>
            <w:tcW w:w="533" w:type="dxa"/>
            <w:gridSpan w:val="2"/>
            <w:shd w:val="clear" w:color="auto" w:fill="auto"/>
            <w:vAlign w:val="bottom"/>
          </w:tcPr>
          <w:p w14:paraId="2FCE93E6" w14:textId="64E26CB9" w:rsidR="00461411" w:rsidRPr="009766D5" w:rsidRDefault="00290ED4" w:rsidP="00654147">
            <w:pPr>
              <w:tabs>
                <w:tab w:val="left" w:pos="1620"/>
              </w:tabs>
              <w:suppressAutoHyphens/>
              <w:spacing w:after="120" w:line="240" w:lineRule="exact"/>
              <w:jc w:val="right"/>
              <w:rPr>
                <w:color w:val="000000"/>
                <w:spacing w:val="4"/>
                <w:w w:val="103"/>
                <w:kern w:val="14"/>
                <w:lang w:val="en-GB" w:eastAsia="fr-FR"/>
              </w:rPr>
            </w:pPr>
            <w:r w:rsidRPr="009766D5">
              <w:rPr>
                <w:color w:val="000000"/>
                <w:spacing w:val="4"/>
                <w:w w:val="103"/>
                <w:kern w:val="14"/>
                <w:lang w:val="en-GB" w:eastAsia="fr-FR"/>
              </w:rPr>
              <w:t>8</w:t>
            </w:r>
          </w:p>
        </w:tc>
      </w:tr>
    </w:tbl>
    <w:p w14:paraId="2440D3D7" w14:textId="1EA48C92" w:rsidR="00A918A7" w:rsidRPr="009766D5" w:rsidRDefault="00785474" w:rsidP="00654147">
      <w:pPr>
        <w:pStyle w:val="Heading2"/>
        <w:numPr>
          <w:ilvl w:val="0"/>
          <w:numId w:val="55"/>
        </w:numPr>
        <w:tabs>
          <w:tab w:val="left" w:pos="1260"/>
        </w:tabs>
        <w:spacing w:after="200" w:line="240" w:lineRule="exact"/>
        <w:ind w:left="993" w:right="720" w:hanging="453"/>
        <w:jc w:val="both"/>
        <w:rPr>
          <w:rFonts w:ascii="Times New Roman" w:hAnsi="Times New Roman"/>
          <w:b w:val="0"/>
          <w:sz w:val="20"/>
          <w:lang w:val="en-GB"/>
        </w:rPr>
      </w:pPr>
      <w:r w:rsidRPr="009766D5">
        <w:rPr>
          <w:lang w:val="en-GB"/>
        </w:rPr>
        <w:br w:type="page"/>
      </w:r>
      <w:r w:rsidR="007C2934" w:rsidRPr="009766D5">
        <w:rPr>
          <w:rFonts w:ascii="Times New Roman" w:hAnsi="Times New Roman"/>
          <w:bCs/>
          <w:color w:val="000000"/>
          <w:sz w:val="24"/>
          <w:szCs w:val="24"/>
          <w:lang w:val="en-GB"/>
        </w:rPr>
        <w:lastRenderedPageBreak/>
        <w:t>UNDP</w:t>
      </w:r>
      <w:r w:rsidR="0072070F" w:rsidRPr="009766D5">
        <w:rPr>
          <w:rFonts w:ascii="Times New Roman" w:hAnsi="Times New Roman"/>
          <w:bCs/>
          <w:color w:val="000000"/>
          <w:sz w:val="24"/>
          <w:szCs w:val="24"/>
          <w:lang w:val="en-GB"/>
        </w:rPr>
        <w:t xml:space="preserve"> within</w:t>
      </w:r>
      <w:r w:rsidR="007C2934" w:rsidRPr="009766D5">
        <w:rPr>
          <w:rFonts w:ascii="Times New Roman" w:hAnsi="Times New Roman"/>
          <w:bCs/>
          <w:color w:val="000000"/>
          <w:sz w:val="24"/>
          <w:szCs w:val="24"/>
          <w:lang w:val="en-GB"/>
        </w:rPr>
        <w:t xml:space="preserve"> the </w:t>
      </w:r>
      <w:r w:rsidR="00015875" w:rsidRPr="009766D5">
        <w:rPr>
          <w:rFonts w:ascii="Times New Roman" w:hAnsi="Times New Roman"/>
          <w:bCs/>
          <w:color w:val="000000"/>
          <w:sz w:val="24"/>
          <w:szCs w:val="24"/>
          <w:lang w:val="en-GB"/>
        </w:rPr>
        <w:t>United Nations Sustainable Development Cooperation Framework</w:t>
      </w:r>
      <w:r w:rsidR="00D67C3D" w:rsidRPr="009766D5">
        <w:rPr>
          <w:rFonts w:ascii="Times New Roman" w:hAnsi="Times New Roman"/>
          <w:bCs/>
          <w:color w:val="000000"/>
          <w:sz w:val="24"/>
          <w:szCs w:val="24"/>
          <w:lang w:val="en-GB"/>
        </w:rPr>
        <w:t xml:space="preserve"> </w:t>
      </w:r>
    </w:p>
    <w:p w14:paraId="339A4B54" w14:textId="46220A02" w:rsidR="002203EE" w:rsidRPr="009766D5" w:rsidRDefault="002203EE" w:rsidP="002203EE">
      <w:pPr>
        <w:pStyle w:val="CPD"/>
        <w:numPr>
          <w:ilvl w:val="0"/>
          <w:numId w:val="50"/>
        </w:numPr>
        <w:tabs>
          <w:tab w:val="left" w:pos="1418"/>
        </w:tabs>
        <w:ind w:left="993" w:right="713" w:firstLine="0"/>
        <w:rPr>
          <w:lang w:val="en-GB"/>
        </w:rPr>
      </w:pPr>
      <w:r w:rsidRPr="009766D5">
        <w:rPr>
          <w:lang w:val="en-GB"/>
        </w:rPr>
        <w:t>Benin is a relatively stable country in West Africa, with 12.9 million inhabitants</w:t>
      </w:r>
      <w:r w:rsidR="007A4860" w:rsidRPr="009766D5">
        <w:rPr>
          <w:lang w:val="en-GB"/>
        </w:rPr>
        <w:t>,</w:t>
      </w:r>
      <w:r w:rsidRPr="009766D5">
        <w:rPr>
          <w:rStyle w:val="FootnoteReference"/>
          <w:sz w:val="16"/>
          <w:szCs w:val="16"/>
          <w:lang w:val="en-GB"/>
        </w:rPr>
        <w:footnoteReference w:id="2"/>
      </w:r>
      <w:r w:rsidRPr="009766D5">
        <w:rPr>
          <w:lang w:val="en-GB"/>
        </w:rPr>
        <w:t xml:space="preserve"> of </w:t>
      </w:r>
      <w:r w:rsidR="001751ED" w:rsidRPr="009766D5">
        <w:rPr>
          <w:lang w:val="en-GB"/>
        </w:rPr>
        <w:t xml:space="preserve">whom </w:t>
      </w:r>
      <w:r w:rsidRPr="009766D5">
        <w:rPr>
          <w:lang w:val="en-GB"/>
        </w:rPr>
        <w:t xml:space="preserve">51.5 per cent are women and 64.8 per cent youth under 25. </w:t>
      </w:r>
      <w:r w:rsidR="001751ED" w:rsidRPr="009766D5">
        <w:rPr>
          <w:lang w:val="en-GB"/>
        </w:rPr>
        <w:t>O</w:t>
      </w:r>
      <w:r w:rsidRPr="009766D5">
        <w:rPr>
          <w:lang w:val="en-GB"/>
        </w:rPr>
        <w:t>ver the last decade</w:t>
      </w:r>
      <w:r w:rsidR="001751ED" w:rsidRPr="009766D5">
        <w:rPr>
          <w:lang w:val="en-GB"/>
        </w:rPr>
        <w:t xml:space="preserve"> the country has </w:t>
      </w:r>
      <w:r w:rsidR="00290ED4" w:rsidRPr="009766D5">
        <w:rPr>
          <w:lang w:val="en-GB"/>
        </w:rPr>
        <w:t>risen</w:t>
      </w:r>
      <w:r w:rsidRPr="009766D5">
        <w:rPr>
          <w:lang w:val="en-GB"/>
        </w:rPr>
        <w:t xml:space="preserve"> to the lower</w:t>
      </w:r>
      <w:r w:rsidR="001751ED" w:rsidRPr="009766D5">
        <w:rPr>
          <w:lang w:val="en-GB"/>
        </w:rPr>
        <w:t>-</w:t>
      </w:r>
      <w:r w:rsidRPr="009766D5">
        <w:rPr>
          <w:lang w:val="en-GB"/>
        </w:rPr>
        <w:t>middle-income country category</w:t>
      </w:r>
      <w:r w:rsidR="001751ED" w:rsidRPr="009766D5">
        <w:rPr>
          <w:lang w:val="en-GB"/>
        </w:rPr>
        <w:t>,</w:t>
      </w:r>
      <w:r w:rsidRPr="009766D5">
        <w:rPr>
          <w:lang w:val="en-GB"/>
        </w:rPr>
        <w:t xml:space="preserve"> becoming one of the most dynamic and resilient economies in the region. Recent </w:t>
      </w:r>
      <w:r w:rsidR="00290ED4" w:rsidRPr="009766D5">
        <w:rPr>
          <w:lang w:val="en-GB"/>
        </w:rPr>
        <w:t xml:space="preserve">International Monetary Fund (IMF) </w:t>
      </w:r>
      <w:r w:rsidRPr="009766D5">
        <w:rPr>
          <w:lang w:val="en-GB"/>
        </w:rPr>
        <w:t xml:space="preserve">figures confirm </w:t>
      </w:r>
      <w:r w:rsidR="001751ED" w:rsidRPr="009766D5">
        <w:rPr>
          <w:lang w:val="en-GB"/>
        </w:rPr>
        <w:t xml:space="preserve">that this </w:t>
      </w:r>
      <w:r w:rsidRPr="009766D5">
        <w:rPr>
          <w:lang w:val="en-GB"/>
        </w:rPr>
        <w:t>growth is solidifying</w:t>
      </w:r>
      <w:r w:rsidR="00290ED4" w:rsidRPr="009766D5">
        <w:rPr>
          <w:lang w:val="en-GB"/>
        </w:rPr>
        <w:t>,</w:t>
      </w:r>
      <w:r w:rsidRPr="009766D5">
        <w:rPr>
          <w:lang w:val="en-GB"/>
        </w:rPr>
        <w:t xml:space="preserve"> with an expansion of economic activity by 6.3 per cent in 2022 driven by the construction sector and a good agricultural harvest.</w:t>
      </w:r>
      <w:r w:rsidRPr="009766D5">
        <w:rPr>
          <w:rStyle w:val="FootnoteReference"/>
          <w:sz w:val="16"/>
          <w:szCs w:val="16"/>
          <w:lang w:val="en-GB"/>
        </w:rPr>
        <w:footnoteReference w:id="3"/>
      </w:r>
      <w:r w:rsidRPr="009766D5">
        <w:rPr>
          <w:lang w:val="en-GB"/>
        </w:rPr>
        <w:t xml:space="preserve"> </w:t>
      </w:r>
      <w:r w:rsidR="00255D8F" w:rsidRPr="009766D5">
        <w:rPr>
          <w:lang w:val="en-GB"/>
        </w:rPr>
        <w:t>The o</w:t>
      </w:r>
      <w:r w:rsidRPr="009766D5">
        <w:rPr>
          <w:lang w:val="en-GB"/>
        </w:rPr>
        <w:t>utlook remains favo</w:t>
      </w:r>
      <w:r w:rsidR="00505097" w:rsidRPr="009766D5">
        <w:rPr>
          <w:lang w:val="en-GB"/>
        </w:rPr>
        <w:t>u</w:t>
      </w:r>
      <w:r w:rsidRPr="009766D5">
        <w:rPr>
          <w:lang w:val="en-GB"/>
        </w:rPr>
        <w:t>rable owing to the expan</w:t>
      </w:r>
      <w:r w:rsidR="001751ED" w:rsidRPr="009766D5">
        <w:rPr>
          <w:lang w:val="en-GB"/>
        </w:rPr>
        <w:t>ded</w:t>
      </w:r>
      <w:r w:rsidRPr="009766D5">
        <w:rPr>
          <w:lang w:val="en-GB"/>
        </w:rPr>
        <w:t xml:space="preserve"> special economic zone and the modernization of the port of Cotonou. But the global economic context, the economic effects of the war in Ukraine, </w:t>
      </w:r>
      <w:r w:rsidR="001751ED" w:rsidRPr="009766D5">
        <w:rPr>
          <w:lang w:val="en-GB"/>
        </w:rPr>
        <w:t xml:space="preserve">climate change and </w:t>
      </w:r>
      <w:r w:rsidRPr="009766D5">
        <w:rPr>
          <w:lang w:val="en-GB"/>
        </w:rPr>
        <w:t>difficult regional security threat</w:t>
      </w:r>
      <w:r w:rsidR="001751ED" w:rsidRPr="009766D5">
        <w:rPr>
          <w:lang w:val="en-GB"/>
        </w:rPr>
        <w:t>en</w:t>
      </w:r>
      <w:r w:rsidRPr="009766D5">
        <w:rPr>
          <w:lang w:val="en-GB"/>
        </w:rPr>
        <w:t xml:space="preserve"> th</w:t>
      </w:r>
      <w:r w:rsidR="001751ED" w:rsidRPr="009766D5">
        <w:rPr>
          <w:lang w:val="en-GB"/>
        </w:rPr>
        <w:t>is</w:t>
      </w:r>
      <w:r w:rsidRPr="009766D5">
        <w:rPr>
          <w:lang w:val="en-GB"/>
        </w:rPr>
        <w:t xml:space="preserve"> trajectory</w:t>
      </w:r>
      <w:r w:rsidR="00290ED4" w:rsidRPr="009766D5">
        <w:rPr>
          <w:lang w:val="en-GB"/>
        </w:rPr>
        <w:t>,</w:t>
      </w:r>
      <w:r w:rsidRPr="009766D5">
        <w:rPr>
          <w:lang w:val="en-GB"/>
        </w:rPr>
        <w:t xml:space="preserve"> and could </w:t>
      </w:r>
      <w:r w:rsidR="00290ED4" w:rsidRPr="009766D5">
        <w:rPr>
          <w:lang w:val="en-GB"/>
        </w:rPr>
        <w:t xml:space="preserve">harm </w:t>
      </w:r>
      <w:r w:rsidRPr="009766D5">
        <w:rPr>
          <w:lang w:val="en-GB"/>
        </w:rPr>
        <w:t>the poor</w:t>
      </w:r>
      <w:r w:rsidR="001751ED" w:rsidRPr="009766D5">
        <w:rPr>
          <w:lang w:val="en-GB"/>
        </w:rPr>
        <w:t>est</w:t>
      </w:r>
      <w:r w:rsidRPr="009766D5">
        <w:rPr>
          <w:lang w:val="en-GB"/>
        </w:rPr>
        <w:t xml:space="preserve"> and most vulnerable.</w:t>
      </w:r>
    </w:p>
    <w:p w14:paraId="4148A4DD" w14:textId="480A7D91"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Despite </w:t>
      </w:r>
      <w:r w:rsidR="00290ED4" w:rsidRPr="009766D5">
        <w:rPr>
          <w:lang w:val="en-GB"/>
        </w:rPr>
        <w:t xml:space="preserve">its </w:t>
      </w:r>
      <w:r w:rsidRPr="009766D5">
        <w:rPr>
          <w:lang w:val="en-GB"/>
        </w:rPr>
        <w:t>achievements, Benin ranks among the countries with ‘low human development’, with</w:t>
      </w:r>
      <w:r w:rsidR="00DA60BA" w:rsidRPr="009766D5">
        <w:rPr>
          <w:lang w:val="en-GB"/>
        </w:rPr>
        <w:t xml:space="preserve"> a</w:t>
      </w:r>
      <w:r w:rsidRPr="009766D5">
        <w:rPr>
          <w:lang w:val="en-GB"/>
        </w:rPr>
        <w:t xml:space="preserve"> </w:t>
      </w:r>
      <w:r w:rsidR="003A3C53" w:rsidRPr="009766D5">
        <w:rPr>
          <w:lang w:val="en-GB"/>
        </w:rPr>
        <w:t>H</w:t>
      </w:r>
      <w:r w:rsidR="00A2739C" w:rsidRPr="009766D5">
        <w:rPr>
          <w:lang w:val="en-GB"/>
        </w:rPr>
        <w:t>uman Development Index</w:t>
      </w:r>
      <w:r w:rsidR="003A3C53" w:rsidRPr="009766D5">
        <w:rPr>
          <w:lang w:val="en-GB"/>
        </w:rPr>
        <w:t xml:space="preserve"> </w:t>
      </w:r>
      <w:r w:rsidR="00E73B73" w:rsidRPr="009766D5">
        <w:rPr>
          <w:lang w:val="en-GB"/>
        </w:rPr>
        <w:t xml:space="preserve">of 0.525 over 1 in </w:t>
      </w:r>
      <w:r w:rsidRPr="009766D5">
        <w:rPr>
          <w:lang w:val="en-GB"/>
        </w:rPr>
        <w:t xml:space="preserve">2021. The country faces challenges in terms of structural transformation and growth inclusiveness. The size of informal sector </w:t>
      </w:r>
      <w:r w:rsidR="001751ED" w:rsidRPr="009766D5">
        <w:rPr>
          <w:lang w:val="en-GB"/>
        </w:rPr>
        <w:t>(</w:t>
      </w:r>
      <w:r w:rsidRPr="009766D5">
        <w:rPr>
          <w:lang w:val="en-GB"/>
        </w:rPr>
        <w:t>90.1 per cent of the active working population</w:t>
      </w:r>
      <w:r w:rsidRPr="009766D5">
        <w:rPr>
          <w:vertAlign w:val="superscript"/>
          <w:lang w:val="en-GB"/>
        </w:rPr>
        <w:footnoteReference w:id="4"/>
      </w:r>
      <w:r w:rsidR="001751ED" w:rsidRPr="009766D5">
        <w:rPr>
          <w:lang w:val="en-GB"/>
        </w:rPr>
        <w:t xml:space="preserve">) </w:t>
      </w:r>
      <w:r w:rsidRPr="009766D5">
        <w:rPr>
          <w:lang w:val="en-GB"/>
        </w:rPr>
        <w:t xml:space="preserve">and the underemployment rate of youth and women reaching </w:t>
      </w:r>
      <w:r w:rsidR="007A4860" w:rsidRPr="009766D5">
        <w:rPr>
          <w:lang w:val="en-GB"/>
        </w:rPr>
        <w:t>(</w:t>
      </w:r>
      <w:r w:rsidRPr="009766D5">
        <w:rPr>
          <w:lang w:val="en-GB"/>
        </w:rPr>
        <w:t>72</w:t>
      </w:r>
      <w:r w:rsidR="007A4860" w:rsidRPr="009766D5">
        <w:rPr>
          <w:lang w:val="en-GB"/>
        </w:rPr>
        <w:t xml:space="preserve"> per cent</w:t>
      </w:r>
      <w:r w:rsidR="00290ED4" w:rsidRPr="009766D5">
        <w:rPr>
          <w:vertAlign w:val="superscript"/>
          <w:lang w:val="en-GB"/>
        </w:rPr>
        <w:footnoteReference w:id="5"/>
      </w:r>
      <w:r w:rsidR="007A4860" w:rsidRPr="009766D5">
        <w:rPr>
          <w:lang w:val="en-GB"/>
        </w:rPr>
        <w:t>)</w:t>
      </w:r>
      <w:r w:rsidRPr="009766D5">
        <w:rPr>
          <w:lang w:val="en-GB"/>
        </w:rPr>
        <w:t xml:space="preserve"> are major concerns</w:t>
      </w:r>
      <w:r w:rsidR="007A4860" w:rsidRPr="009766D5">
        <w:rPr>
          <w:lang w:val="en-GB"/>
        </w:rPr>
        <w:t>.</w:t>
      </w:r>
      <w:r w:rsidRPr="009766D5">
        <w:rPr>
          <w:lang w:val="en-GB"/>
        </w:rPr>
        <w:t xml:space="preserve"> Access to basic social services </w:t>
      </w:r>
      <w:r w:rsidR="00290ED4" w:rsidRPr="009766D5">
        <w:rPr>
          <w:lang w:val="en-GB"/>
        </w:rPr>
        <w:t xml:space="preserve">is </w:t>
      </w:r>
      <w:r w:rsidRPr="009766D5">
        <w:rPr>
          <w:lang w:val="en-GB"/>
        </w:rPr>
        <w:t xml:space="preserve">difficult for </w:t>
      </w:r>
      <w:r w:rsidR="007A4860" w:rsidRPr="009766D5">
        <w:rPr>
          <w:lang w:val="en-GB"/>
        </w:rPr>
        <w:t xml:space="preserve">people </w:t>
      </w:r>
      <w:r w:rsidRPr="009766D5">
        <w:rPr>
          <w:lang w:val="en-GB"/>
        </w:rPr>
        <w:t>outside urban areas. Poverty remains high (38.5 per cent in 2019 against 39.3 per cent in 2015</w:t>
      </w:r>
      <w:r w:rsidR="00290ED4" w:rsidRPr="009766D5">
        <w:rPr>
          <w:vertAlign w:val="superscript"/>
          <w:lang w:val="en-GB"/>
        </w:rPr>
        <w:footnoteReference w:id="6"/>
      </w:r>
      <w:r w:rsidRPr="009766D5">
        <w:rPr>
          <w:lang w:val="en-GB"/>
        </w:rPr>
        <w:t>)</w:t>
      </w:r>
      <w:r w:rsidR="007A4860" w:rsidRPr="009766D5">
        <w:rPr>
          <w:lang w:val="en-GB"/>
        </w:rPr>
        <w:t>.</w:t>
      </w:r>
      <w:r w:rsidRPr="009766D5">
        <w:rPr>
          <w:lang w:val="en-GB"/>
        </w:rPr>
        <w:t xml:space="preserve"> Poverty is mainly rural (44.2 per cent)</w:t>
      </w:r>
      <w:r w:rsidR="007A4860" w:rsidRPr="009766D5">
        <w:rPr>
          <w:lang w:val="en-GB"/>
        </w:rPr>
        <w:t>,</w:t>
      </w:r>
      <w:r w:rsidRPr="009766D5">
        <w:rPr>
          <w:lang w:val="en-GB"/>
        </w:rPr>
        <w:t xml:space="preserve"> and higher in the north (60.5 per cent in Atacora, 53.3 </w:t>
      </w:r>
      <w:r w:rsidR="007A4860" w:rsidRPr="009766D5">
        <w:rPr>
          <w:lang w:val="en-GB"/>
        </w:rPr>
        <w:t xml:space="preserve">per cent </w:t>
      </w:r>
      <w:r w:rsidRPr="009766D5">
        <w:rPr>
          <w:lang w:val="en-GB"/>
        </w:rPr>
        <w:t xml:space="preserve">in Borgou and 42.1 </w:t>
      </w:r>
      <w:r w:rsidR="007A4860" w:rsidRPr="009766D5">
        <w:rPr>
          <w:lang w:val="en-GB"/>
        </w:rPr>
        <w:t xml:space="preserve">per cent </w:t>
      </w:r>
      <w:r w:rsidRPr="009766D5">
        <w:rPr>
          <w:lang w:val="en-GB"/>
        </w:rPr>
        <w:t>in Alibori). The country is halfway to achieving the Sustainable Development Goals</w:t>
      </w:r>
      <w:r w:rsidR="007A4860" w:rsidRPr="009766D5">
        <w:rPr>
          <w:lang w:val="en-GB"/>
        </w:rPr>
        <w:t>,</w:t>
      </w:r>
      <w:r w:rsidRPr="009766D5">
        <w:rPr>
          <w:lang w:val="en-GB"/>
        </w:rPr>
        <w:t xml:space="preserve"> with a score of 50.7 out of 100 across all 17 </w:t>
      </w:r>
      <w:r w:rsidR="00255D8F" w:rsidRPr="009766D5">
        <w:rPr>
          <w:lang w:val="en-GB"/>
        </w:rPr>
        <w:t>Goals</w:t>
      </w:r>
      <w:r w:rsidR="007A4860" w:rsidRPr="009766D5">
        <w:rPr>
          <w:lang w:val="en-GB"/>
        </w:rPr>
        <w:t>,</w:t>
      </w:r>
      <w:r w:rsidR="00255D8F" w:rsidRPr="009766D5">
        <w:rPr>
          <w:lang w:val="en-GB"/>
        </w:rPr>
        <w:t xml:space="preserve"> </w:t>
      </w:r>
      <w:r w:rsidRPr="009766D5">
        <w:rPr>
          <w:lang w:val="en-GB"/>
        </w:rPr>
        <w:t xml:space="preserve">but strong and sustained efforts are required to reverse the negative trends of </w:t>
      </w:r>
      <w:r w:rsidR="00255D8F" w:rsidRPr="009766D5">
        <w:rPr>
          <w:lang w:val="en-GB"/>
        </w:rPr>
        <w:t xml:space="preserve">Goals </w:t>
      </w:r>
      <w:r w:rsidRPr="009766D5">
        <w:rPr>
          <w:lang w:val="en-GB"/>
        </w:rPr>
        <w:t xml:space="preserve">4, 10 and 11 while pushing </w:t>
      </w:r>
      <w:r w:rsidR="00255D8F" w:rsidRPr="009766D5">
        <w:rPr>
          <w:lang w:val="en-GB"/>
        </w:rPr>
        <w:t>Goal</w:t>
      </w:r>
      <w:r w:rsidRPr="009766D5">
        <w:rPr>
          <w:lang w:val="en-GB"/>
        </w:rPr>
        <w:t>s 1, 2, 3, 5, 6, 7, 15, 16 and 1</w:t>
      </w:r>
      <w:r w:rsidR="00255D8F" w:rsidRPr="009766D5">
        <w:rPr>
          <w:lang w:val="en-GB"/>
        </w:rPr>
        <w:t xml:space="preserve"> upwards</w:t>
      </w:r>
      <w:r w:rsidRPr="009766D5">
        <w:rPr>
          <w:lang w:val="en-GB"/>
        </w:rPr>
        <w:t>.</w:t>
      </w:r>
    </w:p>
    <w:p w14:paraId="1AE999D7" w14:textId="3EB7DD67" w:rsidR="002203EE" w:rsidRPr="009766D5" w:rsidRDefault="002203EE" w:rsidP="002203EE">
      <w:pPr>
        <w:pStyle w:val="CPD"/>
        <w:numPr>
          <w:ilvl w:val="0"/>
          <w:numId w:val="50"/>
        </w:numPr>
        <w:tabs>
          <w:tab w:val="left" w:pos="1418"/>
        </w:tabs>
        <w:ind w:left="993" w:right="713" w:firstLine="0"/>
        <w:rPr>
          <w:lang w:val="en-GB"/>
        </w:rPr>
      </w:pPr>
      <w:r w:rsidRPr="009766D5">
        <w:rPr>
          <w:lang w:val="en-GB"/>
        </w:rPr>
        <w:t>Development sectors</w:t>
      </w:r>
      <w:r w:rsidR="00684BC8" w:rsidRPr="009766D5">
        <w:rPr>
          <w:lang w:val="en-GB"/>
        </w:rPr>
        <w:t>,</w:t>
      </w:r>
      <w:r w:rsidRPr="009766D5">
        <w:rPr>
          <w:lang w:val="en-GB"/>
        </w:rPr>
        <w:t xml:space="preserve"> including agriculture, water resources, energy, health, infrastructure and urban planning, tourism, forestry, and the coastline</w:t>
      </w:r>
      <w:r w:rsidRPr="009766D5">
        <w:rPr>
          <w:vertAlign w:val="superscript"/>
          <w:lang w:val="en-GB"/>
        </w:rPr>
        <w:footnoteReference w:id="7"/>
      </w:r>
      <w:r w:rsidRPr="009766D5">
        <w:rPr>
          <w:lang w:val="en-GB"/>
        </w:rPr>
        <w:t xml:space="preserve"> are vulnerable to natural hazards and disasters associated with climate change (floods, drought, late and heavy rains</w:t>
      </w:r>
      <w:r w:rsidRPr="009766D5">
        <w:rPr>
          <w:vertAlign w:val="superscript"/>
          <w:lang w:val="en-GB"/>
        </w:rPr>
        <w:footnoteReference w:id="8"/>
      </w:r>
      <w:r w:rsidRPr="009766D5">
        <w:rPr>
          <w:lang w:val="en-GB"/>
        </w:rPr>
        <w:t>). Sixty-five</w:t>
      </w:r>
      <w:r w:rsidR="00684BC8" w:rsidRPr="009766D5">
        <w:rPr>
          <w:lang w:val="en-GB"/>
        </w:rPr>
        <w:t> </w:t>
      </w:r>
      <w:r w:rsidRPr="009766D5">
        <w:rPr>
          <w:lang w:val="en-GB"/>
        </w:rPr>
        <w:t>per</w:t>
      </w:r>
      <w:r w:rsidR="00684BC8" w:rsidRPr="009766D5">
        <w:rPr>
          <w:lang w:val="en-GB"/>
        </w:rPr>
        <w:t> </w:t>
      </w:r>
      <w:r w:rsidRPr="009766D5">
        <w:rPr>
          <w:lang w:val="en-GB"/>
        </w:rPr>
        <w:t>cent of farmland is affected by soil degradation</w:t>
      </w:r>
      <w:r w:rsidR="00684BC8" w:rsidRPr="009766D5">
        <w:rPr>
          <w:lang w:val="en-GB"/>
        </w:rPr>
        <w:t>,</w:t>
      </w:r>
      <w:r w:rsidRPr="009766D5">
        <w:rPr>
          <w:lang w:val="en-GB"/>
        </w:rPr>
        <w:t xml:space="preserve"> particularly in the north, and threatening agricultural development.</w:t>
      </w:r>
    </w:p>
    <w:p w14:paraId="0EBF81A2" w14:textId="0DDD067A" w:rsidR="002203EE" w:rsidRPr="009766D5" w:rsidRDefault="002203EE" w:rsidP="002203EE">
      <w:pPr>
        <w:pStyle w:val="CPD"/>
        <w:numPr>
          <w:ilvl w:val="0"/>
          <w:numId w:val="50"/>
        </w:numPr>
        <w:tabs>
          <w:tab w:val="left" w:pos="1418"/>
        </w:tabs>
        <w:ind w:left="993" w:right="713" w:firstLine="0"/>
        <w:rPr>
          <w:lang w:val="en-GB"/>
        </w:rPr>
      </w:pPr>
      <w:r w:rsidRPr="009766D5">
        <w:rPr>
          <w:lang w:val="en-GB"/>
        </w:rPr>
        <w:t>Th</w:t>
      </w:r>
      <w:r w:rsidR="00316BCF" w:rsidRPr="009766D5">
        <w:rPr>
          <w:lang w:val="en-GB"/>
        </w:rPr>
        <w:t>e</w:t>
      </w:r>
      <w:r w:rsidRPr="009766D5">
        <w:rPr>
          <w:lang w:val="en-GB"/>
        </w:rPr>
        <w:t xml:space="preserve"> situation is aggravated by the security threat</w:t>
      </w:r>
      <w:r w:rsidR="00316BCF" w:rsidRPr="009766D5">
        <w:rPr>
          <w:lang w:val="en-GB"/>
        </w:rPr>
        <w:t xml:space="preserve"> – </w:t>
      </w:r>
      <w:r w:rsidRPr="009766D5">
        <w:rPr>
          <w:lang w:val="en-GB"/>
        </w:rPr>
        <w:t>m</w:t>
      </w:r>
      <w:r w:rsidR="00316BCF" w:rsidRPr="009766D5">
        <w:rPr>
          <w:lang w:val="en-GB"/>
        </w:rPr>
        <w:t>ain</w:t>
      </w:r>
      <w:r w:rsidRPr="009766D5">
        <w:rPr>
          <w:lang w:val="en-GB"/>
        </w:rPr>
        <w:t>ly in the northern regions bordering Burkina Faso, Niger and Nigeria</w:t>
      </w:r>
      <w:r w:rsidR="00316BCF" w:rsidRPr="009766D5">
        <w:rPr>
          <w:lang w:val="en-GB"/>
        </w:rPr>
        <w:t xml:space="preserve"> – </w:t>
      </w:r>
      <w:r w:rsidRPr="009766D5">
        <w:rPr>
          <w:lang w:val="en-GB"/>
        </w:rPr>
        <w:t>underpinned by the spill</w:t>
      </w:r>
      <w:r w:rsidR="00290ED4" w:rsidRPr="009766D5">
        <w:rPr>
          <w:lang w:val="en-GB"/>
        </w:rPr>
        <w:t>-</w:t>
      </w:r>
      <w:r w:rsidRPr="009766D5">
        <w:rPr>
          <w:lang w:val="en-GB"/>
        </w:rPr>
        <w:t>over of the Sahel and Liptako-Gourma crisis. Since 2019 the number of terrorist attacks and transnational organized crimes ha</w:t>
      </w:r>
      <w:r w:rsidR="00290ED4" w:rsidRPr="009766D5">
        <w:rPr>
          <w:lang w:val="en-GB"/>
        </w:rPr>
        <w:t>s</w:t>
      </w:r>
      <w:r w:rsidRPr="009766D5">
        <w:rPr>
          <w:lang w:val="en-GB"/>
        </w:rPr>
        <w:t xml:space="preserve"> increased in those regions, worsening the already vulnerable situation. This dynamic</w:t>
      </w:r>
      <w:r w:rsidR="00316BCF" w:rsidRPr="009766D5">
        <w:rPr>
          <w:lang w:val="en-GB"/>
        </w:rPr>
        <w:t>,</w:t>
      </w:r>
      <w:r w:rsidRPr="009766D5">
        <w:rPr>
          <w:lang w:val="en-GB"/>
        </w:rPr>
        <w:t xml:space="preserve"> coupled with increased tensions between farmers and herders</w:t>
      </w:r>
      <w:r w:rsidR="00290ED4" w:rsidRPr="009766D5">
        <w:rPr>
          <w:lang w:val="en-GB"/>
        </w:rPr>
        <w:t xml:space="preserve"> – </w:t>
      </w:r>
      <w:r w:rsidRPr="009766D5">
        <w:rPr>
          <w:lang w:val="en-GB"/>
        </w:rPr>
        <w:t>fuel</w:t>
      </w:r>
      <w:r w:rsidR="00CB0A24" w:rsidRPr="009766D5">
        <w:rPr>
          <w:lang w:val="en-GB"/>
        </w:rPr>
        <w:t>l</w:t>
      </w:r>
      <w:r w:rsidRPr="009766D5">
        <w:rPr>
          <w:lang w:val="en-GB"/>
        </w:rPr>
        <w:t>ed by climate change</w:t>
      </w:r>
      <w:r w:rsidR="00290ED4" w:rsidRPr="009766D5">
        <w:rPr>
          <w:lang w:val="en-GB"/>
        </w:rPr>
        <w:t xml:space="preserve"> –</w:t>
      </w:r>
      <w:r w:rsidRPr="009766D5">
        <w:rPr>
          <w:lang w:val="en-GB"/>
        </w:rPr>
        <w:t xml:space="preserve"> accentuat</w:t>
      </w:r>
      <w:r w:rsidR="00316BCF" w:rsidRPr="009766D5">
        <w:rPr>
          <w:lang w:val="en-GB"/>
        </w:rPr>
        <w:t>es</w:t>
      </w:r>
      <w:r w:rsidRPr="009766D5">
        <w:rPr>
          <w:lang w:val="en-GB"/>
        </w:rPr>
        <w:t xml:space="preserve"> regional socio-economic disparities</w:t>
      </w:r>
      <w:r w:rsidR="00316BCF" w:rsidRPr="009766D5">
        <w:rPr>
          <w:lang w:val="en-GB"/>
        </w:rPr>
        <w:t>,</w:t>
      </w:r>
      <w:r w:rsidRPr="009766D5">
        <w:rPr>
          <w:lang w:val="en-GB"/>
        </w:rPr>
        <w:t xml:space="preserve"> with </w:t>
      </w:r>
      <w:r w:rsidR="00316BCF" w:rsidRPr="009766D5">
        <w:rPr>
          <w:lang w:val="en-GB"/>
        </w:rPr>
        <w:t xml:space="preserve">severe </w:t>
      </w:r>
      <w:r w:rsidRPr="009766D5">
        <w:rPr>
          <w:lang w:val="en-GB"/>
        </w:rPr>
        <w:t>impacts on the livelihood</w:t>
      </w:r>
      <w:r w:rsidR="00316BCF" w:rsidRPr="009766D5">
        <w:rPr>
          <w:lang w:val="en-GB"/>
        </w:rPr>
        <w:t>s</w:t>
      </w:r>
      <w:r w:rsidRPr="009766D5">
        <w:rPr>
          <w:lang w:val="en-GB"/>
        </w:rPr>
        <w:t xml:space="preserve"> of youth and women. In response</w:t>
      </w:r>
      <w:r w:rsidR="00316BCF" w:rsidRPr="009766D5">
        <w:rPr>
          <w:lang w:val="en-GB"/>
        </w:rPr>
        <w:t>,</w:t>
      </w:r>
      <w:r w:rsidRPr="009766D5">
        <w:rPr>
          <w:lang w:val="en-GB"/>
        </w:rPr>
        <w:t xml:space="preserve"> UNDP will scale up its interventions with partners </w:t>
      </w:r>
      <w:r w:rsidR="00316BCF" w:rsidRPr="009766D5">
        <w:rPr>
          <w:lang w:val="en-GB"/>
        </w:rPr>
        <w:t>wishing to</w:t>
      </w:r>
      <w:r w:rsidRPr="009766D5">
        <w:rPr>
          <w:lang w:val="en-GB"/>
        </w:rPr>
        <w:t xml:space="preserve"> contribut</w:t>
      </w:r>
      <w:r w:rsidR="00290ED4" w:rsidRPr="009766D5">
        <w:rPr>
          <w:lang w:val="en-GB"/>
        </w:rPr>
        <w:t>e</w:t>
      </w:r>
      <w:r w:rsidRPr="009766D5">
        <w:rPr>
          <w:lang w:val="en-GB"/>
        </w:rPr>
        <w:t xml:space="preserve"> to </w:t>
      </w:r>
      <w:r w:rsidR="00DA60BA" w:rsidRPr="009766D5">
        <w:rPr>
          <w:lang w:val="en-GB"/>
        </w:rPr>
        <w:t>p</w:t>
      </w:r>
      <w:r w:rsidR="003453BF" w:rsidRPr="009766D5">
        <w:rPr>
          <w:lang w:val="en-GB"/>
        </w:rPr>
        <w:t xml:space="preserve">revention of </w:t>
      </w:r>
      <w:r w:rsidR="00DA60BA" w:rsidRPr="009766D5">
        <w:rPr>
          <w:lang w:val="en-GB"/>
        </w:rPr>
        <w:t>v</w:t>
      </w:r>
      <w:r w:rsidR="003453BF" w:rsidRPr="009766D5">
        <w:rPr>
          <w:lang w:val="en-GB"/>
        </w:rPr>
        <w:t xml:space="preserve">iolent </w:t>
      </w:r>
      <w:r w:rsidR="00DA60BA" w:rsidRPr="009766D5">
        <w:rPr>
          <w:lang w:val="en-GB"/>
        </w:rPr>
        <w:t>e</w:t>
      </w:r>
      <w:r w:rsidR="003453BF" w:rsidRPr="009766D5">
        <w:rPr>
          <w:lang w:val="en-GB"/>
        </w:rPr>
        <w:t>xtremism</w:t>
      </w:r>
      <w:r w:rsidRPr="009766D5">
        <w:rPr>
          <w:lang w:val="en-GB"/>
        </w:rPr>
        <w:t>.</w:t>
      </w:r>
    </w:p>
    <w:p w14:paraId="63DCE3FD" w14:textId="1DDB7741" w:rsidR="002203EE" w:rsidRPr="009766D5" w:rsidRDefault="002203EE" w:rsidP="002203EE">
      <w:pPr>
        <w:pStyle w:val="CPD"/>
        <w:numPr>
          <w:ilvl w:val="0"/>
          <w:numId w:val="50"/>
        </w:numPr>
        <w:tabs>
          <w:tab w:val="left" w:pos="1418"/>
        </w:tabs>
        <w:ind w:left="993" w:right="713" w:firstLine="0"/>
        <w:rPr>
          <w:lang w:val="en-GB"/>
        </w:rPr>
      </w:pPr>
      <w:r w:rsidRPr="009766D5">
        <w:rPr>
          <w:lang w:val="en-GB"/>
        </w:rPr>
        <w:t>Despite the persistence of grievances stemming from previous elections, the legislative elections held in January 2023 were the most peaceful and inclusive since 2016</w:t>
      </w:r>
      <w:r w:rsidR="00316BCF" w:rsidRPr="009766D5">
        <w:rPr>
          <w:lang w:val="en-GB"/>
        </w:rPr>
        <w:t>,</w:t>
      </w:r>
      <w:r w:rsidRPr="009766D5">
        <w:rPr>
          <w:lang w:val="en-GB"/>
        </w:rPr>
        <w:t xml:space="preserve"> with the opposition returning to the National Assembly. The proportion of women sitting in Parliament increased from 7.23 per cent to 25.69 per cent, thanks to </w:t>
      </w:r>
      <w:r w:rsidR="00316BCF" w:rsidRPr="009766D5">
        <w:rPr>
          <w:lang w:val="en-GB"/>
        </w:rPr>
        <w:t>L</w:t>
      </w:r>
      <w:r w:rsidRPr="009766D5">
        <w:rPr>
          <w:lang w:val="en-GB"/>
        </w:rPr>
        <w:t xml:space="preserve">aw </w:t>
      </w:r>
      <w:r w:rsidR="00316BCF" w:rsidRPr="009766D5">
        <w:rPr>
          <w:lang w:val="en-GB"/>
        </w:rPr>
        <w:t xml:space="preserve">2019-43 </w:t>
      </w:r>
      <w:r w:rsidRPr="009766D5">
        <w:rPr>
          <w:lang w:val="en-GB"/>
        </w:rPr>
        <w:t xml:space="preserve">on </w:t>
      </w:r>
      <w:r w:rsidR="00316BCF" w:rsidRPr="009766D5">
        <w:rPr>
          <w:lang w:val="en-GB"/>
        </w:rPr>
        <w:t xml:space="preserve">the </w:t>
      </w:r>
      <w:r w:rsidRPr="009766D5">
        <w:rPr>
          <w:lang w:val="en-GB"/>
        </w:rPr>
        <w:t>electoral code</w:t>
      </w:r>
      <w:r w:rsidR="00316BCF" w:rsidRPr="009766D5">
        <w:rPr>
          <w:lang w:val="en-GB"/>
        </w:rPr>
        <w:t>,</w:t>
      </w:r>
      <w:r w:rsidRPr="009766D5">
        <w:rPr>
          <w:lang w:val="en-GB"/>
        </w:rPr>
        <w:t xml:space="preserve"> </w:t>
      </w:r>
      <w:r w:rsidR="00316BCF" w:rsidRPr="009766D5">
        <w:rPr>
          <w:lang w:val="en-GB"/>
        </w:rPr>
        <w:t>stipulating</w:t>
      </w:r>
      <w:r w:rsidRPr="009766D5">
        <w:rPr>
          <w:lang w:val="en-GB"/>
        </w:rPr>
        <w:t xml:space="preserve"> 24 of 109 seats for women. </w:t>
      </w:r>
      <w:r w:rsidR="00316BCF" w:rsidRPr="009766D5">
        <w:rPr>
          <w:lang w:val="en-GB"/>
        </w:rPr>
        <w:t>The</w:t>
      </w:r>
      <w:r w:rsidRPr="009766D5">
        <w:rPr>
          <w:lang w:val="en-GB"/>
        </w:rPr>
        <w:t xml:space="preserve"> low voter turnout, however, </w:t>
      </w:r>
      <w:r w:rsidR="00316BCF" w:rsidRPr="009766D5">
        <w:rPr>
          <w:lang w:val="en-GB"/>
        </w:rPr>
        <w:t xml:space="preserve">underscores </w:t>
      </w:r>
      <w:r w:rsidRPr="009766D5">
        <w:rPr>
          <w:lang w:val="en-GB"/>
        </w:rPr>
        <w:t>the need to improve popular trust in political and electoral processes.</w:t>
      </w:r>
    </w:p>
    <w:p w14:paraId="2C234D55" w14:textId="4C5D42B6" w:rsidR="002203EE" w:rsidRPr="009766D5" w:rsidRDefault="00316BCF" w:rsidP="002203EE">
      <w:pPr>
        <w:pStyle w:val="CPD"/>
        <w:numPr>
          <w:ilvl w:val="0"/>
          <w:numId w:val="50"/>
        </w:numPr>
        <w:tabs>
          <w:tab w:val="left" w:pos="1418"/>
        </w:tabs>
        <w:ind w:left="993" w:right="713" w:firstLine="0"/>
        <w:rPr>
          <w:lang w:val="en-GB"/>
        </w:rPr>
      </w:pPr>
      <w:r w:rsidRPr="009766D5">
        <w:rPr>
          <w:lang w:val="en-GB"/>
        </w:rPr>
        <w:t>Recognizing</w:t>
      </w:r>
      <w:r w:rsidR="002203EE" w:rsidRPr="009766D5">
        <w:rPr>
          <w:lang w:val="en-GB"/>
        </w:rPr>
        <w:t xml:space="preserve"> these challenges</w:t>
      </w:r>
      <w:r w:rsidRPr="009766D5">
        <w:rPr>
          <w:lang w:val="en-GB"/>
        </w:rPr>
        <w:t>,</w:t>
      </w:r>
      <w:r w:rsidR="002203EE" w:rsidRPr="009766D5">
        <w:rPr>
          <w:lang w:val="en-GB"/>
        </w:rPr>
        <w:t xml:space="preserve"> and to sustain </w:t>
      </w:r>
      <w:r w:rsidRPr="009766D5">
        <w:rPr>
          <w:lang w:val="en-GB"/>
        </w:rPr>
        <w:t xml:space="preserve">the </w:t>
      </w:r>
      <w:r w:rsidR="002203EE" w:rsidRPr="009766D5">
        <w:rPr>
          <w:lang w:val="en-GB"/>
        </w:rPr>
        <w:t>development trajectory, the Government adopted a new strategic framework</w:t>
      </w:r>
      <w:r w:rsidR="006869C1" w:rsidRPr="009766D5">
        <w:rPr>
          <w:lang w:val="en-GB"/>
        </w:rPr>
        <w:t>,</w:t>
      </w:r>
      <w:r w:rsidR="002203EE" w:rsidRPr="009766D5">
        <w:rPr>
          <w:lang w:val="en-GB"/>
        </w:rPr>
        <w:t xml:space="preserve"> </w:t>
      </w:r>
      <w:r w:rsidR="00290ED4" w:rsidRPr="009766D5">
        <w:rPr>
          <w:lang w:val="en-GB"/>
        </w:rPr>
        <w:t>the</w:t>
      </w:r>
      <w:r w:rsidR="006869C1" w:rsidRPr="009766D5">
        <w:rPr>
          <w:lang w:val="en-GB"/>
        </w:rPr>
        <w:t xml:space="preserve"> </w:t>
      </w:r>
      <w:r w:rsidR="002203EE" w:rsidRPr="009766D5">
        <w:rPr>
          <w:lang w:val="en-GB"/>
        </w:rPr>
        <w:t>Government Action Plan</w:t>
      </w:r>
      <w:r w:rsidR="006869C1" w:rsidRPr="009766D5">
        <w:rPr>
          <w:lang w:val="en-GB"/>
        </w:rPr>
        <w:t xml:space="preserve"> (‘PAG’</w:t>
      </w:r>
      <w:r w:rsidR="002203EE" w:rsidRPr="009766D5">
        <w:rPr>
          <w:lang w:val="en-GB"/>
        </w:rPr>
        <w:t xml:space="preserve"> 2021-2026</w:t>
      </w:r>
      <w:r w:rsidR="00700A96" w:rsidRPr="009766D5">
        <w:rPr>
          <w:lang w:val="en-GB"/>
        </w:rPr>
        <w:t>)</w:t>
      </w:r>
      <w:r w:rsidR="002203EE" w:rsidRPr="009766D5">
        <w:rPr>
          <w:lang w:val="en-GB"/>
        </w:rPr>
        <w:t>, structured around three major pillars: (</w:t>
      </w:r>
      <w:r w:rsidRPr="009766D5">
        <w:rPr>
          <w:lang w:val="en-GB"/>
        </w:rPr>
        <w:t>a</w:t>
      </w:r>
      <w:r w:rsidR="002203EE" w:rsidRPr="009766D5">
        <w:rPr>
          <w:lang w:val="en-GB"/>
        </w:rPr>
        <w:t xml:space="preserve">) Strengthening democracy, rule of law and good governance; </w:t>
      </w:r>
      <w:r w:rsidR="002203EE" w:rsidRPr="009766D5">
        <w:rPr>
          <w:lang w:val="en-GB"/>
        </w:rPr>
        <w:lastRenderedPageBreak/>
        <w:t>(</w:t>
      </w:r>
      <w:r w:rsidRPr="009766D5">
        <w:rPr>
          <w:lang w:val="en-GB"/>
        </w:rPr>
        <w:t>b</w:t>
      </w:r>
      <w:r w:rsidR="002203EE" w:rsidRPr="009766D5">
        <w:rPr>
          <w:lang w:val="en-GB"/>
        </w:rPr>
        <w:t>)</w:t>
      </w:r>
      <w:r w:rsidRPr="009766D5">
        <w:rPr>
          <w:lang w:val="en-GB"/>
        </w:rPr>
        <w:t> </w:t>
      </w:r>
      <w:r w:rsidR="002203EE" w:rsidRPr="009766D5">
        <w:rPr>
          <w:lang w:val="en-GB"/>
        </w:rPr>
        <w:t xml:space="preserve">Pursuing structural transformation of the economy; </w:t>
      </w:r>
      <w:r w:rsidRPr="009766D5">
        <w:rPr>
          <w:lang w:val="en-GB"/>
        </w:rPr>
        <w:t xml:space="preserve">and </w:t>
      </w:r>
      <w:r w:rsidR="002203EE" w:rsidRPr="009766D5">
        <w:rPr>
          <w:lang w:val="en-GB"/>
        </w:rPr>
        <w:t>(</w:t>
      </w:r>
      <w:r w:rsidRPr="009766D5">
        <w:rPr>
          <w:lang w:val="en-GB"/>
        </w:rPr>
        <w:t>c</w:t>
      </w:r>
      <w:r w:rsidR="002203EE" w:rsidRPr="009766D5">
        <w:rPr>
          <w:lang w:val="en-GB"/>
        </w:rPr>
        <w:t>) Continuing to improve the social well-being of the population.</w:t>
      </w:r>
    </w:p>
    <w:p w14:paraId="615A8959" w14:textId="03D6331A" w:rsidR="002203EE" w:rsidRPr="009766D5" w:rsidRDefault="002203EE" w:rsidP="002203EE">
      <w:pPr>
        <w:pStyle w:val="CPD"/>
        <w:numPr>
          <w:ilvl w:val="0"/>
          <w:numId w:val="50"/>
        </w:numPr>
        <w:tabs>
          <w:tab w:val="left" w:pos="1418"/>
        </w:tabs>
        <w:ind w:left="993" w:right="713" w:firstLine="0"/>
        <w:rPr>
          <w:lang w:val="en-GB"/>
        </w:rPr>
      </w:pPr>
      <w:r w:rsidRPr="009766D5">
        <w:rPr>
          <w:lang w:val="en-GB"/>
        </w:rPr>
        <w:t>To support th</w:t>
      </w:r>
      <w:r w:rsidR="00316BCF" w:rsidRPr="009766D5">
        <w:rPr>
          <w:lang w:val="en-GB"/>
        </w:rPr>
        <w:t>o</w:t>
      </w:r>
      <w:r w:rsidRPr="009766D5">
        <w:rPr>
          <w:lang w:val="en-GB"/>
        </w:rPr>
        <w:t>se endeavo</w:t>
      </w:r>
      <w:r w:rsidR="00CB0A24" w:rsidRPr="009766D5">
        <w:rPr>
          <w:lang w:val="en-GB"/>
        </w:rPr>
        <w:t>u</w:t>
      </w:r>
      <w:r w:rsidRPr="009766D5">
        <w:rPr>
          <w:lang w:val="en-GB"/>
        </w:rPr>
        <w:t>rs</w:t>
      </w:r>
      <w:r w:rsidR="00316BCF" w:rsidRPr="009766D5">
        <w:rPr>
          <w:lang w:val="en-GB"/>
        </w:rPr>
        <w:t>,</w:t>
      </w:r>
      <w:r w:rsidRPr="009766D5">
        <w:rPr>
          <w:lang w:val="en-GB"/>
        </w:rPr>
        <w:t xml:space="preserve"> and in alignment with national priorities underlined in the PAG, the United Nations </w:t>
      </w:r>
      <w:r w:rsidR="006869C1" w:rsidRPr="009766D5">
        <w:rPr>
          <w:lang w:val="en-GB"/>
        </w:rPr>
        <w:t>d</w:t>
      </w:r>
      <w:r w:rsidRPr="009766D5">
        <w:rPr>
          <w:lang w:val="en-GB"/>
        </w:rPr>
        <w:t xml:space="preserve">evelopment </w:t>
      </w:r>
      <w:r w:rsidR="006869C1" w:rsidRPr="009766D5">
        <w:rPr>
          <w:lang w:val="en-GB"/>
        </w:rPr>
        <w:t>s</w:t>
      </w:r>
      <w:r w:rsidRPr="009766D5">
        <w:rPr>
          <w:lang w:val="en-GB"/>
        </w:rPr>
        <w:t xml:space="preserve">ystem in Benin defined </w:t>
      </w:r>
      <w:r w:rsidR="00316BCF" w:rsidRPr="009766D5">
        <w:rPr>
          <w:lang w:val="en-GB"/>
        </w:rPr>
        <w:t xml:space="preserve">three strategic priorities </w:t>
      </w:r>
      <w:r w:rsidRPr="009766D5">
        <w:rPr>
          <w:lang w:val="en-GB"/>
        </w:rPr>
        <w:t>in its Cooperation Framework</w:t>
      </w:r>
      <w:r w:rsidR="00654147" w:rsidRPr="009766D5">
        <w:rPr>
          <w:lang w:val="en-GB"/>
        </w:rPr>
        <w:t xml:space="preserve">, </w:t>
      </w:r>
      <w:r w:rsidRPr="009766D5">
        <w:rPr>
          <w:lang w:val="en-GB"/>
        </w:rPr>
        <w:t>2023-2026: (</w:t>
      </w:r>
      <w:r w:rsidR="00316BCF" w:rsidRPr="009766D5">
        <w:rPr>
          <w:lang w:val="en-GB"/>
        </w:rPr>
        <w:t>a</w:t>
      </w:r>
      <w:r w:rsidRPr="009766D5">
        <w:rPr>
          <w:lang w:val="en-GB"/>
        </w:rPr>
        <w:t>) Ensure the structural transformation of the economy and resilience to shocks and markets; (</w:t>
      </w:r>
      <w:r w:rsidR="00316BCF" w:rsidRPr="009766D5">
        <w:rPr>
          <w:lang w:val="en-GB"/>
        </w:rPr>
        <w:t>b</w:t>
      </w:r>
      <w:r w:rsidRPr="009766D5">
        <w:rPr>
          <w:lang w:val="en-GB"/>
        </w:rPr>
        <w:t>) Ensure equitable, inclusive and quality access to basic social services and social protection</w:t>
      </w:r>
      <w:r w:rsidR="00316BCF" w:rsidRPr="009766D5">
        <w:rPr>
          <w:lang w:val="en-GB"/>
        </w:rPr>
        <w:t>;</w:t>
      </w:r>
      <w:r w:rsidRPr="009766D5">
        <w:rPr>
          <w:lang w:val="en-GB"/>
        </w:rPr>
        <w:t xml:space="preserve"> and (</w:t>
      </w:r>
      <w:r w:rsidR="00316BCF" w:rsidRPr="009766D5">
        <w:rPr>
          <w:lang w:val="en-GB"/>
        </w:rPr>
        <w:t>c</w:t>
      </w:r>
      <w:r w:rsidRPr="009766D5">
        <w:rPr>
          <w:lang w:val="en-GB"/>
        </w:rPr>
        <w:t xml:space="preserve">) Consolidate democracy, rule of law, good governance and social cohesion. </w:t>
      </w:r>
      <w:r w:rsidR="00654147" w:rsidRPr="009766D5">
        <w:rPr>
          <w:lang w:val="en-GB"/>
        </w:rPr>
        <w:t xml:space="preserve">The Cooperation Framework </w:t>
      </w:r>
      <w:r w:rsidRPr="009766D5">
        <w:rPr>
          <w:lang w:val="en-GB"/>
        </w:rPr>
        <w:t xml:space="preserve">will target women, youth, </w:t>
      </w:r>
      <w:r w:rsidR="00316BCF" w:rsidRPr="009766D5">
        <w:rPr>
          <w:lang w:val="en-GB"/>
        </w:rPr>
        <w:t xml:space="preserve">people </w:t>
      </w:r>
      <w:r w:rsidRPr="009766D5">
        <w:rPr>
          <w:lang w:val="en-GB"/>
        </w:rPr>
        <w:t>with disabilities and local communities in rural areas</w:t>
      </w:r>
      <w:r w:rsidR="00316BCF" w:rsidRPr="009766D5">
        <w:rPr>
          <w:lang w:val="en-GB"/>
        </w:rPr>
        <w:t>,</w:t>
      </w:r>
      <w:r w:rsidRPr="009766D5">
        <w:rPr>
          <w:lang w:val="en-GB"/>
        </w:rPr>
        <w:t xml:space="preserve"> particularly in the north and border regions.</w:t>
      </w:r>
    </w:p>
    <w:p w14:paraId="69540282" w14:textId="78A7A570" w:rsidR="002203EE" w:rsidRPr="009766D5" w:rsidRDefault="002203EE" w:rsidP="002203EE">
      <w:pPr>
        <w:pStyle w:val="CPD"/>
        <w:numPr>
          <w:ilvl w:val="0"/>
          <w:numId w:val="50"/>
        </w:numPr>
        <w:tabs>
          <w:tab w:val="left" w:pos="1418"/>
        </w:tabs>
        <w:ind w:left="993" w:right="713" w:firstLine="0"/>
        <w:rPr>
          <w:lang w:val="en-GB"/>
        </w:rPr>
      </w:pPr>
      <w:r w:rsidRPr="009766D5">
        <w:rPr>
          <w:lang w:val="en-GB"/>
        </w:rPr>
        <w:t>UNDP will contribute to the</w:t>
      </w:r>
      <w:r w:rsidR="008B13D4" w:rsidRPr="009766D5">
        <w:rPr>
          <w:lang w:val="en-GB"/>
        </w:rPr>
        <w:t xml:space="preserve"> Cooperation</w:t>
      </w:r>
      <w:r w:rsidRPr="009766D5">
        <w:rPr>
          <w:lang w:val="en-GB"/>
        </w:rPr>
        <w:t xml:space="preserve"> </w:t>
      </w:r>
      <w:r w:rsidR="00654147" w:rsidRPr="009766D5">
        <w:rPr>
          <w:lang w:val="en-GB"/>
        </w:rPr>
        <w:t xml:space="preserve">Framework </w:t>
      </w:r>
      <w:r w:rsidRPr="009766D5">
        <w:rPr>
          <w:lang w:val="en-GB"/>
        </w:rPr>
        <w:t>by capitalizing on its achievements and utilizing its comparative advantages and unique value proposition, including operational flexibility and innovation in providing relevant international, regional and local expertise, and capacity</w:t>
      </w:r>
      <w:r w:rsidR="00E735DF" w:rsidRPr="009766D5">
        <w:rPr>
          <w:lang w:val="en-GB"/>
        </w:rPr>
        <w:t>-</w:t>
      </w:r>
      <w:r w:rsidRPr="009766D5">
        <w:rPr>
          <w:lang w:val="en-GB"/>
        </w:rPr>
        <w:t>building support</w:t>
      </w:r>
      <w:r w:rsidR="00E735DF" w:rsidRPr="009766D5">
        <w:rPr>
          <w:lang w:val="en-GB"/>
        </w:rPr>
        <w:t>,</w:t>
      </w:r>
      <w:r w:rsidRPr="009766D5">
        <w:rPr>
          <w:lang w:val="en-GB"/>
        </w:rPr>
        <w:t xml:space="preserve"> as acknowledged by the </w:t>
      </w:r>
      <w:r w:rsidR="00CB0A24" w:rsidRPr="009766D5">
        <w:rPr>
          <w:lang w:val="en-GB"/>
        </w:rPr>
        <w:t>i</w:t>
      </w:r>
      <w:r w:rsidRPr="009766D5">
        <w:rPr>
          <w:lang w:val="en-GB"/>
        </w:rPr>
        <w:t xml:space="preserve">ndependent </w:t>
      </w:r>
      <w:r w:rsidR="00CB0A24" w:rsidRPr="009766D5">
        <w:rPr>
          <w:lang w:val="en-GB"/>
        </w:rPr>
        <w:t>c</w:t>
      </w:r>
      <w:r w:rsidRPr="009766D5">
        <w:rPr>
          <w:lang w:val="en-GB"/>
        </w:rPr>
        <w:t xml:space="preserve">ountry </w:t>
      </w:r>
      <w:r w:rsidR="00CB0A24" w:rsidRPr="009766D5">
        <w:rPr>
          <w:lang w:val="en-GB"/>
        </w:rPr>
        <w:t>p</w:t>
      </w:r>
      <w:r w:rsidRPr="009766D5">
        <w:rPr>
          <w:lang w:val="en-GB"/>
        </w:rPr>
        <w:t xml:space="preserve">rogramme </w:t>
      </w:r>
      <w:r w:rsidR="00CB0A24" w:rsidRPr="009766D5">
        <w:rPr>
          <w:lang w:val="en-GB"/>
        </w:rPr>
        <w:t>e</w:t>
      </w:r>
      <w:r w:rsidRPr="009766D5">
        <w:rPr>
          <w:lang w:val="en-GB"/>
        </w:rPr>
        <w:t>valuation</w:t>
      </w:r>
      <w:r w:rsidR="00CB0A24" w:rsidRPr="009766D5">
        <w:rPr>
          <w:lang w:val="en-GB"/>
        </w:rPr>
        <w:t>,</w:t>
      </w:r>
      <w:r w:rsidRPr="009766D5">
        <w:rPr>
          <w:lang w:val="en-GB"/>
        </w:rPr>
        <w:t xml:space="preserve"> </w:t>
      </w:r>
      <w:r w:rsidR="00CB0A24" w:rsidRPr="009766D5">
        <w:rPr>
          <w:lang w:val="en-GB"/>
        </w:rPr>
        <w:t>2022</w:t>
      </w:r>
      <w:r w:rsidR="00700A96" w:rsidRPr="009766D5">
        <w:rPr>
          <w:lang w:val="en-GB"/>
        </w:rPr>
        <w:t xml:space="preserve">, </w:t>
      </w:r>
      <w:r w:rsidR="00E735DF" w:rsidRPr="009766D5">
        <w:rPr>
          <w:lang w:val="en-GB"/>
        </w:rPr>
        <w:t>which other United Nations organizations can leverage to deliver results</w:t>
      </w:r>
      <w:r w:rsidRPr="009766D5">
        <w:rPr>
          <w:lang w:val="en-GB"/>
        </w:rPr>
        <w:t xml:space="preserve">. Drawing from the </w:t>
      </w:r>
      <w:r w:rsidR="00E735DF" w:rsidRPr="009766D5">
        <w:rPr>
          <w:lang w:val="en-GB"/>
        </w:rPr>
        <w:t xml:space="preserve">previous country programme </w:t>
      </w:r>
      <w:r w:rsidRPr="009766D5">
        <w:rPr>
          <w:lang w:val="en-GB"/>
        </w:rPr>
        <w:t xml:space="preserve">evaluation, the </w:t>
      </w:r>
      <w:r w:rsidR="00E735DF" w:rsidRPr="009766D5">
        <w:rPr>
          <w:lang w:val="en-GB"/>
        </w:rPr>
        <w:t xml:space="preserve">2022 </w:t>
      </w:r>
      <w:r w:rsidR="00CB0A24" w:rsidRPr="009766D5">
        <w:rPr>
          <w:lang w:val="en-GB"/>
        </w:rPr>
        <w:t>evaluation</w:t>
      </w:r>
      <w:r w:rsidRPr="009766D5">
        <w:rPr>
          <w:lang w:val="en-GB"/>
        </w:rPr>
        <w:t xml:space="preserve"> recognized </w:t>
      </w:r>
      <w:r w:rsidR="00E735DF" w:rsidRPr="009766D5">
        <w:rPr>
          <w:lang w:val="en-GB"/>
        </w:rPr>
        <w:t xml:space="preserve">UNDP </w:t>
      </w:r>
      <w:r w:rsidRPr="009766D5">
        <w:rPr>
          <w:lang w:val="en-GB"/>
        </w:rPr>
        <w:t>comparative advantage</w:t>
      </w:r>
      <w:r w:rsidR="00700A96" w:rsidRPr="009766D5">
        <w:rPr>
          <w:lang w:val="en-GB"/>
        </w:rPr>
        <w:t>s</w:t>
      </w:r>
      <w:r w:rsidRPr="009766D5">
        <w:rPr>
          <w:lang w:val="en-GB"/>
        </w:rPr>
        <w:t xml:space="preserve"> in environment and climate, renewable energy, human rights, governance, peacebuilding and security, strategic policy advice and advocacy capacity. </w:t>
      </w:r>
      <w:r w:rsidR="00E735DF" w:rsidRPr="009766D5">
        <w:rPr>
          <w:lang w:val="en-GB"/>
        </w:rPr>
        <w:t>T</w:t>
      </w:r>
      <w:r w:rsidRPr="009766D5">
        <w:rPr>
          <w:lang w:val="en-GB"/>
        </w:rPr>
        <w:t xml:space="preserve">he </w:t>
      </w:r>
      <w:r w:rsidR="00CB0A24" w:rsidRPr="009766D5">
        <w:rPr>
          <w:lang w:val="en-GB"/>
        </w:rPr>
        <w:t>evaluation</w:t>
      </w:r>
      <w:r w:rsidRPr="009766D5">
        <w:rPr>
          <w:lang w:val="en-GB"/>
        </w:rPr>
        <w:t xml:space="preserve"> recognize</w:t>
      </w:r>
      <w:r w:rsidR="00CB0A24" w:rsidRPr="009766D5">
        <w:rPr>
          <w:lang w:val="en-GB"/>
        </w:rPr>
        <w:t>d</w:t>
      </w:r>
      <w:r w:rsidRPr="009766D5">
        <w:rPr>
          <w:lang w:val="en-GB"/>
        </w:rPr>
        <w:t xml:space="preserve"> </w:t>
      </w:r>
      <w:r w:rsidR="00CB0A24" w:rsidRPr="009766D5">
        <w:rPr>
          <w:lang w:val="en-GB"/>
        </w:rPr>
        <w:t xml:space="preserve">the </w:t>
      </w:r>
      <w:r w:rsidRPr="009766D5">
        <w:rPr>
          <w:lang w:val="en-GB"/>
        </w:rPr>
        <w:t>UNDP contribution</w:t>
      </w:r>
      <w:r w:rsidR="00700A96" w:rsidRPr="009766D5">
        <w:rPr>
          <w:lang w:val="en-GB"/>
        </w:rPr>
        <w:t>s to</w:t>
      </w:r>
      <w:r w:rsidRPr="009766D5">
        <w:rPr>
          <w:lang w:val="en-GB"/>
        </w:rPr>
        <w:t xml:space="preserve"> improv</w:t>
      </w:r>
      <w:r w:rsidR="00E735DF" w:rsidRPr="009766D5">
        <w:rPr>
          <w:lang w:val="en-GB"/>
        </w:rPr>
        <w:t>ing</w:t>
      </w:r>
      <w:r w:rsidRPr="009766D5">
        <w:rPr>
          <w:lang w:val="en-GB"/>
        </w:rPr>
        <w:t xml:space="preserve"> the functioning of </w:t>
      </w:r>
      <w:r w:rsidR="00E735DF" w:rsidRPr="009766D5">
        <w:rPr>
          <w:lang w:val="en-GB"/>
        </w:rPr>
        <w:t>P</w:t>
      </w:r>
      <w:r w:rsidRPr="009766D5">
        <w:rPr>
          <w:lang w:val="en-GB"/>
        </w:rPr>
        <w:t xml:space="preserve">arliament, positive results in supporting </w:t>
      </w:r>
      <w:r w:rsidR="00700A96" w:rsidRPr="009766D5">
        <w:rPr>
          <w:lang w:val="en-GB"/>
        </w:rPr>
        <w:t xml:space="preserve">the </w:t>
      </w:r>
      <w:r w:rsidRPr="009766D5">
        <w:rPr>
          <w:lang w:val="en-GB"/>
        </w:rPr>
        <w:t>institutions responsible for organizing elections</w:t>
      </w:r>
      <w:r w:rsidR="00E735DF" w:rsidRPr="009766D5">
        <w:rPr>
          <w:lang w:val="en-GB"/>
        </w:rPr>
        <w:t>,</w:t>
      </w:r>
      <w:r w:rsidRPr="009766D5">
        <w:rPr>
          <w:lang w:val="en-GB"/>
        </w:rPr>
        <w:t xml:space="preserve"> and contribution</w:t>
      </w:r>
      <w:r w:rsidR="00E735DF" w:rsidRPr="009766D5">
        <w:rPr>
          <w:lang w:val="en-GB"/>
        </w:rPr>
        <w:t>s to</w:t>
      </w:r>
      <w:r w:rsidRPr="009766D5">
        <w:rPr>
          <w:lang w:val="en-GB"/>
        </w:rPr>
        <w:t xml:space="preserve"> accelerating implementation of the </w:t>
      </w:r>
      <w:r w:rsidR="00255D8F" w:rsidRPr="009766D5">
        <w:rPr>
          <w:lang w:val="en-GB"/>
        </w:rPr>
        <w:t>Sustainable Development Goals</w:t>
      </w:r>
      <w:r w:rsidRPr="009766D5">
        <w:rPr>
          <w:lang w:val="en-GB"/>
        </w:rPr>
        <w:t xml:space="preserve"> and the Paris Agreement. The </w:t>
      </w:r>
      <w:r w:rsidR="00CB0A24" w:rsidRPr="009766D5">
        <w:rPr>
          <w:lang w:val="en-GB"/>
        </w:rPr>
        <w:t>evaluation</w:t>
      </w:r>
      <w:r w:rsidRPr="009766D5">
        <w:rPr>
          <w:lang w:val="en-GB"/>
        </w:rPr>
        <w:t xml:space="preserve"> recommended develop</w:t>
      </w:r>
      <w:r w:rsidR="00E735DF" w:rsidRPr="009766D5">
        <w:rPr>
          <w:lang w:val="en-GB"/>
        </w:rPr>
        <w:t>ing</w:t>
      </w:r>
      <w:r w:rsidRPr="009766D5">
        <w:rPr>
          <w:lang w:val="en-GB"/>
        </w:rPr>
        <w:t xml:space="preserve"> synergies between programme components and alignment with national programmatic frameworks. </w:t>
      </w:r>
    </w:p>
    <w:p w14:paraId="56F113A3" w14:textId="5A5886FD" w:rsidR="002203EE" w:rsidRPr="009766D5" w:rsidRDefault="00E735DF" w:rsidP="002203EE">
      <w:pPr>
        <w:pStyle w:val="CPD"/>
        <w:numPr>
          <w:ilvl w:val="0"/>
          <w:numId w:val="50"/>
        </w:numPr>
        <w:tabs>
          <w:tab w:val="left" w:pos="1418"/>
        </w:tabs>
        <w:ind w:left="993" w:right="713" w:firstLine="0"/>
        <w:rPr>
          <w:lang w:val="en-GB"/>
        </w:rPr>
      </w:pPr>
      <w:r w:rsidRPr="009766D5">
        <w:rPr>
          <w:lang w:val="en-GB"/>
        </w:rPr>
        <w:t>A</w:t>
      </w:r>
      <w:r w:rsidR="002203EE" w:rsidRPr="009766D5">
        <w:rPr>
          <w:lang w:val="en-GB"/>
        </w:rPr>
        <w:t xml:space="preserve">s part of the </w:t>
      </w:r>
      <w:r w:rsidR="006869C1" w:rsidRPr="009766D5">
        <w:rPr>
          <w:lang w:val="en-GB"/>
        </w:rPr>
        <w:t>United Nations development system</w:t>
      </w:r>
      <w:r w:rsidR="002203EE" w:rsidRPr="009766D5">
        <w:rPr>
          <w:lang w:val="en-GB"/>
        </w:rPr>
        <w:t xml:space="preserve"> contribution to </w:t>
      </w:r>
      <w:r w:rsidR="00700A96" w:rsidRPr="009766D5">
        <w:rPr>
          <w:lang w:val="en-GB"/>
        </w:rPr>
        <w:t xml:space="preserve">the </w:t>
      </w:r>
      <w:r w:rsidR="002203EE" w:rsidRPr="009766D5">
        <w:rPr>
          <w:lang w:val="en-GB"/>
        </w:rPr>
        <w:t xml:space="preserve">development priorities </w:t>
      </w:r>
      <w:r w:rsidR="00700A96" w:rsidRPr="009766D5">
        <w:rPr>
          <w:lang w:val="en-GB"/>
        </w:rPr>
        <w:t xml:space="preserve">of Benin </w:t>
      </w:r>
      <w:r w:rsidR="002203EE" w:rsidRPr="009766D5">
        <w:rPr>
          <w:lang w:val="en-GB"/>
        </w:rPr>
        <w:t xml:space="preserve">in achieving the </w:t>
      </w:r>
      <w:r w:rsidR="00255D8F" w:rsidRPr="009766D5">
        <w:rPr>
          <w:lang w:val="en-GB"/>
        </w:rPr>
        <w:t>Goals</w:t>
      </w:r>
      <w:r w:rsidR="002203EE" w:rsidRPr="009766D5">
        <w:rPr>
          <w:lang w:val="en-GB"/>
        </w:rPr>
        <w:t xml:space="preserve">, UNDP will contribute </w:t>
      </w:r>
      <w:r w:rsidR="00700A96" w:rsidRPr="009766D5">
        <w:rPr>
          <w:lang w:val="en-GB"/>
        </w:rPr>
        <w:t xml:space="preserve">directly through this Programme </w:t>
      </w:r>
      <w:r w:rsidR="002203EE" w:rsidRPr="009766D5">
        <w:rPr>
          <w:lang w:val="en-GB"/>
        </w:rPr>
        <w:t xml:space="preserve">to </w:t>
      </w:r>
      <w:r w:rsidR="00654147" w:rsidRPr="009766D5">
        <w:rPr>
          <w:lang w:val="en-GB"/>
        </w:rPr>
        <w:t xml:space="preserve">Cooperation Framework </w:t>
      </w:r>
      <w:r w:rsidR="002203EE" w:rsidRPr="009766D5">
        <w:rPr>
          <w:lang w:val="en-GB"/>
        </w:rPr>
        <w:t>priorities (</w:t>
      </w:r>
      <w:r w:rsidR="00EF6329" w:rsidRPr="009766D5">
        <w:rPr>
          <w:lang w:val="en-GB"/>
        </w:rPr>
        <w:t>a</w:t>
      </w:r>
      <w:r w:rsidR="002203EE" w:rsidRPr="009766D5">
        <w:rPr>
          <w:lang w:val="en-GB"/>
        </w:rPr>
        <w:t>) and (</w:t>
      </w:r>
      <w:r w:rsidR="00EF6329" w:rsidRPr="009766D5">
        <w:rPr>
          <w:lang w:val="en-GB"/>
        </w:rPr>
        <w:t>c</w:t>
      </w:r>
      <w:r w:rsidR="002203EE" w:rsidRPr="009766D5">
        <w:rPr>
          <w:lang w:val="en-GB"/>
        </w:rPr>
        <w:t>)</w:t>
      </w:r>
      <w:r w:rsidR="00700A96" w:rsidRPr="009766D5">
        <w:rPr>
          <w:lang w:val="en-GB"/>
        </w:rPr>
        <w:t>,</w:t>
      </w:r>
      <w:r w:rsidR="002203EE" w:rsidRPr="009766D5">
        <w:rPr>
          <w:lang w:val="en-GB"/>
        </w:rPr>
        <w:t xml:space="preserve"> and indirectly to priority (</w:t>
      </w:r>
      <w:r w:rsidR="00EF6329" w:rsidRPr="009766D5">
        <w:rPr>
          <w:lang w:val="en-GB"/>
        </w:rPr>
        <w:t>b</w:t>
      </w:r>
      <w:r w:rsidR="002203EE" w:rsidRPr="009766D5">
        <w:rPr>
          <w:lang w:val="en-GB"/>
        </w:rPr>
        <w:t>)</w:t>
      </w:r>
      <w:r w:rsidR="00700A96" w:rsidRPr="009766D5">
        <w:rPr>
          <w:lang w:val="en-GB"/>
        </w:rPr>
        <w:t>,</w:t>
      </w:r>
      <w:r w:rsidR="002203EE" w:rsidRPr="009766D5">
        <w:rPr>
          <w:lang w:val="en-GB"/>
        </w:rPr>
        <w:t xml:space="preserve"> as means to achieve social cohesion outcomes.</w:t>
      </w:r>
    </w:p>
    <w:p w14:paraId="798B28F5" w14:textId="14A6067F"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Given the </w:t>
      </w:r>
      <w:r w:rsidR="00E73B73" w:rsidRPr="009766D5">
        <w:rPr>
          <w:lang w:val="en-GB"/>
        </w:rPr>
        <w:t xml:space="preserve">increasingly </w:t>
      </w:r>
      <w:r w:rsidR="00700A96" w:rsidRPr="009766D5">
        <w:rPr>
          <w:lang w:val="en-GB"/>
        </w:rPr>
        <w:t>difficult</w:t>
      </w:r>
      <w:r w:rsidRPr="009766D5">
        <w:rPr>
          <w:lang w:val="en-GB"/>
        </w:rPr>
        <w:t xml:space="preserve"> security situation, special </w:t>
      </w:r>
      <w:r w:rsidR="00EF6329" w:rsidRPr="009766D5">
        <w:rPr>
          <w:lang w:val="en-GB"/>
        </w:rPr>
        <w:t xml:space="preserve">attention </w:t>
      </w:r>
      <w:r w:rsidRPr="009766D5">
        <w:rPr>
          <w:lang w:val="en-GB"/>
        </w:rPr>
        <w:t xml:space="preserve">will be </w:t>
      </w:r>
      <w:r w:rsidR="00EF6329" w:rsidRPr="009766D5">
        <w:rPr>
          <w:lang w:val="en-GB"/>
        </w:rPr>
        <w:t xml:space="preserve">paid </w:t>
      </w:r>
      <w:r w:rsidRPr="009766D5">
        <w:rPr>
          <w:lang w:val="en-GB"/>
        </w:rPr>
        <w:t xml:space="preserve">to the northern and border regions. Building on its integrator role, UNDP is taking the lead in designing a United Nations joint programme to strengthen resilience and social cohesion. UNDP supported the development of the national strategy </w:t>
      </w:r>
      <w:r w:rsidR="00EF6329" w:rsidRPr="009766D5">
        <w:rPr>
          <w:lang w:val="en-GB"/>
        </w:rPr>
        <w:t xml:space="preserve">to </w:t>
      </w:r>
      <w:r w:rsidRPr="009766D5">
        <w:rPr>
          <w:lang w:val="en-GB"/>
        </w:rPr>
        <w:t xml:space="preserve">prevent violent extremism and is supporting national authorities in </w:t>
      </w:r>
      <w:r w:rsidR="00700A96" w:rsidRPr="009766D5">
        <w:rPr>
          <w:lang w:val="en-GB"/>
        </w:rPr>
        <w:t>prepar</w:t>
      </w:r>
      <w:r w:rsidR="00EF6329" w:rsidRPr="009766D5">
        <w:rPr>
          <w:lang w:val="en-GB"/>
        </w:rPr>
        <w:t>ing</w:t>
      </w:r>
      <w:r w:rsidRPr="009766D5">
        <w:rPr>
          <w:lang w:val="en-GB"/>
        </w:rPr>
        <w:t xml:space="preserve"> a single reference framework for security and development. In support </w:t>
      </w:r>
      <w:r w:rsidR="00EF6329" w:rsidRPr="009766D5">
        <w:rPr>
          <w:lang w:val="en-GB"/>
        </w:rPr>
        <w:t xml:space="preserve">of </w:t>
      </w:r>
      <w:r w:rsidRPr="009766D5">
        <w:rPr>
          <w:lang w:val="en-GB"/>
        </w:rPr>
        <w:t xml:space="preserve">the </w:t>
      </w:r>
      <w:r w:rsidR="00665111" w:rsidRPr="009766D5">
        <w:rPr>
          <w:lang w:val="en-GB"/>
        </w:rPr>
        <w:t>United Nations development system</w:t>
      </w:r>
      <w:r w:rsidRPr="009766D5">
        <w:rPr>
          <w:lang w:val="en-GB"/>
        </w:rPr>
        <w:t xml:space="preserve"> strategy, UNDP presence in the field is being strengthened through the establishment of two project offices in northern areas</w:t>
      </w:r>
      <w:r w:rsidR="00EF6329" w:rsidRPr="009766D5">
        <w:rPr>
          <w:lang w:val="en-GB"/>
        </w:rPr>
        <w:t>,</w:t>
      </w:r>
      <w:r w:rsidRPr="009766D5">
        <w:rPr>
          <w:lang w:val="en-GB"/>
        </w:rPr>
        <w:t xml:space="preserve"> with staff deployed closer to affected communities and local authorities.</w:t>
      </w:r>
    </w:p>
    <w:p w14:paraId="6AAF298D" w14:textId="3A7FCF81" w:rsidR="002203EE" w:rsidRPr="009766D5" w:rsidRDefault="002203EE" w:rsidP="002203EE">
      <w:pPr>
        <w:pStyle w:val="CPD"/>
        <w:numPr>
          <w:ilvl w:val="0"/>
          <w:numId w:val="50"/>
        </w:numPr>
        <w:tabs>
          <w:tab w:val="left" w:pos="1418"/>
        </w:tabs>
        <w:ind w:left="993" w:right="713" w:firstLine="0"/>
        <w:rPr>
          <w:lang w:val="en-GB"/>
        </w:rPr>
      </w:pPr>
      <w:r w:rsidRPr="009766D5">
        <w:rPr>
          <w:lang w:val="en-GB" w:eastAsia="fr-FR"/>
        </w:rPr>
        <w:t xml:space="preserve">In alignment </w:t>
      </w:r>
      <w:r w:rsidRPr="009766D5">
        <w:rPr>
          <w:lang w:val="en-GB"/>
        </w:rPr>
        <w:t xml:space="preserve">with UNDP Strategic Plan, the country programme strategically </w:t>
      </w:r>
      <w:r w:rsidR="00EF6329" w:rsidRPr="009766D5">
        <w:rPr>
          <w:lang w:val="en-GB"/>
        </w:rPr>
        <w:t xml:space="preserve">deploys </w:t>
      </w:r>
      <w:r w:rsidRPr="009766D5">
        <w:rPr>
          <w:lang w:val="en-GB"/>
        </w:rPr>
        <w:t xml:space="preserve">the six signature solutions and three enablers. </w:t>
      </w:r>
      <w:r w:rsidR="00EF6329" w:rsidRPr="009766D5">
        <w:rPr>
          <w:lang w:val="en-GB"/>
        </w:rPr>
        <w:t xml:space="preserve">In so </w:t>
      </w:r>
      <w:r w:rsidRPr="009766D5">
        <w:rPr>
          <w:lang w:val="en-GB"/>
        </w:rPr>
        <w:t xml:space="preserve">doing, </w:t>
      </w:r>
      <w:r w:rsidR="00EF6329" w:rsidRPr="009766D5">
        <w:rPr>
          <w:lang w:val="en-GB"/>
        </w:rPr>
        <w:t xml:space="preserve">it </w:t>
      </w:r>
      <w:r w:rsidRPr="009766D5">
        <w:rPr>
          <w:lang w:val="en-GB"/>
        </w:rPr>
        <w:t>aims to accelerate achievement of results and improve their efficiency by promoting innovation and digitalization in key interventions.</w:t>
      </w:r>
    </w:p>
    <w:p w14:paraId="2F2A83D4" w14:textId="2DF1B831" w:rsidR="002203EE" w:rsidRPr="009766D5" w:rsidRDefault="002203EE" w:rsidP="002203EE">
      <w:pPr>
        <w:pStyle w:val="Heading2"/>
        <w:ind w:left="993" w:right="713" w:hanging="567"/>
        <w:jc w:val="left"/>
        <w:rPr>
          <w:rFonts w:ascii="Times New Roman" w:hAnsi="Times New Roman"/>
          <w:lang w:val="en-GB"/>
        </w:rPr>
      </w:pPr>
      <w:r w:rsidRPr="009766D5">
        <w:rPr>
          <w:rFonts w:ascii="Times New Roman" w:hAnsi="Times New Roman"/>
          <w:lang w:val="en-GB"/>
        </w:rPr>
        <w:t xml:space="preserve">II. </w:t>
      </w:r>
      <w:r w:rsidRPr="009766D5">
        <w:rPr>
          <w:rFonts w:ascii="Times New Roman" w:hAnsi="Times New Roman"/>
          <w:lang w:val="en-GB"/>
        </w:rPr>
        <w:tab/>
        <w:t xml:space="preserve">Programme </w:t>
      </w:r>
      <w:r w:rsidR="00EF6329" w:rsidRPr="009766D5">
        <w:rPr>
          <w:rFonts w:ascii="Times New Roman" w:hAnsi="Times New Roman"/>
          <w:lang w:val="en-GB"/>
        </w:rPr>
        <w:t>p</w:t>
      </w:r>
      <w:r w:rsidRPr="009766D5">
        <w:rPr>
          <w:rFonts w:ascii="Times New Roman" w:hAnsi="Times New Roman"/>
          <w:lang w:val="en-GB"/>
        </w:rPr>
        <w:t xml:space="preserve">riorities and </w:t>
      </w:r>
      <w:r w:rsidR="00EF6329" w:rsidRPr="009766D5">
        <w:rPr>
          <w:rFonts w:ascii="Times New Roman" w:hAnsi="Times New Roman"/>
          <w:lang w:val="en-GB"/>
        </w:rPr>
        <w:t>p</w:t>
      </w:r>
      <w:r w:rsidRPr="009766D5">
        <w:rPr>
          <w:rFonts w:ascii="Times New Roman" w:hAnsi="Times New Roman"/>
          <w:lang w:val="en-GB"/>
        </w:rPr>
        <w:t xml:space="preserve">artnerships </w:t>
      </w:r>
    </w:p>
    <w:p w14:paraId="0D1028D2" w14:textId="77777777" w:rsidR="002203EE" w:rsidRPr="009766D5" w:rsidRDefault="002203EE" w:rsidP="002203EE">
      <w:pPr>
        <w:pStyle w:val="ListParagraph"/>
        <w:tabs>
          <w:tab w:val="left" w:pos="1418"/>
        </w:tabs>
        <w:ind w:left="993" w:right="713"/>
        <w:rPr>
          <w:lang w:val="en-GB"/>
        </w:rPr>
      </w:pPr>
    </w:p>
    <w:p w14:paraId="3FFABABC" w14:textId="1BFC0260" w:rsidR="002203EE" w:rsidRPr="009766D5" w:rsidRDefault="00700A96" w:rsidP="002203EE">
      <w:pPr>
        <w:pStyle w:val="CPD"/>
        <w:numPr>
          <w:ilvl w:val="0"/>
          <w:numId w:val="50"/>
        </w:numPr>
        <w:tabs>
          <w:tab w:val="left" w:pos="1418"/>
        </w:tabs>
        <w:ind w:left="993" w:right="713" w:firstLine="0"/>
        <w:rPr>
          <w:lang w:val="en-GB"/>
        </w:rPr>
      </w:pPr>
      <w:r w:rsidRPr="009766D5">
        <w:rPr>
          <w:lang w:val="en-GB"/>
        </w:rPr>
        <w:t>With</w:t>
      </w:r>
      <w:r w:rsidR="002203EE" w:rsidRPr="009766D5">
        <w:rPr>
          <w:lang w:val="en-GB"/>
        </w:rPr>
        <w:t xml:space="preserve"> the </w:t>
      </w:r>
      <w:r w:rsidR="00665111" w:rsidRPr="009766D5">
        <w:rPr>
          <w:lang w:val="en-GB"/>
        </w:rPr>
        <w:t>United Nations development system</w:t>
      </w:r>
      <w:r w:rsidR="002203EE" w:rsidRPr="009766D5">
        <w:rPr>
          <w:lang w:val="en-GB"/>
        </w:rPr>
        <w:t xml:space="preserve"> in Benin</w:t>
      </w:r>
      <w:r w:rsidR="00EF6329" w:rsidRPr="009766D5">
        <w:rPr>
          <w:lang w:val="en-GB"/>
        </w:rPr>
        <w:t>, UNDP is committed</w:t>
      </w:r>
      <w:r w:rsidR="002203EE" w:rsidRPr="009766D5">
        <w:rPr>
          <w:lang w:val="en-GB"/>
        </w:rPr>
        <w:t xml:space="preserve"> to the country programme </w:t>
      </w:r>
      <w:r w:rsidRPr="009766D5">
        <w:rPr>
          <w:lang w:val="en-GB"/>
        </w:rPr>
        <w:t xml:space="preserve">vision, </w:t>
      </w:r>
      <w:r w:rsidR="002203EE" w:rsidRPr="009766D5">
        <w:rPr>
          <w:lang w:val="en-GB"/>
        </w:rPr>
        <w:t xml:space="preserve">as co-designed with national counterparts in consultation with partners, to </w:t>
      </w:r>
      <w:r w:rsidR="002203EE" w:rsidRPr="009766D5">
        <w:rPr>
          <w:i/>
          <w:iCs/>
          <w:lang w:val="en-GB"/>
        </w:rPr>
        <w:t>work by 2026 for the people of Benin, especially youth, women, and marginalized people, to enjoy the benefits of good governance, peace and social cohesion and the benefits of participatory, inclusive, and sustainable economic growth</w:t>
      </w:r>
      <w:r w:rsidR="002203EE" w:rsidRPr="009766D5">
        <w:rPr>
          <w:lang w:val="en-GB"/>
        </w:rPr>
        <w:t>.</w:t>
      </w:r>
    </w:p>
    <w:p w14:paraId="10DA8BDA" w14:textId="3A02665B"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The overarching theory of change can be summarized as follows: </w:t>
      </w:r>
      <w:r w:rsidRPr="009766D5">
        <w:rPr>
          <w:b/>
          <w:bCs/>
          <w:i/>
          <w:lang w:val="en-GB"/>
        </w:rPr>
        <w:t>I</w:t>
      </w:r>
      <w:r w:rsidR="00EF6329" w:rsidRPr="009766D5">
        <w:rPr>
          <w:b/>
          <w:bCs/>
          <w:i/>
          <w:lang w:val="en-GB"/>
        </w:rPr>
        <w:t>f</w:t>
      </w:r>
      <w:r w:rsidRPr="009766D5">
        <w:rPr>
          <w:lang w:val="en-GB"/>
        </w:rPr>
        <w:t xml:space="preserve"> an environment conducive to the promotion of entrepreneurships and the creation of new types of jobs capitalizing on innovations and digitalization are implemented</w:t>
      </w:r>
      <w:r w:rsidR="004B140F" w:rsidRPr="009766D5">
        <w:rPr>
          <w:lang w:val="en-GB"/>
        </w:rPr>
        <w:t>;</w:t>
      </w:r>
      <w:r w:rsidRPr="009766D5">
        <w:rPr>
          <w:lang w:val="en-GB"/>
        </w:rPr>
        <w:t xml:space="preserve"> natural resource management is inclusive, sustainable and compatible with sustainable agriculture</w:t>
      </w:r>
      <w:r w:rsidR="004B140F" w:rsidRPr="009766D5">
        <w:rPr>
          <w:lang w:val="en-GB"/>
        </w:rPr>
        <w:t>;</w:t>
      </w:r>
      <w:r w:rsidRPr="009766D5">
        <w:rPr>
          <w:lang w:val="en-GB"/>
        </w:rPr>
        <w:t xml:space="preserve"> capacities for planning, coordination and response to shocks </w:t>
      </w:r>
      <w:r w:rsidR="00700A96" w:rsidRPr="009766D5">
        <w:rPr>
          <w:lang w:val="en-GB"/>
        </w:rPr>
        <w:t xml:space="preserve">are </w:t>
      </w:r>
      <w:r w:rsidRPr="009766D5">
        <w:rPr>
          <w:lang w:val="en-GB"/>
        </w:rPr>
        <w:t>strengthened</w:t>
      </w:r>
      <w:r w:rsidR="004B140F" w:rsidRPr="009766D5">
        <w:rPr>
          <w:lang w:val="en-GB"/>
        </w:rPr>
        <w:t>;</w:t>
      </w:r>
      <w:r w:rsidRPr="009766D5">
        <w:rPr>
          <w:lang w:val="en-GB"/>
        </w:rPr>
        <w:t xml:space="preserve"> and energy transition </w:t>
      </w:r>
      <w:r w:rsidR="00700A96" w:rsidRPr="009766D5">
        <w:rPr>
          <w:lang w:val="en-GB"/>
        </w:rPr>
        <w:t xml:space="preserve">is </w:t>
      </w:r>
      <w:r w:rsidRPr="009766D5">
        <w:rPr>
          <w:lang w:val="en-GB"/>
        </w:rPr>
        <w:t>accelerated through a clean and affordable energy supply</w:t>
      </w:r>
      <w:r w:rsidR="004B140F" w:rsidRPr="009766D5">
        <w:rPr>
          <w:lang w:val="en-GB"/>
        </w:rPr>
        <w:t>;</w:t>
      </w:r>
      <w:r w:rsidRPr="009766D5">
        <w:rPr>
          <w:lang w:val="en-GB"/>
        </w:rPr>
        <w:t xml:space="preserve"> and</w:t>
      </w:r>
      <w:r w:rsidRPr="009766D5">
        <w:rPr>
          <w:b/>
          <w:bCs/>
          <w:lang w:val="en-GB"/>
        </w:rPr>
        <w:t xml:space="preserve"> </w:t>
      </w:r>
      <w:r w:rsidR="00EF6329" w:rsidRPr="009766D5">
        <w:rPr>
          <w:b/>
          <w:bCs/>
          <w:i/>
          <w:lang w:val="en-GB"/>
        </w:rPr>
        <w:t>if</w:t>
      </w:r>
      <w:r w:rsidR="00EF6329" w:rsidRPr="009766D5">
        <w:rPr>
          <w:b/>
          <w:bCs/>
          <w:lang w:val="en-GB"/>
        </w:rPr>
        <w:t xml:space="preserve"> </w:t>
      </w:r>
      <w:r w:rsidRPr="009766D5">
        <w:rPr>
          <w:lang w:val="en-GB"/>
        </w:rPr>
        <w:t xml:space="preserve">public institutions at the national and local levels have </w:t>
      </w:r>
      <w:r w:rsidR="00700A96" w:rsidRPr="009766D5">
        <w:rPr>
          <w:lang w:val="en-GB"/>
        </w:rPr>
        <w:t xml:space="preserve">increased </w:t>
      </w:r>
      <w:r w:rsidRPr="009766D5">
        <w:rPr>
          <w:lang w:val="en-GB"/>
        </w:rPr>
        <w:t>capacity to offer quality services to the entire population</w:t>
      </w:r>
      <w:r w:rsidR="00700A96" w:rsidRPr="009766D5">
        <w:rPr>
          <w:lang w:val="en-GB"/>
        </w:rPr>
        <w:t>,</w:t>
      </w:r>
      <w:r w:rsidRPr="009766D5">
        <w:rPr>
          <w:lang w:val="en-GB"/>
        </w:rPr>
        <w:t xml:space="preserve"> and public policies</w:t>
      </w:r>
      <w:r w:rsidR="00700A96" w:rsidRPr="009766D5">
        <w:rPr>
          <w:lang w:val="en-GB"/>
        </w:rPr>
        <w:t>,</w:t>
      </w:r>
      <w:r w:rsidRPr="009766D5">
        <w:rPr>
          <w:lang w:val="en-GB"/>
        </w:rPr>
        <w:t xml:space="preserve"> budgeting and evaluation at all levels </w:t>
      </w:r>
      <w:r w:rsidR="00A06A0B" w:rsidRPr="009766D5">
        <w:rPr>
          <w:lang w:val="en-GB"/>
        </w:rPr>
        <w:t>are</w:t>
      </w:r>
      <w:r w:rsidR="004B140F" w:rsidRPr="009766D5">
        <w:rPr>
          <w:lang w:val="en-GB"/>
        </w:rPr>
        <w:t xml:space="preserve"> </w:t>
      </w:r>
      <w:r w:rsidRPr="009766D5">
        <w:rPr>
          <w:lang w:val="en-GB"/>
        </w:rPr>
        <w:t xml:space="preserve">better integrated </w:t>
      </w:r>
      <w:r w:rsidR="00700A96" w:rsidRPr="009766D5">
        <w:rPr>
          <w:lang w:val="en-GB"/>
        </w:rPr>
        <w:t>in</w:t>
      </w:r>
      <w:r w:rsidRPr="009766D5">
        <w:rPr>
          <w:lang w:val="en-GB"/>
        </w:rPr>
        <w:t xml:space="preserve">to the </w:t>
      </w:r>
      <w:r w:rsidR="00255D8F" w:rsidRPr="009766D5">
        <w:rPr>
          <w:lang w:val="en-GB"/>
        </w:rPr>
        <w:t xml:space="preserve">Sustainable </w:t>
      </w:r>
      <w:r w:rsidR="00255D8F" w:rsidRPr="009766D5">
        <w:rPr>
          <w:lang w:val="en-GB"/>
        </w:rPr>
        <w:lastRenderedPageBreak/>
        <w:t>Development Goals</w:t>
      </w:r>
      <w:r w:rsidRPr="009766D5">
        <w:rPr>
          <w:lang w:val="en-GB"/>
        </w:rPr>
        <w:t>, Agenda 2063 and gender</w:t>
      </w:r>
      <w:r w:rsidR="00A06A0B" w:rsidRPr="009766D5">
        <w:rPr>
          <w:lang w:val="en-GB"/>
        </w:rPr>
        <w:t>;</w:t>
      </w:r>
      <w:r w:rsidRPr="009766D5">
        <w:rPr>
          <w:lang w:val="en-GB"/>
        </w:rPr>
        <w:t xml:space="preserve"> </w:t>
      </w:r>
      <w:r w:rsidR="003F5F57" w:rsidRPr="009766D5">
        <w:rPr>
          <w:lang w:val="en-GB"/>
        </w:rPr>
        <w:t xml:space="preserve">and </w:t>
      </w:r>
      <w:r w:rsidRPr="009766D5">
        <w:rPr>
          <w:lang w:val="en-GB"/>
        </w:rPr>
        <w:t xml:space="preserve">social cohesion </w:t>
      </w:r>
      <w:r w:rsidR="00CE5973" w:rsidRPr="009766D5">
        <w:rPr>
          <w:lang w:val="en-GB"/>
        </w:rPr>
        <w:t xml:space="preserve">contributing factors to </w:t>
      </w:r>
      <w:r w:rsidR="00A06A0B" w:rsidRPr="009766D5">
        <w:rPr>
          <w:lang w:val="en-GB"/>
        </w:rPr>
        <w:t>functional social accountability</w:t>
      </w:r>
      <w:r w:rsidR="00A06A0B" w:rsidRPr="009766D5" w:rsidDel="004B140F">
        <w:rPr>
          <w:lang w:val="en-GB"/>
        </w:rPr>
        <w:t xml:space="preserve"> </w:t>
      </w:r>
      <w:r w:rsidR="00A06A0B" w:rsidRPr="009766D5">
        <w:rPr>
          <w:lang w:val="en-GB"/>
        </w:rPr>
        <w:t xml:space="preserve">and </w:t>
      </w:r>
      <w:r w:rsidR="004B140F" w:rsidRPr="009766D5">
        <w:rPr>
          <w:lang w:val="en-GB"/>
        </w:rPr>
        <w:t xml:space="preserve">the </w:t>
      </w:r>
      <w:r w:rsidRPr="009766D5">
        <w:rPr>
          <w:lang w:val="en-GB"/>
        </w:rPr>
        <w:t>sustainable prevention of conflicts and violent extremism</w:t>
      </w:r>
      <w:r w:rsidR="004B140F" w:rsidRPr="009766D5">
        <w:rPr>
          <w:lang w:val="en-GB"/>
        </w:rPr>
        <w:t>,</w:t>
      </w:r>
      <w:r w:rsidRPr="009766D5">
        <w:rPr>
          <w:lang w:val="en-GB"/>
        </w:rPr>
        <w:t xml:space="preserve"> citizen participation mechanisms are in place</w:t>
      </w:r>
      <w:r w:rsidR="004B140F" w:rsidRPr="009766D5">
        <w:rPr>
          <w:lang w:val="en-GB"/>
        </w:rPr>
        <w:t>,</w:t>
      </w:r>
      <w:r w:rsidRPr="009766D5">
        <w:rPr>
          <w:lang w:val="en-GB"/>
        </w:rPr>
        <w:t xml:space="preserve"> and electoral processes</w:t>
      </w:r>
      <w:r w:rsidR="004B140F" w:rsidRPr="009766D5">
        <w:rPr>
          <w:lang w:val="en-GB"/>
        </w:rPr>
        <w:t xml:space="preserve"> and</w:t>
      </w:r>
      <w:r w:rsidRPr="009766D5">
        <w:rPr>
          <w:lang w:val="en-GB"/>
        </w:rPr>
        <w:t xml:space="preserve"> national institutions are strengthened to assume their respective missions</w:t>
      </w:r>
      <w:r w:rsidR="004B140F" w:rsidRPr="009766D5">
        <w:rPr>
          <w:lang w:val="en-GB"/>
        </w:rPr>
        <w:t>,</w:t>
      </w:r>
      <w:r w:rsidRPr="009766D5">
        <w:rPr>
          <w:lang w:val="en-GB"/>
        </w:rPr>
        <w:t xml:space="preserve"> </w:t>
      </w:r>
      <w:r w:rsidR="004B140F" w:rsidRPr="009766D5">
        <w:rPr>
          <w:b/>
          <w:bCs/>
          <w:i/>
          <w:lang w:val="en-GB"/>
        </w:rPr>
        <w:t>then</w:t>
      </w:r>
      <w:r w:rsidRPr="009766D5">
        <w:rPr>
          <w:lang w:val="en-GB"/>
        </w:rPr>
        <w:t xml:space="preserve"> the Beninese people will be resilient to shocks and crisis and will benefit from the fruits of diversified, sustainable economic growth that creates decent jobs and rule of law, peaceful democracy, good governance and strengthened social cohesion. Key assumptions are security, political stability</w:t>
      </w:r>
      <w:r w:rsidR="00A06A0B" w:rsidRPr="009766D5">
        <w:rPr>
          <w:lang w:val="en-GB"/>
        </w:rPr>
        <w:t>,</w:t>
      </w:r>
      <w:r w:rsidRPr="009766D5">
        <w:rPr>
          <w:lang w:val="en-GB"/>
        </w:rPr>
        <w:t xml:space="preserve"> resource availability, </w:t>
      </w:r>
      <w:r w:rsidR="00A06A0B" w:rsidRPr="009766D5">
        <w:rPr>
          <w:lang w:val="en-GB"/>
        </w:rPr>
        <w:t xml:space="preserve">and </w:t>
      </w:r>
      <w:r w:rsidRPr="009766D5">
        <w:rPr>
          <w:lang w:val="en-GB"/>
        </w:rPr>
        <w:t>contributions from the Government</w:t>
      </w:r>
      <w:r w:rsidR="004B140F" w:rsidRPr="009766D5">
        <w:rPr>
          <w:lang w:val="en-GB"/>
        </w:rPr>
        <w:t xml:space="preserve"> – </w:t>
      </w:r>
      <w:r w:rsidRPr="009766D5">
        <w:rPr>
          <w:lang w:val="en-GB"/>
        </w:rPr>
        <w:t>particularly in its commitment to pursue the reforms</w:t>
      </w:r>
      <w:r w:rsidR="004B140F" w:rsidRPr="009766D5">
        <w:rPr>
          <w:lang w:val="en-GB"/>
        </w:rPr>
        <w:t xml:space="preserve"> –</w:t>
      </w:r>
      <w:r w:rsidRPr="009766D5">
        <w:rPr>
          <w:lang w:val="en-GB"/>
        </w:rPr>
        <w:t xml:space="preserve"> and from programme partners.</w:t>
      </w:r>
    </w:p>
    <w:p w14:paraId="2B33DD99" w14:textId="00D9C100"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Aligned with the </w:t>
      </w:r>
      <w:r w:rsidR="00654147" w:rsidRPr="009766D5">
        <w:rPr>
          <w:lang w:val="en-GB"/>
        </w:rPr>
        <w:t xml:space="preserve">Cooperation Framework </w:t>
      </w:r>
      <w:r w:rsidRPr="009766D5">
        <w:rPr>
          <w:lang w:val="en-GB"/>
        </w:rPr>
        <w:t xml:space="preserve">and national priorities, UNDP in its country programme seeks to focus its interventions </w:t>
      </w:r>
      <w:r w:rsidR="00A06A0B" w:rsidRPr="009766D5">
        <w:rPr>
          <w:lang w:val="en-GB"/>
        </w:rPr>
        <w:t>o</w:t>
      </w:r>
      <w:r w:rsidRPr="009766D5">
        <w:rPr>
          <w:lang w:val="en-GB"/>
        </w:rPr>
        <w:t xml:space="preserve">n two pillars: </w:t>
      </w:r>
      <w:r w:rsidRPr="009766D5">
        <w:rPr>
          <w:b/>
          <w:lang w:val="en-GB"/>
        </w:rPr>
        <w:t>(a)</w:t>
      </w:r>
      <w:r w:rsidRPr="009766D5">
        <w:rPr>
          <w:lang w:val="en-GB"/>
        </w:rPr>
        <w:t xml:space="preserve"> </w:t>
      </w:r>
      <w:r w:rsidRPr="009766D5">
        <w:rPr>
          <w:b/>
          <w:bCs/>
          <w:lang w:val="en-GB"/>
        </w:rPr>
        <w:t>resilience, sustainable growth and employment</w:t>
      </w:r>
      <w:r w:rsidR="004B140F" w:rsidRPr="009766D5">
        <w:rPr>
          <w:b/>
          <w:bCs/>
          <w:lang w:val="en-GB"/>
        </w:rPr>
        <w:t xml:space="preserve">, </w:t>
      </w:r>
      <w:r w:rsidR="004B140F" w:rsidRPr="009766D5">
        <w:rPr>
          <w:bCs/>
          <w:lang w:val="en-GB"/>
        </w:rPr>
        <w:t>and</w:t>
      </w:r>
      <w:r w:rsidRPr="009766D5">
        <w:rPr>
          <w:b/>
          <w:lang w:val="en-GB"/>
        </w:rPr>
        <w:t xml:space="preserve"> (b)</w:t>
      </w:r>
      <w:r w:rsidRPr="009766D5">
        <w:rPr>
          <w:b/>
          <w:bCs/>
          <w:lang w:val="en-GB"/>
        </w:rPr>
        <w:t xml:space="preserve"> rule of law, democracy, governance, and social cohesion.</w:t>
      </w:r>
      <w:r w:rsidRPr="009766D5">
        <w:rPr>
          <w:lang w:val="en-GB"/>
        </w:rPr>
        <w:t xml:space="preserve"> These pillars will provide the anchor for UNDP </w:t>
      </w:r>
      <w:r w:rsidR="004B140F" w:rsidRPr="009766D5">
        <w:rPr>
          <w:lang w:val="en-GB"/>
        </w:rPr>
        <w:t>to</w:t>
      </w:r>
      <w:r w:rsidRPr="009766D5">
        <w:rPr>
          <w:lang w:val="en-GB"/>
        </w:rPr>
        <w:t xml:space="preserve"> deliver results in support </w:t>
      </w:r>
      <w:r w:rsidR="00A06A0B" w:rsidRPr="009766D5">
        <w:rPr>
          <w:lang w:val="en-GB"/>
        </w:rPr>
        <w:t xml:space="preserve">of </w:t>
      </w:r>
      <w:r w:rsidRPr="009766D5">
        <w:rPr>
          <w:lang w:val="en-GB"/>
        </w:rPr>
        <w:t xml:space="preserve">the </w:t>
      </w:r>
      <w:r w:rsidR="004B140F" w:rsidRPr="009766D5">
        <w:rPr>
          <w:lang w:val="en-GB"/>
        </w:rPr>
        <w:t>three outcome areas</w:t>
      </w:r>
      <w:r w:rsidR="004B140F" w:rsidRPr="009766D5" w:rsidDel="00654147">
        <w:rPr>
          <w:lang w:val="en-GB"/>
        </w:rPr>
        <w:t xml:space="preserve"> </w:t>
      </w:r>
      <w:r w:rsidR="004B140F" w:rsidRPr="009766D5">
        <w:rPr>
          <w:lang w:val="en-GB"/>
        </w:rPr>
        <w:t xml:space="preserve">of the </w:t>
      </w:r>
      <w:r w:rsidR="00654147" w:rsidRPr="009766D5">
        <w:rPr>
          <w:lang w:val="en-GB"/>
        </w:rPr>
        <w:t>Framework</w:t>
      </w:r>
      <w:r w:rsidRPr="009766D5">
        <w:rPr>
          <w:lang w:val="en-GB"/>
        </w:rPr>
        <w:t xml:space="preserve">. Given its unique mandate, UNDP views the two pillars as interrelated and connected, and will apply a holistic development approach based on </w:t>
      </w:r>
      <w:r w:rsidR="004B140F" w:rsidRPr="009766D5">
        <w:rPr>
          <w:lang w:val="en-GB"/>
        </w:rPr>
        <w:t xml:space="preserve">its </w:t>
      </w:r>
      <w:r w:rsidRPr="009766D5">
        <w:rPr>
          <w:lang w:val="en-GB"/>
        </w:rPr>
        <w:t>comparative advantage and demonstrated track record</w:t>
      </w:r>
      <w:r w:rsidR="004B140F" w:rsidRPr="009766D5">
        <w:rPr>
          <w:lang w:val="en-GB"/>
        </w:rPr>
        <w:t>,</w:t>
      </w:r>
      <w:r w:rsidRPr="009766D5">
        <w:rPr>
          <w:lang w:val="en-GB"/>
        </w:rPr>
        <w:t xml:space="preserve"> as evidenced by the findings of the </w:t>
      </w:r>
      <w:r w:rsidR="00CB0A24" w:rsidRPr="009766D5">
        <w:rPr>
          <w:lang w:val="en-GB"/>
        </w:rPr>
        <w:t xml:space="preserve">independent country programme evaluation </w:t>
      </w:r>
      <w:r w:rsidRPr="009766D5">
        <w:rPr>
          <w:lang w:val="en-GB"/>
        </w:rPr>
        <w:t>and the mid-term evaluation</w:t>
      </w:r>
      <w:r w:rsidR="00CB0A24" w:rsidRPr="009766D5">
        <w:rPr>
          <w:lang w:val="en-GB"/>
        </w:rPr>
        <w:t xml:space="preserve"> of the current country programme</w:t>
      </w:r>
      <w:r w:rsidRPr="009766D5">
        <w:rPr>
          <w:lang w:val="en-GB"/>
        </w:rPr>
        <w:t>. Deliberate cross</w:t>
      </w:r>
      <w:r w:rsidR="004B140F" w:rsidRPr="009766D5">
        <w:rPr>
          <w:lang w:val="en-GB"/>
        </w:rPr>
        <w:t>-</w:t>
      </w:r>
      <w:r w:rsidRPr="009766D5">
        <w:rPr>
          <w:lang w:val="en-GB"/>
        </w:rPr>
        <w:t xml:space="preserve">programme synergies will be built across UNDP priorities to ensure the use of a human rights-based approach that emphasizes </w:t>
      </w:r>
      <w:r w:rsidR="004B140F" w:rsidRPr="009766D5">
        <w:rPr>
          <w:lang w:val="en-GB"/>
        </w:rPr>
        <w:t>‘</w:t>
      </w:r>
      <w:r w:rsidR="004B140F" w:rsidRPr="009766D5">
        <w:rPr>
          <w:iCs/>
          <w:lang w:val="en-GB"/>
        </w:rPr>
        <w:t>leave no one behind’</w:t>
      </w:r>
      <w:r w:rsidR="004B140F" w:rsidRPr="009766D5">
        <w:rPr>
          <w:lang w:val="en-GB"/>
        </w:rPr>
        <w:t xml:space="preserve"> and ‘</w:t>
      </w:r>
      <w:r w:rsidR="004B140F" w:rsidRPr="009766D5">
        <w:rPr>
          <w:iCs/>
          <w:lang w:val="en-GB"/>
        </w:rPr>
        <w:t>do no harm’</w:t>
      </w:r>
      <w:r w:rsidRPr="009766D5">
        <w:rPr>
          <w:lang w:val="en-GB"/>
        </w:rPr>
        <w:t xml:space="preserve"> </w:t>
      </w:r>
      <w:r w:rsidR="004B140F" w:rsidRPr="009766D5">
        <w:rPr>
          <w:lang w:val="en-GB"/>
        </w:rPr>
        <w:t xml:space="preserve">principles </w:t>
      </w:r>
      <w:r w:rsidRPr="009766D5">
        <w:rPr>
          <w:lang w:val="en-GB"/>
        </w:rPr>
        <w:t xml:space="preserve">to ensure </w:t>
      </w:r>
      <w:r w:rsidR="00490DD9" w:rsidRPr="009766D5">
        <w:rPr>
          <w:lang w:val="en-GB"/>
        </w:rPr>
        <w:t xml:space="preserve">that </w:t>
      </w:r>
      <w:r w:rsidRPr="009766D5">
        <w:rPr>
          <w:lang w:val="en-GB"/>
        </w:rPr>
        <w:t>all human rights are upheld.</w:t>
      </w:r>
    </w:p>
    <w:p w14:paraId="5D432B07" w14:textId="24FEB7ED" w:rsidR="002203EE" w:rsidRPr="009766D5" w:rsidRDefault="002203EE" w:rsidP="002203EE">
      <w:pPr>
        <w:pStyle w:val="CPD"/>
        <w:numPr>
          <w:ilvl w:val="0"/>
          <w:numId w:val="0"/>
        </w:numPr>
        <w:tabs>
          <w:tab w:val="left" w:pos="1418"/>
        </w:tabs>
        <w:ind w:left="993" w:right="713"/>
        <w:rPr>
          <w:b/>
          <w:bCs/>
          <w:i/>
          <w:iCs/>
          <w:lang w:val="en-GB"/>
        </w:rPr>
      </w:pPr>
      <w:r w:rsidRPr="009766D5">
        <w:rPr>
          <w:b/>
          <w:bCs/>
          <w:i/>
          <w:iCs/>
          <w:lang w:val="en-GB"/>
        </w:rPr>
        <w:t>Pillar 1</w:t>
      </w:r>
      <w:r w:rsidR="00A06A0B" w:rsidRPr="009766D5">
        <w:rPr>
          <w:b/>
          <w:bCs/>
          <w:i/>
          <w:iCs/>
          <w:lang w:val="en-GB"/>
        </w:rPr>
        <w:t>.</w:t>
      </w:r>
      <w:r w:rsidRPr="009766D5">
        <w:rPr>
          <w:b/>
          <w:bCs/>
          <w:i/>
          <w:iCs/>
          <w:lang w:val="en-GB"/>
        </w:rPr>
        <w:t xml:space="preserve"> Resilience, sustainable growth and employment</w:t>
      </w:r>
    </w:p>
    <w:p w14:paraId="74D69FC1" w14:textId="638AD808" w:rsidR="002203EE" w:rsidRPr="009766D5" w:rsidRDefault="00982654" w:rsidP="002203EE">
      <w:pPr>
        <w:pStyle w:val="CPD"/>
        <w:numPr>
          <w:ilvl w:val="0"/>
          <w:numId w:val="50"/>
        </w:numPr>
        <w:tabs>
          <w:tab w:val="left" w:pos="1418"/>
        </w:tabs>
        <w:ind w:left="993" w:right="713" w:firstLine="0"/>
        <w:rPr>
          <w:lang w:val="en-GB"/>
        </w:rPr>
      </w:pPr>
      <w:r w:rsidRPr="009766D5">
        <w:rPr>
          <w:lang w:val="en-GB"/>
        </w:rPr>
        <w:t>I</w:t>
      </w:r>
      <w:r w:rsidR="002203EE" w:rsidRPr="009766D5">
        <w:rPr>
          <w:lang w:val="en-GB"/>
        </w:rPr>
        <w:t>n this pillar</w:t>
      </w:r>
      <w:r w:rsidRPr="009766D5">
        <w:rPr>
          <w:lang w:val="en-GB"/>
        </w:rPr>
        <w:t>, UNDP</w:t>
      </w:r>
      <w:r w:rsidR="002203EE" w:rsidRPr="009766D5">
        <w:rPr>
          <w:lang w:val="en-GB"/>
        </w:rPr>
        <w:t xml:space="preserve"> will coordinate its interventions around </w:t>
      </w:r>
      <w:r w:rsidRPr="009766D5">
        <w:rPr>
          <w:lang w:val="en-GB"/>
        </w:rPr>
        <w:t>four</w:t>
      </w:r>
      <w:r w:rsidR="002203EE" w:rsidRPr="009766D5">
        <w:rPr>
          <w:lang w:val="en-GB"/>
        </w:rPr>
        <w:t xml:space="preserve"> of the </w:t>
      </w:r>
      <w:r w:rsidRPr="009766D5">
        <w:rPr>
          <w:lang w:val="en-GB"/>
        </w:rPr>
        <w:t>‘</w:t>
      </w:r>
      <w:r w:rsidR="002203EE" w:rsidRPr="009766D5">
        <w:rPr>
          <w:lang w:val="en-GB"/>
        </w:rPr>
        <w:t>5 Ps</w:t>
      </w:r>
      <w:r w:rsidRPr="009766D5">
        <w:rPr>
          <w:lang w:val="en-GB"/>
        </w:rPr>
        <w:t>’</w:t>
      </w:r>
      <w:r w:rsidR="002203EE" w:rsidRPr="009766D5">
        <w:rPr>
          <w:lang w:val="en-GB"/>
        </w:rPr>
        <w:t xml:space="preserve"> (People, Planet, Prosperity, Partnerships) of the </w:t>
      </w:r>
      <w:r w:rsidR="00255D8F" w:rsidRPr="009766D5">
        <w:rPr>
          <w:lang w:val="en-GB"/>
        </w:rPr>
        <w:t>Sustainable Development Goals</w:t>
      </w:r>
      <w:r w:rsidR="002203EE" w:rsidRPr="009766D5">
        <w:rPr>
          <w:lang w:val="en-GB"/>
        </w:rPr>
        <w:t xml:space="preserve">. UNDP will focus on the economy-environment-climate nexus in addressing priority areas of </w:t>
      </w:r>
      <w:r w:rsidR="002203EE" w:rsidRPr="009766D5">
        <w:rPr>
          <w:b/>
          <w:bCs/>
          <w:lang w:val="en-GB"/>
        </w:rPr>
        <w:t>environmental protection, climate resilience and natural resource management,</w:t>
      </w:r>
      <w:r w:rsidR="002203EE" w:rsidRPr="009766D5">
        <w:rPr>
          <w:lang w:val="en-GB"/>
        </w:rPr>
        <w:t xml:space="preserve"> </w:t>
      </w:r>
      <w:r w:rsidRPr="009766D5">
        <w:rPr>
          <w:lang w:val="en-GB"/>
        </w:rPr>
        <w:t>and</w:t>
      </w:r>
      <w:r w:rsidR="002203EE" w:rsidRPr="009766D5">
        <w:rPr>
          <w:lang w:val="en-GB"/>
        </w:rPr>
        <w:t xml:space="preserve"> </w:t>
      </w:r>
      <w:r w:rsidR="002203EE" w:rsidRPr="009766D5">
        <w:rPr>
          <w:b/>
          <w:bCs/>
          <w:lang w:val="en-GB"/>
        </w:rPr>
        <w:t xml:space="preserve">equitable, inclusive, sustainable and transformative economic growth. </w:t>
      </w:r>
      <w:r w:rsidR="002203EE" w:rsidRPr="009766D5">
        <w:rPr>
          <w:lang w:val="en-GB"/>
        </w:rPr>
        <w:t xml:space="preserve">UNDP will support national institutions to promote </w:t>
      </w:r>
      <w:r w:rsidR="002203EE" w:rsidRPr="009766D5">
        <w:rPr>
          <w:b/>
          <w:bCs/>
          <w:lang w:val="en-GB"/>
        </w:rPr>
        <w:t xml:space="preserve">inclusive and green growth </w:t>
      </w:r>
      <w:r w:rsidR="002203EE" w:rsidRPr="009766D5">
        <w:rPr>
          <w:lang w:val="en-GB"/>
        </w:rPr>
        <w:t xml:space="preserve">as a driver </w:t>
      </w:r>
      <w:r w:rsidR="00A06A0B" w:rsidRPr="009766D5">
        <w:rPr>
          <w:lang w:val="en-GB"/>
        </w:rPr>
        <w:t xml:space="preserve">to </w:t>
      </w:r>
      <w:r w:rsidR="002203EE" w:rsidRPr="009766D5">
        <w:rPr>
          <w:lang w:val="en-GB"/>
        </w:rPr>
        <w:t>reduc</w:t>
      </w:r>
      <w:r w:rsidR="00A06A0B" w:rsidRPr="009766D5">
        <w:rPr>
          <w:lang w:val="en-GB"/>
        </w:rPr>
        <w:t>e</w:t>
      </w:r>
      <w:r w:rsidR="002203EE" w:rsidRPr="009766D5">
        <w:rPr>
          <w:lang w:val="en-GB"/>
        </w:rPr>
        <w:t xml:space="preserve"> poverty, unemployment, informality</w:t>
      </w:r>
      <w:r w:rsidR="00A06A0B" w:rsidRPr="009766D5">
        <w:rPr>
          <w:lang w:val="en-GB"/>
        </w:rPr>
        <w:t xml:space="preserve"> and </w:t>
      </w:r>
      <w:r w:rsidR="002203EE" w:rsidRPr="009766D5">
        <w:rPr>
          <w:lang w:val="en-GB"/>
        </w:rPr>
        <w:t xml:space="preserve">vulnerability, and </w:t>
      </w:r>
      <w:r w:rsidR="00A06A0B" w:rsidRPr="009766D5">
        <w:rPr>
          <w:lang w:val="en-GB"/>
        </w:rPr>
        <w:t xml:space="preserve">to </w:t>
      </w:r>
      <w:r w:rsidR="00A06A0B" w:rsidRPr="009766D5">
        <w:rPr>
          <w:b/>
          <w:bCs/>
          <w:lang w:val="en-GB"/>
        </w:rPr>
        <w:t>build</w:t>
      </w:r>
      <w:r w:rsidR="00A06A0B" w:rsidRPr="009766D5" w:rsidDel="00982654">
        <w:rPr>
          <w:b/>
          <w:bCs/>
          <w:lang w:val="en-GB"/>
        </w:rPr>
        <w:t xml:space="preserve"> </w:t>
      </w:r>
      <w:r w:rsidR="002203EE" w:rsidRPr="009766D5">
        <w:rPr>
          <w:b/>
          <w:bCs/>
          <w:lang w:val="en-GB"/>
        </w:rPr>
        <w:t>resilience</w:t>
      </w:r>
      <w:r w:rsidR="002203EE" w:rsidRPr="009766D5">
        <w:rPr>
          <w:lang w:val="en-GB"/>
        </w:rPr>
        <w:t>. This will include integrating risk management into programmatic documents and strengthening operational capacities to develop and implement contingency plans. UNDP will develop operational strategies relating to green jobs</w:t>
      </w:r>
      <w:r w:rsidRPr="009766D5">
        <w:rPr>
          <w:lang w:val="en-GB"/>
        </w:rPr>
        <w:t xml:space="preserve"> and</w:t>
      </w:r>
      <w:r w:rsidR="002203EE" w:rsidRPr="009766D5">
        <w:rPr>
          <w:lang w:val="en-GB"/>
        </w:rPr>
        <w:t xml:space="preserve"> environmental and climate </w:t>
      </w:r>
      <w:r w:rsidR="00962394" w:rsidRPr="009766D5">
        <w:rPr>
          <w:lang w:val="en-GB"/>
        </w:rPr>
        <w:t>economics and</w:t>
      </w:r>
      <w:r w:rsidR="002203EE" w:rsidRPr="009766D5">
        <w:rPr>
          <w:lang w:val="en-GB"/>
        </w:rPr>
        <w:t xml:space="preserve"> will operationalize </w:t>
      </w:r>
      <w:r w:rsidR="00CB0A24" w:rsidRPr="009766D5">
        <w:rPr>
          <w:lang w:val="en-GB"/>
        </w:rPr>
        <w:t xml:space="preserve">the nationally determined contribution </w:t>
      </w:r>
      <w:r w:rsidR="002203EE" w:rsidRPr="009766D5">
        <w:rPr>
          <w:lang w:val="en-GB"/>
        </w:rPr>
        <w:t xml:space="preserve">and </w:t>
      </w:r>
      <w:r w:rsidR="00CB0A24" w:rsidRPr="009766D5">
        <w:rPr>
          <w:lang w:val="en-GB"/>
        </w:rPr>
        <w:t>the national adaptation programme</w:t>
      </w:r>
      <w:r w:rsidR="0004168A" w:rsidRPr="009766D5">
        <w:rPr>
          <w:lang w:val="en-GB"/>
        </w:rPr>
        <w:t>.</w:t>
      </w:r>
      <w:r w:rsidR="002203EE" w:rsidRPr="009766D5">
        <w:rPr>
          <w:lang w:val="en-GB"/>
        </w:rPr>
        <w:t xml:space="preserve"> </w:t>
      </w:r>
      <w:r w:rsidRPr="009766D5">
        <w:rPr>
          <w:lang w:val="en-GB"/>
        </w:rPr>
        <w:t xml:space="preserve">With the Food and Agriculture Organization (FAO), it </w:t>
      </w:r>
      <w:r w:rsidR="002203EE" w:rsidRPr="009766D5">
        <w:rPr>
          <w:lang w:val="en-GB"/>
        </w:rPr>
        <w:t xml:space="preserve">will contribute to </w:t>
      </w:r>
      <w:r w:rsidR="00654147" w:rsidRPr="009766D5">
        <w:rPr>
          <w:lang w:val="en-GB"/>
        </w:rPr>
        <w:t xml:space="preserve">Cooperation Framework </w:t>
      </w:r>
      <w:r w:rsidR="002203EE" w:rsidRPr="009766D5">
        <w:rPr>
          <w:lang w:val="en-GB"/>
        </w:rPr>
        <w:t>results</w:t>
      </w:r>
      <w:r w:rsidRPr="009766D5">
        <w:rPr>
          <w:lang w:val="en-GB"/>
        </w:rPr>
        <w:t>,</w:t>
      </w:r>
      <w:r w:rsidR="002203EE" w:rsidRPr="009766D5">
        <w:rPr>
          <w:lang w:val="en-GB"/>
        </w:rPr>
        <w:t xml:space="preserve"> strengthening the restoration of degraded lands and forest ecosystems for climate resilience</w:t>
      </w:r>
      <w:r w:rsidRPr="009766D5">
        <w:rPr>
          <w:lang w:val="en-GB"/>
        </w:rPr>
        <w:t xml:space="preserve"> and</w:t>
      </w:r>
      <w:r w:rsidR="002203EE" w:rsidRPr="009766D5">
        <w:rPr>
          <w:lang w:val="en-GB"/>
        </w:rPr>
        <w:t xml:space="preserve"> soil fertility</w:t>
      </w:r>
      <w:r w:rsidR="00A06A0B" w:rsidRPr="009766D5">
        <w:rPr>
          <w:lang w:val="en-GB"/>
        </w:rPr>
        <w:t>,</w:t>
      </w:r>
      <w:r w:rsidR="002203EE" w:rsidRPr="009766D5">
        <w:rPr>
          <w:lang w:val="en-GB"/>
        </w:rPr>
        <w:t xml:space="preserve"> while FAO focus</w:t>
      </w:r>
      <w:r w:rsidRPr="009766D5">
        <w:rPr>
          <w:lang w:val="en-GB"/>
        </w:rPr>
        <w:t>es</w:t>
      </w:r>
      <w:r w:rsidR="002203EE" w:rsidRPr="009766D5">
        <w:rPr>
          <w:lang w:val="en-GB"/>
        </w:rPr>
        <w:t xml:space="preserve"> on food systems.</w:t>
      </w:r>
    </w:p>
    <w:p w14:paraId="68BBA4C0" w14:textId="1C4E7D41"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UNDP will implement solutions to improve access to clean energy </w:t>
      </w:r>
      <w:r w:rsidR="00E4630A" w:rsidRPr="009766D5">
        <w:rPr>
          <w:lang w:val="en-GB"/>
        </w:rPr>
        <w:t>and</w:t>
      </w:r>
      <w:r w:rsidRPr="009766D5">
        <w:rPr>
          <w:lang w:val="en-GB"/>
        </w:rPr>
        <w:t xml:space="preserve"> entrepreneurial training for project holders. The programme will take advantage of start-up ecosystem financing to support young project promoters </w:t>
      </w:r>
      <w:r w:rsidR="00E4630A" w:rsidRPr="009766D5">
        <w:rPr>
          <w:lang w:val="en-GB"/>
        </w:rPr>
        <w:t xml:space="preserve">in </w:t>
      </w:r>
      <w:r w:rsidRPr="009766D5">
        <w:rPr>
          <w:lang w:val="en-GB"/>
        </w:rPr>
        <w:t>achiev</w:t>
      </w:r>
      <w:r w:rsidR="00E4630A" w:rsidRPr="009766D5">
        <w:rPr>
          <w:lang w:val="en-GB"/>
        </w:rPr>
        <w:t>ing</w:t>
      </w:r>
      <w:r w:rsidRPr="009766D5">
        <w:rPr>
          <w:lang w:val="en-GB"/>
        </w:rPr>
        <w:t xml:space="preserve"> the expected outcomes effectively and efficiently. The programme will strengthen the employability of young graduates through volunteerism</w:t>
      </w:r>
      <w:r w:rsidR="0070644B" w:rsidRPr="009766D5">
        <w:rPr>
          <w:lang w:val="en-GB"/>
        </w:rPr>
        <w:t>,</w:t>
      </w:r>
      <w:r w:rsidRPr="009766D5">
        <w:rPr>
          <w:lang w:val="en-GB"/>
        </w:rPr>
        <w:t xml:space="preserve"> </w:t>
      </w:r>
      <w:r w:rsidR="00A06A0B" w:rsidRPr="009766D5">
        <w:rPr>
          <w:lang w:val="en-GB"/>
        </w:rPr>
        <w:t>promote</w:t>
      </w:r>
      <w:r w:rsidRPr="009766D5">
        <w:rPr>
          <w:lang w:val="en-GB"/>
        </w:rPr>
        <w:t xml:space="preserve"> placement schemes </w:t>
      </w:r>
      <w:r w:rsidR="00730962" w:rsidRPr="009766D5">
        <w:rPr>
          <w:lang w:val="en-GB"/>
        </w:rPr>
        <w:t>(</w:t>
      </w:r>
      <w:r w:rsidRPr="009766D5">
        <w:rPr>
          <w:lang w:val="en-GB"/>
        </w:rPr>
        <w:t>in collaboration with the National Employment Agency</w:t>
      </w:r>
      <w:r w:rsidR="00730962" w:rsidRPr="009766D5">
        <w:rPr>
          <w:lang w:val="en-GB"/>
        </w:rPr>
        <w:t>)</w:t>
      </w:r>
      <w:r w:rsidR="0070644B" w:rsidRPr="009766D5">
        <w:rPr>
          <w:lang w:val="en-GB"/>
        </w:rPr>
        <w:t>,</w:t>
      </w:r>
      <w:r w:rsidR="00E4630A" w:rsidRPr="009766D5">
        <w:rPr>
          <w:lang w:val="en-GB"/>
        </w:rPr>
        <w:t xml:space="preserve"> </w:t>
      </w:r>
      <w:r w:rsidRPr="009766D5">
        <w:rPr>
          <w:lang w:val="en-GB"/>
        </w:rPr>
        <w:t xml:space="preserve">and capitalize on new technologies to implement ‘smart’ agriculture. Support will be provided to project promoters for mobilizing climate finance-related funding </w:t>
      </w:r>
      <w:r w:rsidR="00E4630A" w:rsidRPr="009766D5">
        <w:rPr>
          <w:lang w:val="en-GB"/>
        </w:rPr>
        <w:t xml:space="preserve">to </w:t>
      </w:r>
      <w:r w:rsidRPr="009766D5">
        <w:rPr>
          <w:lang w:val="en-GB"/>
        </w:rPr>
        <w:t>develop</w:t>
      </w:r>
      <w:r w:rsidR="00E4630A" w:rsidRPr="009766D5">
        <w:rPr>
          <w:lang w:val="en-GB"/>
        </w:rPr>
        <w:t xml:space="preserve"> </w:t>
      </w:r>
      <w:r w:rsidRPr="009766D5">
        <w:rPr>
          <w:lang w:val="en-GB"/>
        </w:rPr>
        <w:t>agricultural</w:t>
      </w:r>
      <w:r w:rsidR="00E4630A" w:rsidRPr="009766D5">
        <w:rPr>
          <w:lang w:val="en-GB"/>
        </w:rPr>
        <w:t xml:space="preserve"> and</w:t>
      </w:r>
      <w:r w:rsidRPr="009766D5">
        <w:rPr>
          <w:lang w:val="en-GB"/>
        </w:rPr>
        <w:t xml:space="preserve"> other value chains. </w:t>
      </w:r>
    </w:p>
    <w:p w14:paraId="01AC3A7D" w14:textId="5C32A31F" w:rsidR="002203EE" w:rsidRPr="009766D5" w:rsidRDefault="002203EE" w:rsidP="002203EE">
      <w:pPr>
        <w:pStyle w:val="CPD"/>
        <w:numPr>
          <w:ilvl w:val="0"/>
          <w:numId w:val="50"/>
        </w:numPr>
        <w:tabs>
          <w:tab w:val="left" w:pos="1418"/>
        </w:tabs>
        <w:ind w:left="993" w:right="713" w:firstLine="0"/>
        <w:rPr>
          <w:rFonts w:eastAsiaTheme="minorEastAsia"/>
          <w:lang w:val="en-GB"/>
        </w:rPr>
      </w:pPr>
      <w:r w:rsidRPr="009766D5">
        <w:rPr>
          <w:lang w:val="en-GB"/>
        </w:rPr>
        <w:t xml:space="preserve">In </w:t>
      </w:r>
      <w:r w:rsidRPr="009766D5">
        <w:rPr>
          <w:bCs/>
          <w:lang w:val="en-GB"/>
        </w:rPr>
        <w:t xml:space="preserve">the </w:t>
      </w:r>
      <w:r w:rsidRPr="009766D5">
        <w:rPr>
          <w:b/>
          <w:bCs/>
          <w:lang w:val="en-GB"/>
        </w:rPr>
        <w:t xml:space="preserve">transition to renewable sustainable energy, </w:t>
      </w:r>
      <w:r w:rsidRPr="009766D5">
        <w:rPr>
          <w:lang w:val="en-GB"/>
        </w:rPr>
        <w:t xml:space="preserve">a priority for the </w:t>
      </w:r>
      <w:r w:rsidR="00E4630A" w:rsidRPr="009766D5">
        <w:rPr>
          <w:lang w:val="en-GB"/>
        </w:rPr>
        <w:t>G</w:t>
      </w:r>
      <w:r w:rsidRPr="009766D5">
        <w:rPr>
          <w:lang w:val="en-GB"/>
        </w:rPr>
        <w:t xml:space="preserve">overnment, UNDP will position itself to provide stronger support to the </w:t>
      </w:r>
      <w:r w:rsidR="00E4630A" w:rsidRPr="009766D5">
        <w:rPr>
          <w:lang w:val="en-GB"/>
        </w:rPr>
        <w:t>G</w:t>
      </w:r>
      <w:r w:rsidRPr="009766D5">
        <w:rPr>
          <w:lang w:val="en-GB"/>
        </w:rPr>
        <w:t xml:space="preserve">overnment, focusing on rural areas where access to electricity is </w:t>
      </w:r>
      <w:r w:rsidR="0070644B" w:rsidRPr="009766D5">
        <w:rPr>
          <w:lang w:val="en-GB"/>
        </w:rPr>
        <w:t xml:space="preserve">at </w:t>
      </w:r>
      <w:r w:rsidRPr="009766D5">
        <w:rPr>
          <w:lang w:val="en-GB"/>
        </w:rPr>
        <w:t>only 10.36 per cent. The programme will support access to efficient</w:t>
      </w:r>
      <w:r w:rsidR="00C82A84" w:rsidRPr="009766D5">
        <w:rPr>
          <w:lang w:val="en-GB"/>
        </w:rPr>
        <w:t>,</w:t>
      </w:r>
      <w:r w:rsidRPr="009766D5">
        <w:rPr>
          <w:lang w:val="en-GB"/>
        </w:rPr>
        <w:t xml:space="preserve"> innovative solutions for production, transportation and distribution to 1,000,000 people gaining access to</w:t>
      </w:r>
      <w:r w:rsidR="00C82A84" w:rsidRPr="009766D5">
        <w:rPr>
          <w:lang w:val="en-GB"/>
        </w:rPr>
        <w:t>,</w:t>
      </w:r>
      <w:r w:rsidRPr="009766D5">
        <w:rPr>
          <w:lang w:val="en-GB"/>
        </w:rPr>
        <w:t xml:space="preserve"> and 1,200,000 people benefiting from</w:t>
      </w:r>
      <w:r w:rsidR="0070644B" w:rsidRPr="009766D5">
        <w:rPr>
          <w:lang w:val="en-GB"/>
        </w:rPr>
        <w:t>,</w:t>
      </w:r>
      <w:r w:rsidRPr="009766D5">
        <w:rPr>
          <w:lang w:val="en-GB"/>
        </w:rPr>
        <w:t xml:space="preserve"> services from clean, affordable and sustainable energy. Through partnership</w:t>
      </w:r>
      <w:r w:rsidR="00C82A84" w:rsidRPr="009766D5">
        <w:rPr>
          <w:lang w:val="en-GB"/>
        </w:rPr>
        <w:t>s</w:t>
      </w:r>
      <w:r w:rsidRPr="009766D5">
        <w:rPr>
          <w:lang w:val="en-GB"/>
        </w:rPr>
        <w:t xml:space="preserve"> with </w:t>
      </w:r>
      <w:r w:rsidR="00C82A84" w:rsidRPr="009766D5">
        <w:rPr>
          <w:lang w:val="en-GB"/>
        </w:rPr>
        <w:t xml:space="preserve">the </w:t>
      </w:r>
      <w:r w:rsidRPr="009766D5">
        <w:rPr>
          <w:lang w:val="en-GB"/>
        </w:rPr>
        <w:t>private sector, UNDP will support capacity</w:t>
      </w:r>
      <w:r w:rsidR="00C82A84" w:rsidRPr="009766D5">
        <w:rPr>
          <w:lang w:val="en-GB"/>
        </w:rPr>
        <w:t>-</w:t>
      </w:r>
      <w:r w:rsidRPr="009766D5">
        <w:rPr>
          <w:lang w:val="en-GB"/>
        </w:rPr>
        <w:t>building in micro</w:t>
      </w:r>
      <w:r w:rsidR="00C82A84" w:rsidRPr="009766D5">
        <w:rPr>
          <w:lang w:val="en-GB"/>
        </w:rPr>
        <w:t>-</w:t>
      </w:r>
      <w:r w:rsidRPr="009766D5">
        <w:rPr>
          <w:lang w:val="en-GB"/>
        </w:rPr>
        <w:t>enterprises targeting unemployed youth and women, migrants</w:t>
      </w:r>
      <w:r w:rsidR="0070644B" w:rsidRPr="009766D5">
        <w:rPr>
          <w:lang w:val="en-GB"/>
        </w:rPr>
        <w:t>,</w:t>
      </w:r>
      <w:r w:rsidR="0004168A" w:rsidRPr="009766D5">
        <w:rPr>
          <w:lang w:val="en-GB"/>
        </w:rPr>
        <w:t xml:space="preserve"> and people with disabilities</w:t>
      </w:r>
      <w:r w:rsidRPr="009766D5">
        <w:rPr>
          <w:lang w:val="en-GB"/>
        </w:rPr>
        <w:t xml:space="preserve"> for productive activities. Efforts will be devoted to scaling up existing initiatives by developing an enabling investment and policy environment for renewable energy, harnessing private sector financing through the Financial Sustainable Mechanism </w:t>
      </w:r>
      <w:r w:rsidR="00C82A84" w:rsidRPr="009766D5">
        <w:rPr>
          <w:lang w:val="en-GB"/>
        </w:rPr>
        <w:t xml:space="preserve">that </w:t>
      </w:r>
      <w:r w:rsidRPr="009766D5">
        <w:rPr>
          <w:lang w:val="en-GB"/>
        </w:rPr>
        <w:t xml:space="preserve">UNDP is </w:t>
      </w:r>
      <w:r w:rsidR="00C82A84" w:rsidRPr="009766D5">
        <w:rPr>
          <w:lang w:val="en-GB"/>
        </w:rPr>
        <w:t xml:space="preserve">presently </w:t>
      </w:r>
      <w:r w:rsidRPr="009766D5">
        <w:rPr>
          <w:lang w:val="en-GB"/>
        </w:rPr>
        <w:t xml:space="preserve">designing. UNDP will collaborate with </w:t>
      </w:r>
      <w:r w:rsidR="00752411" w:rsidRPr="009766D5">
        <w:rPr>
          <w:lang w:val="en-GB"/>
        </w:rPr>
        <w:t>the United Nations Children’s Fund (</w:t>
      </w:r>
      <w:r w:rsidRPr="009766D5">
        <w:rPr>
          <w:lang w:val="en-GB"/>
        </w:rPr>
        <w:t>UNICEF</w:t>
      </w:r>
      <w:r w:rsidR="00752411" w:rsidRPr="009766D5">
        <w:rPr>
          <w:lang w:val="en-GB"/>
        </w:rPr>
        <w:t>)</w:t>
      </w:r>
      <w:r w:rsidRPr="009766D5">
        <w:rPr>
          <w:lang w:val="en-GB"/>
        </w:rPr>
        <w:t xml:space="preserve"> and </w:t>
      </w:r>
      <w:r w:rsidR="00752411" w:rsidRPr="009766D5">
        <w:rPr>
          <w:lang w:val="en-GB"/>
        </w:rPr>
        <w:t xml:space="preserve">the World Food </w:t>
      </w:r>
      <w:r w:rsidR="00752411" w:rsidRPr="009766D5">
        <w:rPr>
          <w:lang w:val="en-GB"/>
        </w:rPr>
        <w:lastRenderedPageBreak/>
        <w:t xml:space="preserve">Programme </w:t>
      </w:r>
      <w:r w:rsidRPr="009766D5">
        <w:rPr>
          <w:lang w:val="en-GB"/>
        </w:rPr>
        <w:t>on solar water heating in health cent</w:t>
      </w:r>
      <w:r w:rsidR="0004168A" w:rsidRPr="009766D5">
        <w:rPr>
          <w:lang w:val="en-GB"/>
        </w:rPr>
        <w:t>r</w:t>
      </w:r>
      <w:r w:rsidRPr="009766D5">
        <w:rPr>
          <w:lang w:val="en-GB"/>
        </w:rPr>
        <w:t>es</w:t>
      </w:r>
      <w:r w:rsidR="00C82A84" w:rsidRPr="009766D5">
        <w:rPr>
          <w:lang w:val="en-GB"/>
        </w:rPr>
        <w:t>,</w:t>
      </w:r>
      <w:r w:rsidRPr="009766D5">
        <w:rPr>
          <w:lang w:val="en-GB"/>
        </w:rPr>
        <w:t xml:space="preserve"> and solar energy </w:t>
      </w:r>
      <w:r w:rsidR="00C82A84" w:rsidRPr="009766D5">
        <w:rPr>
          <w:lang w:val="en-GB"/>
        </w:rPr>
        <w:t xml:space="preserve">production </w:t>
      </w:r>
      <w:r w:rsidRPr="009766D5">
        <w:rPr>
          <w:lang w:val="en-GB"/>
        </w:rPr>
        <w:t>as part of joint school feeding programme</w:t>
      </w:r>
      <w:r w:rsidR="00C82A84" w:rsidRPr="009766D5">
        <w:rPr>
          <w:lang w:val="en-GB"/>
        </w:rPr>
        <w:t>s</w:t>
      </w:r>
      <w:r w:rsidRPr="009766D5">
        <w:rPr>
          <w:lang w:val="en-GB"/>
        </w:rPr>
        <w:t>.</w:t>
      </w:r>
    </w:p>
    <w:p w14:paraId="474C6DA1" w14:textId="6B6861C8" w:rsidR="002203EE" w:rsidRPr="009766D5" w:rsidRDefault="002203EE" w:rsidP="002203EE">
      <w:pPr>
        <w:pStyle w:val="CPD"/>
        <w:numPr>
          <w:ilvl w:val="0"/>
          <w:numId w:val="50"/>
        </w:numPr>
        <w:tabs>
          <w:tab w:val="left" w:pos="1418"/>
        </w:tabs>
        <w:ind w:left="993" w:right="713" w:firstLine="0"/>
        <w:rPr>
          <w:lang w:val="en-GB"/>
        </w:rPr>
      </w:pPr>
      <w:r w:rsidRPr="009766D5">
        <w:rPr>
          <w:lang w:val="en-GB"/>
        </w:rPr>
        <w:t>Leveraging its convening power with development partners, UNDP will support the mobilization of technical, technological, operational and financial resources (</w:t>
      </w:r>
      <w:r w:rsidR="0070644B" w:rsidRPr="009766D5">
        <w:rPr>
          <w:lang w:val="en-GB"/>
        </w:rPr>
        <w:t xml:space="preserve">including </w:t>
      </w:r>
      <w:r w:rsidRPr="009766D5">
        <w:rPr>
          <w:lang w:val="en-GB"/>
        </w:rPr>
        <w:t xml:space="preserve">climate financing, green and blue bonds, </w:t>
      </w:r>
      <w:r w:rsidR="0070644B" w:rsidRPr="009766D5">
        <w:rPr>
          <w:lang w:val="en-GB"/>
        </w:rPr>
        <w:t xml:space="preserve">and </w:t>
      </w:r>
      <w:r w:rsidRPr="009766D5">
        <w:rPr>
          <w:lang w:val="en-GB"/>
        </w:rPr>
        <w:t xml:space="preserve">digitalization) towards sustainable financing for resilience, contributing to the development of </w:t>
      </w:r>
      <w:r w:rsidR="0004168A" w:rsidRPr="009766D5">
        <w:rPr>
          <w:lang w:val="en-GB"/>
        </w:rPr>
        <w:t xml:space="preserve">medium, small and micro enterprises </w:t>
      </w:r>
      <w:r w:rsidRPr="009766D5">
        <w:rPr>
          <w:lang w:val="en-GB"/>
        </w:rPr>
        <w:t xml:space="preserve">in diversifying their financial instruments through a partnership with </w:t>
      </w:r>
      <w:r w:rsidR="0004168A" w:rsidRPr="009766D5">
        <w:rPr>
          <w:lang w:val="en-GB"/>
        </w:rPr>
        <w:t xml:space="preserve">international financial institutions such as the </w:t>
      </w:r>
      <w:r w:rsidRPr="009766D5">
        <w:rPr>
          <w:lang w:val="en-GB"/>
        </w:rPr>
        <w:t>Arab Bank for Economic Development in Africa</w:t>
      </w:r>
      <w:r w:rsidR="0004168A" w:rsidRPr="009766D5">
        <w:rPr>
          <w:lang w:val="en-GB"/>
        </w:rPr>
        <w:t xml:space="preserve"> and the</w:t>
      </w:r>
      <w:r w:rsidRPr="009766D5">
        <w:rPr>
          <w:lang w:val="en-GB"/>
        </w:rPr>
        <w:t xml:space="preserve"> Islamic Development Bank</w:t>
      </w:r>
      <w:r w:rsidR="0070644B" w:rsidRPr="009766D5">
        <w:rPr>
          <w:lang w:val="en-GB"/>
        </w:rPr>
        <w:t>,</w:t>
      </w:r>
      <w:r w:rsidRPr="009766D5">
        <w:rPr>
          <w:lang w:val="en-GB"/>
        </w:rPr>
        <w:t xml:space="preserve"> </w:t>
      </w:r>
      <w:r w:rsidR="006209D7" w:rsidRPr="009766D5">
        <w:rPr>
          <w:lang w:val="en-GB"/>
        </w:rPr>
        <w:t xml:space="preserve">the </w:t>
      </w:r>
      <w:r w:rsidRPr="009766D5">
        <w:rPr>
          <w:lang w:val="en-GB"/>
        </w:rPr>
        <w:t>private sector</w:t>
      </w:r>
      <w:r w:rsidR="006209D7" w:rsidRPr="009766D5">
        <w:rPr>
          <w:lang w:val="en-GB"/>
        </w:rPr>
        <w:t>,</w:t>
      </w:r>
      <w:r w:rsidRPr="009766D5">
        <w:rPr>
          <w:lang w:val="en-GB"/>
        </w:rPr>
        <w:t xml:space="preserve"> including </w:t>
      </w:r>
      <w:r w:rsidR="00DA60BA" w:rsidRPr="009766D5">
        <w:rPr>
          <w:lang w:val="en-GB"/>
        </w:rPr>
        <w:t>m</w:t>
      </w:r>
      <w:r w:rsidRPr="009766D5">
        <w:rPr>
          <w:lang w:val="en-GB"/>
        </w:rPr>
        <w:t xml:space="preserve">obile </w:t>
      </w:r>
      <w:r w:rsidR="00DA60BA" w:rsidRPr="009766D5">
        <w:rPr>
          <w:lang w:val="en-GB"/>
        </w:rPr>
        <w:t>p</w:t>
      </w:r>
      <w:r w:rsidR="00962394" w:rsidRPr="009766D5">
        <w:rPr>
          <w:lang w:val="en-GB"/>
        </w:rPr>
        <w:t xml:space="preserve">hone companies </w:t>
      </w:r>
      <w:r w:rsidRPr="009766D5">
        <w:rPr>
          <w:lang w:val="en-GB"/>
        </w:rPr>
        <w:t>and technology providers</w:t>
      </w:r>
      <w:r w:rsidR="006209D7" w:rsidRPr="009766D5">
        <w:rPr>
          <w:lang w:val="en-GB"/>
        </w:rPr>
        <w:t>,</w:t>
      </w:r>
      <w:r w:rsidRPr="009766D5">
        <w:rPr>
          <w:lang w:val="en-GB"/>
        </w:rPr>
        <w:t xml:space="preserve"> and promoting access to opportunities offered through the African Continental Free Trade Area</w:t>
      </w:r>
      <w:r w:rsidR="006209D7" w:rsidRPr="009766D5">
        <w:rPr>
          <w:lang w:val="en-GB"/>
        </w:rPr>
        <w:t xml:space="preserve"> agreement</w:t>
      </w:r>
      <w:r w:rsidRPr="009766D5">
        <w:rPr>
          <w:lang w:val="en-GB"/>
        </w:rPr>
        <w:t xml:space="preserve">. Various field interventions will be carried out in collaboration with local </w:t>
      </w:r>
      <w:r w:rsidR="0004168A" w:rsidRPr="009766D5">
        <w:rPr>
          <w:lang w:val="en-GB"/>
        </w:rPr>
        <w:t xml:space="preserve">non-governmental organizations </w:t>
      </w:r>
      <w:r w:rsidRPr="009766D5">
        <w:rPr>
          <w:lang w:val="en-GB"/>
        </w:rPr>
        <w:t xml:space="preserve">and </w:t>
      </w:r>
      <w:r w:rsidR="0004168A" w:rsidRPr="009766D5">
        <w:rPr>
          <w:lang w:val="en-GB"/>
        </w:rPr>
        <w:t>civil society organizations</w:t>
      </w:r>
      <w:r w:rsidR="006209D7" w:rsidRPr="009766D5">
        <w:rPr>
          <w:lang w:val="en-GB"/>
        </w:rPr>
        <w:t>,</w:t>
      </w:r>
      <w:r w:rsidR="0004168A" w:rsidRPr="009766D5">
        <w:rPr>
          <w:lang w:val="en-GB"/>
        </w:rPr>
        <w:t xml:space="preserve"> </w:t>
      </w:r>
      <w:r w:rsidRPr="009766D5">
        <w:rPr>
          <w:lang w:val="en-GB"/>
        </w:rPr>
        <w:t xml:space="preserve">volunteer organizations, universities, and research entities. Bilateral and multilateral technical financial partners, vertical fund mechanisms </w:t>
      </w:r>
      <w:r w:rsidR="00752411" w:rsidRPr="009766D5">
        <w:rPr>
          <w:lang w:val="en-GB"/>
        </w:rPr>
        <w:t>such as the Global Environment Facility</w:t>
      </w:r>
      <w:r w:rsidRPr="009766D5">
        <w:rPr>
          <w:lang w:val="en-GB"/>
        </w:rPr>
        <w:t xml:space="preserve">, </w:t>
      </w:r>
      <w:r w:rsidR="00752411" w:rsidRPr="009766D5">
        <w:rPr>
          <w:lang w:val="en-GB"/>
        </w:rPr>
        <w:t>the Green Climate Fund</w:t>
      </w:r>
      <w:r w:rsidRPr="009766D5">
        <w:rPr>
          <w:lang w:val="en-GB"/>
        </w:rPr>
        <w:t xml:space="preserve">, </w:t>
      </w:r>
      <w:r w:rsidR="00752411" w:rsidRPr="009766D5">
        <w:rPr>
          <w:lang w:val="en-GB"/>
        </w:rPr>
        <w:t xml:space="preserve">the </w:t>
      </w:r>
      <w:r w:rsidRPr="009766D5">
        <w:rPr>
          <w:lang w:val="en-GB"/>
        </w:rPr>
        <w:t xml:space="preserve">World Bank, other United Nations organizations, </w:t>
      </w:r>
      <w:r w:rsidR="00752411" w:rsidRPr="009766D5">
        <w:rPr>
          <w:lang w:val="en-GB"/>
        </w:rPr>
        <w:t>the European Union</w:t>
      </w:r>
      <w:r w:rsidRPr="009766D5">
        <w:rPr>
          <w:lang w:val="en-GB"/>
        </w:rPr>
        <w:t xml:space="preserve">, Japan, China, Qatar, and Belgium will also be involved in the areas of resilience, food security, </w:t>
      </w:r>
      <w:r w:rsidR="006209D7" w:rsidRPr="009766D5">
        <w:rPr>
          <w:lang w:val="en-GB"/>
        </w:rPr>
        <w:t xml:space="preserve">and </w:t>
      </w:r>
      <w:r w:rsidRPr="009766D5">
        <w:rPr>
          <w:lang w:val="en-GB"/>
        </w:rPr>
        <w:t xml:space="preserve">innovation. Salt and </w:t>
      </w:r>
      <w:r w:rsidR="006209D7" w:rsidRPr="009766D5">
        <w:rPr>
          <w:lang w:val="en-GB"/>
        </w:rPr>
        <w:t>c</w:t>
      </w:r>
      <w:r w:rsidRPr="009766D5">
        <w:rPr>
          <w:lang w:val="en-GB"/>
        </w:rPr>
        <w:t xml:space="preserve">assava value chain initiatives will be scaled up through South-South and triangular cooperation </w:t>
      </w:r>
      <w:r w:rsidR="00752411" w:rsidRPr="009766D5">
        <w:rPr>
          <w:lang w:val="en-GB"/>
        </w:rPr>
        <w:t xml:space="preserve">– with </w:t>
      </w:r>
      <w:r w:rsidRPr="009766D5">
        <w:rPr>
          <w:lang w:val="en-GB"/>
        </w:rPr>
        <w:t xml:space="preserve">Brazil, </w:t>
      </w:r>
      <w:r w:rsidR="00C82A84" w:rsidRPr="009766D5">
        <w:rPr>
          <w:lang w:val="en-GB"/>
        </w:rPr>
        <w:t xml:space="preserve">India, </w:t>
      </w:r>
      <w:r w:rsidR="00752411" w:rsidRPr="009766D5">
        <w:rPr>
          <w:lang w:val="en-GB"/>
        </w:rPr>
        <w:t xml:space="preserve">and </w:t>
      </w:r>
      <w:r w:rsidRPr="009766D5">
        <w:rPr>
          <w:lang w:val="en-GB"/>
        </w:rPr>
        <w:t>South Africa</w:t>
      </w:r>
      <w:r w:rsidR="00752411" w:rsidRPr="009766D5">
        <w:rPr>
          <w:lang w:val="en-GB"/>
        </w:rPr>
        <w:t>,</w:t>
      </w:r>
      <w:r w:rsidRPr="009766D5">
        <w:rPr>
          <w:lang w:val="en-GB"/>
        </w:rPr>
        <w:t xml:space="preserve"> among others</w:t>
      </w:r>
      <w:r w:rsidR="00752411" w:rsidRPr="009766D5">
        <w:rPr>
          <w:lang w:val="en-GB"/>
        </w:rPr>
        <w:t xml:space="preserve"> –</w:t>
      </w:r>
      <w:r w:rsidRPr="009766D5">
        <w:rPr>
          <w:lang w:val="en-GB"/>
        </w:rPr>
        <w:t xml:space="preserve"> learning from best practices </w:t>
      </w:r>
      <w:r w:rsidR="006209D7" w:rsidRPr="009766D5">
        <w:rPr>
          <w:lang w:val="en-GB"/>
        </w:rPr>
        <w:t xml:space="preserve">in </w:t>
      </w:r>
      <w:r w:rsidRPr="009766D5">
        <w:rPr>
          <w:lang w:val="en-GB"/>
        </w:rPr>
        <w:t>th</w:t>
      </w:r>
      <w:r w:rsidR="00C82A84" w:rsidRPr="009766D5">
        <w:rPr>
          <w:lang w:val="en-GB"/>
        </w:rPr>
        <w:t>o</w:t>
      </w:r>
      <w:r w:rsidRPr="009766D5">
        <w:rPr>
          <w:lang w:val="en-GB"/>
        </w:rPr>
        <w:t>se countries.</w:t>
      </w:r>
    </w:p>
    <w:p w14:paraId="5A169760" w14:textId="7344228C" w:rsidR="002203EE" w:rsidRPr="009766D5" w:rsidRDefault="002203EE" w:rsidP="002203EE">
      <w:pPr>
        <w:pStyle w:val="CPD"/>
        <w:numPr>
          <w:ilvl w:val="0"/>
          <w:numId w:val="0"/>
        </w:numPr>
        <w:tabs>
          <w:tab w:val="left" w:pos="1418"/>
        </w:tabs>
        <w:ind w:left="993" w:right="713"/>
        <w:rPr>
          <w:b/>
          <w:bCs/>
          <w:i/>
          <w:iCs/>
          <w:lang w:val="en-GB"/>
        </w:rPr>
      </w:pPr>
      <w:r w:rsidRPr="009766D5">
        <w:rPr>
          <w:b/>
          <w:bCs/>
          <w:i/>
          <w:iCs/>
          <w:lang w:val="en-GB"/>
        </w:rPr>
        <w:t>Pillar 2</w:t>
      </w:r>
      <w:r w:rsidR="006209D7" w:rsidRPr="009766D5">
        <w:rPr>
          <w:b/>
          <w:bCs/>
          <w:i/>
          <w:iCs/>
          <w:lang w:val="en-GB"/>
        </w:rPr>
        <w:t>.</w:t>
      </w:r>
      <w:r w:rsidRPr="009766D5">
        <w:rPr>
          <w:b/>
          <w:bCs/>
          <w:i/>
          <w:iCs/>
          <w:lang w:val="en-GB"/>
        </w:rPr>
        <w:t xml:space="preserve"> Rule of law, democracy, governance, and social cohesion</w:t>
      </w:r>
    </w:p>
    <w:p w14:paraId="2FBA1F35" w14:textId="669C19A9" w:rsidR="002203EE" w:rsidRPr="009766D5" w:rsidRDefault="002203EE" w:rsidP="002203EE">
      <w:pPr>
        <w:pStyle w:val="CPD"/>
        <w:numPr>
          <w:ilvl w:val="0"/>
          <w:numId w:val="50"/>
        </w:numPr>
        <w:tabs>
          <w:tab w:val="left" w:pos="1418"/>
        </w:tabs>
        <w:ind w:left="993" w:right="713" w:firstLine="0"/>
        <w:rPr>
          <w:bCs/>
          <w:lang w:val="en-GB"/>
        </w:rPr>
      </w:pPr>
      <w:r w:rsidRPr="009766D5">
        <w:rPr>
          <w:shd w:val="clear" w:color="auto" w:fill="FFFFFF"/>
          <w:lang w:val="en-GB"/>
        </w:rPr>
        <w:t xml:space="preserve">To strengthen </w:t>
      </w:r>
      <w:r w:rsidRPr="009766D5">
        <w:rPr>
          <w:b/>
          <w:bCs/>
          <w:shd w:val="clear" w:color="auto" w:fill="FFFFFF"/>
          <w:lang w:val="en-GB"/>
        </w:rPr>
        <w:t>rule of law and governance</w:t>
      </w:r>
      <w:r w:rsidRPr="009766D5">
        <w:rPr>
          <w:shd w:val="clear" w:color="auto" w:fill="FFFFFF"/>
          <w:lang w:val="en-GB"/>
        </w:rPr>
        <w:t xml:space="preserve">, UNDP will propose solutions to support administrative and judicial services for improved accessibility, inclusiveness, transparency, </w:t>
      </w:r>
      <w:r w:rsidR="003D06DE" w:rsidRPr="009766D5">
        <w:rPr>
          <w:shd w:val="clear" w:color="auto" w:fill="FFFFFF"/>
          <w:lang w:val="en-GB"/>
        </w:rPr>
        <w:t xml:space="preserve">reduced </w:t>
      </w:r>
      <w:r w:rsidRPr="009766D5">
        <w:rPr>
          <w:shd w:val="clear" w:color="auto" w:fill="FFFFFF"/>
          <w:lang w:val="en-GB"/>
        </w:rPr>
        <w:t>exposure to corruption and improved user-friendliness for clients. UNDP will capitaliz</w:t>
      </w:r>
      <w:r w:rsidR="003D06DE" w:rsidRPr="009766D5">
        <w:rPr>
          <w:shd w:val="clear" w:color="auto" w:fill="FFFFFF"/>
          <w:lang w:val="en-GB"/>
        </w:rPr>
        <w:t>e</w:t>
      </w:r>
      <w:r w:rsidRPr="009766D5">
        <w:rPr>
          <w:shd w:val="clear" w:color="auto" w:fill="FFFFFF"/>
          <w:lang w:val="en-GB"/>
        </w:rPr>
        <w:t xml:space="preserve"> on and </w:t>
      </w:r>
      <w:r w:rsidR="003D06DE" w:rsidRPr="009766D5">
        <w:rPr>
          <w:shd w:val="clear" w:color="auto" w:fill="FFFFFF"/>
          <w:lang w:val="en-GB"/>
        </w:rPr>
        <w:t xml:space="preserve">contribute to </w:t>
      </w:r>
      <w:r w:rsidRPr="009766D5">
        <w:rPr>
          <w:shd w:val="clear" w:color="auto" w:fill="FFFFFF"/>
          <w:lang w:val="en-GB"/>
        </w:rPr>
        <w:t xml:space="preserve">the achievement of the digitization and digital transformation of public services and </w:t>
      </w:r>
      <w:r w:rsidR="006209D7" w:rsidRPr="009766D5">
        <w:rPr>
          <w:shd w:val="clear" w:color="auto" w:fill="FFFFFF"/>
          <w:lang w:val="en-GB"/>
        </w:rPr>
        <w:t xml:space="preserve">to </w:t>
      </w:r>
      <w:r w:rsidRPr="009766D5">
        <w:rPr>
          <w:shd w:val="clear" w:color="auto" w:fill="FFFFFF"/>
          <w:lang w:val="en-GB"/>
        </w:rPr>
        <w:t xml:space="preserve">improving </w:t>
      </w:r>
      <w:r w:rsidR="003D06DE" w:rsidRPr="009766D5">
        <w:rPr>
          <w:shd w:val="clear" w:color="auto" w:fill="FFFFFF"/>
          <w:lang w:val="en-GB"/>
        </w:rPr>
        <w:t xml:space="preserve">the </w:t>
      </w:r>
      <w:r w:rsidRPr="009766D5">
        <w:rPr>
          <w:shd w:val="clear" w:color="auto" w:fill="FFFFFF"/>
          <w:lang w:val="en-GB"/>
        </w:rPr>
        <w:t xml:space="preserve">technical and operational capacities of the National Assembly, electoral management bodies, state institutions responsible for the promotion of human rights, </w:t>
      </w:r>
      <w:r w:rsidR="003D06DE" w:rsidRPr="009766D5">
        <w:rPr>
          <w:shd w:val="clear" w:color="auto" w:fill="FFFFFF"/>
          <w:lang w:val="en-GB"/>
        </w:rPr>
        <w:t>and</w:t>
      </w:r>
      <w:r w:rsidRPr="009766D5">
        <w:rPr>
          <w:shd w:val="clear" w:color="auto" w:fill="FFFFFF"/>
          <w:lang w:val="en-GB"/>
        </w:rPr>
        <w:t xml:space="preserve"> administrative and legal departments.</w:t>
      </w:r>
      <w:r w:rsidRPr="009766D5">
        <w:rPr>
          <w:lang w:val="en-GB"/>
        </w:rPr>
        <w:t xml:space="preserve"> </w:t>
      </w:r>
    </w:p>
    <w:p w14:paraId="124C0C39" w14:textId="34BA6EDC" w:rsidR="002203EE" w:rsidRPr="009766D5" w:rsidRDefault="002203EE" w:rsidP="002203EE">
      <w:pPr>
        <w:pStyle w:val="CPD"/>
        <w:numPr>
          <w:ilvl w:val="0"/>
          <w:numId w:val="50"/>
        </w:numPr>
        <w:tabs>
          <w:tab w:val="left" w:pos="1418"/>
        </w:tabs>
        <w:ind w:left="993" w:right="713" w:firstLine="0"/>
        <w:rPr>
          <w:shd w:val="clear" w:color="auto" w:fill="FFFFFF"/>
          <w:lang w:val="en-GB"/>
        </w:rPr>
      </w:pPr>
      <w:r w:rsidRPr="009766D5">
        <w:rPr>
          <w:lang w:val="en-GB"/>
        </w:rPr>
        <w:t xml:space="preserve">To </w:t>
      </w:r>
      <w:r w:rsidR="006209D7" w:rsidRPr="009766D5">
        <w:rPr>
          <w:lang w:val="en-GB"/>
        </w:rPr>
        <w:t xml:space="preserve">deepen </w:t>
      </w:r>
      <w:r w:rsidRPr="009766D5">
        <w:rPr>
          <w:lang w:val="en-GB"/>
        </w:rPr>
        <w:t xml:space="preserve">citizen empowerment, </w:t>
      </w:r>
      <w:r w:rsidRPr="009766D5">
        <w:rPr>
          <w:b/>
          <w:bCs/>
          <w:lang w:val="en-GB"/>
        </w:rPr>
        <w:t>participation</w:t>
      </w:r>
      <w:r w:rsidRPr="009766D5">
        <w:rPr>
          <w:b/>
          <w:lang w:val="en-GB"/>
        </w:rPr>
        <w:t xml:space="preserve"> in decision</w:t>
      </w:r>
      <w:r w:rsidR="003D06DE" w:rsidRPr="009766D5">
        <w:rPr>
          <w:b/>
          <w:lang w:val="en-GB"/>
        </w:rPr>
        <w:t>-</w:t>
      </w:r>
      <w:r w:rsidRPr="009766D5">
        <w:rPr>
          <w:b/>
          <w:lang w:val="en-GB"/>
        </w:rPr>
        <w:t>making</w:t>
      </w:r>
      <w:r w:rsidRPr="009766D5">
        <w:rPr>
          <w:lang w:val="en-GB"/>
        </w:rPr>
        <w:t xml:space="preserve"> and engagement in monitoring service delivery, UNDP will continue to promote citizen voice</w:t>
      </w:r>
      <w:r w:rsidR="003D06DE" w:rsidRPr="009766D5">
        <w:rPr>
          <w:lang w:val="en-GB"/>
        </w:rPr>
        <w:t>s</w:t>
      </w:r>
      <w:r w:rsidRPr="009766D5">
        <w:rPr>
          <w:lang w:val="en-GB"/>
        </w:rPr>
        <w:t xml:space="preserve"> in public and democratic processes</w:t>
      </w:r>
      <w:r w:rsidR="003D06DE" w:rsidRPr="009766D5">
        <w:rPr>
          <w:lang w:val="en-GB"/>
        </w:rPr>
        <w:t>,</w:t>
      </w:r>
      <w:r w:rsidRPr="009766D5">
        <w:rPr>
          <w:lang w:val="en-GB"/>
        </w:rPr>
        <w:t xml:space="preserve"> including through support to </w:t>
      </w:r>
      <w:r w:rsidR="0004168A" w:rsidRPr="009766D5">
        <w:rPr>
          <w:lang w:val="en-GB"/>
        </w:rPr>
        <w:t>civil society organizations</w:t>
      </w:r>
      <w:r w:rsidRPr="009766D5">
        <w:rPr>
          <w:lang w:val="en-GB"/>
        </w:rPr>
        <w:t xml:space="preserve">. Oversight institutions such as the National Assembly will be supported </w:t>
      </w:r>
      <w:r w:rsidR="003D06DE" w:rsidRPr="009766D5">
        <w:rPr>
          <w:lang w:val="en-GB"/>
        </w:rPr>
        <w:t xml:space="preserve">in </w:t>
      </w:r>
      <w:r w:rsidRPr="009766D5">
        <w:rPr>
          <w:lang w:val="en-GB"/>
        </w:rPr>
        <w:t>represent</w:t>
      </w:r>
      <w:r w:rsidR="003D06DE" w:rsidRPr="009766D5">
        <w:rPr>
          <w:lang w:val="en-GB"/>
        </w:rPr>
        <w:t>ing</w:t>
      </w:r>
      <w:r w:rsidRPr="009766D5">
        <w:rPr>
          <w:lang w:val="en-GB"/>
        </w:rPr>
        <w:t xml:space="preserve"> and advocat</w:t>
      </w:r>
      <w:r w:rsidR="003D06DE" w:rsidRPr="009766D5">
        <w:rPr>
          <w:lang w:val="en-GB"/>
        </w:rPr>
        <w:t>ing</w:t>
      </w:r>
      <w:r w:rsidRPr="009766D5">
        <w:rPr>
          <w:lang w:val="en-GB"/>
        </w:rPr>
        <w:t xml:space="preserve"> for people</w:t>
      </w:r>
      <w:r w:rsidR="003D06DE" w:rsidRPr="009766D5">
        <w:rPr>
          <w:lang w:val="en-GB"/>
        </w:rPr>
        <w:t>-</w:t>
      </w:r>
      <w:r w:rsidRPr="009766D5">
        <w:rPr>
          <w:lang w:val="en-GB"/>
        </w:rPr>
        <w:t xml:space="preserve">centred development. </w:t>
      </w:r>
      <w:r w:rsidRPr="009766D5">
        <w:rPr>
          <w:shd w:val="clear" w:color="auto" w:fill="FFFFFF"/>
          <w:lang w:val="en-GB"/>
        </w:rPr>
        <w:t xml:space="preserve">Support will be provided </w:t>
      </w:r>
      <w:r w:rsidR="00FA0D41" w:rsidRPr="009766D5">
        <w:rPr>
          <w:shd w:val="clear" w:color="auto" w:fill="FFFFFF"/>
          <w:lang w:val="en-GB"/>
        </w:rPr>
        <w:t xml:space="preserve">to </w:t>
      </w:r>
      <w:r w:rsidRPr="009766D5">
        <w:rPr>
          <w:b/>
          <w:bCs/>
          <w:shd w:val="clear" w:color="auto" w:fill="FFFFFF"/>
          <w:lang w:val="en-GB"/>
        </w:rPr>
        <w:t xml:space="preserve">mainstreaming the </w:t>
      </w:r>
      <w:r w:rsidR="00255D8F" w:rsidRPr="009766D5">
        <w:rPr>
          <w:b/>
          <w:lang w:val="en-GB"/>
        </w:rPr>
        <w:t>Sustainable Development Goals</w:t>
      </w:r>
      <w:r w:rsidRPr="009766D5">
        <w:rPr>
          <w:b/>
          <w:bCs/>
          <w:shd w:val="clear" w:color="auto" w:fill="FFFFFF"/>
          <w:lang w:val="en-GB"/>
        </w:rPr>
        <w:t xml:space="preserve"> and Agenda 2063 </w:t>
      </w:r>
      <w:r w:rsidRPr="009766D5">
        <w:rPr>
          <w:bCs/>
          <w:shd w:val="clear" w:color="auto" w:fill="FFFFFF"/>
          <w:lang w:val="en-GB"/>
        </w:rPr>
        <w:t>into the National Vision 2060, the PAG,</w:t>
      </w:r>
      <w:r w:rsidRPr="009766D5">
        <w:rPr>
          <w:b/>
          <w:bCs/>
          <w:shd w:val="clear" w:color="auto" w:fill="FFFFFF"/>
          <w:lang w:val="en-GB"/>
        </w:rPr>
        <w:t xml:space="preserve"> </w:t>
      </w:r>
      <w:r w:rsidRPr="009766D5">
        <w:rPr>
          <w:bCs/>
          <w:shd w:val="clear" w:color="auto" w:fill="FFFFFF"/>
          <w:lang w:val="en-GB"/>
        </w:rPr>
        <w:t>public policies, programme documents</w:t>
      </w:r>
      <w:r w:rsidRPr="009766D5">
        <w:rPr>
          <w:shd w:val="clear" w:color="auto" w:fill="FFFFFF"/>
          <w:lang w:val="en-GB"/>
        </w:rPr>
        <w:t xml:space="preserve">, </w:t>
      </w:r>
      <w:r w:rsidR="003D06DE" w:rsidRPr="009766D5">
        <w:rPr>
          <w:shd w:val="clear" w:color="auto" w:fill="FFFFFF"/>
          <w:lang w:val="en-GB"/>
        </w:rPr>
        <w:t xml:space="preserve">the </w:t>
      </w:r>
      <w:r w:rsidRPr="009766D5">
        <w:rPr>
          <w:shd w:val="clear" w:color="auto" w:fill="FFFFFF"/>
          <w:lang w:val="en-GB"/>
        </w:rPr>
        <w:t>state budget</w:t>
      </w:r>
      <w:r w:rsidR="00FA0D41" w:rsidRPr="009766D5">
        <w:rPr>
          <w:shd w:val="clear" w:color="auto" w:fill="FFFFFF"/>
          <w:lang w:val="en-GB"/>
        </w:rPr>
        <w:t>,</w:t>
      </w:r>
      <w:r w:rsidRPr="009766D5">
        <w:rPr>
          <w:shd w:val="clear" w:color="auto" w:fill="FFFFFF"/>
          <w:lang w:val="en-GB"/>
        </w:rPr>
        <w:t xml:space="preserve"> and production of statistical data. Aligned with national priorities and within the </w:t>
      </w:r>
      <w:r w:rsidR="00654147" w:rsidRPr="009766D5">
        <w:rPr>
          <w:shd w:val="clear" w:color="auto" w:fill="FFFFFF"/>
          <w:lang w:val="en-GB"/>
        </w:rPr>
        <w:t>Cooperation Framework</w:t>
      </w:r>
      <w:r w:rsidRPr="009766D5">
        <w:rPr>
          <w:shd w:val="clear" w:color="auto" w:fill="FFFFFF"/>
          <w:lang w:val="en-GB"/>
        </w:rPr>
        <w:t xml:space="preserve">, </w:t>
      </w:r>
      <w:r w:rsidRPr="009766D5">
        <w:rPr>
          <w:lang w:val="en-GB"/>
        </w:rPr>
        <w:t xml:space="preserve">UNDP and UNICEF will collaborate </w:t>
      </w:r>
      <w:r w:rsidR="003D06DE" w:rsidRPr="009766D5">
        <w:rPr>
          <w:lang w:val="en-GB"/>
        </w:rPr>
        <w:t>i</w:t>
      </w:r>
      <w:r w:rsidRPr="009766D5">
        <w:rPr>
          <w:lang w:val="en-GB"/>
        </w:rPr>
        <w:t xml:space="preserve">n </w:t>
      </w:r>
      <w:r w:rsidRPr="009766D5">
        <w:rPr>
          <w:shd w:val="clear" w:color="auto" w:fill="FFFFFF"/>
          <w:lang w:val="en-GB"/>
        </w:rPr>
        <w:t>operationaliz</w:t>
      </w:r>
      <w:r w:rsidR="003D06DE" w:rsidRPr="009766D5">
        <w:rPr>
          <w:shd w:val="clear" w:color="auto" w:fill="FFFFFF"/>
          <w:lang w:val="en-GB"/>
        </w:rPr>
        <w:t xml:space="preserve">ing </w:t>
      </w:r>
      <w:r w:rsidRPr="009766D5">
        <w:rPr>
          <w:shd w:val="clear" w:color="auto" w:fill="FFFFFF"/>
          <w:lang w:val="en-GB"/>
        </w:rPr>
        <w:t>the Integrated National Finance Framework</w:t>
      </w:r>
      <w:r w:rsidR="00FA0D41" w:rsidRPr="009766D5">
        <w:rPr>
          <w:shd w:val="clear" w:color="auto" w:fill="FFFFFF"/>
          <w:lang w:val="en-GB"/>
        </w:rPr>
        <w:t>,</w:t>
      </w:r>
      <w:r w:rsidRPr="009766D5">
        <w:rPr>
          <w:shd w:val="clear" w:color="auto" w:fill="FFFFFF"/>
          <w:lang w:val="en-GB"/>
        </w:rPr>
        <w:t xml:space="preserve"> </w:t>
      </w:r>
      <w:r w:rsidRPr="009766D5">
        <w:rPr>
          <w:lang w:val="en-GB"/>
        </w:rPr>
        <w:t>and</w:t>
      </w:r>
      <w:r w:rsidRPr="009766D5">
        <w:rPr>
          <w:shd w:val="clear" w:color="auto" w:fill="FFFFFF"/>
          <w:lang w:val="en-GB"/>
        </w:rPr>
        <w:t xml:space="preserve"> will contribute to improv</w:t>
      </w:r>
      <w:r w:rsidR="003D06DE" w:rsidRPr="009766D5">
        <w:rPr>
          <w:shd w:val="clear" w:color="auto" w:fill="FFFFFF"/>
          <w:lang w:val="en-GB"/>
        </w:rPr>
        <w:t>ing</w:t>
      </w:r>
      <w:r w:rsidRPr="009766D5">
        <w:rPr>
          <w:shd w:val="clear" w:color="auto" w:fill="FFFFFF"/>
          <w:lang w:val="en-GB"/>
        </w:rPr>
        <w:t xml:space="preserve"> the efficiency of the </w:t>
      </w:r>
      <w:r w:rsidR="003D06DE" w:rsidRPr="009766D5">
        <w:rPr>
          <w:shd w:val="clear" w:color="auto" w:fill="FFFFFF"/>
          <w:lang w:val="en-GB"/>
        </w:rPr>
        <w:t>‘</w:t>
      </w:r>
      <w:r w:rsidRPr="009766D5">
        <w:rPr>
          <w:shd w:val="clear" w:color="auto" w:fill="FFFFFF"/>
          <w:lang w:val="en-GB"/>
        </w:rPr>
        <w:t>Planning-Programming-Budgeting and Monitoring-Evaluation</w:t>
      </w:r>
      <w:r w:rsidR="003D06DE" w:rsidRPr="009766D5">
        <w:rPr>
          <w:shd w:val="clear" w:color="auto" w:fill="FFFFFF"/>
          <w:lang w:val="en-GB"/>
        </w:rPr>
        <w:t>’</w:t>
      </w:r>
      <w:r w:rsidRPr="009766D5">
        <w:rPr>
          <w:shd w:val="clear" w:color="auto" w:fill="FFFFFF"/>
          <w:lang w:val="en-GB"/>
        </w:rPr>
        <w:t xml:space="preserve"> cycle. UNDP will support operationalization of the national evaluation policy (</w:t>
      </w:r>
      <w:r w:rsidR="00176CE5" w:rsidRPr="009766D5">
        <w:rPr>
          <w:shd w:val="clear" w:color="auto" w:fill="FFFFFF"/>
          <w:lang w:val="en-GB"/>
        </w:rPr>
        <w:t>‘</w:t>
      </w:r>
      <w:r w:rsidRPr="009766D5">
        <w:rPr>
          <w:shd w:val="clear" w:color="auto" w:fill="FFFFFF"/>
          <w:lang w:val="en-GB"/>
        </w:rPr>
        <w:t>PNE 2022</w:t>
      </w:r>
      <w:r w:rsidR="00176CE5" w:rsidRPr="009766D5">
        <w:rPr>
          <w:shd w:val="clear" w:color="auto" w:fill="FFFFFF"/>
          <w:lang w:val="en-GB"/>
        </w:rPr>
        <w:t>-</w:t>
      </w:r>
      <w:r w:rsidRPr="009766D5">
        <w:rPr>
          <w:shd w:val="clear" w:color="auto" w:fill="FFFFFF"/>
          <w:lang w:val="en-GB"/>
        </w:rPr>
        <w:t>2030</w:t>
      </w:r>
      <w:r w:rsidR="00176CE5" w:rsidRPr="009766D5">
        <w:rPr>
          <w:shd w:val="clear" w:color="auto" w:fill="FFFFFF"/>
          <w:lang w:val="en-GB"/>
        </w:rPr>
        <w:t>’</w:t>
      </w:r>
      <w:r w:rsidRPr="009766D5">
        <w:rPr>
          <w:shd w:val="clear" w:color="auto" w:fill="FFFFFF"/>
          <w:lang w:val="en-GB"/>
        </w:rPr>
        <w:t>)</w:t>
      </w:r>
      <w:r w:rsidR="003D06DE" w:rsidRPr="009766D5">
        <w:rPr>
          <w:shd w:val="clear" w:color="auto" w:fill="FFFFFF"/>
          <w:lang w:val="en-GB"/>
        </w:rPr>
        <w:t xml:space="preserve"> and</w:t>
      </w:r>
      <w:r w:rsidRPr="009766D5">
        <w:rPr>
          <w:shd w:val="clear" w:color="auto" w:fill="FFFFFF"/>
          <w:lang w:val="en-GB"/>
        </w:rPr>
        <w:t xml:space="preserve"> effective public expenditure</w:t>
      </w:r>
      <w:r w:rsidR="003D06DE" w:rsidRPr="009766D5">
        <w:rPr>
          <w:shd w:val="clear" w:color="auto" w:fill="FFFFFF"/>
          <w:lang w:val="en-GB"/>
        </w:rPr>
        <w:t>,</w:t>
      </w:r>
      <w:r w:rsidRPr="009766D5">
        <w:rPr>
          <w:shd w:val="clear" w:color="auto" w:fill="FFFFFF"/>
          <w:lang w:val="en-GB"/>
        </w:rPr>
        <w:t xml:space="preserve"> and will provide technical support </w:t>
      </w:r>
      <w:r w:rsidR="003D06DE" w:rsidRPr="009766D5">
        <w:rPr>
          <w:shd w:val="clear" w:color="auto" w:fill="FFFFFF"/>
          <w:lang w:val="en-GB"/>
        </w:rPr>
        <w:t>in</w:t>
      </w:r>
      <w:r w:rsidRPr="009766D5">
        <w:rPr>
          <w:shd w:val="clear" w:color="auto" w:fill="FFFFFF"/>
          <w:lang w:val="en-GB"/>
        </w:rPr>
        <w:t xml:space="preserve"> coordinati</w:t>
      </w:r>
      <w:r w:rsidR="003D06DE" w:rsidRPr="009766D5">
        <w:rPr>
          <w:shd w:val="clear" w:color="auto" w:fill="FFFFFF"/>
          <w:lang w:val="en-GB"/>
        </w:rPr>
        <w:t xml:space="preserve">ng </w:t>
      </w:r>
      <w:r w:rsidRPr="009766D5">
        <w:rPr>
          <w:shd w:val="clear" w:color="auto" w:fill="FFFFFF"/>
          <w:lang w:val="en-GB"/>
        </w:rPr>
        <w:t>development assistance.</w:t>
      </w:r>
    </w:p>
    <w:p w14:paraId="0A7DA3A1" w14:textId="6CD42162" w:rsidR="002203EE" w:rsidRPr="009766D5" w:rsidRDefault="003D06DE" w:rsidP="002203EE">
      <w:pPr>
        <w:pStyle w:val="CPD"/>
        <w:numPr>
          <w:ilvl w:val="0"/>
          <w:numId w:val="50"/>
        </w:numPr>
        <w:tabs>
          <w:tab w:val="left" w:pos="1418"/>
        </w:tabs>
        <w:ind w:left="993" w:right="713" w:firstLine="0"/>
        <w:rPr>
          <w:lang w:val="en-GB"/>
        </w:rPr>
      </w:pPr>
      <w:r w:rsidRPr="009766D5">
        <w:rPr>
          <w:lang w:val="en-GB"/>
        </w:rPr>
        <w:t xml:space="preserve">Towards </w:t>
      </w:r>
      <w:r w:rsidR="002203EE" w:rsidRPr="009766D5">
        <w:rPr>
          <w:b/>
          <w:bCs/>
          <w:lang w:val="en-GB"/>
        </w:rPr>
        <w:t>preventing violent extremism and strengthening social cohesion</w:t>
      </w:r>
      <w:r w:rsidR="002203EE" w:rsidRPr="009766D5">
        <w:rPr>
          <w:lang w:val="en-GB"/>
        </w:rPr>
        <w:t xml:space="preserve">, UNDP aims to strengthen national capacities including </w:t>
      </w:r>
      <w:r w:rsidR="0004168A" w:rsidRPr="009766D5">
        <w:rPr>
          <w:lang w:val="en-GB"/>
        </w:rPr>
        <w:t>civil society organizations</w:t>
      </w:r>
      <w:r w:rsidR="002203EE" w:rsidRPr="009766D5">
        <w:rPr>
          <w:lang w:val="en-GB"/>
        </w:rPr>
        <w:t xml:space="preserve">, women, youth-led and volunteer organizations for conflict prevention and management, </w:t>
      </w:r>
      <w:r w:rsidR="007C45DC" w:rsidRPr="009766D5">
        <w:rPr>
          <w:lang w:val="en-GB"/>
        </w:rPr>
        <w:t xml:space="preserve">supporting </w:t>
      </w:r>
      <w:r w:rsidR="002203EE" w:rsidRPr="009766D5">
        <w:rPr>
          <w:lang w:val="en-GB"/>
        </w:rPr>
        <w:t>community dialogue by establishing inclusive and participatory early</w:t>
      </w:r>
      <w:r w:rsidR="00FA0D41" w:rsidRPr="009766D5">
        <w:rPr>
          <w:lang w:val="en-GB"/>
        </w:rPr>
        <w:t>-</w:t>
      </w:r>
      <w:r w:rsidR="002203EE" w:rsidRPr="009766D5">
        <w:rPr>
          <w:lang w:val="en-GB"/>
        </w:rPr>
        <w:t>warning systems. To reduce the risk of enrolment into violent extremism, UNDP will enhance women and youth capacities in peacebuilding and build their skills to benefit from socio-economic opportunities, creating conditions conducive to strengthen</w:t>
      </w:r>
      <w:r w:rsidR="007C45DC" w:rsidRPr="009766D5">
        <w:rPr>
          <w:lang w:val="en-GB"/>
        </w:rPr>
        <w:t>ing</w:t>
      </w:r>
      <w:r w:rsidR="002203EE" w:rsidRPr="009766D5">
        <w:rPr>
          <w:lang w:val="en-GB"/>
        </w:rPr>
        <w:t xml:space="preserve"> their sense of belonging. The interventions will be part of a large</w:t>
      </w:r>
      <w:r w:rsidR="007C45DC" w:rsidRPr="009766D5">
        <w:rPr>
          <w:lang w:val="en-GB"/>
        </w:rPr>
        <w:t>r</w:t>
      </w:r>
      <w:r w:rsidR="002203EE" w:rsidRPr="009766D5">
        <w:rPr>
          <w:lang w:val="en-GB"/>
        </w:rPr>
        <w:t xml:space="preserve"> programme aiming </w:t>
      </w:r>
      <w:r w:rsidR="007C45DC" w:rsidRPr="009766D5">
        <w:rPr>
          <w:lang w:val="en-GB"/>
        </w:rPr>
        <w:t xml:space="preserve">to </w:t>
      </w:r>
      <w:r w:rsidR="002203EE" w:rsidRPr="009766D5">
        <w:rPr>
          <w:lang w:val="en-GB"/>
        </w:rPr>
        <w:t xml:space="preserve">strengthen resilience and social cohesion, focusing on </w:t>
      </w:r>
      <w:r w:rsidR="00FA0D41" w:rsidRPr="009766D5">
        <w:rPr>
          <w:lang w:val="en-GB"/>
        </w:rPr>
        <w:t>n</w:t>
      </w:r>
      <w:r w:rsidR="002203EE" w:rsidRPr="009766D5">
        <w:rPr>
          <w:lang w:val="en-GB"/>
        </w:rPr>
        <w:t>orth</w:t>
      </w:r>
      <w:r w:rsidR="00FA0D41" w:rsidRPr="009766D5">
        <w:rPr>
          <w:lang w:val="en-GB"/>
        </w:rPr>
        <w:t>ern</w:t>
      </w:r>
      <w:r w:rsidR="002203EE" w:rsidRPr="009766D5">
        <w:rPr>
          <w:lang w:val="en-GB"/>
        </w:rPr>
        <w:t xml:space="preserve"> Benin. </w:t>
      </w:r>
      <w:r w:rsidR="007C45DC" w:rsidRPr="009766D5">
        <w:rPr>
          <w:lang w:val="en-GB"/>
        </w:rPr>
        <w:t>P</w:t>
      </w:r>
      <w:r w:rsidR="002203EE" w:rsidRPr="009766D5">
        <w:rPr>
          <w:lang w:val="en-GB"/>
        </w:rPr>
        <w:t>artners</w:t>
      </w:r>
      <w:r w:rsidR="007C45DC" w:rsidRPr="009766D5">
        <w:rPr>
          <w:lang w:val="en-GB"/>
        </w:rPr>
        <w:t>’</w:t>
      </w:r>
      <w:r w:rsidR="002203EE" w:rsidRPr="009766D5">
        <w:rPr>
          <w:lang w:val="en-GB"/>
        </w:rPr>
        <w:t xml:space="preserve"> interests and added value</w:t>
      </w:r>
      <w:r w:rsidR="00FA0D41" w:rsidRPr="009766D5">
        <w:rPr>
          <w:lang w:val="en-GB"/>
        </w:rPr>
        <w:t>,</w:t>
      </w:r>
      <w:r w:rsidR="007C45DC" w:rsidRPr="009766D5">
        <w:rPr>
          <w:lang w:val="en-GB"/>
        </w:rPr>
        <w:t xml:space="preserve"> and</w:t>
      </w:r>
      <w:r w:rsidR="002203EE" w:rsidRPr="009766D5">
        <w:rPr>
          <w:lang w:val="en-GB"/>
        </w:rPr>
        <w:t xml:space="preserve"> the collaboration with </w:t>
      </w:r>
      <w:r w:rsidR="00FA0D41" w:rsidRPr="009766D5">
        <w:rPr>
          <w:lang w:val="en-GB"/>
        </w:rPr>
        <w:t xml:space="preserve">Belgium, the </w:t>
      </w:r>
      <w:r w:rsidR="002203EE" w:rsidRPr="009766D5">
        <w:rPr>
          <w:lang w:val="en-GB"/>
        </w:rPr>
        <w:t xml:space="preserve">Netherlands, and </w:t>
      </w:r>
      <w:r w:rsidR="007C45DC" w:rsidRPr="009766D5">
        <w:rPr>
          <w:lang w:val="en-GB"/>
        </w:rPr>
        <w:t>the United States Agency for International Development</w:t>
      </w:r>
      <w:r w:rsidR="00FA0D41" w:rsidRPr="009766D5">
        <w:rPr>
          <w:lang w:val="en-GB"/>
        </w:rPr>
        <w:t>,</w:t>
      </w:r>
      <w:r w:rsidR="007C45DC" w:rsidRPr="009766D5">
        <w:rPr>
          <w:lang w:val="en-GB"/>
        </w:rPr>
        <w:t xml:space="preserve"> </w:t>
      </w:r>
      <w:r w:rsidR="002203EE" w:rsidRPr="009766D5">
        <w:rPr>
          <w:lang w:val="en-GB"/>
        </w:rPr>
        <w:t xml:space="preserve">will be critical </w:t>
      </w:r>
      <w:r w:rsidR="007C45DC" w:rsidRPr="009766D5">
        <w:rPr>
          <w:lang w:val="en-GB"/>
        </w:rPr>
        <w:t xml:space="preserve">to </w:t>
      </w:r>
      <w:r w:rsidR="002203EE" w:rsidRPr="009766D5">
        <w:rPr>
          <w:lang w:val="en-GB"/>
        </w:rPr>
        <w:t>scaling up initiatives related to social cohesion, access to basic services and access to justice.</w:t>
      </w:r>
    </w:p>
    <w:p w14:paraId="10FAFE74" w14:textId="0D20358E" w:rsidR="002203EE" w:rsidRPr="009766D5" w:rsidRDefault="002203EE" w:rsidP="002203EE">
      <w:pPr>
        <w:pStyle w:val="CPD"/>
        <w:numPr>
          <w:ilvl w:val="0"/>
          <w:numId w:val="50"/>
        </w:numPr>
        <w:tabs>
          <w:tab w:val="left" w:pos="1418"/>
        </w:tabs>
        <w:ind w:left="993" w:right="713" w:firstLine="0"/>
        <w:rPr>
          <w:lang w:val="en-GB"/>
        </w:rPr>
      </w:pPr>
      <w:r w:rsidRPr="009766D5">
        <w:rPr>
          <w:lang w:val="en-GB"/>
        </w:rPr>
        <w:t>To promote gender equality, women</w:t>
      </w:r>
      <w:r w:rsidR="00F60A82" w:rsidRPr="009766D5">
        <w:rPr>
          <w:lang w:val="en-GB"/>
        </w:rPr>
        <w:t>’s</w:t>
      </w:r>
      <w:r w:rsidRPr="009766D5">
        <w:rPr>
          <w:lang w:val="en-GB"/>
        </w:rPr>
        <w:t xml:space="preserve"> empowerment and inclusion </w:t>
      </w:r>
      <w:r w:rsidR="007C45DC" w:rsidRPr="009766D5">
        <w:rPr>
          <w:lang w:val="en-GB"/>
        </w:rPr>
        <w:t xml:space="preserve">of </w:t>
      </w:r>
      <w:r w:rsidRPr="009766D5">
        <w:rPr>
          <w:lang w:val="en-GB"/>
        </w:rPr>
        <w:t>people left behind, UNDP will contribute to the fight against discrimination and stigma and will advoca</w:t>
      </w:r>
      <w:r w:rsidR="00F60A82" w:rsidRPr="009766D5">
        <w:rPr>
          <w:lang w:val="en-GB"/>
        </w:rPr>
        <w:t>te</w:t>
      </w:r>
      <w:r w:rsidRPr="009766D5">
        <w:rPr>
          <w:lang w:val="en-GB"/>
        </w:rPr>
        <w:t xml:space="preserve"> for inclusive policies, strategies, and programmes at all levels. Dedicated support will be provided </w:t>
      </w:r>
      <w:r w:rsidRPr="009766D5">
        <w:rPr>
          <w:lang w:val="en-GB"/>
        </w:rPr>
        <w:lastRenderedPageBreak/>
        <w:t xml:space="preserve">to </w:t>
      </w:r>
      <w:r w:rsidR="0004168A" w:rsidRPr="009766D5">
        <w:rPr>
          <w:lang w:val="en-GB"/>
        </w:rPr>
        <w:t>people with disabilities’</w:t>
      </w:r>
      <w:r w:rsidRPr="009766D5">
        <w:rPr>
          <w:lang w:val="en-GB"/>
        </w:rPr>
        <w:t xml:space="preserve"> </w:t>
      </w:r>
      <w:r w:rsidR="00F60A82" w:rsidRPr="009766D5">
        <w:rPr>
          <w:lang w:val="en-GB"/>
        </w:rPr>
        <w:t xml:space="preserve">and women’s </w:t>
      </w:r>
      <w:r w:rsidRPr="009766D5">
        <w:rPr>
          <w:lang w:val="en-GB"/>
        </w:rPr>
        <w:t>organizations for greater advocacy and empowerment. UNDP will focus on the fight against discrimination and multiple intersecting inequalities.</w:t>
      </w:r>
    </w:p>
    <w:p w14:paraId="08006D01" w14:textId="5CDB4196" w:rsidR="002203EE" w:rsidRPr="009766D5" w:rsidRDefault="002203EE" w:rsidP="002203EE">
      <w:pPr>
        <w:pStyle w:val="CPD"/>
        <w:numPr>
          <w:ilvl w:val="0"/>
          <w:numId w:val="50"/>
        </w:numPr>
        <w:tabs>
          <w:tab w:val="left" w:pos="1418"/>
        </w:tabs>
        <w:ind w:left="993" w:right="713" w:firstLine="0"/>
        <w:rPr>
          <w:lang w:val="en-GB"/>
        </w:rPr>
      </w:pPr>
      <w:r w:rsidRPr="009766D5">
        <w:rPr>
          <w:lang w:val="en-GB"/>
        </w:rPr>
        <w:t>UNDP will leverage its convening power with other development partners</w:t>
      </w:r>
      <w:r w:rsidR="00F60A82" w:rsidRPr="009766D5">
        <w:rPr>
          <w:lang w:val="en-GB"/>
        </w:rPr>
        <w:t>,</w:t>
      </w:r>
      <w:r w:rsidRPr="009766D5">
        <w:rPr>
          <w:lang w:val="en-GB"/>
        </w:rPr>
        <w:t xml:space="preserve"> </w:t>
      </w:r>
      <w:r w:rsidR="00752411" w:rsidRPr="009766D5">
        <w:rPr>
          <w:lang w:val="en-GB"/>
        </w:rPr>
        <w:t>such as the European Union</w:t>
      </w:r>
      <w:r w:rsidRPr="009766D5">
        <w:rPr>
          <w:lang w:val="en-GB"/>
        </w:rPr>
        <w:t xml:space="preserve"> and Japan</w:t>
      </w:r>
      <w:r w:rsidR="00F60A82" w:rsidRPr="009766D5">
        <w:rPr>
          <w:lang w:val="en-GB"/>
        </w:rPr>
        <w:t>,</w:t>
      </w:r>
      <w:r w:rsidRPr="009766D5">
        <w:rPr>
          <w:lang w:val="en-GB"/>
        </w:rPr>
        <w:t xml:space="preserve"> to contribute to rule of law, peacebuilding, and social cohesion through joint </w:t>
      </w:r>
      <w:r w:rsidR="00665111" w:rsidRPr="009766D5">
        <w:rPr>
          <w:lang w:val="en-GB"/>
        </w:rPr>
        <w:t>United Nations development system</w:t>
      </w:r>
      <w:r w:rsidRPr="009766D5">
        <w:rPr>
          <w:lang w:val="en-GB"/>
        </w:rPr>
        <w:t xml:space="preserve"> interventions with </w:t>
      </w:r>
      <w:r w:rsidR="00176CE5" w:rsidRPr="009766D5">
        <w:rPr>
          <w:lang w:val="en-GB"/>
        </w:rPr>
        <w:t xml:space="preserve">the International Organization for Migration </w:t>
      </w:r>
      <w:r w:rsidRPr="009766D5">
        <w:rPr>
          <w:lang w:val="en-GB"/>
        </w:rPr>
        <w:t>focus</w:t>
      </w:r>
      <w:r w:rsidR="007C45DC" w:rsidRPr="009766D5">
        <w:rPr>
          <w:lang w:val="en-GB"/>
        </w:rPr>
        <w:t>ed</w:t>
      </w:r>
      <w:r w:rsidRPr="009766D5">
        <w:rPr>
          <w:lang w:val="en-GB"/>
        </w:rPr>
        <w:t xml:space="preserve"> on empowering migrants</w:t>
      </w:r>
      <w:r w:rsidR="007C45DC" w:rsidRPr="009766D5">
        <w:rPr>
          <w:lang w:val="en-GB"/>
        </w:rPr>
        <w:t>,</w:t>
      </w:r>
      <w:r w:rsidRPr="009766D5">
        <w:rPr>
          <w:lang w:val="en-GB"/>
        </w:rPr>
        <w:t xml:space="preserve"> and </w:t>
      </w:r>
      <w:r w:rsidR="007C45DC" w:rsidRPr="009766D5">
        <w:rPr>
          <w:lang w:val="en-GB"/>
        </w:rPr>
        <w:t xml:space="preserve">with </w:t>
      </w:r>
      <w:r w:rsidRPr="009766D5">
        <w:rPr>
          <w:lang w:val="en-GB"/>
        </w:rPr>
        <w:t>FAO focus</w:t>
      </w:r>
      <w:r w:rsidR="007C45DC" w:rsidRPr="009766D5">
        <w:rPr>
          <w:lang w:val="en-GB"/>
        </w:rPr>
        <w:t>ed</w:t>
      </w:r>
      <w:r w:rsidRPr="009766D5">
        <w:rPr>
          <w:lang w:val="en-GB"/>
        </w:rPr>
        <w:t xml:space="preserve"> on agriculture in border areas. A partnership with </w:t>
      </w:r>
      <w:r w:rsidR="007C45DC" w:rsidRPr="009766D5">
        <w:rPr>
          <w:lang w:val="en-GB"/>
        </w:rPr>
        <w:t xml:space="preserve">the African Development Bank, IMF, </w:t>
      </w:r>
      <w:r w:rsidRPr="009766D5">
        <w:rPr>
          <w:lang w:val="en-GB"/>
        </w:rPr>
        <w:t xml:space="preserve">the </w:t>
      </w:r>
      <w:r w:rsidR="00752411" w:rsidRPr="009766D5">
        <w:rPr>
          <w:lang w:val="en-GB"/>
        </w:rPr>
        <w:t>World Bank</w:t>
      </w:r>
      <w:r w:rsidRPr="009766D5">
        <w:rPr>
          <w:lang w:val="en-GB"/>
        </w:rPr>
        <w:t xml:space="preserve">, the private sector, civil society and United Nations organizations will be </w:t>
      </w:r>
      <w:r w:rsidR="00F60A82" w:rsidRPr="009766D5">
        <w:rPr>
          <w:lang w:val="en-GB"/>
        </w:rPr>
        <w:t xml:space="preserve">formed </w:t>
      </w:r>
      <w:r w:rsidRPr="009766D5">
        <w:rPr>
          <w:lang w:val="en-GB"/>
        </w:rPr>
        <w:t>to scale up communal service centr</w:t>
      </w:r>
      <w:r w:rsidR="00176CE5" w:rsidRPr="009766D5">
        <w:rPr>
          <w:lang w:val="en-GB"/>
        </w:rPr>
        <w:t>e</w:t>
      </w:r>
      <w:r w:rsidRPr="009766D5">
        <w:rPr>
          <w:lang w:val="en-GB"/>
        </w:rPr>
        <w:t>s and develop innovative financing instruments.</w:t>
      </w:r>
    </w:p>
    <w:p w14:paraId="13627012" w14:textId="31C78EFF"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To </w:t>
      </w:r>
      <w:r w:rsidR="007C45DC" w:rsidRPr="009766D5">
        <w:rPr>
          <w:lang w:val="en-GB"/>
        </w:rPr>
        <w:t>optimize</w:t>
      </w:r>
      <w:r w:rsidRPr="009766D5">
        <w:rPr>
          <w:lang w:val="en-GB"/>
        </w:rPr>
        <w:t xml:space="preserve"> synergy between the two components of the programme and improve efficiency, UNDP will strengthen its presence in the northern region with integrated interventions from a cross-pillar team, including United Nations volunteers.</w:t>
      </w:r>
    </w:p>
    <w:p w14:paraId="2E2524BB" w14:textId="1DD10EC2" w:rsidR="002203EE" w:rsidRPr="009766D5" w:rsidRDefault="002203EE" w:rsidP="002203EE">
      <w:pPr>
        <w:pStyle w:val="Heading2"/>
        <w:tabs>
          <w:tab w:val="left" w:pos="1418"/>
        </w:tabs>
        <w:ind w:left="993" w:right="713" w:hanging="709"/>
        <w:jc w:val="left"/>
        <w:rPr>
          <w:rFonts w:ascii="Times New Roman" w:hAnsi="Times New Roman"/>
          <w:lang w:val="en-GB"/>
        </w:rPr>
      </w:pPr>
      <w:r w:rsidRPr="009766D5">
        <w:rPr>
          <w:rFonts w:ascii="Times New Roman" w:hAnsi="Times New Roman"/>
          <w:lang w:val="en-GB"/>
        </w:rPr>
        <w:t xml:space="preserve">III. </w:t>
      </w:r>
      <w:r w:rsidRPr="009766D5">
        <w:rPr>
          <w:rFonts w:ascii="Times New Roman" w:hAnsi="Times New Roman"/>
          <w:lang w:val="en-GB"/>
        </w:rPr>
        <w:tab/>
        <w:t xml:space="preserve">Programme and </w:t>
      </w:r>
      <w:r w:rsidR="00176CE5" w:rsidRPr="009766D5">
        <w:rPr>
          <w:rFonts w:ascii="Times New Roman" w:hAnsi="Times New Roman"/>
          <w:lang w:val="en-GB"/>
        </w:rPr>
        <w:t>r</w:t>
      </w:r>
      <w:r w:rsidRPr="009766D5">
        <w:rPr>
          <w:rFonts w:ascii="Times New Roman" w:hAnsi="Times New Roman"/>
          <w:lang w:val="en-GB"/>
        </w:rPr>
        <w:t xml:space="preserve">isk </w:t>
      </w:r>
      <w:r w:rsidR="00176CE5" w:rsidRPr="009766D5">
        <w:rPr>
          <w:rFonts w:ascii="Times New Roman" w:hAnsi="Times New Roman"/>
          <w:lang w:val="en-GB"/>
        </w:rPr>
        <w:t>m</w:t>
      </w:r>
      <w:r w:rsidRPr="009766D5">
        <w:rPr>
          <w:rFonts w:ascii="Times New Roman" w:hAnsi="Times New Roman"/>
          <w:lang w:val="en-GB"/>
        </w:rPr>
        <w:t>anagement</w:t>
      </w:r>
    </w:p>
    <w:p w14:paraId="61FEDA4C" w14:textId="77777777" w:rsidR="002203EE" w:rsidRPr="009766D5" w:rsidRDefault="002203EE" w:rsidP="002203EE">
      <w:pPr>
        <w:tabs>
          <w:tab w:val="left" w:pos="1418"/>
        </w:tabs>
        <w:ind w:left="993" w:right="713"/>
        <w:rPr>
          <w:lang w:val="en-GB"/>
        </w:rPr>
      </w:pPr>
    </w:p>
    <w:p w14:paraId="09097093" w14:textId="6B6C8071" w:rsidR="002203EE" w:rsidRPr="009766D5" w:rsidRDefault="002203EE" w:rsidP="002203EE">
      <w:pPr>
        <w:pStyle w:val="CPD"/>
        <w:numPr>
          <w:ilvl w:val="0"/>
          <w:numId w:val="50"/>
        </w:numPr>
        <w:tabs>
          <w:tab w:val="left" w:pos="1418"/>
        </w:tabs>
        <w:ind w:left="993" w:right="713" w:firstLine="0"/>
        <w:rPr>
          <w:lang w:val="en-GB"/>
        </w:rPr>
      </w:pPr>
      <w:bookmarkStart w:id="1" w:name="_Hlk128735121"/>
      <w:r w:rsidRPr="009766D5">
        <w:rPr>
          <w:lang w:val="en-GB"/>
        </w:rPr>
        <w:t xml:space="preserve">This country programme document outlines the contributions of UNDP to national results and serves as the primary unit of accountability to the Executive Board for results alignment and resources assigned to the programme at the country level. Accountabilities of managers at the country, regional and headquarters levels with respect to country programmes are prescribed in the Programme and Operations Policies and Procedures and the internal control framework. </w:t>
      </w:r>
    </w:p>
    <w:bookmarkEnd w:id="1"/>
    <w:p w14:paraId="4A307E82" w14:textId="46C58961"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The programme will be nationally executed. If necessary, national execution may be replaced by direct execution for part or all of the programme to enable response to </w:t>
      </w:r>
      <w:r w:rsidRPr="009766D5">
        <w:rPr>
          <w:iCs/>
          <w:lang w:val="en-GB"/>
        </w:rPr>
        <w:t>force majeure</w:t>
      </w:r>
      <w:r w:rsidRPr="009766D5">
        <w:rPr>
          <w:lang w:val="en-GB"/>
        </w:rPr>
        <w:t>. Harmonized Approach to Cash Transfers (HACT), will be used in a coordinated fashion with other United Nations organizations to manage financial risks. Cost definitions and classifications for programme and development effectiveness will be charged to the concerned projects.”</w:t>
      </w:r>
    </w:p>
    <w:p w14:paraId="41722987" w14:textId="3CC24418"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UNDP will strengthen and adapt its technical, programmatic, operational, and organizational capacities to ensure effective programme delivery. Resources will be used efficiently through financial management controls, a strong </w:t>
      </w:r>
      <w:r w:rsidR="007C45DC" w:rsidRPr="009766D5">
        <w:rPr>
          <w:lang w:val="en-GB"/>
        </w:rPr>
        <w:t>internal control framework</w:t>
      </w:r>
      <w:r w:rsidRPr="009766D5">
        <w:rPr>
          <w:lang w:val="en-GB"/>
        </w:rPr>
        <w:t>, and improved cost</w:t>
      </w:r>
      <w:r w:rsidR="007C45DC" w:rsidRPr="009766D5">
        <w:rPr>
          <w:lang w:val="en-GB"/>
        </w:rPr>
        <w:t>-</w:t>
      </w:r>
      <w:r w:rsidRPr="009766D5">
        <w:rPr>
          <w:lang w:val="en-GB"/>
        </w:rPr>
        <w:t>recovery mechanisms. The government coordinating agency will be the Ministry of Economy and Finance. Programme and project boards will be established to ensure compliance with social and environmental standards, effective implementation, oversight, and accountability for outcomes.</w:t>
      </w:r>
    </w:p>
    <w:p w14:paraId="53AFF3E3" w14:textId="42CA7987"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The programme and project steering committees </w:t>
      </w:r>
      <w:r w:rsidR="00F84FF2" w:rsidRPr="009766D5">
        <w:rPr>
          <w:lang w:val="en-GB"/>
        </w:rPr>
        <w:t xml:space="preserve">– </w:t>
      </w:r>
      <w:r w:rsidRPr="009766D5">
        <w:rPr>
          <w:lang w:val="en-GB"/>
        </w:rPr>
        <w:t>which include representatives of beneficiaries</w:t>
      </w:r>
      <w:r w:rsidR="00F84FF2" w:rsidRPr="009766D5">
        <w:rPr>
          <w:lang w:val="en-GB"/>
        </w:rPr>
        <w:t xml:space="preserve"> –</w:t>
      </w:r>
      <w:r w:rsidRPr="009766D5">
        <w:rPr>
          <w:lang w:val="en-GB"/>
        </w:rPr>
        <w:t xml:space="preserve"> as well as the technical committees</w:t>
      </w:r>
      <w:r w:rsidR="00F60A82" w:rsidRPr="009766D5">
        <w:rPr>
          <w:lang w:val="en-GB"/>
        </w:rPr>
        <w:t>,</w:t>
      </w:r>
      <w:r w:rsidRPr="009766D5">
        <w:rPr>
          <w:lang w:val="en-GB"/>
        </w:rPr>
        <w:t xml:space="preserve"> will enable national partners, </w:t>
      </w:r>
      <w:r w:rsidR="0098174F" w:rsidRPr="009766D5">
        <w:rPr>
          <w:lang w:val="en-GB"/>
        </w:rPr>
        <w:t>in</w:t>
      </w:r>
      <w:r w:rsidRPr="009766D5">
        <w:rPr>
          <w:lang w:val="en-GB"/>
        </w:rPr>
        <w:t xml:space="preserve"> chairing th</w:t>
      </w:r>
      <w:r w:rsidR="0098174F" w:rsidRPr="009766D5">
        <w:rPr>
          <w:lang w:val="en-GB"/>
        </w:rPr>
        <w:t>o</w:t>
      </w:r>
      <w:r w:rsidRPr="009766D5">
        <w:rPr>
          <w:lang w:val="en-GB"/>
        </w:rPr>
        <w:t xml:space="preserve">se bodies, to ensure ownership of the programme and </w:t>
      </w:r>
      <w:r w:rsidR="00F60A82" w:rsidRPr="009766D5">
        <w:rPr>
          <w:lang w:val="en-GB"/>
        </w:rPr>
        <w:t xml:space="preserve">the </w:t>
      </w:r>
      <w:r w:rsidRPr="009766D5">
        <w:rPr>
          <w:lang w:val="en-GB"/>
        </w:rPr>
        <w:t>sustainability of results achieved. To develop innovative solutions, UNDP will collaborate with partners such as universities, research institutes and the private sector. To ensure th</w:t>
      </w:r>
      <w:r w:rsidR="0098174F" w:rsidRPr="009766D5">
        <w:rPr>
          <w:lang w:val="en-GB"/>
        </w:rPr>
        <w:t>at</w:t>
      </w:r>
      <w:r w:rsidRPr="009766D5">
        <w:rPr>
          <w:lang w:val="en-GB"/>
        </w:rPr>
        <w:t xml:space="preserve"> sustainability aris</w:t>
      </w:r>
      <w:r w:rsidR="0098174F" w:rsidRPr="009766D5">
        <w:rPr>
          <w:lang w:val="en-GB"/>
        </w:rPr>
        <w:t>es</w:t>
      </w:r>
      <w:r w:rsidRPr="009766D5">
        <w:rPr>
          <w:lang w:val="en-GB"/>
        </w:rPr>
        <w:t xml:space="preserve"> from th</w:t>
      </w:r>
      <w:r w:rsidR="00F60A82" w:rsidRPr="009766D5">
        <w:rPr>
          <w:lang w:val="en-GB"/>
        </w:rPr>
        <w:t>o</w:t>
      </w:r>
      <w:r w:rsidRPr="009766D5">
        <w:rPr>
          <w:lang w:val="en-GB"/>
        </w:rPr>
        <w:t xml:space="preserve">se interventions, the roles and capacities of local partners and beneficiaries </w:t>
      </w:r>
      <w:r w:rsidR="0098174F" w:rsidRPr="009766D5">
        <w:rPr>
          <w:lang w:val="en-GB"/>
        </w:rPr>
        <w:t xml:space="preserve">– including youth, women and people with disabilities – </w:t>
      </w:r>
      <w:r w:rsidRPr="009766D5">
        <w:rPr>
          <w:lang w:val="en-GB"/>
        </w:rPr>
        <w:t xml:space="preserve">will be strengthened and </w:t>
      </w:r>
      <w:r w:rsidR="00962394" w:rsidRPr="009766D5">
        <w:rPr>
          <w:lang w:val="en-GB"/>
        </w:rPr>
        <w:t>prioritized through</w:t>
      </w:r>
      <w:r w:rsidRPr="009766D5">
        <w:rPr>
          <w:lang w:val="en-GB"/>
        </w:rPr>
        <w:t xml:space="preserve"> their involvement in the design phase and participation in review</w:t>
      </w:r>
      <w:r w:rsidR="0098174F" w:rsidRPr="009766D5">
        <w:rPr>
          <w:lang w:val="en-GB"/>
        </w:rPr>
        <w:t>,</w:t>
      </w:r>
      <w:r w:rsidRPr="009766D5">
        <w:rPr>
          <w:lang w:val="en-GB"/>
        </w:rPr>
        <w:t xml:space="preserve"> technical and steering committees. UNDP will use the Acceleration Lab as </w:t>
      </w:r>
      <w:r w:rsidR="00F60A82" w:rsidRPr="009766D5">
        <w:rPr>
          <w:lang w:val="en-GB"/>
        </w:rPr>
        <w:t>a</w:t>
      </w:r>
      <w:r w:rsidRPr="009766D5">
        <w:rPr>
          <w:lang w:val="en-GB"/>
        </w:rPr>
        <w:t xml:space="preserve"> tool for the effective programme implementation. </w:t>
      </w:r>
    </w:p>
    <w:p w14:paraId="202C2F1F" w14:textId="5FFE1AA4"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UNDP will use a portfolio approach to ensure </w:t>
      </w:r>
      <w:r w:rsidR="0098174F" w:rsidRPr="009766D5">
        <w:rPr>
          <w:lang w:val="en-GB"/>
        </w:rPr>
        <w:t xml:space="preserve">that </w:t>
      </w:r>
      <w:r w:rsidRPr="009766D5">
        <w:rPr>
          <w:lang w:val="en-GB"/>
        </w:rPr>
        <w:t>appropriate value-added linkages are made across areas of intervention for programmatic coherence</w:t>
      </w:r>
      <w:r w:rsidR="0098174F" w:rsidRPr="009766D5">
        <w:rPr>
          <w:lang w:val="en-GB"/>
        </w:rPr>
        <w:t>,</w:t>
      </w:r>
      <w:r w:rsidRPr="009766D5">
        <w:rPr>
          <w:lang w:val="en-GB"/>
        </w:rPr>
        <w:t xml:space="preserve"> with careful planning and accelerated delivery o</w:t>
      </w:r>
      <w:r w:rsidR="0098174F" w:rsidRPr="009766D5">
        <w:rPr>
          <w:lang w:val="en-GB"/>
        </w:rPr>
        <w:t>f</w:t>
      </w:r>
      <w:r w:rsidRPr="009766D5">
        <w:rPr>
          <w:lang w:val="en-GB"/>
        </w:rPr>
        <w:t xml:space="preserve"> the ambitious results and vision intended. </w:t>
      </w:r>
      <w:r w:rsidR="0098174F" w:rsidRPr="009766D5">
        <w:rPr>
          <w:lang w:val="en-GB"/>
        </w:rPr>
        <w:t xml:space="preserve">To support national execution, </w:t>
      </w:r>
      <w:r w:rsidRPr="009766D5">
        <w:rPr>
          <w:lang w:val="en-GB"/>
        </w:rPr>
        <w:t>UNDP will design and implement a strengthened quality</w:t>
      </w:r>
      <w:r w:rsidR="0098174F" w:rsidRPr="009766D5">
        <w:rPr>
          <w:lang w:val="en-GB"/>
        </w:rPr>
        <w:t>-</w:t>
      </w:r>
      <w:r w:rsidRPr="009766D5">
        <w:rPr>
          <w:lang w:val="en-GB"/>
        </w:rPr>
        <w:t>assurance plan</w:t>
      </w:r>
      <w:r w:rsidR="0098174F" w:rsidRPr="009766D5">
        <w:rPr>
          <w:lang w:val="en-GB"/>
        </w:rPr>
        <w:t>,</w:t>
      </w:r>
      <w:r w:rsidRPr="009766D5">
        <w:rPr>
          <w:lang w:val="en-GB"/>
        </w:rPr>
        <w:t xml:space="preserve"> with targeted and appropriate capacity development. </w:t>
      </w:r>
    </w:p>
    <w:p w14:paraId="5A188211" w14:textId="1D3EB1AF"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The main risks identified in the programme relate to security threats, economic and environmental shocks, </w:t>
      </w:r>
      <w:r w:rsidR="0098174F" w:rsidRPr="009766D5">
        <w:rPr>
          <w:lang w:val="en-GB"/>
        </w:rPr>
        <w:t xml:space="preserve">and the </w:t>
      </w:r>
      <w:r w:rsidRPr="009766D5">
        <w:rPr>
          <w:lang w:val="en-GB"/>
        </w:rPr>
        <w:t xml:space="preserve">tense political </w:t>
      </w:r>
      <w:r w:rsidRPr="009766D5">
        <w:rPr>
          <w:color w:val="000000" w:themeColor="text1"/>
          <w:lang w:val="en-GB"/>
        </w:rPr>
        <w:t xml:space="preserve">climate. </w:t>
      </w:r>
      <w:r w:rsidRPr="009766D5">
        <w:rPr>
          <w:rStyle w:val="contentpasted2"/>
          <w:color w:val="000000" w:themeColor="text1"/>
          <w:lang w:val="en-GB"/>
        </w:rPr>
        <w:t>Managing partnerships</w:t>
      </w:r>
      <w:r w:rsidR="00F60A82" w:rsidRPr="009766D5">
        <w:rPr>
          <w:rStyle w:val="contentpasted2"/>
          <w:color w:val="000000" w:themeColor="text1"/>
          <w:lang w:val="en-GB"/>
        </w:rPr>
        <w:t>,</w:t>
      </w:r>
      <w:r w:rsidRPr="009766D5">
        <w:rPr>
          <w:rStyle w:val="contentpasted2"/>
          <w:color w:val="000000" w:themeColor="text1"/>
          <w:lang w:val="en-GB"/>
        </w:rPr>
        <w:t xml:space="preserve"> including with the private sector</w:t>
      </w:r>
      <w:r w:rsidR="00F60A82" w:rsidRPr="009766D5">
        <w:rPr>
          <w:rStyle w:val="contentpasted2"/>
          <w:color w:val="000000" w:themeColor="text1"/>
          <w:lang w:val="en-GB"/>
        </w:rPr>
        <w:t>,</w:t>
      </w:r>
      <w:r w:rsidR="0098174F" w:rsidRPr="009766D5">
        <w:rPr>
          <w:rStyle w:val="contentpasted2"/>
          <w:color w:val="000000" w:themeColor="text1"/>
          <w:lang w:val="en-GB"/>
        </w:rPr>
        <w:t xml:space="preserve"> </w:t>
      </w:r>
      <w:r w:rsidRPr="009766D5">
        <w:rPr>
          <w:color w:val="000000" w:themeColor="text1"/>
          <w:lang w:val="en-GB"/>
        </w:rPr>
        <w:t>marginalization of vulnerable groups</w:t>
      </w:r>
      <w:r w:rsidR="00F60A82" w:rsidRPr="009766D5">
        <w:rPr>
          <w:color w:val="000000" w:themeColor="text1"/>
          <w:lang w:val="en-GB"/>
        </w:rPr>
        <w:t>,</w:t>
      </w:r>
      <w:r w:rsidRPr="009766D5">
        <w:rPr>
          <w:color w:val="000000" w:themeColor="text1"/>
          <w:lang w:val="en-GB"/>
        </w:rPr>
        <w:t xml:space="preserve"> a</w:t>
      </w:r>
      <w:r w:rsidRPr="009766D5">
        <w:rPr>
          <w:lang w:val="en-GB"/>
        </w:rPr>
        <w:t xml:space="preserve">nd lack of capacities are potential risks. </w:t>
      </w:r>
      <w:r w:rsidR="0098174F" w:rsidRPr="009766D5">
        <w:rPr>
          <w:lang w:val="en-GB"/>
        </w:rPr>
        <w:t>R</w:t>
      </w:r>
      <w:r w:rsidRPr="009766D5">
        <w:rPr>
          <w:lang w:val="en-GB"/>
        </w:rPr>
        <w:t>isks will be documented in a risk log, updated regularly with mitigating measures effectively implemented. Security</w:t>
      </w:r>
      <w:r w:rsidR="00F60A82" w:rsidRPr="009766D5">
        <w:rPr>
          <w:lang w:val="en-GB"/>
        </w:rPr>
        <w:t>-</w:t>
      </w:r>
      <w:r w:rsidRPr="009766D5">
        <w:rPr>
          <w:lang w:val="en-GB"/>
        </w:rPr>
        <w:t>related risks will be mitigated within existing United Nations procedures</w:t>
      </w:r>
      <w:r w:rsidR="0098174F" w:rsidRPr="009766D5">
        <w:rPr>
          <w:lang w:val="en-GB"/>
        </w:rPr>
        <w:t>,</w:t>
      </w:r>
      <w:r w:rsidRPr="009766D5">
        <w:rPr>
          <w:lang w:val="en-GB"/>
        </w:rPr>
        <w:t xml:space="preserve"> including </w:t>
      </w:r>
      <w:r w:rsidR="0098174F" w:rsidRPr="009766D5">
        <w:rPr>
          <w:lang w:val="en-GB"/>
        </w:rPr>
        <w:t>p</w:t>
      </w:r>
      <w:r w:rsidRPr="009766D5">
        <w:rPr>
          <w:lang w:val="en-GB"/>
        </w:rPr>
        <w:t>rogramme criticality analysis to assess and mitigate any potential risks stemming from programmatic interventions in sensitive area</w:t>
      </w:r>
      <w:r w:rsidR="00F60A82" w:rsidRPr="009766D5">
        <w:rPr>
          <w:lang w:val="en-GB"/>
        </w:rPr>
        <w:t>s</w:t>
      </w:r>
      <w:r w:rsidRPr="009766D5">
        <w:rPr>
          <w:lang w:val="en-GB"/>
        </w:rPr>
        <w:t xml:space="preserve">. UNDP will diversify its funding and </w:t>
      </w:r>
      <w:r w:rsidRPr="009766D5">
        <w:rPr>
          <w:lang w:val="en-GB"/>
        </w:rPr>
        <w:lastRenderedPageBreak/>
        <w:t>partnership base through strategic advocacy and communication with partners. Due diligence will be conducted for all partnership</w:t>
      </w:r>
      <w:r w:rsidR="0098174F" w:rsidRPr="009766D5">
        <w:rPr>
          <w:lang w:val="en-GB"/>
        </w:rPr>
        <w:t>s</w:t>
      </w:r>
      <w:r w:rsidRPr="009766D5">
        <w:rPr>
          <w:lang w:val="en-GB"/>
        </w:rPr>
        <w:t xml:space="preserve"> with the private sector</w:t>
      </w:r>
      <w:r w:rsidR="0098174F" w:rsidRPr="009766D5">
        <w:rPr>
          <w:lang w:val="en-GB"/>
        </w:rPr>
        <w:t>.</w:t>
      </w:r>
      <w:r w:rsidRPr="009766D5">
        <w:rPr>
          <w:lang w:val="en-GB"/>
        </w:rPr>
        <w:t xml:space="preserve"> UNDP may scale down expected results if there are challenges raising required funds</w:t>
      </w:r>
      <w:r w:rsidR="0098174F" w:rsidRPr="009766D5">
        <w:rPr>
          <w:lang w:val="en-GB"/>
        </w:rPr>
        <w:t>,</w:t>
      </w:r>
      <w:r w:rsidRPr="009766D5">
        <w:rPr>
          <w:lang w:val="en-GB"/>
        </w:rPr>
        <w:t xml:space="preserve"> and will deploy its Business Continuity Plan in the event of political turmoil. </w:t>
      </w:r>
      <w:r w:rsidRPr="009766D5">
        <w:rPr>
          <w:color w:val="000000" w:themeColor="text1"/>
          <w:lang w:val="en-GB"/>
        </w:rPr>
        <w:t xml:space="preserve">An operationalization plan </w:t>
      </w:r>
      <w:r w:rsidR="0098174F" w:rsidRPr="009766D5">
        <w:rPr>
          <w:color w:val="000000" w:themeColor="text1"/>
          <w:lang w:val="en-GB"/>
        </w:rPr>
        <w:t xml:space="preserve">and </w:t>
      </w:r>
      <w:r w:rsidRPr="009766D5">
        <w:rPr>
          <w:color w:val="000000" w:themeColor="text1"/>
          <w:lang w:val="en-GB"/>
        </w:rPr>
        <w:t xml:space="preserve">office strengthening strategy will be developed and implemented. The country office will continue to use </w:t>
      </w:r>
      <w:r w:rsidR="0098174F" w:rsidRPr="009766D5">
        <w:rPr>
          <w:color w:val="000000" w:themeColor="text1"/>
          <w:lang w:val="en-GB"/>
        </w:rPr>
        <w:t>the g</w:t>
      </w:r>
      <w:r w:rsidRPr="009766D5">
        <w:rPr>
          <w:color w:val="000000" w:themeColor="text1"/>
          <w:lang w:val="en-GB"/>
        </w:rPr>
        <w:t xml:space="preserve">ender </w:t>
      </w:r>
      <w:r w:rsidR="0098174F" w:rsidRPr="009766D5">
        <w:rPr>
          <w:color w:val="000000" w:themeColor="text1"/>
          <w:lang w:val="en-GB"/>
        </w:rPr>
        <w:t>m</w:t>
      </w:r>
      <w:r w:rsidRPr="009766D5">
        <w:rPr>
          <w:color w:val="000000" w:themeColor="text1"/>
          <w:lang w:val="en-GB"/>
        </w:rPr>
        <w:t xml:space="preserve">arker to ensure </w:t>
      </w:r>
      <w:r w:rsidR="0098174F" w:rsidRPr="009766D5">
        <w:rPr>
          <w:color w:val="000000" w:themeColor="text1"/>
          <w:lang w:val="en-GB"/>
        </w:rPr>
        <w:t xml:space="preserve">that </w:t>
      </w:r>
      <w:r w:rsidRPr="009766D5">
        <w:rPr>
          <w:color w:val="000000" w:themeColor="text1"/>
          <w:lang w:val="en-GB"/>
        </w:rPr>
        <w:t xml:space="preserve">a minimum of 15 per cent of the </w:t>
      </w:r>
      <w:r w:rsidRPr="009766D5">
        <w:rPr>
          <w:lang w:val="en-GB"/>
        </w:rPr>
        <w:t>programme budget is invested in gender</w:t>
      </w:r>
      <w:r w:rsidR="0098174F" w:rsidRPr="009766D5">
        <w:rPr>
          <w:lang w:val="en-GB"/>
        </w:rPr>
        <w:t>-</w:t>
      </w:r>
      <w:r w:rsidRPr="009766D5">
        <w:rPr>
          <w:lang w:val="en-GB"/>
        </w:rPr>
        <w:t>specific initiatives</w:t>
      </w:r>
      <w:r w:rsidR="0098174F" w:rsidRPr="009766D5">
        <w:rPr>
          <w:lang w:val="en-GB"/>
        </w:rPr>
        <w:t>,</w:t>
      </w:r>
      <w:r w:rsidRPr="009766D5">
        <w:rPr>
          <w:lang w:val="en-GB"/>
        </w:rPr>
        <w:t xml:space="preserve"> and </w:t>
      </w:r>
      <w:r w:rsidR="0098174F" w:rsidRPr="009766D5">
        <w:rPr>
          <w:lang w:val="en-GB"/>
        </w:rPr>
        <w:t xml:space="preserve">that </w:t>
      </w:r>
      <w:r w:rsidRPr="009766D5">
        <w:rPr>
          <w:lang w:val="en-GB"/>
        </w:rPr>
        <w:t xml:space="preserve">the programme meets UNDP </w:t>
      </w:r>
      <w:r w:rsidR="0098174F" w:rsidRPr="009766D5">
        <w:rPr>
          <w:lang w:val="en-GB"/>
        </w:rPr>
        <w:t>social and environmental standards</w:t>
      </w:r>
      <w:r w:rsidRPr="009766D5">
        <w:rPr>
          <w:lang w:val="en-GB"/>
        </w:rPr>
        <w:t xml:space="preserve">. </w:t>
      </w:r>
      <w:r w:rsidR="0098174F" w:rsidRPr="009766D5">
        <w:rPr>
          <w:lang w:val="en-GB"/>
        </w:rPr>
        <w:t>D</w:t>
      </w:r>
      <w:r w:rsidRPr="009766D5">
        <w:rPr>
          <w:lang w:val="en-GB"/>
        </w:rPr>
        <w:t xml:space="preserve">isability determination will be </w:t>
      </w:r>
      <w:r w:rsidR="0098174F" w:rsidRPr="009766D5">
        <w:rPr>
          <w:lang w:val="en-GB"/>
        </w:rPr>
        <w:t xml:space="preserve">undertaken </w:t>
      </w:r>
      <w:r w:rsidRPr="009766D5">
        <w:rPr>
          <w:lang w:val="en-GB"/>
        </w:rPr>
        <w:t xml:space="preserve">following </w:t>
      </w:r>
      <w:r w:rsidR="0098174F" w:rsidRPr="009766D5">
        <w:rPr>
          <w:lang w:val="en-GB"/>
        </w:rPr>
        <w:t xml:space="preserve">the </w:t>
      </w:r>
      <w:r w:rsidRPr="009766D5">
        <w:rPr>
          <w:lang w:val="en-GB"/>
        </w:rPr>
        <w:t xml:space="preserve">principles of the </w:t>
      </w:r>
      <w:r w:rsidR="00DA60BA" w:rsidRPr="009766D5">
        <w:rPr>
          <w:lang w:val="en-GB"/>
        </w:rPr>
        <w:t>Convention on the Rights of Persons with Disabilitie</w:t>
      </w:r>
      <w:r w:rsidR="00962394" w:rsidRPr="009766D5">
        <w:rPr>
          <w:lang w:val="en-GB"/>
        </w:rPr>
        <w:t>s</w:t>
      </w:r>
      <w:r w:rsidRPr="009766D5">
        <w:rPr>
          <w:lang w:val="en-GB"/>
        </w:rPr>
        <w:t>.</w:t>
      </w:r>
    </w:p>
    <w:p w14:paraId="2C6F5ACB" w14:textId="49F4DB6B" w:rsidR="002203EE" w:rsidRPr="009766D5" w:rsidRDefault="002203EE" w:rsidP="002203EE">
      <w:pPr>
        <w:pStyle w:val="Heading2"/>
        <w:tabs>
          <w:tab w:val="left" w:pos="1418"/>
        </w:tabs>
        <w:ind w:left="993" w:right="713" w:hanging="567"/>
        <w:jc w:val="left"/>
        <w:rPr>
          <w:rFonts w:ascii="Times New Roman" w:hAnsi="Times New Roman"/>
          <w:lang w:val="en-GB"/>
        </w:rPr>
      </w:pPr>
      <w:r w:rsidRPr="009766D5">
        <w:rPr>
          <w:rFonts w:ascii="Times New Roman" w:hAnsi="Times New Roman"/>
          <w:lang w:val="en-GB"/>
        </w:rPr>
        <w:t xml:space="preserve">IV. </w:t>
      </w:r>
      <w:r w:rsidRPr="009766D5">
        <w:rPr>
          <w:rFonts w:ascii="Times New Roman" w:hAnsi="Times New Roman"/>
          <w:lang w:val="en-GB"/>
        </w:rPr>
        <w:tab/>
        <w:t xml:space="preserve">Monitoring and </w:t>
      </w:r>
      <w:r w:rsidR="00176CE5" w:rsidRPr="009766D5">
        <w:rPr>
          <w:rFonts w:ascii="Times New Roman" w:hAnsi="Times New Roman"/>
          <w:lang w:val="en-GB"/>
        </w:rPr>
        <w:t>e</w:t>
      </w:r>
      <w:r w:rsidRPr="009766D5">
        <w:rPr>
          <w:rFonts w:ascii="Times New Roman" w:hAnsi="Times New Roman"/>
          <w:lang w:val="en-GB"/>
        </w:rPr>
        <w:t>valuation</w:t>
      </w:r>
    </w:p>
    <w:p w14:paraId="46FAE2D4" w14:textId="77777777" w:rsidR="002203EE" w:rsidRPr="009766D5" w:rsidRDefault="002203EE" w:rsidP="002203EE">
      <w:pPr>
        <w:tabs>
          <w:tab w:val="left" w:pos="1418"/>
        </w:tabs>
        <w:ind w:left="993" w:right="713"/>
        <w:rPr>
          <w:lang w:val="en-GB"/>
        </w:rPr>
      </w:pPr>
    </w:p>
    <w:p w14:paraId="21DCCAFD" w14:textId="22342D03" w:rsidR="002203EE" w:rsidRPr="009766D5" w:rsidRDefault="002203EE" w:rsidP="002203EE">
      <w:pPr>
        <w:pStyle w:val="CPD"/>
        <w:numPr>
          <w:ilvl w:val="0"/>
          <w:numId w:val="50"/>
        </w:numPr>
        <w:tabs>
          <w:tab w:val="left" w:pos="1418"/>
        </w:tabs>
        <w:ind w:left="993" w:right="713" w:firstLine="0"/>
        <w:rPr>
          <w:lang w:val="en-GB"/>
        </w:rPr>
      </w:pPr>
      <w:r w:rsidRPr="009766D5">
        <w:rPr>
          <w:lang w:val="en-GB"/>
        </w:rPr>
        <w:t>Programme monitoring</w:t>
      </w:r>
      <w:r w:rsidR="0098174F" w:rsidRPr="009766D5">
        <w:rPr>
          <w:lang w:val="en-GB"/>
        </w:rPr>
        <w:t>,</w:t>
      </w:r>
      <w:r w:rsidRPr="009766D5">
        <w:rPr>
          <w:lang w:val="en-GB"/>
        </w:rPr>
        <w:t xml:space="preserve"> carried out in accordance with United Nations and UNDP guidelines</w:t>
      </w:r>
      <w:r w:rsidR="0098174F" w:rsidRPr="009766D5">
        <w:rPr>
          <w:lang w:val="en-GB"/>
        </w:rPr>
        <w:t>,</w:t>
      </w:r>
      <w:r w:rsidRPr="009766D5">
        <w:rPr>
          <w:lang w:val="en-GB"/>
        </w:rPr>
        <w:t xml:space="preserve"> will track progress towards results, development context, quality, risks, operational performance</w:t>
      </w:r>
      <w:r w:rsidR="00A028A9" w:rsidRPr="009766D5">
        <w:rPr>
          <w:lang w:val="en-GB"/>
        </w:rPr>
        <w:t>,</w:t>
      </w:r>
      <w:r w:rsidRPr="009766D5">
        <w:rPr>
          <w:lang w:val="en-GB"/>
        </w:rPr>
        <w:t xml:space="preserve"> and knowledge. It will be based on a gender-sensitive integrated monitoring and evaluation plan aligned with </w:t>
      </w:r>
      <w:r w:rsidR="00A028A9" w:rsidRPr="009766D5">
        <w:rPr>
          <w:lang w:val="en-GB"/>
        </w:rPr>
        <w:t xml:space="preserve">the </w:t>
      </w:r>
      <w:r w:rsidRPr="009766D5">
        <w:rPr>
          <w:lang w:val="en-GB"/>
        </w:rPr>
        <w:t>UNDP Strategic Plan</w:t>
      </w:r>
      <w:r w:rsidR="00A028A9" w:rsidRPr="009766D5">
        <w:rPr>
          <w:lang w:val="en-GB"/>
        </w:rPr>
        <w:t>,</w:t>
      </w:r>
      <w:r w:rsidRPr="009766D5">
        <w:rPr>
          <w:lang w:val="en-GB"/>
        </w:rPr>
        <w:t xml:space="preserve"> 2022-2025, the </w:t>
      </w:r>
      <w:r w:rsidR="003624D0" w:rsidRPr="009766D5">
        <w:rPr>
          <w:lang w:val="en-GB"/>
        </w:rPr>
        <w:t>‘</w:t>
      </w:r>
      <w:r w:rsidRPr="009766D5">
        <w:rPr>
          <w:lang w:val="en-GB"/>
        </w:rPr>
        <w:t>PAG</w:t>
      </w:r>
      <w:r w:rsidR="003624D0" w:rsidRPr="009766D5">
        <w:rPr>
          <w:lang w:val="en-GB"/>
        </w:rPr>
        <w:t> </w:t>
      </w:r>
      <w:r w:rsidRPr="009766D5">
        <w:rPr>
          <w:lang w:val="en-GB"/>
        </w:rPr>
        <w:t>2</w:t>
      </w:r>
      <w:r w:rsidR="003624D0" w:rsidRPr="009766D5">
        <w:rPr>
          <w:lang w:val="en-GB"/>
        </w:rPr>
        <w:t>’</w:t>
      </w:r>
      <w:r w:rsidRPr="009766D5">
        <w:rPr>
          <w:lang w:val="en-GB"/>
        </w:rPr>
        <w:t xml:space="preserve">, </w:t>
      </w:r>
      <w:r w:rsidR="00A028A9" w:rsidRPr="009766D5">
        <w:rPr>
          <w:lang w:val="en-GB"/>
        </w:rPr>
        <w:t xml:space="preserve">and </w:t>
      </w:r>
      <w:r w:rsidRPr="009766D5">
        <w:rPr>
          <w:lang w:val="en-GB"/>
        </w:rPr>
        <w:t xml:space="preserve">the </w:t>
      </w:r>
      <w:r w:rsidR="00A028A9" w:rsidRPr="009766D5">
        <w:rPr>
          <w:lang w:val="en-GB"/>
        </w:rPr>
        <w:t>United </w:t>
      </w:r>
      <w:r w:rsidR="00654147" w:rsidRPr="009766D5">
        <w:rPr>
          <w:lang w:val="en-GB"/>
        </w:rPr>
        <w:t>Nations Sustainable Development Cooperation Framework,</w:t>
      </w:r>
      <w:r w:rsidRPr="009766D5">
        <w:rPr>
          <w:lang w:val="en-GB"/>
        </w:rPr>
        <w:t xml:space="preserve"> 2023-2026</w:t>
      </w:r>
      <w:r w:rsidR="00654147" w:rsidRPr="009766D5">
        <w:rPr>
          <w:lang w:val="en-GB"/>
        </w:rPr>
        <w:t>,</w:t>
      </w:r>
      <w:r w:rsidRPr="009766D5">
        <w:rPr>
          <w:lang w:val="en-GB"/>
        </w:rPr>
        <w:t xml:space="preserve"> to enable transparent monitoring of progress towards the achievement of results, to inform decision-making and to reach programme targets. Programme monitoring will contribute to </w:t>
      </w:r>
      <w:r w:rsidR="00654147" w:rsidRPr="009766D5">
        <w:rPr>
          <w:lang w:val="en-GB"/>
        </w:rPr>
        <w:t xml:space="preserve">the </w:t>
      </w:r>
      <w:r w:rsidR="005568CE" w:rsidRPr="009766D5">
        <w:rPr>
          <w:lang w:val="en-GB"/>
        </w:rPr>
        <w:t xml:space="preserve">Cooperation </w:t>
      </w:r>
      <w:r w:rsidR="00654147" w:rsidRPr="009766D5">
        <w:rPr>
          <w:lang w:val="en-GB"/>
        </w:rPr>
        <w:t xml:space="preserve">Framework </w:t>
      </w:r>
      <w:r w:rsidRPr="009766D5">
        <w:rPr>
          <w:lang w:val="en-GB"/>
        </w:rPr>
        <w:t>monitoring mechanism implemented with national participation.</w:t>
      </w:r>
    </w:p>
    <w:p w14:paraId="2E641BEF" w14:textId="0D1C02C1"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Outcome-level </w:t>
      </w:r>
      <w:r w:rsidR="00A028A9" w:rsidRPr="009766D5">
        <w:rPr>
          <w:lang w:val="en-GB"/>
        </w:rPr>
        <w:t>r</w:t>
      </w:r>
      <w:r w:rsidRPr="009766D5">
        <w:rPr>
          <w:lang w:val="en-GB"/>
        </w:rPr>
        <w:t xml:space="preserve">esults </w:t>
      </w:r>
      <w:r w:rsidR="00A028A9" w:rsidRPr="009766D5">
        <w:rPr>
          <w:lang w:val="en-GB"/>
        </w:rPr>
        <w:t>g</w:t>
      </w:r>
      <w:r w:rsidRPr="009766D5">
        <w:rPr>
          <w:lang w:val="en-GB"/>
        </w:rPr>
        <w:t xml:space="preserve">roups for </w:t>
      </w:r>
      <w:r w:rsidR="000004B8" w:rsidRPr="009766D5">
        <w:rPr>
          <w:lang w:val="en-GB"/>
        </w:rPr>
        <w:t xml:space="preserve">Cooperation </w:t>
      </w:r>
      <w:r w:rsidR="00654147" w:rsidRPr="009766D5">
        <w:rPr>
          <w:lang w:val="en-GB"/>
        </w:rPr>
        <w:t xml:space="preserve">Framework </w:t>
      </w:r>
      <w:r w:rsidRPr="009766D5">
        <w:rPr>
          <w:lang w:val="en-GB"/>
        </w:rPr>
        <w:t xml:space="preserve">results will be utilized </w:t>
      </w:r>
      <w:r w:rsidR="00A028A9" w:rsidRPr="009766D5">
        <w:rPr>
          <w:lang w:val="en-GB"/>
        </w:rPr>
        <w:t xml:space="preserve">to </w:t>
      </w:r>
      <w:r w:rsidRPr="009766D5">
        <w:rPr>
          <w:lang w:val="en-GB"/>
        </w:rPr>
        <w:t xml:space="preserve">monitor progress under the country programme. </w:t>
      </w:r>
      <w:r w:rsidR="00A028A9" w:rsidRPr="009766D5">
        <w:rPr>
          <w:lang w:val="en-GB"/>
        </w:rPr>
        <w:t xml:space="preserve">The programme </w:t>
      </w:r>
      <w:r w:rsidRPr="009766D5">
        <w:rPr>
          <w:lang w:val="en-GB"/>
        </w:rPr>
        <w:t xml:space="preserve">institutional framework will consist of outcome steering committees and project management technical committees, including beneficiaries, local authorities, private sector, and civil society participation, in accordance with the </w:t>
      </w:r>
      <w:r w:rsidR="00176CE5" w:rsidRPr="009766D5">
        <w:rPr>
          <w:lang w:val="en-GB"/>
        </w:rPr>
        <w:t>Programme and Operations Policies and Procedures</w:t>
      </w:r>
      <w:r w:rsidRPr="009766D5">
        <w:rPr>
          <w:lang w:val="en-GB"/>
        </w:rPr>
        <w:t>. To ensure progress towards results, UNDP will use innovative data collection and monitoring methods</w:t>
      </w:r>
      <w:r w:rsidR="00A028A9" w:rsidRPr="009766D5">
        <w:rPr>
          <w:lang w:val="en-GB"/>
        </w:rPr>
        <w:t>,</w:t>
      </w:r>
      <w:r w:rsidRPr="009766D5">
        <w:rPr>
          <w:lang w:val="en-GB"/>
        </w:rPr>
        <w:t xml:space="preserve"> including collective intelligence, micro</w:t>
      </w:r>
      <w:r w:rsidR="00A028A9" w:rsidRPr="009766D5">
        <w:rPr>
          <w:lang w:val="en-GB"/>
        </w:rPr>
        <w:t>-</w:t>
      </w:r>
      <w:r w:rsidRPr="009766D5">
        <w:rPr>
          <w:lang w:val="en-GB"/>
        </w:rPr>
        <w:t xml:space="preserve">narratives, third-party user-generated feedback, and </w:t>
      </w:r>
      <w:r w:rsidR="007A4187" w:rsidRPr="009766D5">
        <w:rPr>
          <w:lang w:val="en-GB"/>
        </w:rPr>
        <w:t>geographic</w:t>
      </w:r>
      <w:r w:rsidR="003624D0" w:rsidRPr="009766D5">
        <w:rPr>
          <w:lang w:val="en-GB"/>
        </w:rPr>
        <w:t xml:space="preserve"> information systems </w:t>
      </w:r>
      <w:r w:rsidR="00A028A9" w:rsidRPr="009766D5">
        <w:rPr>
          <w:lang w:val="en-GB"/>
        </w:rPr>
        <w:t xml:space="preserve">to </w:t>
      </w:r>
      <w:r w:rsidRPr="009766D5">
        <w:rPr>
          <w:lang w:val="en-GB"/>
        </w:rPr>
        <w:t>monitor and evaluat</w:t>
      </w:r>
      <w:r w:rsidR="00A028A9" w:rsidRPr="009766D5">
        <w:rPr>
          <w:lang w:val="en-GB"/>
        </w:rPr>
        <w:t>e</w:t>
      </w:r>
      <w:r w:rsidRPr="009766D5">
        <w:rPr>
          <w:lang w:val="en-GB"/>
        </w:rPr>
        <w:t xml:space="preserve"> outcomes, compil</w:t>
      </w:r>
      <w:r w:rsidR="00A028A9" w:rsidRPr="009766D5">
        <w:rPr>
          <w:lang w:val="en-GB"/>
        </w:rPr>
        <w:t>e</w:t>
      </w:r>
      <w:r w:rsidRPr="009766D5">
        <w:rPr>
          <w:lang w:val="en-GB"/>
        </w:rPr>
        <w:t xml:space="preserve"> lessons, and correct the path of the programme. </w:t>
      </w:r>
    </w:p>
    <w:p w14:paraId="5190795D" w14:textId="6F89F1B4" w:rsidR="002203EE" w:rsidRPr="009766D5" w:rsidRDefault="002203EE" w:rsidP="002203EE">
      <w:pPr>
        <w:pStyle w:val="CPD"/>
        <w:numPr>
          <w:ilvl w:val="0"/>
          <w:numId w:val="50"/>
        </w:numPr>
        <w:tabs>
          <w:tab w:val="left" w:pos="1418"/>
        </w:tabs>
        <w:ind w:left="993" w:right="713" w:firstLine="0"/>
        <w:rPr>
          <w:lang w:val="en-GB"/>
        </w:rPr>
      </w:pPr>
      <w:r w:rsidRPr="009766D5">
        <w:rPr>
          <w:lang w:val="en-GB"/>
        </w:rPr>
        <w:t xml:space="preserve">The costed programme evaluation will be carried out in line with </w:t>
      </w:r>
      <w:r w:rsidR="00A028A9" w:rsidRPr="009766D5">
        <w:rPr>
          <w:lang w:val="en-GB"/>
        </w:rPr>
        <w:t xml:space="preserve">the </w:t>
      </w:r>
      <w:r w:rsidRPr="009766D5">
        <w:rPr>
          <w:lang w:val="en-GB"/>
        </w:rPr>
        <w:t>UNDP evaluation policy and plan, and used for quality assurance, learning</w:t>
      </w:r>
      <w:r w:rsidR="00A028A9" w:rsidRPr="009766D5">
        <w:rPr>
          <w:lang w:val="en-GB"/>
        </w:rPr>
        <w:t xml:space="preserve">, </w:t>
      </w:r>
      <w:r w:rsidRPr="009766D5">
        <w:rPr>
          <w:lang w:val="en-GB"/>
        </w:rPr>
        <w:t>knowledge management and adaptive programming. Independent evaluation</w:t>
      </w:r>
      <w:r w:rsidR="00A028A9" w:rsidRPr="009766D5">
        <w:rPr>
          <w:lang w:val="en-GB"/>
        </w:rPr>
        <w:t>s</w:t>
      </w:r>
      <w:r w:rsidRPr="009766D5">
        <w:rPr>
          <w:lang w:val="en-GB"/>
        </w:rPr>
        <w:t xml:space="preserve"> will be carried out to inform implementation of the programme and development of subsequent country programme</w:t>
      </w:r>
      <w:r w:rsidR="00A028A9" w:rsidRPr="009766D5">
        <w:rPr>
          <w:lang w:val="en-GB"/>
        </w:rPr>
        <w:t>s</w:t>
      </w:r>
      <w:r w:rsidRPr="009766D5">
        <w:rPr>
          <w:lang w:val="en-GB"/>
        </w:rPr>
        <w:t xml:space="preserve">. UNDP will participate in </w:t>
      </w:r>
      <w:r w:rsidR="00665111" w:rsidRPr="009766D5">
        <w:rPr>
          <w:lang w:val="en-GB"/>
        </w:rPr>
        <w:t xml:space="preserve">the United Nations </w:t>
      </w:r>
      <w:r w:rsidR="00A438C1" w:rsidRPr="009766D5">
        <w:rPr>
          <w:lang w:val="en-GB"/>
        </w:rPr>
        <w:t xml:space="preserve">development </w:t>
      </w:r>
      <w:r w:rsidR="00665111" w:rsidRPr="009766D5">
        <w:rPr>
          <w:lang w:val="en-GB"/>
        </w:rPr>
        <w:t>system-</w:t>
      </w:r>
      <w:r w:rsidRPr="009766D5">
        <w:rPr>
          <w:lang w:val="en-GB"/>
        </w:rPr>
        <w:t>wide evaluations</w:t>
      </w:r>
      <w:r w:rsidRPr="009766D5" w:rsidDel="79A664DC">
        <w:rPr>
          <w:lang w:val="en-GB"/>
        </w:rPr>
        <w:t xml:space="preserve"> as part of </w:t>
      </w:r>
      <w:r w:rsidR="00A438C1" w:rsidRPr="009766D5">
        <w:rPr>
          <w:lang w:val="en-GB"/>
        </w:rPr>
        <w:t xml:space="preserve">Cooperation </w:t>
      </w:r>
      <w:r w:rsidR="00654147" w:rsidRPr="009766D5">
        <w:rPr>
          <w:lang w:val="en-GB"/>
        </w:rPr>
        <w:t>Framework</w:t>
      </w:r>
      <w:r w:rsidR="00654147" w:rsidRPr="009766D5" w:rsidDel="79A664DC">
        <w:rPr>
          <w:lang w:val="en-GB"/>
        </w:rPr>
        <w:t xml:space="preserve"> </w:t>
      </w:r>
      <w:r w:rsidRPr="009766D5" w:rsidDel="79A664DC">
        <w:rPr>
          <w:lang w:val="en-GB"/>
        </w:rPr>
        <w:t>obligations</w:t>
      </w:r>
      <w:r w:rsidRPr="009766D5">
        <w:rPr>
          <w:lang w:val="en-GB"/>
        </w:rPr>
        <w:t>. Citizen and beneficiary feedback will be solicited to validate the expected outcomes. Five per cent of the country programme budget will be allocated to monitoring and evaluation</w:t>
      </w:r>
      <w:r w:rsidR="00F60A82" w:rsidRPr="009766D5">
        <w:rPr>
          <w:lang w:val="en-GB"/>
        </w:rPr>
        <w:t>,</w:t>
      </w:r>
      <w:r w:rsidRPr="009766D5">
        <w:rPr>
          <w:lang w:val="en-GB"/>
        </w:rPr>
        <w:t xml:space="preserve"> while 2 per cent will be dedicated to strategic communication and reporting to stakeholders.</w:t>
      </w:r>
    </w:p>
    <w:p w14:paraId="2E8CC0F3" w14:textId="7B8DABBB" w:rsidR="002203EE" w:rsidRPr="009766D5" w:rsidRDefault="002203EE" w:rsidP="002203EE">
      <w:pPr>
        <w:pStyle w:val="CPD"/>
        <w:numPr>
          <w:ilvl w:val="0"/>
          <w:numId w:val="50"/>
        </w:numPr>
        <w:tabs>
          <w:tab w:val="left" w:pos="1418"/>
        </w:tabs>
        <w:ind w:left="993" w:right="713" w:firstLine="0"/>
        <w:rPr>
          <w:lang w:val="en-GB"/>
        </w:rPr>
      </w:pPr>
      <w:r w:rsidRPr="009766D5">
        <w:rPr>
          <w:lang w:val="en-GB"/>
        </w:rPr>
        <w:t>UNDP will mobilize partners to strengthen statistic</w:t>
      </w:r>
      <w:r w:rsidR="00A028A9" w:rsidRPr="009766D5">
        <w:rPr>
          <w:lang w:val="en-GB"/>
        </w:rPr>
        <w:t>al</w:t>
      </w:r>
      <w:r w:rsidRPr="009766D5">
        <w:rPr>
          <w:lang w:val="en-GB"/>
        </w:rPr>
        <w:t xml:space="preserve"> systems and national and local monitoring and evaluation capacities to ensure availability of program</w:t>
      </w:r>
      <w:r w:rsidR="00A028A9" w:rsidRPr="009766D5">
        <w:rPr>
          <w:lang w:val="en-GB"/>
        </w:rPr>
        <w:t>me</w:t>
      </w:r>
      <w:r w:rsidRPr="009766D5">
        <w:rPr>
          <w:lang w:val="en-GB"/>
        </w:rPr>
        <w:t xml:space="preserve"> indicators and facilitate the monitoring of progress</w:t>
      </w:r>
      <w:r w:rsidR="00255D8F" w:rsidRPr="009766D5">
        <w:rPr>
          <w:lang w:val="en-GB"/>
        </w:rPr>
        <w:t xml:space="preserve"> towards the Sustainable Development Goals</w:t>
      </w:r>
      <w:r w:rsidR="00A028A9" w:rsidRPr="009766D5">
        <w:rPr>
          <w:lang w:val="en-GB"/>
        </w:rPr>
        <w:t>,</w:t>
      </w:r>
      <w:r w:rsidRPr="009766D5">
        <w:rPr>
          <w:lang w:val="en-GB"/>
        </w:rPr>
        <w:t xml:space="preserve"> enabl</w:t>
      </w:r>
      <w:r w:rsidR="00A028A9" w:rsidRPr="009766D5">
        <w:rPr>
          <w:lang w:val="en-GB"/>
        </w:rPr>
        <w:t>ing</w:t>
      </w:r>
      <w:r w:rsidRPr="009766D5">
        <w:rPr>
          <w:lang w:val="en-GB"/>
        </w:rPr>
        <w:t xml:space="preserve"> timely decision-making.</w:t>
      </w:r>
    </w:p>
    <w:p w14:paraId="778EC804" w14:textId="3BD80D8D" w:rsidR="00214EC6" w:rsidRPr="009766D5" w:rsidRDefault="002203EE" w:rsidP="002203EE">
      <w:pPr>
        <w:pStyle w:val="ListParagraph"/>
        <w:numPr>
          <w:ilvl w:val="0"/>
          <w:numId w:val="50"/>
        </w:numPr>
        <w:tabs>
          <w:tab w:val="left" w:pos="1260"/>
          <w:tab w:val="left" w:pos="1418"/>
        </w:tabs>
        <w:spacing w:after="120" w:line="240" w:lineRule="exact"/>
        <w:ind w:left="993" w:right="713" w:firstLine="0"/>
        <w:jc w:val="both"/>
        <w:rPr>
          <w:lang w:val="en-GB"/>
        </w:rPr>
      </w:pPr>
      <w:r w:rsidRPr="009766D5" w:rsidDel="46647DE9">
        <w:rPr>
          <w:lang w:val="en-GB"/>
        </w:rPr>
        <w:t xml:space="preserve">UNDP will continue its partnerships with national authorities, </w:t>
      </w:r>
      <w:r w:rsidR="00A028A9" w:rsidRPr="009766D5" w:rsidDel="46647DE9">
        <w:rPr>
          <w:lang w:val="en-GB"/>
        </w:rPr>
        <w:t xml:space="preserve">development </w:t>
      </w:r>
      <w:r w:rsidR="00A028A9" w:rsidRPr="009766D5" w:rsidDel="1C92D6AF">
        <w:rPr>
          <w:lang w:val="en-GB"/>
        </w:rPr>
        <w:t>partners</w:t>
      </w:r>
      <w:r w:rsidR="00A028A9" w:rsidRPr="009766D5">
        <w:rPr>
          <w:lang w:val="en-GB"/>
        </w:rPr>
        <w:t>,</w:t>
      </w:r>
      <w:r w:rsidR="00A028A9" w:rsidRPr="009766D5" w:rsidDel="1C92D6AF">
        <w:rPr>
          <w:lang w:val="en-GB"/>
        </w:rPr>
        <w:t xml:space="preserve"> </w:t>
      </w:r>
      <w:r w:rsidRPr="009766D5" w:rsidDel="46647DE9">
        <w:rPr>
          <w:lang w:val="en-GB"/>
        </w:rPr>
        <w:t xml:space="preserve">research and academic institutions, think tanks, </w:t>
      </w:r>
      <w:r w:rsidR="0004168A" w:rsidRPr="009766D5">
        <w:rPr>
          <w:lang w:val="en-GB"/>
        </w:rPr>
        <w:t>civil society organizations</w:t>
      </w:r>
      <w:r w:rsidRPr="009766D5" w:rsidDel="46647DE9">
        <w:rPr>
          <w:lang w:val="en-GB"/>
        </w:rPr>
        <w:t xml:space="preserve"> </w:t>
      </w:r>
      <w:r w:rsidRPr="009766D5" w:rsidDel="1C92D6AF">
        <w:rPr>
          <w:lang w:val="en-GB"/>
        </w:rPr>
        <w:t xml:space="preserve">and </w:t>
      </w:r>
      <w:r w:rsidRPr="009766D5" w:rsidDel="46647DE9">
        <w:rPr>
          <w:lang w:val="en-GB"/>
        </w:rPr>
        <w:t>formal and informal volunteer organizations, including women</w:t>
      </w:r>
      <w:r w:rsidR="00A028A9" w:rsidRPr="009766D5">
        <w:rPr>
          <w:lang w:val="en-GB"/>
        </w:rPr>
        <w:t xml:space="preserve">’s, </w:t>
      </w:r>
      <w:r w:rsidRPr="009766D5" w:rsidDel="46647DE9">
        <w:rPr>
          <w:lang w:val="en-GB"/>
        </w:rPr>
        <w:t>marginalized</w:t>
      </w:r>
      <w:r w:rsidR="00A028A9" w:rsidRPr="009766D5">
        <w:rPr>
          <w:lang w:val="en-GB"/>
        </w:rPr>
        <w:t xml:space="preserve"> and </w:t>
      </w:r>
      <w:r w:rsidRPr="009766D5" w:rsidDel="7074E66D">
        <w:rPr>
          <w:lang w:val="en-GB"/>
        </w:rPr>
        <w:t>youth</w:t>
      </w:r>
      <w:r w:rsidRPr="009766D5" w:rsidDel="46647DE9">
        <w:rPr>
          <w:lang w:val="en-GB"/>
        </w:rPr>
        <w:t xml:space="preserve"> groups</w:t>
      </w:r>
      <w:r w:rsidR="00A028A9" w:rsidRPr="009766D5">
        <w:rPr>
          <w:lang w:val="en-GB"/>
        </w:rPr>
        <w:t>,</w:t>
      </w:r>
      <w:r w:rsidRPr="009766D5" w:rsidDel="46647DE9">
        <w:rPr>
          <w:lang w:val="en-GB"/>
        </w:rPr>
        <w:t xml:space="preserve"> for policy research, knowledge management and monitoring capacities to measure its contribution to national goals and communicate results and lessons learned to partners and the public</w:t>
      </w:r>
      <w:r w:rsidRPr="009766D5" w:rsidDel="0AD9C85A">
        <w:rPr>
          <w:lang w:val="en-GB"/>
        </w:rPr>
        <w:t>.</w:t>
      </w:r>
    </w:p>
    <w:p w14:paraId="43991A74" w14:textId="77777777" w:rsidR="00BC261E" w:rsidRPr="009766D5" w:rsidRDefault="00BC261E" w:rsidP="00BC261E">
      <w:pPr>
        <w:pStyle w:val="ListParagraph"/>
        <w:tabs>
          <w:tab w:val="left" w:pos="1260"/>
        </w:tabs>
        <w:spacing w:after="120" w:line="240" w:lineRule="exact"/>
        <w:ind w:left="900" w:right="720"/>
        <w:jc w:val="both"/>
        <w:rPr>
          <w:lang w:val="en-GB"/>
        </w:rPr>
      </w:pPr>
    </w:p>
    <w:p w14:paraId="2440D43E" w14:textId="33E3D240" w:rsidR="00214EC6" w:rsidRPr="009766D5" w:rsidRDefault="00214EC6" w:rsidP="004F3B24">
      <w:pPr>
        <w:pStyle w:val="ListParagraph"/>
        <w:numPr>
          <w:ilvl w:val="2"/>
          <w:numId w:val="53"/>
        </w:numPr>
        <w:spacing w:after="120"/>
        <w:ind w:left="284" w:hanging="284"/>
        <w:jc w:val="both"/>
        <w:rPr>
          <w:lang w:val="en-GB"/>
        </w:rPr>
        <w:sectPr w:rsidR="00214EC6" w:rsidRPr="009766D5"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5D0C17DE" w14:textId="0B8255B8" w:rsidR="00357B24" w:rsidRPr="009766D5" w:rsidRDefault="00357B24" w:rsidP="00357B24">
      <w:pPr>
        <w:spacing w:after="120"/>
        <w:ind w:left="1151" w:right="1151" w:hanging="881"/>
        <w:rPr>
          <w:b/>
          <w:color w:val="000000"/>
          <w:lang w:val="en-GB"/>
        </w:rPr>
      </w:pPr>
      <w:r w:rsidRPr="009766D5">
        <w:rPr>
          <w:b/>
          <w:color w:val="000000"/>
          <w:sz w:val="24"/>
          <w:szCs w:val="24"/>
          <w:lang w:val="en-GB"/>
        </w:rPr>
        <w:lastRenderedPageBreak/>
        <w:t>Annex</w:t>
      </w:r>
      <w:r w:rsidR="008462C7" w:rsidRPr="009766D5">
        <w:rPr>
          <w:b/>
          <w:color w:val="000000"/>
          <w:sz w:val="24"/>
          <w:szCs w:val="24"/>
          <w:lang w:val="en-GB"/>
        </w:rPr>
        <w:t>.</w:t>
      </w:r>
      <w:r w:rsidRPr="009766D5">
        <w:rPr>
          <w:b/>
          <w:color w:val="000000"/>
          <w:sz w:val="24"/>
          <w:szCs w:val="24"/>
          <w:lang w:val="en-GB"/>
        </w:rPr>
        <w:t xml:space="preserve"> Results and resources framework for </w:t>
      </w:r>
      <w:r w:rsidR="002203EE" w:rsidRPr="009766D5">
        <w:rPr>
          <w:b/>
          <w:sz w:val="24"/>
          <w:szCs w:val="24"/>
          <w:lang w:val="en-GB"/>
        </w:rPr>
        <w:t>Benin</w:t>
      </w:r>
      <w:r w:rsidRPr="009766D5">
        <w:rPr>
          <w:b/>
          <w:color w:val="000000"/>
          <w:sz w:val="24"/>
          <w:szCs w:val="24"/>
          <w:lang w:val="en-GB"/>
        </w:rPr>
        <w:t xml:space="preserve"> (202</w:t>
      </w:r>
      <w:r w:rsidR="002203EE" w:rsidRPr="009766D5">
        <w:rPr>
          <w:b/>
          <w:color w:val="000000"/>
          <w:sz w:val="24"/>
          <w:szCs w:val="24"/>
          <w:lang w:val="en-GB"/>
        </w:rPr>
        <w:t>4</w:t>
      </w:r>
      <w:r w:rsidRPr="009766D5">
        <w:rPr>
          <w:b/>
          <w:color w:val="000000"/>
          <w:sz w:val="24"/>
          <w:szCs w:val="24"/>
          <w:lang w:val="en-GB"/>
        </w:rPr>
        <w:t>-202</w:t>
      </w:r>
      <w:r w:rsidR="002203EE" w:rsidRPr="009766D5">
        <w:rPr>
          <w:b/>
          <w:color w:val="000000"/>
          <w:sz w:val="24"/>
          <w:szCs w:val="24"/>
          <w:lang w:val="en-GB"/>
        </w:rPr>
        <w:t>6</w:t>
      </w:r>
      <w:r w:rsidRPr="009766D5">
        <w:rPr>
          <w:b/>
          <w:color w:val="000000"/>
          <w:sz w:val="24"/>
          <w:szCs w:val="24"/>
          <w:lang w:val="en-GB"/>
        </w:rPr>
        <w:t>)</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65"/>
        <w:gridCol w:w="2154"/>
        <w:gridCol w:w="4119"/>
        <w:gridCol w:w="3536"/>
        <w:gridCol w:w="1838"/>
      </w:tblGrid>
      <w:tr w:rsidR="00161EBF" w:rsidRPr="009766D5" w14:paraId="44410D3B" w14:textId="77777777" w:rsidTr="00654147">
        <w:trPr>
          <w:trHeight w:val="25"/>
          <w:jc w:val="center"/>
        </w:trPr>
        <w:tc>
          <w:tcPr>
            <w:tcW w:w="14312" w:type="dxa"/>
            <w:gridSpan w:val="5"/>
            <w:shd w:val="clear" w:color="auto" w:fill="DBE5F1" w:themeFill="accent1" w:themeFillTint="33"/>
            <w:tcMar>
              <w:top w:w="72" w:type="dxa"/>
              <w:left w:w="144" w:type="dxa"/>
              <w:bottom w:w="72" w:type="dxa"/>
              <w:right w:w="144" w:type="dxa"/>
            </w:tcMar>
            <w:hideMark/>
          </w:tcPr>
          <w:p w14:paraId="7438DB46" w14:textId="28B3470A" w:rsidR="00161EBF" w:rsidRPr="009766D5" w:rsidRDefault="00372F12" w:rsidP="00654147">
            <w:pPr>
              <w:rPr>
                <w:sz w:val="18"/>
                <w:szCs w:val="18"/>
                <w:lang w:val="en-GB"/>
              </w:rPr>
            </w:pPr>
            <w:r w:rsidRPr="009766D5">
              <w:rPr>
                <w:b/>
                <w:bCs/>
                <w:sz w:val="18"/>
                <w:szCs w:val="18"/>
                <w:lang w:val="en-GB"/>
              </w:rPr>
              <w:t>National priority or goal</w:t>
            </w:r>
            <w:r w:rsidR="00161EBF" w:rsidRPr="009766D5">
              <w:rPr>
                <w:b/>
                <w:bCs/>
                <w:sz w:val="18"/>
                <w:szCs w:val="18"/>
                <w:lang w:val="en-GB"/>
              </w:rPr>
              <w:t xml:space="preserve">: </w:t>
            </w:r>
            <w:r w:rsidR="00161EBF" w:rsidRPr="009766D5">
              <w:rPr>
                <w:bCs/>
                <w:sz w:val="18"/>
                <w:szCs w:val="18"/>
                <w:lang w:val="en-GB"/>
              </w:rPr>
              <w:t>Pillar 2</w:t>
            </w:r>
            <w:r w:rsidR="00161EBF" w:rsidRPr="009766D5" w:rsidDel="004B1633">
              <w:rPr>
                <w:bCs/>
                <w:i/>
                <w:iCs/>
                <w:sz w:val="18"/>
                <w:szCs w:val="18"/>
                <w:lang w:val="en-GB"/>
              </w:rPr>
              <w:t xml:space="preserve"> </w:t>
            </w:r>
            <w:r w:rsidR="00161EBF" w:rsidRPr="009766D5">
              <w:rPr>
                <w:bCs/>
                <w:iCs/>
                <w:sz w:val="18"/>
                <w:szCs w:val="18"/>
                <w:lang w:val="en-GB"/>
              </w:rPr>
              <w:t xml:space="preserve">of </w:t>
            </w:r>
            <w:r w:rsidR="00F60A82" w:rsidRPr="009766D5">
              <w:rPr>
                <w:bCs/>
                <w:sz w:val="18"/>
                <w:szCs w:val="18"/>
                <w:lang w:val="en-GB"/>
              </w:rPr>
              <w:t>G</w:t>
            </w:r>
            <w:r w:rsidR="00161EBF" w:rsidRPr="009766D5">
              <w:rPr>
                <w:bCs/>
                <w:sz w:val="18"/>
                <w:szCs w:val="18"/>
                <w:lang w:val="en-GB"/>
              </w:rPr>
              <w:t>overnment Action Program</w:t>
            </w:r>
            <w:r w:rsidR="00777986" w:rsidRPr="009766D5">
              <w:rPr>
                <w:bCs/>
                <w:sz w:val="18"/>
                <w:szCs w:val="18"/>
                <w:lang w:val="en-GB"/>
              </w:rPr>
              <w:t>me</w:t>
            </w:r>
            <w:r w:rsidR="00161EBF" w:rsidRPr="009766D5">
              <w:rPr>
                <w:bCs/>
                <w:sz w:val="18"/>
                <w:szCs w:val="18"/>
                <w:lang w:val="en-GB"/>
              </w:rPr>
              <w:t xml:space="preserve"> (2021-2026)</w:t>
            </w:r>
            <w:r w:rsidR="00F60A82" w:rsidRPr="009766D5">
              <w:rPr>
                <w:bCs/>
                <w:sz w:val="18"/>
                <w:szCs w:val="18"/>
                <w:lang w:val="en-GB"/>
              </w:rPr>
              <w:t xml:space="preserve"> – </w:t>
            </w:r>
            <w:r w:rsidR="00161EBF" w:rsidRPr="009766D5">
              <w:rPr>
                <w:bCs/>
                <w:sz w:val="18"/>
                <w:szCs w:val="18"/>
                <w:lang w:val="en-GB"/>
              </w:rPr>
              <w:t>Pursue the structural transformation of the economy</w:t>
            </w:r>
            <w:r w:rsidR="001A4D0B" w:rsidRPr="009766D5">
              <w:rPr>
                <w:bCs/>
                <w:sz w:val="18"/>
                <w:szCs w:val="18"/>
                <w:lang w:val="en-GB"/>
              </w:rPr>
              <w:t>.</w:t>
            </w:r>
          </w:p>
        </w:tc>
      </w:tr>
      <w:tr w:rsidR="00161EBF" w:rsidRPr="009766D5" w14:paraId="077FF648" w14:textId="77777777" w:rsidTr="00654147">
        <w:trPr>
          <w:trHeight w:val="124"/>
          <w:jc w:val="center"/>
        </w:trPr>
        <w:tc>
          <w:tcPr>
            <w:tcW w:w="14312" w:type="dxa"/>
            <w:gridSpan w:val="5"/>
            <w:shd w:val="clear" w:color="auto" w:fill="DBE5F1" w:themeFill="accent1" w:themeFillTint="33"/>
            <w:tcMar>
              <w:top w:w="72" w:type="dxa"/>
              <w:left w:w="144" w:type="dxa"/>
              <w:bottom w:w="72" w:type="dxa"/>
              <w:right w:w="144" w:type="dxa"/>
            </w:tcMar>
            <w:hideMark/>
          </w:tcPr>
          <w:p w14:paraId="0EA57391" w14:textId="435A0E3E" w:rsidR="00161EBF" w:rsidRPr="009766D5" w:rsidRDefault="00372F12" w:rsidP="00654147">
            <w:pPr>
              <w:jc w:val="both"/>
              <w:rPr>
                <w:sz w:val="18"/>
                <w:szCs w:val="18"/>
                <w:lang w:val="en-GB"/>
              </w:rPr>
            </w:pPr>
            <w:r w:rsidRPr="009766D5">
              <w:rPr>
                <w:b/>
                <w:bCs/>
                <w:sz w:val="18"/>
                <w:szCs w:val="18"/>
                <w:lang w:val="en-GB"/>
              </w:rPr>
              <w:t xml:space="preserve">Cooperation framework (or equivalent) outcome involving UNDP #1. </w:t>
            </w:r>
          </w:p>
          <w:p w14:paraId="7C4F4110" w14:textId="77777777" w:rsidR="00161EBF" w:rsidRPr="009766D5" w:rsidRDefault="00161EBF" w:rsidP="00654147">
            <w:pPr>
              <w:jc w:val="both"/>
              <w:rPr>
                <w:sz w:val="18"/>
                <w:szCs w:val="18"/>
                <w:lang w:val="en-GB"/>
              </w:rPr>
            </w:pPr>
            <w:r w:rsidRPr="009766D5">
              <w:rPr>
                <w:sz w:val="18"/>
                <w:szCs w:val="18"/>
                <w:lang w:val="en-GB"/>
              </w:rPr>
              <w:t>By 2026, Benin's population, especially the vulnerable, is resilient to shocks and benefits from the fruits of diversified, sustainable economic growth that creates decent jobs</w:t>
            </w:r>
          </w:p>
        </w:tc>
      </w:tr>
      <w:tr w:rsidR="00161EBF" w:rsidRPr="009766D5" w14:paraId="54CD6D79" w14:textId="77777777" w:rsidTr="00654147">
        <w:trPr>
          <w:trHeight w:val="124"/>
          <w:jc w:val="center"/>
        </w:trPr>
        <w:tc>
          <w:tcPr>
            <w:tcW w:w="14312" w:type="dxa"/>
            <w:gridSpan w:val="5"/>
            <w:shd w:val="clear" w:color="auto" w:fill="DBE5F1" w:themeFill="accent1" w:themeFillTint="33"/>
            <w:tcMar>
              <w:top w:w="72" w:type="dxa"/>
              <w:left w:w="144" w:type="dxa"/>
              <w:bottom w:w="72" w:type="dxa"/>
              <w:right w:w="144" w:type="dxa"/>
            </w:tcMar>
            <w:hideMark/>
          </w:tcPr>
          <w:p w14:paraId="5317D82F" w14:textId="0E0BBD30" w:rsidR="00161EBF" w:rsidRPr="009766D5" w:rsidRDefault="00372F12" w:rsidP="00654147">
            <w:pPr>
              <w:rPr>
                <w:i/>
                <w:iCs/>
                <w:sz w:val="18"/>
                <w:szCs w:val="18"/>
                <w:lang w:val="en-GB"/>
              </w:rPr>
            </w:pPr>
            <w:r w:rsidRPr="009766D5">
              <w:rPr>
                <w:b/>
                <w:bCs/>
                <w:sz w:val="18"/>
                <w:szCs w:val="18"/>
                <w:lang w:val="en-GB"/>
              </w:rPr>
              <w:t>Related Strategic Plan outcome:</w:t>
            </w:r>
            <w:r w:rsidR="00161EBF" w:rsidRPr="009766D5">
              <w:rPr>
                <w:b/>
                <w:bCs/>
                <w:sz w:val="18"/>
                <w:szCs w:val="18"/>
                <w:lang w:val="en-GB"/>
              </w:rPr>
              <w:t xml:space="preserve"> </w:t>
            </w:r>
            <w:r w:rsidR="00161EBF" w:rsidRPr="009766D5">
              <w:rPr>
                <w:iCs/>
                <w:sz w:val="18"/>
                <w:szCs w:val="18"/>
                <w:lang w:val="en-GB"/>
              </w:rPr>
              <w:t>Outcome 1</w:t>
            </w:r>
            <w:r w:rsidR="00F60A82" w:rsidRPr="009766D5">
              <w:rPr>
                <w:iCs/>
                <w:sz w:val="18"/>
                <w:szCs w:val="18"/>
                <w:lang w:val="en-GB"/>
              </w:rPr>
              <w:t>.</w:t>
            </w:r>
            <w:r w:rsidR="00161EBF" w:rsidRPr="009766D5">
              <w:rPr>
                <w:iCs/>
                <w:sz w:val="18"/>
                <w:szCs w:val="18"/>
                <w:lang w:val="en-GB"/>
              </w:rPr>
              <w:t xml:space="preserve"> Structural transformation accelerated, particularly green, inclusive and digital transitions</w:t>
            </w:r>
          </w:p>
        </w:tc>
      </w:tr>
      <w:tr w:rsidR="00161EBF" w:rsidRPr="009766D5" w14:paraId="69FD4A9B" w14:textId="77777777" w:rsidTr="00061229">
        <w:trPr>
          <w:trHeight w:val="322"/>
          <w:jc w:val="center"/>
        </w:trPr>
        <w:tc>
          <w:tcPr>
            <w:tcW w:w="2665" w:type="dxa"/>
            <w:shd w:val="clear" w:color="auto" w:fill="DBE5F1" w:themeFill="accent1" w:themeFillTint="33"/>
            <w:tcMar>
              <w:top w:w="72" w:type="dxa"/>
              <w:left w:w="144" w:type="dxa"/>
              <w:bottom w:w="72" w:type="dxa"/>
              <w:right w:w="144" w:type="dxa"/>
            </w:tcMar>
            <w:vAlign w:val="center"/>
            <w:hideMark/>
          </w:tcPr>
          <w:p w14:paraId="67ED9219" w14:textId="3F789D7D" w:rsidR="00161EBF" w:rsidRPr="009766D5" w:rsidRDefault="00372F12" w:rsidP="00654147">
            <w:pPr>
              <w:jc w:val="center"/>
              <w:rPr>
                <w:sz w:val="18"/>
                <w:szCs w:val="18"/>
                <w:lang w:val="en-GB"/>
              </w:rPr>
            </w:pPr>
            <w:r w:rsidRPr="009766D5">
              <w:rPr>
                <w:b/>
                <w:bCs/>
                <w:sz w:val="18"/>
                <w:szCs w:val="18"/>
                <w:lang w:val="en-GB"/>
              </w:rPr>
              <w:t>Cooperation Framework outcome indicator(s), baselines, target(s)</w:t>
            </w:r>
          </w:p>
        </w:tc>
        <w:tc>
          <w:tcPr>
            <w:tcW w:w="2154" w:type="dxa"/>
            <w:shd w:val="clear" w:color="auto" w:fill="DBE5F1" w:themeFill="accent1" w:themeFillTint="33"/>
            <w:vAlign w:val="center"/>
            <w:hideMark/>
          </w:tcPr>
          <w:p w14:paraId="200AAC70" w14:textId="38541569" w:rsidR="00161EBF" w:rsidRPr="009766D5" w:rsidRDefault="00372F12" w:rsidP="00654147">
            <w:pPr>
              <w:jc w:val="center"/>
              <w:rPr>
                <w:b/>
                <w:sz w:val="18"/>
                <w:szCs w:val="18"/>
                <w:lang w:val="en-GB"/>
              </w:rPr>
            </w:pPr>
            <w:r w:rsidRPr="009766D5">
              <w:rPr>
                <w:b/>
                <w:sz w:val="18"/>
                <w:szCs w:val="18"/>
                <w:lang w:val="en-GB"/>
              </w:rPr>
              <w:t>Data source and frequency of data collection, and responsibilities</w:t>
            </w:r>
          </w:p>
        </w:tc>
        <w:tc>
          <w:tcPr>
            <w:tcW w:w="4119" w:type="dxa"/>
            <w:shd w:val="clear" w:color="auto" w:fill="DBE5F1" w:themeFill="accent1" w:themeFillTint="33"/>
            <w:tcMar>
              <w:top w:w="72" w:type="dxa"/>
              <w:left w:w="144" w:type="dxa"/>
              <w:bottom w:w="72" w:type="dxa"/>
              <w:right w:w="144" w:type="dxa"/>
            </w:tcMar>
            <w:vAlign w:val="center"/>
            <w:hideMark/>
          </w:tcPr>
          <w:p w14:paraId="548618FB" w14:textId="2AF61632" w:rsidR="00161EBF" w:rsidRPr="009766D5" w:rsidRDefault="00372F12" w:rsidP="00654147">
            <w:pPr>
              <w:jc w:val="center"/>
              <w:rPr>
                <w:sz w:val="18"/>
                <w:szCs w:val="18"/>
                <w:lang w:val="en-GB"/>
              </w:rPr>
            </w:pPr>
            <w:r w:rsidRPr="009766D5">
              <w:rPr>
                <w:b/>
                <w:bCs/>
                <w:sz w:val="18"/>
                <w:szCs w:val="18"/>
                <w:lang w:val="en-GB"/>
              </w:rPr>
              <w:t xml:space="preserve">Indicative country programme outputs </w:t>
            </w:r>
          </w:p>
        </w:tc>
        <w:tc>
          <w:tcPr>
            <w:tcW w:w="3536" w:type="dxa"/>
            <w:tcBorders>
              <w:right w:val="nil"/>
            </w:tcBorders>
            <w:shd w:val="clear" w:color="auto" w:fill="DBE5F1" w:themeFill="accent1" w:themeFillTint="33"/>
            <w:vAlign w:val="center"/>
            <w:hideMark/>
          </w:tcPr>
          <w:p w14:paraId="37793C49" w14:textId="4400CA21" w:rsidR="00161EBF" w:rsidRPr="009766D5" w:rsidRDefault="00C1265B" w:rsidP="00654147">
            <w:pPr>
              <w:jc w:val="center"/>
              <w:rPr>
                <w:b/>
                <w:bCs/>
                <w:sz w:val="18"/>
                <w:szCs w:val="18"/>
                <w:lang w:val="en-GB"/>
              </w:rPr>
            </w:pPr>
            <w:r w:rsidRPr="009766D5">
              <w:rPr>
                <w:b/>
                <w:bCs/>
                <w:sz w:val="18"/>
                <w:szCs w:val="18"/>
                <w:lang w:val="en-GB"/>
              </w:rPr>
              <w:t>Major partners/partnerships</w:t>
            </w:r>
          </w:p>
          <w:p w14:paraId="410A93F6" w14:textId="1DB4F79A" w:rsidR="00161EBF" w:rsidRPr="009766D5" w:rsidRDefault="00C1265B" w:rsidP="00654147">
            <w:pPr>
              <w:jc w:val="center"/>
              <w:rPr>
                <w:b/>
                <w:bCs/>
                <w:sz w:val="18"/>
                <w:szCs w:val="18"/>
                <w:lang w:val="en-GB"/>
              </w:rPr>
            </w:pPr>
            <w:r w:rsidRPr="009766D5">
              <w:rPr>
                <w:b/>
                <w:bCs/>
                <w:sz w:val="18"/>
                <w:szCs w:val="18"/>
                <w:lang w:val="en-GB"/>
              </w:rPr>
              <w:t>Frameworks</w:t>
            </w:r>
          </w:p>
        </w:tc>
        <w:tc>
          <w:tcPr>
            <w:tcW w:w="1838" w:type="dxa"/>
            <w:tcBorders>
              <w:top w:val="nil"/>
              <w:left w:val="nil"/>
              <w:bottom w:val="single" w:sz="4" w:space="0" w:color="auto"/>
              <w:right w:val="nil"/>
            </w:tcBorders>
            <w:shd w:val="clear" w:color="auto" w:fill="DBE5F1" w:themeFill="accent1" w:themeFillTint="33"/>
            <w:tcMar>
              <w:top w:w="15" w:type="dxa"/>
              <w:left w:w="108" w:type="dxa"/>
              <w:bottom w:w="0" w:type="dxa"/>
              <w:right w:w="108" w:type="dxa"/>
            </w:tcMar>
            <w:vAlign w:val="center"/>
            <w:hideMark/>
          </w:tcPr>
          <w:p w14:paraId="365AF29A" w14:textId="7705368B" w:rsidR="00DD4BAF" w:rsidRPr="009766D5" w:rsidRDefault="00DD4BAF" w:rsidP="00DD4BAF">
            <w:pPr>
              <w:jc w:val="center"/>
              <w:rPr>
                <w:b/>
                <w:bCs/>
                <w:sz w:val="18"/>
                <w:szCs w:val="18"/>
                <w:lang w:val="en-GB"/>
              </w:rPr>
            </w:pPr>
            <w:r w:rsidRPr="009766D5">
              <w:rPr>
                <w:b/>
                <w:bCs/>
                <w:sz w:val="18"/>
                <w:szCs w:val="18"/>
                <w:lang w:val="en-GB"/>
              </w:rPr>
              <w:t xml:space="preserve">Estimated cost by outcome </w:t>
            </w:r>
          </w:p>
          <w:p w14:paraId="4DDB1D3B" w14:textId="7C835B81" w:rsidR="00161EBF" w:rsidRPr="009766D5" w:rsidRDefault="00161EBF" w:rsidP="00DD4BAF">
            <w:pPr>
              <w:jc w:val="center"/>
              <w:rPr>
                <w:i/>
                <w:sz w:val="18"/>
                <w:szCs w:val="18"/>
                <w:lang w:val="en-GB"/>
              </w:rPr>
            </w:pPr>
            <w:r w:rsidRPr="009766D5">
              <w:rPr>
                <w:b/>
                <w:bCs/>
                <w:sz w:val="18"/>
                <w:szCs w:val="18"/>
                <w:lang w:val="en-GB"/>
              </w:rPr>
              <w:t>($</w:t>
            </w:r>
            <w:r w:rsidR="00DD4BAF" w:rsidRPr="009766D5">
              <w:rPr>
                <w:b/>
                <w:bCs/>
                <w:sz w:val="18"/>
                <w:szCs w:val="18"/>
                <w:lang w:val="en-GB"/>
              </w:rPr>
              <w:t xml:space="preserve"> thousands</w:t>
            </w:r>
            <w:r w:rsidRPr="009766D5">
              <w:rPr>
                <w:b/>
                <w:bCs/>
                <w:sz w:val="18"/>
                <w:szCs w:val="18"/>
                <w:lang w:val="en-GB"/>
              </w:rPr>
              <w:t>)</w:t>
            </w:r>
          </w:p>
        </w:tc>
      </w:tr>
      <w:tr w:rsidR="00161EBF" w:rsidRPr="009766D5" w14:paraId="73B1D03C" w14:textId="77777777" w:rsidTr="00061229">
        <w:trPr>
          <w:trHeight w:val="133"/>
          <w:jc w:val="center"/>
        </w:trPr>
        <w:tc>
          <w:tcPr>
            <w:tcW w:w="2665" w:type="dxa"/>
            <w:vMerge w:val="restart"/>
            <w:tcMar>
              <w:top w:w="72" w:type="dxa"/>
              <w:left w:w="144" w:type="dxa"/>
              <w:bottom w:w="72" w:type="dxa"/>
              <w:right w:w="144" w:type="dxa"/>
            </w:tcMar>
            <w:hideMark/>
          </w:tcPr>
          <w:p w14:paraId="352404E9" w14:textId="7D339775" w:rsidR="00161EBF" w:rsidRPr="009766D5" w:rsidRDefault="00161EBF" w:rsidP="00654147">
            <w:pPr>
              <w:tabs>
                <w:tab w:val="left" w:pos="1350"/>
              </w:tabs>
              <w:spacing w:before="40" w:after="40" w:line="210" w:lineRule="exact"/>
              <w:ind w:right="72"/>
              <w:rPr>
                <w:sz w:val="18"/>
                <w:szCs w:val="18"/>
                <w:lang w:val="en-GB"/>
              </w:rPr>
            </w:pPr>
            <w:r w:rsidRPr="009766D5">
              <w:rPr>
                <w:b/>
                <w:bCs/>
                <w:sz w:val="18"/>
                <w:szCs w:val="18"/>
                <w:lang w:val="en-GB"/>
              </w:rPr>
              <w:t>Indicator 1.1</w:t>
            </w:r>
            <w:r w:rsidR="00DD4BAF" w:rsidRPr="009766D5">
              <w:rPr>
                <w:b/>
                <w:bCs/>
                <w:sz w:val="18"/>
                <w:szCs w:val="18"/>
                <w:lang w:val="en-GB"/>
              </w:rPr>
              <w:t>.</w:t>
            </w:r>
            <w:r w:rsidRPr="009766D5">
              <w:rPr>
                <w:sz w:val="18"/>
                <w:szCs w:val="18"/>
                <w:lang w:val="en-GB"/>
              </w:rPr>
              <w:t xml:space="preserve"> Labour under</w:t>
            </w:r>
            <w:r w:rsidR="00DD4BAF" w:rsidRPr="009766D5">
              <w:rPr>
                <w:sz w:val="18"/>
                <w:szCs w:val="18"/>
                <w:lang w:val="en-GB"/>
              </w:rPr>
              <w:t>-</w:t>
            </w:r>
            <w:r w:rsidRPr="009766D5">
              <w:rPr>
                <w:sz w:val="18"/>
                <w:szCs w:val="18"/>
                <w:lang w:val="en-GB"/>
              </w:rPr>
              <w:t xml:space="preserve">utilization rate (a-Female; </w:t>
            </w:r>
            <w:r w:rsidR="00DD4BAF" w:rsidRPr="009766D5">
              <w:rPr>
                <w:sz w:val="18"/>
                <w:szCs w:val="18"/>
                <w:lang w:val="en-GB"/>
              </w:rPr>
              <w:t xml:space="preserve">       </w:t>
            </w:r>
            <w:r w:rsidRPr="009766D5">
              <w:rPr>
                <w:sz w:val="18"/>
                <w:szCs w:val="18"/>
                <w:lang w:val="en-GB"/>
              </w:rPr>
              <w:t>b-Male; c-Total)</w:t>
            </w:r>
          </w:p>
          <w:p w14:paraId="41DD2800" w14:textId="720A21DA" w:rsidR="00161EBF" w:rsidRPr="009766D5" w:rsidRDefault="00161EBF" w:rsidP="00654147">
            <w:pPr>
              <w:pStyle w:val="Default"/>
              <w:rPr>
                <w:rFonts w:ascii="Times New Roman" w:hAnsi="Times New Roman" w:cs="Times New Roman"/>
                <w:bCs/>
                <w:color w:val="auto"/>
                <w:sz w:val="18"/>
                <w:szCs w:val="18"/>
              </w:rPr>
            </w:pPr>
            <w:r w:rsidRPr="009766D5">
              <w:rPr>
                <w:rFonts w:ascii="Times New Roman" w:eastAsia="Times New Roman" w:hAnsi="Times New Roman" w:cs="Times New Roman"/>
                <w:color w:val="auto"/>
                <w:sz w:val="18"/>
                <w:szCs w:val="18"/>
              </w:rPr>
              <w:t>Baseline (2018): a-21</w:t>
            </w:r>
            <w:r w:rsidR="00DD4BAF" w:rsidRPr="009766D5">
              <w:rPr>
                <w:rFonts w:ascii="Times New Roman" w:eastAsia="Times New Roman" w:hAnsi="Times New Roman" w:cs="Times New Roman"/>
                <w:color w:val="auto"/>
                <w:sz w:val="18"/>
                <w:szCs w:val="18"/>
              </w:rPr>
              <w:t>.</w:t>
            </w:r>
            <w:r w:rsidRPr="009766D5">
              <w:rPr>
                <w:rFonts w:ascii="Times New Roman" w:eastAsia="Times New Roman" w:hAnsi="Times New Roman" w:cs="Times New Roman"/>
                <w:color w:val="auto"/>
                <w:sz w:val="18"/>
                <w:szCs w:val="18"/>
              </w:rPr>
              <w:t>3%;</w:t>
            </w:r>
            <w:r w:rsidR="00DD4BAF" w:rsidRPr="009766D5">
              <w:rPr>
                <w:rFonts w:ascii="Times New Roman" w:eastAsia="Times New Roman" w:hAnsi="Times New Roman" w:cs="Times New Roman"/>
                <w:color w:val="auto"/>
                <w:sz w:val="18"/>
                <w:szCs w:val="18"/>
              </w:rPr>
              <w:t xml:space="preserve">        </w:t>
            </w:r>
            <w:r w:rsidRPr="009766D5">
              <w:rPr>
                <w:rFonts w:ascii="Times New Roman" w:eastAsia="Times New Roman" w:hAnsi="Times New Roman" w:cs="Times New Roman"/>
                <w:color w:val="auto"/>
                <w:sz w:val="18"/>
                <w:szCs w:val="18"/>
              </w:rPr>
              <w:t>b-14</w:t>
            </w:r>
            <w:r w:rsidR="00DD4BAF" w:rsidRPr="009766D5">
              <w:rPr>
                <w:rFonts w:ascii="Times New Roman" w:eastAsia="Times New Roman" w:hAnsi="Times New Roman" w:cs="Times New Roman"/>
                <w:color w:val="auto"/>
                <w:sz w:val="18"/>
                <w:szCs w:val="18"/>
              </w:rPr>
              <w:t>.</w:t>
            </w:r>
            <w:r w:rsidRPr="009766D5">
              <w:rPr>
                <w:rFonts w:ascii="Times New Roman" w:eastAsia="Times New Roman" w:hAnsi="Times New Roman" w:cs="Times New Roman"/>
                <w:color w:val="auto"/>
                <w:sz w:val="18"/>
                <w:szCs w:val="18"/>
              </w:rPr>
              <w:t>1%; c-</w:t>
            </w:r>
            <w:r w:rsidRPr="009766D5">
              <w:rPr>
                <w:rFonts w:ascii="Times New Roman" w:hAnsi="Times New Roman" w:cs="Times New Roman"/>
                <w:color w:val="auto"/>
                <w:sz w:val="18"/>
                <w:szCs w:val="18"/>
              </w:rPr>
              <w:t>17</w:t>
            </w:r>
            <w:r w:rsidR="00DD4BAF" w:rsidRPr="009766D5">
              <w:rPr>
                <w:rFonts w:ascii="Times New Roman" w:hAnsi="Times New Roman" w:cs="Times New Roman"/>
                <w:color w:val="auto"/>
                <w:sz w:val="18"/>
                <w:szCs w:val="18"/>
              </w:rPr>
              <w:t>.</w:t>
            </w:r>
            <w:r w:rsidRPr="009766D5">
              <w:rPr>
                <w:rFonts w:ascii="Times New Roman" w:hAnsi="Times New Roman" w:cs="Times New Roman"/>
                <w:color w:val="auto"/>
                <w:sz w:val="18"/>
                <w:szCs w:val="18"/>
              </w:rPr>
              <w:t>6%</w:t>
            </w:r>
          </w:p>
          <w:p w14:paraId="5C545B2B" w14:textId="77777777" w:rsidR="00161EBF" w:rsidRPr="009766D5" w:rsidRDefault="00161EBF" w:rsidP="00654147">
            <w:pPr>
              <w:tabs>
                <w:tab w:val="left" w:pos="1350"/>
              </w:tabs>
              <w:spacing w:before="40" w:after="40" w:line="210" w:lineRule="exact"/>
              <w:ind w:right="72"/>
              <w:rPr>
                <w:sz w:val="18"/>
                <w:szCs w:val="18"/>
                <w:lang w:val="en-GB"/>
              </w:rPr>
            </w:pPr>
            <w:r w:rsidRPr="009766D5">
              <w:rPr>
                <w:sz w:val="18"/>
                <w:szCs w:val="18"/>
                <w:lang w:val="en-GB"/>
              </w:rPr>
              <w:t>Target (2026): a-15%; b-10%; c-12%</w:t>
            </w:r>
          </w:p>
          <w:p w14:paraId="2B3A724A" w14:textId="77777777" w:rsidR="00161EBF" w:rsidRPr="009766D5" w:rsidRDefault="00161EBF" w:rsidP="00654147">
            <w:pPr>
              <w:tabs>
                <w:tab w:val="left" w:pos="1350"/>
              </w:tabs>
              <w:spacing w:before="40" w:after="40" w:line="210" w:lineRule="exact"/>
              <w:ind w:right="72"/>
              <w:rPr>
                <w:sz w:val="18"/>
                <w:szCs w:val="18"/>
                <w:lang w:val="en-GB"/>
              </w:rPr>
            </w:pPr>
          </w:p>
          <w:p w14:paraId="7C3F4969" w14:textId="5E801498" w:rsidR="00161EBF" w:rsidRPr="009766D5" w:rsidRDefault="00161EBF" w:rsidP="00654147">
            <w:pPr>
              <w:tabs>
                <w:tab w:val="left" w:pos="1350"/>
              </w:tabs>
              <w:spacing w:before="40" w:after="40" w:line="210" w:lineRule="exact"/>
              <w:ind w:right="72"/>
              <w:rPr>
                <w:sz w:val="18"/>
                <w:szCs w:val="18"/>
                <w:lang w:val="en-GB"/>
              </w:rPr>
            </w:pPr>
            <w:r w:rsidRPr="009766D5">
              <w:rPr>
                <w:b/>
                <w:bCs/>
                <w:sz w:val="18"/>
                <w:szCs w:val="18"/>
                <w:lang w:val="en-GB"/>
              </w:rPr>
              <w:t>Indicator 1.2</w:t>
            </w:r>
            <w:r w:rsidR="00DD4BAF" w:rsidRPr="009766D5">
              <w:rPr>
                <w:b/>
                <w:bCs/>
                <w:sz w:val="18"/>
                <w:szCs w:val="18"/>
                <w:lang w:val="en-GB"/>
              </w:rPr>
              <w:t>.</w:t>
            </w:r>
            <w:r w:rsidRPr="009766D5">
              <w:rPr>
                <w:sz w:val="18"/>
                <w:szCs w:val="18"/>
                <w:lang w:val="en-GB"/>
              </w:rPr>
              <w:t xml:space="preserve"> </w:t>
            </w:r>
            <w:r w:rsidRPr="009766D5">
              <w:rPr>
                <w:bCs/>
                <w:sz w:val="18"/>
                <w:szCs w:val="18"/>
                <w:lang w:val="en-GB"/>
              </w:rPr>
              <w:t xml:space="preserve"> Average growth rate of annual turnover of the supported enterprise</w:t>
            </w:r>
          </w:p>
          <w:p w14:paraId="22F03AC1" w14:textId="77777777" w:rsidR="00161EBF" w:rsidRPr="009766D5" w:rsidRDefault="00161EBF" w:rsidP="00654147">
            <w:pPr>
              <w:tabs>
                <w:tab w:val="left" w:pos="1350"/>
              </w:tabs>
              <w:spacing w:before="40" w:after="40" w:line="210" w:lineRule="exact"/>
              <w:ind w:right="72"/>
              <w:rPr>
                <w:bCs/>
                <w:sz w:val="18"/>
                <w:szCs w:val="18"/>
                <w:lang w:val="en-GB"/>
              </w:rPr>
            </w:pPr>
            <w:r w:rsidRPr="009766D5">
              <w:rPr>
                <w:sz w:val="18"/>
                <w:szCs w:val="18"/>
                <w:lang w:val="en-GB"/>
              </w:rPr>
              <w:t>Baseline (2022): 0%</w:t>
            </w:r>
          </w:p>
          <w:p w14:paraId="750AD075" w14:textId="77777777" w:rsidR="00161EBF" w:rsidRPr="009766D5" w:rsidRDefault="00161EBF" w:rsidP="00654147">
            <w:pPr>
              <w:tabs>
                <w:tab w:val="left" w:pos="1350"/>
              </w:tabs>
              <w:spacing w:before="40" w:after="40" w:line="210" w:lineRule="exact"/>
              <w:ind w:right="72"/>
              <w:rPr>
                <w:sz w:val="18"/>
                <w:szCs w:val="18"/>
                <w:lang w:val="en-GB"/>
              </w:rPr>
            </w:pPr>
            <w:r w:rsidRPr="009766D5">
              <w:rPr>
                <w:sz w:val="18"/>
                <w:szCs w:val="18"/>
                <w:lang w:val="en-GB"/>
              </w:rPr>
              <w:t>Target (2026): 15%</w:t>
            </w:r>
          </w:p>
          <w:p w14:paraId="3AEC0A3F" w14:textId="77777777" w:rsidR="00161EBF" w:rsidRPr="009766D5" w:rsidRDefault="00161EBF" w:rsidP="00654147">
            <w:pPr>
              <w:tabs>
                <w:tab w:val="left" w:pos="1350"/>
              </w:tabs>
              <w:spacing w:before="40" w:after="40" w:line="210" w:lineRule="exact"/>
              <w:ind w:right="72"/>
              <w:rPr>
                <w:bCs/>
                <w:sz w:val="18"/>
                <w:szCs w:val="18"/>
                <w:lang w:val="en-GB"/>
              </w:rPr>
            </w:pPr>
          </w:p>
          <w:p w14:paraId="0C51E28A" w14:textId="1D61CF49" w:rsidR="00161EBF" w:rsidRPr="009766D5" w:rsidRDefault="00161EBF" w:rsidP="002D304B">
            <w:pPr>
              <w:rPr>
                <w:sz w:val="18"/>
                <w:szCs w:val="18"/>
                <w:lang w:val="en-GB"/>
              </w:rPr>
            </w:pPr>
            <w:r w:rsidRPr="009766D5">
              <w:rPr>
                <w:b/>
                <w:bCs/>
                <w:sz w:val="18"/>
                <w:szCs w:val="18"/>
                <w:lang w:val="en-GB"/>
              </w:rPr>
              <w:t>Indicator 1.3</w:t>
            </w:r>
            <w:r w:rsidR="00DD4BAF" w:rsidRPr="009766D5">
              <w:rPr>
                <w:b/>
                <w:bCs/>
                <w:sz w:val="18"/>
                <w:szCs w:val="18"/>
                <w:lang w:val="en-GB"/>
              </w:rPr>
              <w:t>.</w:t>
            </w:r>
            <w:r w:rsidRPr="009766D5">
              <w:rPr>
                <w:sz w:val="18"/>
                <w:szCs w:val="18"/>
                <w:lang w:val="en-GB"/>
              </w:rPr>
              <w:t xml:space="preserve"> Proportion of the total land area occupied by degraded lands</w:t>
            </w:r>
          </w:p>
          <w:p w14:paraId="3C6C7ED5" w14:textId="77777777" w:rsidR="00161EBF" w:rsidRPr="009766D5" w:rsidRDefault="00161EBF" w:rsidP="00654147">
            <w:pPr>
              <w:tabs>
                <w:tab w:val="left" w:pos="1350"/>
              </w:tabs>
              <w:spacing w:before="40" w:after="40" w:line="210" w:lineRule="exact"/>
              <w:ind w:right="72"/>
              <w:rPr>
                <w:sz w:val="18"/>
                <w:szCs w:val="18"/>
                <w:lang w:val="en-GB"/>
              </w:rPr>
            </w:pPr>
            <w:r w:rsidRPr="009766D5">
              <w:rPr>
                <w:sz w:val="18"/>
                <w:szCs w:val="18"/>
                <w:lang w:val="en-GB"/>
              </w:rPr>
              <w:t>Baseline (2018): 62%</w:t>
            </w:r>
          </w:p>
          <w:p w14:paraId="294A7BC9" w14:textId="77777777" w:rsidR="00161EBF" w:rsidRPr="009766D5" w:rsidRDefault="00161EBF" w:rsidP="00654147">
            <w:pPr>
              <w:tabs>
                <w:tab w:val="left" w:pos="1350"/>
              </w:tabs>
              <w:spacing w:before="40" w:after="40" w:line="210" w:lineRule="exact"/>
              <w:ind w:right="72"/>
              <w:rPr>
                <w:bCs/>
                <w:sz w:val="18"/>
                <w:szCs w:val="18"/>
                <w:lang w:val="en-GB"/>
              </w:rPr>
            </w:pPr>
            <w:r w:rsidRPr="009766D5">
              <w:rPr>
                <w:sz w:val="18"/>
                <w:szCs w:val="18"/>
                <w:lang w:val="en-GB"/>
              </w:rPr>
              <w:t xml:space="preserve">Target (2026): 50% </w:t>
            </w:r>
          </w:p>
          <w:p w14:paraId="297B8FA9" w14:textId="77777777" w:rsidR="00161EBF" w:rsidRPr="009766D5" w:rsidRDefault="00161EBF" w:rsidP="00654147">
            <w:pPr>
              <w:rPr>
                <w:bCs/>
                <w:i/>
                <w:sz w:val="18"/>
                <w:szCs w:val="18"/>
                <w:lang w:val="en-GB"/>
              </w:rPr>
            </w:pPr>
          </w:p>
        </w:tc>
        <w:tc>
          <w:tcPr>
            <w:tcW w:w="2154" w:type="dxa"/>
            <w:vMerge w:val="restart"/>
          </w:tcPr>
          <w:p w14:paraId="0442FE5F" w14:textId="77777777" w:rsidR="00161EBF" w:rsidRPr="009766D5" w:rsidRDefault="00161EBF" w:rsidP="00654147">
            <w:pPr>
              <w:rPr>
                <w:iCs/>
                <w:sz w:val="18"/>
                <w:szCs w:val="18"/>
                <w:lang w:val="en-GB"/>
              </w:rPr>
            </w:pPr>
            <w:r w:rsidRPr="009766D5">
              <w:rPr>
                <w:iCs/>
                <w:sz w:val="18"/>
                <w:szCs w:val="18"/>
                <w:lang w:val="en-GB"/>
              </w:rPr>
              <w:t>Source: INStaD</w:t>
            </w:r>
          </w:p>
          <w:p w14:paraId="192529ED" w14:textId="77777777" w:rsidR="00161EBF" w:rsidRPr="009766D5" w:rsidRDefault="00161EBF" w:rsidP="00654147">
            <w:pPr>
              <w:rPr>
                <w:iCs/>
                <w:sz w:val="18"/>
                <w:szCs w:val="18"/>
                <w:lang w:val="en-GB"/>
              </w:rPr>
            </w:pPr>
            <w:r w:rsidRPr="009766D5">
              <w:rPr>
                <w:iCs/>
                <w:sz w:val="18"/>
                <w:szCs w:val="18"/>
                <w:lang w:val="en-GB"/>
              </w:rPr>
              <w:t>Frequency: Biennial</w:t>
            </w:r>
          </w:p>
          <w:p w14:paraId="41C63167" w14:textId="73DF5A79" w:rsidR="00161EBF" w:rsidRPr="009766D5" w:rsidRDefault="00161EBF" w:rsidP="00654147">
            <w:pPr>
              <w:rPr>
                <w:iCs/>
                <w:sz w:val="18"/>
                <w:szCs w:val="18"/>
                <w:lang w:val="en-GB"/>
              </w:rPr>
            </w:pPr>
            <w:r w:rsidRPr="009766D5">
              <w:rPr>
                <w:iCs/>
                <w:sz w:val="18"/>
                <w:szCs w:val="18"/>
                <w:lang w:val="en-GB"/>
              </w:rPr>
              <w:t xml:space="preserve">Responsible: Ministry of </w:t>
            </w:r>
            <w:r w:rsidR="00C1265B" w:rsidRPr="009766D5">
              <w:rPr>
                <w:iCs/>
                <w:sz w:val="18"/>
                <w:szCs w:val="18"/>
                <w:lang w:val="en-GB"/>
              </w:rPr>
              <w:t>E</w:t>
            </w:r>
            <w:r w:rsidRPr="009766D5">
              <w:rPr>
                <w:iCs/>
                <w:sz w:val="18"/>
                <w:szCs w:val="18"/>
                <w:lang w:val="en-GB"/>
              </w:rPr>
              <w:t xml:space="preserve">conomy and </w:t>
            </w:r>
            <w:r w:rsidR="00C1265B" w:rsidRPr="009766D5">
              <w:rPr>
                <w:iCs/>
                <w:sz w:val="18"/>
                <w:szCs w:val="18"/>
                <w:lang w:val="en-GB"/>
              </w:rPr>
              <w:t>F</w:t>
            </w:r>
            <w:r w:rsidRPr="009766D5">
              <w:rPr>
                <w:iCs/>
                <w:sz w:val="18"/>
                <w:szCs w:val="18"/>
                <w:lang w:val="en-GB"/>
              </w:rPr>
              <w:t>inance (MEF)</w:t>
            </w:r>
          </w:p>
          <w:p w14:paraId="6B62211F" w14:textId="77777777" w:rsidR="00161EBF" w:rsidRPr="009766D5" w:rsidRDefault="00161EBF" w:rsidP="00654147">
            <w:pPr>
              <w:rPr>
                <w:iCs/>
                <w:sz w:val="18"/>
                <w:szCs w:val="18"/>
                <w:lang w:val="en-GB"/>
              </w:rPr>
            </w:pPr>
          </w:p>
          <w:p w14:paraId="2E9D80E6" w14:textId="77777777" w:rsidR="00161EBF" w:rsidRPr="009766D5" w:rsidRDefault="00161EBF" w:rsidP="00654147">
            <w:pPr>
              <w:rPr>
                <w:iCs/>
                <w:sz w:val="18"/>
                <w:szCs w:val="18"/>
                <w:lang w:val="en-GB"/>
              </w:rPr>
            </w:pPr>
          </w:p>
          <w:p w14:paraId="6B66BAEA" w14:textId="77777777" w:rsidR="00161EBF" w:rsidRPr="009766D5" w:rsidRDefault="00161EBF" w:rsidP="00654147">
            <w:pPr>
              <w:rPr>
                <w:iCs/>
                <w:sz w:val="18"/>
                <w:szCs w:val="18"/>
                <w:lang w:val="en-GB"/>
              </w:rPr>
            </w:pPr>
          </w:p>
          <w:p w14:paraId="5F1D8829" w14:textId="77777777" w:rsidR="00161EBF" w:rsidRPr="009766D5" w:rsidRDefault="00161EBF" w:rsidP="00654147">
            <w:pPr>
              <w:rPr>
                <w:iCs/>
                <w:sz w:val="18"/>
                <w:szCs w:val="18"/>
                <w:lang w:val="en-GB"/>
              </w:rPr>
            </w:pPr>
            <w:r w:rsidRPr="009766D5">
              <w:rPr>
                <w:iCs/>
                <w:sz w:val="18"/>
                <w:szCs w:val="18"/>
                <w:lang w:val="en-GB"/>
              </w:rPr>
              <w:t>Source: Annual report of Ministry of Agriculture</w:t>
            </w:r>
          </w:p>
          <w:p w14:paraId="0AFD6F21" w14:textId="77777777" w:rsidR="00161EBF" w:rsidRPr="009766D5" w:rsidRDefault="00161EBF" w:rsidP="00654147">
            <w:pPr>
              <w:rPr>
                <w:iCs/>
                <w:sz w:val="18"/>
                <w:szCs w:val="18"/>
                <w:lang w:val="en-GB"/>
              </w:rPr>
            </w:pPr>
            <w:r w:rsidRPr="009766D5">
              <w:rPr>
                <w:iCs/>
                <w:sz w:val="18"/>
                <w:szCs w:val="18"/>
                <w:lang w:val="en-GB"/>
              </w:rPr>
              <w:t>Frequency: Annual</w:t>
            </w:r>
          </w:p>
          <w:p w14:paraId="379CFD7C" w14:textId="77777777" w:rsidR="00161EBF" w:rsidRPr="009766D5" w:rsidRDefault="00161EBF" w:rsidP="00654147">
            <w:pPr>
              <w:rPr>
                <w:iCs/>
                <w:sz w:val="18"/>
                <w:szCs w:val="18"/>
                <w:lang w:val="en-GB"/>
              </w:rPr>
            </w:pPr>
            <w:r w:rsidRPr="009766D5">
              <w:rPr>
                <w:iCs/>
                <w:sz w:val="18"/>
                <w:szCs w:val="18"/>
                <w:lang w:val="en-GB"/>
              </w:rPr>
              <w:t>Responsible: Ministry of agriculture</w:t>
            </w:r>
          </w:p>
          <w:p w14:paraId="1CB5563D" w14:textId="77777777" w:rsidR="00161EBF" w:rsidRPr="009766D5" w:rsidRDefault="00161EBF" w:rsidP="00654147">
            <w:pPr>
              <w:rPr>
                <w:rStyle w:val="rynqvb"/>
                <w:iCs/>
                <w:sz w:val="18"/>
                <w:szCs w:val="18"/>
                <w:lang w:val="en-GB"/>
              </w:rPr>
            </w:pPr>
          </w:p>
          <w:p w14:paraId="73BA33FB" w14:textId="77777777" w:rsidR="00161EBF" w:rsidRPr="009766D5" w:rsidRDefault="00161EBF" w:rsidP="00654147">
            <w:pPr>
              <w:rPr>
                <w:rStyle w:val="rynqvb"/>
                <w:iCs/>
                <w:sz w:val="18"/>
                <w:szCs w:val="18"/>
                <w:lang w:val="en-GB"/>
              </w:rPr>
            </w:pPr>
          </w:p>
          <w:p w14:paraId="49690B82" w14:textId="77777777" w:rsidR="00161EBF" w:rsidRPr="009766D5" w:rsidRDefault="00161EBF" w:rsidP="00654147">
            <w:pPr>
              <w:rPr>
                <w:rStyle w:val="rynqvb"/>
                <w:iCs/>
                <w:sz w:val="18"/>
                <w:szCs w:val="18"/>
                <w:lang w:val="en-GB"/>
              </w:rPr>
            </w:pPr>
            <w:r w:rsidRPr="009766D5">
              <w:rPr>
                <w:rStyle w:val="rynqvb"/>
                <w:iCs/>
                <w:sz w:val="18"/>
                <w:szCs w:val="18"/>
                <w:lang w:val="en-GB"/>
              </w:rPr>
              <w:t xml:space="preserve">Source: Ministry of </w:t>
            </w:r>
            <w:r w:rsidRPr="009766D5" w:rsidDel="0EEF366C">
              <w:rPr>
                <w:rStyle w:val="rynqvb"/>
                <w:iCs/>
                <w:sz w:val="18"/>
                <w:szCs w:val="18"/>
                <w:lang w:val="en-GB"/>
              </w:rPr>
              <w:t>Living</w:t>
            </w:r>
            <w:r w:rsidRPr="009766D5">
              <w:rPr>
                <w:rStyle w:val="rynqvb"/>
                <w:iCs/>
                <w:sz w:val="18"/>
                <w:szCs w:val="18"/>
                <w:lang w:val="en-GB"/>
              </w:rPr>
              <w:t xml:space="preserve"> Environment</w:t>
            </w:r>
            <w:r w:rsidRPr="009766D5" w:rsidDel="0EEF366C">
              <w:rPr>
                <w:rStyle w:val="rynqvb"/>
                <w:iCs/>
                <w:sz w:val="18"/>
                <w:szCs w:val="18"/>
                <w:lang w:val="en-GB"/>
              </w:rPr>
              <w:t xml:space="preserve"> and Sustainable Development</w:t>
            </w:r>
          </w:p>
          <w:p w14:paraId="5DEB66A5" w14:textId="3D0E9CB6" w:rsidR="00161EBF" w:rsidRPr="009766D5" w:rsidRDefault="00161EBF" w:rsidP="00654147">
            <w:pPr>
              <w:rPr>
                <w:iCs/>
                <w:sz w:val="18"/>
                <w:szCs w:val="18"/>
                <w:lang w:val="en-GB"/>
              </w:rPr>
            </w:pPr>
            <w:r w:rsidRPr="009766D5">
              <w:rPr>
                <w:iCs/>
                <w:sz w:val="18"/>
                <w:szCs w:val="18"/>
                <w:lang w:val="en-GB"/>
              </w:rPr>
              <w:t xml:space="preserve">Frequency: </w:t>
            </w:r>
            <w:r w:rsidR="00FF0BB7" w:rsidRPr="009766D5">
              <w:rPr>
                <w:iCs/>
                <w:sz w:val="18"/>
                <w:szCs w:val="18"/>
                <w:lang w:val="en-GB"/>
              </w:rPr>
              <w:t>E</w:t>
            </w:r>
            <w:r w:rsidRPr="009766D5">
              <w:rPr>
                <w:iCs/>
                <w:sz w:val="18"/>
                <w:szCs w:val="18"/>
                <w:lang w:val="en-GB"/>
              </w:rPr>
              <w:t>very five years</w:t>
            </w:r>
          </w:p>
          <w:p w14:paraId="2ACDC1C7" w14:textId="29B98718" w:rsidR="00161EBF" w:rsidRPr="009766D5" w:rsidRDefault="00161EBF" w:rsidP="00654147">
            <w:pPr>
              <w:rPr>
                <w:iCs/>
                <w:sz w:val="18"/>
                <w:szCs w:val="18"/>
                <w:lang w:val="en-GB"/>
              </w:rPr>
            </w:pPr>
            <w:r w:rsidRPr="009766D5">
              <w:rPr>
                <w:iCs/>
                <w:sz w:val="18"/>
                <w:szCs w:val="18"/>
                <w:lang w:val="en-GB"/>
              </w:rPr>
              <w:t xml:space="preserve">Responsible: </w:t>
            </w:r>
            <w:r w:rsidRPr="009766D5">
              <w:rPr>
                <w:rStyle w:val="rynqvb"/>
                <w:iCs/>
                <w:sz w:val="18"/>
                <w:szCs w:val="18"/>
                <w:lang w:val="en-GB"/>
              </w:rPr>
              <w:t xml:space="preserve">Directorate </w:t>
            </w:r>
            <w:r w:rsidR="00C1265B" w:rsidRPr="009766D5">
              <w:rPr>
                <w:rStyle w:val="rynqvb"/>
                <w:iCs/>
                <w:sz w:val="18"/>
                <w:szCs w:val="18"/>
                <w:lang w:val="en-GB"/>
              </w:rPr>
              <w:t>G</w:t>
            </w:r>
            <w:r w:rsidRPr="009766D5">
              <w:rPr>
                <w:rStyle w:val="rynqvb"/>
                <w:iCs/>
                <w:sz w:val="18"/>
                <w:szCs w:val="18"/>
                <w:lang w:val="en-GB"/>
              </w:rPr>
              <w:t xml:space="preserve">eneral for </w:t>
            </w:r>
            <w:r w:rsidR="00C1265B" w:rsidRPr="009766D5">
              <w:rPr>
                <w:rStyle w:val="rynqvb"/>
                <w:iCs/>
                <w:sz w:val="18"/>
                <w:szCs w:val="18"/>
                <w:lang w:val="en-GB"/>
              </w:rPr>
              <w:t>E</w:t>
            </w:r>
            <w:r w:rsidRPr="009766D5">
              <w:rPr>
                <w:rStyle w:val="rynqvb"/>
                <w:iCs/>
                <w:sz w:val="18"/>
                <w:szCs w:val="18"/>
                <w:lang w:val="en-GB"/>
              </w:rPr>
              <w:t xml:space="preserve">nvironment and </w:t>
            </w:r>
            <w:r w:rsidR="00C1265B" w:rsidRPr="009766D5">
              <w:rPr>
                <w:rStyle w:val="rynqvb"/>
                <w:iCs/>
                <w:sz w:val="18"/>
                <w:szCs w:val="18"/>
                <w:lang w:val="en-GB"/>
              </w:rPr>
              <w:t>C</w:t>
            </w:r>
            <w:r w:rsidRPr="009766D5">
              <w:rPr>
                <w:rStyle w:val="rynqvb"/>
                <w:iCs/>
                <w:sz w:val="18"/>
                <w:szCs w:val="18"/>
                <w:lang w:val="en-GB"/>
              </w:rPr>
              <w:t>limate (DGEC)</w:t>
            </w:r>
          </w:p>
          <w:p w14:paraId="328FB01B" w14:textId="77777777" w:rsidR="00161EBF" w:rsidRPr="009766D5" w:rsidRDefault="00161EBF" w:rsidP="00654147">
            <w:pPr>
              <w:rPr>
                <w:b/>
                <w:i/>
                <w:sz w:val="18"/>
                <w:szCs w:val="18"/>
                <w:lang w:val="en-GB"/>
              </w:rPr>
            </w:pPr>
          </w:p>
        </w:tc>
        <w:tc>
          <w:tcPr>
            <w:tcW w:w="4119" w:type="dxa"/>
            <w:vMerge w:val="restart"/>
            <w:tcMar>
              <w:top w:w="72" w:type="dxa"/>
              <w:left w:w="144" w:type="dxa"/>
              <w:bottom w:w="72" w:type="dxa"/>
              <w:right w:w="144" w:type="dxa"/>
            </w:tcMar>
          </w:tcPr>
          <w:p w14:paraId="4D63DA38" w14:textId="29ACF0A3" w:rsidR="00161EBF" w:rsidRPr="009766D5" w:rsidRDefault="00161EBF" w:rsidP="00061229">
            <w:pPr>
              <w:pStyle w:val="pf0"/>
              <w:rPr>
                <w:sz w:val="18"/>
                <w:szCs w:val="18"/>
                <w:lang w:val="en-GB"/>
              </w:rPr>
            </w:pPr>
            <w:r w:rsidRPr="009766D5">
              <w:rPr>
                <w:b/>
                <w:sz w:val="18"/>
                <w:szCs w:val="18"/>
                <w:lang w:val="en-GB" w:eastAsia="en-US"/>
              </w:rPr>
              <w:t>Output 1.1</w:t>
            </w:r>
            <w:r w:rsidR="00DD4BAF" w:rsidRPr="009766D5">
              <w:rPr>
                <w:b/>
                <w:sz w:val="18"/>
                <w:szCs w:val="18"/>
                <w:lang w:val="en-GB" w:eastAsia="en-US"/>
              </w:rPr>
              <w:t>.</w:t>
            </w:r>
            <w:r w:rsidRPr="009766D5">
              <w:rPr>
                <w:b/>
                <w:sz w:val="18"/>
                <w:szCs w:val="18"/>
                <w:lang w:val="en-GB" w:eastAsia="en-US"/>
              </w:rPr>
              <w:t xml:space="preserve"> Enabling environment and capacities for entrepreneurship and job creation strengthened through introduction of digitalization and new technologies at the national and local level</w:t>
            </w:r>
            <w:r w:rsidR="00FF0BB7" w:rsidRPr="009766D5">
              <w:rPr>
                <w:b/>
                <w:sz w:val="18"/>
                <w:szCs w:val="18"/>
                <w:lang w:val="en-GB" w:eastAsia="en-US"/>
              </w:rPr>
              <w:t>s.</w:t>
            </w:r>
          </w:p>
          <w:p w14:paraId="0AB76B17" w14:textId="1038C473" w:rsidR="00161EBF" w:rsidRPr="009766D5" w:rsidRDefault="00161EBF" w:rsidP="00DD4BAF">
            <w:pPr>
              <w:rPr>
                <w:sz w:val="18"/>
                <w:szCs w:val="18"/>
                <w:lang w:val="en-GB"/>
              </w:rPr>
            </w:pPr>
            <w:r w:rsidRPr="009766D5">
              <w:rPr>
                <w:b/>
                <w:bCs/>
                <w:sz w:val="18"/>
                <w:szCs w:val="18"/>
                <w:lang w:val="en-GB"/>
              </w:rPr>
              <w:t>Indicator 1.1.1</w:t>
            </w:r>
            <w:r w:rsidR="00FF0BB7" w:rsidRPr="009766D5">
              <w:rPr>
                <w:b/>
                <w:bCs/>
                <w:sz w:val="18"/>
                <w:szCs w:val="18"/>
                <w:lang w:val="en-GB"/>
              </w:rPr>
              <w:t>.</w:t>
            </w:r>
            <w:r w:rsidRPr="009766D5">
              <w:rPr>
                <w:sz w:val="18"/>
                <w:szCs w:val="18"/>
                <w:lang w:val="en-GB"/>
              </w:rPr>
              <w:t xml:space="preserve"> Number of innovative solutions and technologies promoted for job creation.</w:t>
            </w:r>
          </w:p>
          <w:p w14:paraId="3994158A" w14:textId="77777777" w:rsidR="00161EBF" w:rsidRPr="009766D5" w:rsidRDefault="00161EBF" w:rsidP="00DD4BAF">
            <w:pPr>
              <w:rPr>
                <w:iCs/>
                <w:sz w:val="18"/>
                <w:szCs w:val="18"/>
                <w:lang w:val="en-GB"/>
              </w:rPr>
            </w:pPr>
            <w:r w:rsidRPr="009766D5">
              <w:rPr>
                <w:iCs/>
                <w:sz w:val="18"/>
                <w:szCs w:val="18"/>
                <w:lang w:val="en-GB"/>
              </w:rPr>
              <w:t>Baseline 2022): 0</w:t>
            </w:r>
          </w:p>
          <w:p w14:paraId="010B3437" w14:textId="77777777" w:rsidR="00161EBF" w:rsidRPr="009766D5" w:rsidRDefault="00161EBF" w:rsidP="00DD4BAF">
            <w:pPr>
              <w:rPr>
                <w:iCs/>
                <w:sz w:val="18"/>
                <w:szCs w:val="18"/>
                <w:lang w:val="en-GB"/>
              </w:rPr>
            </w:pPr>
            <w:r w:rsidRPr="009766D5">
              <w:rPr>
                <w:iCs/>
                <w:sz w:val="18"/>
                <w:szCs w:val="18"/>
                <w:lang w:val="en-GB"/>
              </w:rPr>
              <w:t>Target (2026): 3</w:t>
            </w:r>
          </w:p>
          <w:p w14:paraId="25DED6BB" w14:textId="3FB01C7C" w:rsidR="00161EBF" w:rsidRPr="009766D5" w:rsidRDefault="00161EBF" w:rsidP="00DD4BAF">
            <w:pPr>
              <w:rPr>
                <w:iCs/>
                <w:sz w:val="18"/>
                <w:szCs w:val="18"/>
                <w:lang w:val="en-GB"/>
              </w:rPr>
            </w:pPr>
            <w:r w:rsidRPr="009766D5">
              <w:rPr>
                <w:iCs/>
                <w:sz w:val="18"/>
                <w:szCs w:val="18"/>
                <w:lang w:val="en-GB"/>
              </w:rPr>
              <w:t>Source: MEF/Programme monitoring reports</w:t>
            </w:r>
          </w:p>
          <w:p w14:paraId="70E098FA" w14:textId="77777777" w:rsidR="00161EBF" w:rsidRPr="009766D5" w:rsidRDefault="00161EBF" w:rsidP="00654147">
            <w:pPr>
              <w:rPr>
                <w:iCs/>
                <w:sz w:val="18"/>
                <w:szCs w:val="18"/>
                <w:lang w:val="en-GB"/>
              </w:rPr>
            </w:pPr>
            <w:r w:rsidRPr="009766D5">
              <w:rPr>
                <w:iCs/>
                <w:sz w:val="18"/>
                <w:szCs w:val="18"/>
                <w:lang w:val="en-GB"/>
              </w:rPr>
              <w:t>Frequency: Annual</w:t>
            </w:r>
          </w:p>
          <w:p w14:paraId="73599A61" w14:textId="77777777" w:rsidR="00161EBF" w:rsidRPr="009766D5" w:rsidRDefault="00161EBF" w:rsidP="00654147">
            <w:pPr>
              <w:rPr>
                <w:sz w:val="18"/>
                <w:szCs w:val="18"/>
                <w:lang w:val="en-GB"/>
              </w:rPr>
            </w:pPr>
          </w:p>
          <w:p w14:paraId="4F845E85" w14:textId="4ED4B3EB" w:rsidR="00161EBF" w:rsidRPr="009766D5" w:rsidRDefault="00161EBF" w:rsidP="00654147">
            <w:pPr>
              <w:rPr>
                <w:sz w:val="18"/>
                <w:szCs w:val="18"/>
                <w:lang w:val="en-GB"/>
              </w:rPr>
            </w:pPr>
            <w:r w:rsidRPr="009766D5">
              <w:rPr>
                <w:b/>
                <w:bCs/>
                <w:sz w:val="18"/>
                <w:szCs w:val="18"/>
                <w:lang w:val="en-GB"/>
              </w:rPr>
              <w:t>Indicator 1.1.2</w:t>
            </w:r>
            <w:r w:rsidR="00F37158" w:rsidRPr="009766D5">
              <w:rPr>
                <w:b/>
                <w:bCs/>
                <w:sz w:val="18"/>
                <w:szCs w:val="18"/>
                <w:lang w:val="en-GB"/>
              </w:rPr>
              <w:t>.</w:t>
            </w:r>
            <w:r w:rsidRPr="009766D5">
              <w:rPr>
                <w:sz w:val="18"/>
                <w:szCs w:val="18"/>
                <w:lang w:val="en-GB"/>
              </w:rPr>
              <w:t xml:space="preserve"> Number of new jobs created through value chains for: </w:t>
            </w:r>
            <w:r w:rsidR="00B71306" w:rsidRPr="009766D5">
              <w:rPr>
                <w:sz w:val="18"/>
                <w:szCs w:val="18"/>
                <w:lang w:val="en-GB"/>
              </w:rPr>
              <w:t>(</w:t>
            </w:r>
            <w:r w:rsidRPr="009766D5">
              <w:rPr>
                <w:sz w:val="18"/>
                <w:szCs w:val="18"/>
                <w:lang w:val="en-GB"/>
              </w:rPr>
              <w:t>a</w:t>
            </w:r>
            <w:r w:rsidR="00B71306" w:rsidRPr="009766D5">
              <w:rPr>
                <w:sz w:val="18"/>
                <w:szCs w:val="18"/>
                <w:lang w:val="en-GB"/>
              </w:rPr>
              <w:t xml:space="preserve">) </w:t>
            </w:r>
            <w:r w:rsidRPr="009766D5">
              <w:rPr>
                <w:sz w:val="18"/>
                <w:szCs w:val="18"/>
                <w:lang w:val="en-GB"/>
              </w:rPr>
              <w:t xml:space="preserve">women; </w:t>
            </w:r>
            <w:r w:rsidR="00B71306" w:rsidRPr="009766D5">
              <w:rPr>
                <w:sz w:val="18"/>
                <w:szCs w:val="18"/>
                <w:lang w:val="en-GB"/>
              </w:rPr>
              <w:t>(</w:t>
            </w:r>
            <w:r w:rsidRPr="009766D5">
              <w:rPr>
                <w:sz w:val="18"/>
                <w:szCs w:val="18"/>
                <w:lang w:val="en-GB"/>
              </w:rPr>
              <w:t>b</w:t>
            </w:r>
            <w:r w:rsidR="00B71306" w:rsidRPr="009766D5">
              <w:rPr>
                <w:sz w:val="18"/>
                <w:szCs w:val="18"/>
                <w:lang w:val="en-GB"/>
              </w:rPr>
              <w:t xml:space="preserve">) </w:t>
            </w:r>
            <w:r w:rsidRPr="009766D5">
              <w:rPr>
                <w:sz w:val="18"/>
                <w:szCs w:val="18"/>
                <w:lang w:val="en-GB"/>
              </w:rPr>
              <w:t xml:space="preserve">youth; </w:t>
            </w:r>
            <w:r w:rsidR="00DD4BAF" w:rsidRPr="009766D5">
              <w:rPr>
                <w:sz w:val="18"/>
                <w:szCs w:val="18"/>
                <w:lang w:val="en-GB"/>
              </w:rPr>
              <w:t xml:space="preserve">          </w:t>
            </w:r>
            <w:r w:rsidR="00B71306" w:rsidRPr="009766D5">
              <w:rPr>
                <w:sz w:val="18"/>
                <w:szCs w:val="18"/>
                <w:lang w:val="en-GB"/>
              </w:rPr>
              <w:t>(</w:t>
            </w:r>
            <w:r w:rsidRPr="009766D5">
              <w:rPr>
                <w:sz w:val="18"/>
                <w:szCs w:val="18"/>
                <w:lang w:val="en-GB"/>
              </w:rPr>
              <w:t>c</w:t>
            </w:r>
            <w:r w:rsidR="00B71306" w:rsidRPr="009766D5">
              <w:rPr>
                <w:sz w:val="18"/>
                <w:szCs w:val="18"/>
                <w:lang w:val="en-GB"/>
              </w:rPr>
              <w:t xml:space="preserve">) </w:t>
            </w:r>
            <w:r w:rsidRPr="009766D5">
              <w:rPr>
                <w:sz w:val="18"/>
                <w:szCs w:val="18"/>
                <w:lang w:val="en-GB"/>
              </w:rPr>
              <w:t>Pe</w:t>
            </w:r>
            <w:r w:rsidR="00DD4BAF" w:rsidRPr="009766D5">
              <w:rPr>
                <w:sz w:val="18"/>
                <w:szCs w:val="18"/>
                <w:lang w:val="en-GB"/>
              </w:rPr>
              <w:t>ople</w:t>
            </w:r>
            <w:r w:rsidRPr="009766D5">
              <w:rPr>
                <w:sz w:val="18"/>
                <w:szCs w:val="18"/>
                <w:lang w:val="en-GB"/>
              </w:rPr>
              <w:t xml:space="preserve"> with disabilit</w:t>
            </w:r>
            <w:r w:rsidR="00DD4BAF" w:rsidRPr="009766D5">
              <w:rPr>
                <w:sz w:val="18"/>
                <w:szCs w:val="18"/>
                <w:lang w:val="en-GB"/>
              </w:rPr>
              <w:t>ies</w:t>
            </w:r>
            <w:r w:rsidRPr="009766D5">
              <w:rPr>
                <w:sz w:val="18"/>
                <w:szCs w:val="18"/>
                <w:lang w:val="en-GB"/>
              </w:rPr>
              <w:t xml:space="preserve">; </w:t>
            </w:r>
            <w:r w:rsidR="00B71306" w:rsidRPr="009766D5">
              <w:rPr>
                <w:sz w:val="18"/>
                <w:szCs w:val="18"/>
                <w:lang w:val="en-GB"/>
              </w:rPr>
              <w:t>(</w:t>
            </w:r>
            <w:r w:rsidRPr="009766D5">
              <w:rPr>
                <w:sz w:val="18"/>
                <w:szCs w:val="18"/>
                <w:lang w:val="en-GB"/>
              </w:rPr>
              <w:t>d</w:t>
            </w:r>
            <w:r w:rsidR="00B71306" w:rsidRPr="009766D5">
              <w:rPr>
                <w:sz w:val="18"/>
                <w:szCs w:val="18"/>
                <w:lang w:val="en-GB"/>
              </w:rPr>
              <w:t xml:space="preserve">) </w:t>
            </w:r>
            <w:r w:rsidRPr="009766D5">
              <w:rPr>
                <w:sz w:val="18"/>
                <w:szCs w:val="18"/>
                <w:lang w:val="en-GB"/>
              </w:rPr>
              <w:t xml:space="preserve">total </w:t>
            </w:r>
          </w:p>
          <w:p w14:paraId="242AE1B8" w14:textId="77777777" w:rsidR="00161EBF" w:rsidRPr="009766D5" w:rsidRDefault="00161EBF" w:rsidP="00654147">
            <w:pPr>
              <w:rPr>
                <w:sz w:val="18"/>
                <w:szCs w:val="18"/>
                <w:lang w:val="en-GB"/>
              </w:rPr>
            </w:pPr>
            <w:r w:rsidRPr="009766D5">
              <w:rPr>
                <w:sz w:val="18"/>
                <w:szCs w:val="18"/>
                <w:lang w:val="en-GB"/>
              </w:rPr>
              <w:t>Baseline (2022): 0</w:t>
            </w:r>
          </w:p>
          <w:p w14:paraId="1C221BAC" w14:textId="77777777" w:rsidR="00161EBF" w:rsidRPr="009766D5" w:rsidRDefault="00161EBF" w:rsidP="00654147">
            <w:pPr>
              <w:rPr>
                <w:sz w:val="18"/>
                <w:szCs w:val="18"/>
                <w:lang w:val="en-GB"/>
              </w:rPr>
            </w:pPr>
            <w:r w:rsidRPr="009766D5">
              <w:rPr>
                <w:sz w:val="18"/>
                <w:szCs w:val="18"/>
                <w:lang w:val="en-GB"/>
              </w:rPr>
              <w:t>Target (2026): a-200; b-450; c-50; d-527</w:t>
            </w:r>
          </w:p>
          <w:p w14:paraId="638C686E" w14:textId="77777777" w:rsidR="00161EBF" w:rsidRPr="009766D5" w:rsidRDefault="00161EBF" w:rsidP="00654147">
            <w:pPr>
              <w:rPr>
                <w:iCs/>
                <w:sz w:val="18"/>
                <w:szCs w:val="18"/>
                <w:lang w:val="en-GB"/>
              </w:rPr>
            </w:pPr>
            <w:r w:rsidRPr="009766D5">
              <w:rPr>
                <w:iCs/>
                <w:sz w:val="18"/>
                <w:szCs w:val="18"/>
                <w:lang w:val="en-GB"/>
              </w:rPr>
              <w:t>Source: T</w:t>
            </w:r>
            <w:r w:rsidRPr="009766D5">
              <w:rPr>
                <w:sz w:val="18"/>
                <w:szCs w:val="18"/>
                <w:lang w:val="en-GB"/>
              </w:rPr>
              <w:t xml:space="preserve">erritorial agencies for agricultural development (ATDA) performance report </w:t>
            </w:r>
            <w:r w:rsidRPr="009766D5">
              <w:rPr>
                <w:iCs/>
                <w:sz w:val="18"/>
                <w:szCs w:val="18"/>
                <w:lang w:val="en-GB"/>
              </w:rPr>
              <w:t>Frequency: Annual</w:t>
            </w:r>
          </w:p>
          <w:p w14:paraId="1C8F20BA" w14:textId="77777777" w:rsidR="00161EBF" w:rsidRPr="009766D5" w:rsidRDefault="00161EBF" w:rsidP="00654147">
            <w:pPr>
              <w:rPr>
                <w:sz w:val="18"/>
                <w:szCs w:val="18"/>
                <w:lang w:val="en-GB"/>
              </w:rPr>
            </w:pPr>
          </w:p>
          <w:p w14:paraId="39E72E1A" w14:textId="2297F6FB" w:rsidR="00161EBF" w:rsidRPr="009766D5" w:rsidRDefault="00161EBF" w:rsidP="002D304B">
            <w:pPr>
              <w:rPr>
                <w:sz w:val="18"/>
                <w:szCs w:val="18"/>
                <w:lang w:val="en-GB"/>
              </w:rPr>
            </w:pPr>
            <w:r w:rsidRPr="009766D5">
              <w:rPr>
                <w:b/>
                <w:bCs/>
                <w:sz w:val="18"/>
                <w:szCs w:val="18"/>
                <w:lang w:val="en-GB"/>
              </w:rPr>
              <w:t>Indicator 1.1.3</w:t>
            </w:r>
            <w:r w:rsidR="00F37158" w:rsidRPr="009766D5">
              <w:rPr>
                <w:b/>
                <w:bCs/>
                <w:sz w:val="18"/>
                <w:szCs w:val="18"/>
                <w:lang w:val="en-GB"/>
              </w:rPr>
              <w:t>.</w:t>
            </w:r>
            <w:r w:rsidRPr="009766D5">
              <w:rPr>
                <w:sz w:val="18"/>
                <w:szCs w:val="18"/>
                <w:lang w:val="en-GB"/>
              </w:rPr>
              <w:t xml:space="preserve"> Number of new policies, strategies law</w:t>
            </w:r>
            <w:r w:rsidR="00F37158" w:rsidRPr="009766D5">
              <w:rPr>
                <w:sz w:val="18"/>
                <w:szCs w:val="18"/>
                <w:lang w:val="en-GB"/>
              </w:rPr>
              <w:t>s</w:t>
            </w:r>
            <w:r w:rsidRPr="009766D5">
              <w:rPr>
                <w:sz w:val="18"/>
                <w:szCs w:val="18"/>
                <w:lang w:val="en-GB"/>
              </w:rPr>
              <w:t xml:space="preserve"> and plans that promote an enabling environment for entrepreneurship and job creation</w:t>
            </w:r>
            <w:r w:rsidR="00F37158" w:rsidRPr="009766D5">
              <w:rPr>
                <w:sz w:val="18"/>
                <w:szCs w:val="18"/>
                <w:lang w:val="en-GB"/>
              </w:rPr>
              <w:t>,</w:t>
            </w:r>
            <w:r w:rsidRPr="009766D5">
              <w:rPr>
                <w:sz w:val="18"/>
                <w:szCs w:val="18"/>
                <w:lang w:val="en-GB"/>
              </w:rPr>
              <w:t xml:space="preserve"> including </w:t>
            </w:r>
            <w:r w:rsidR="0070644B" w:rsidRPr="009766D5">
              <w:rPr>
                <w:sz w:val="18"/>
                <w:szCs w:val="18"/>
                <w:lang w:val="en-GB"/>
              </w:rPr>
              <w:t>the African Continental Free Trade Area agreement</w:t>
            </w:r>
          </w:p>
          <w:p w14:paraId="74E06D90" w14:textId="77777777" w:rsidR="00161EBF" w:rsidRPr="009766D5" w:rsidRDefault="00161EBF" w:rsidP="00F37158">
            <w:pPr>
              <w:rPr>
                <w:sz w:val="18"/>
                <w:szCs w:val="18"/>
                <w:lang w:val="en-GB"/>
              </w:rPr>
            </w:pPr>
            <w:r w:rsidRPr="009766D5">
              <w:rPr>
                <w:sz w:val="18"/>
                <w:szCs w:val="18"/>
                <w:lang w:val="en-GB"/>
              </w:rPr>
              <w:t>Baseline (2022): 0</w:t>
            </w:r>
          </w:p>
          <w:p w14:paraId="60D83083" w14:textId="77777777" w:rsidR="00161EBF" w:rsidRPr="009766D5" w:rsidRDefault="00161EBF" w:rsidP="00F37158">
            <w:pPr>
              <w:rPr>
                <w:sz w:val="18"/>
                <w:szCs w:val="18"/>
                <w:lang w:val="en-GB"/>
              </w:rPr>
            </w:pPr>
            <w:r w:rsidRPr="009766D5">
              <w:rPr>
                <w:sz w:val="18"/>
                <w:szCs w:val="18"/>
                <w:lang w:val="en-GB"/>
              </w:rPr>
              <w:t>Target (2026): 2</w:t>
            </w:r>
          </w:p>
          <w:p w14:paraId="60C9ED86" w14:textId="41515042" w:rsidR="00161EBF" w:rsidRPr="009766D5" w:rsidRDefault="00161EBF" w:rsidP="00F37158">
            <w:pPr>
              <w:tabs>
                <w:tab w:val="left" w:pos="3249"/>
              </w:tabs>
              <w:rPr>
                <w:sz w:val="18"/>
                <w:szCs w:val="18"/>
                <w:lang w:val="en-GB"/>
              </w:rPr>
            </w:pPr>
            <w:r w:rsidRPr="009766D5">
              <w:rPr>
                <w:sz w:val="18"/>
                <w:szCs w:val="18"/>
                <w:lang w:val="en-GB"/>
              </w:rPr>
              <w:t>Source: Database of development policies, strategies and program</w:t>
            </w:r>
            <w:r w:rsidR="00830CF1" w:rsidRPr="009766D5">
              <w:rPr>
                <w:sz w:val="18"/>
                <w:szCs w:val="18"/>
                <w:lang w:val="en-GB"/>
              </w:rPr>
              <w:t>me</w:t>
            </w:r>
            <w:r w:rsidRPr="009766D5">
              <w:rPr>
                <w:sz w:val="18"/>
                <w:szCs w:val="18"/>
                <w:lang w:val="en-GB"/>
              </w:rPr>
              <w:t>s/</w:t>
            </w:r>
            <w:r w:rsidR="00F37158" w:rsidRPr="009766D5">
              <w:rPr>
                <w:iCs/>
                <w:sz w:val="18"/>
                <w:szCs w:val="18"/>
                <w:lang w:val="en-GB"/>
              </w:rPr>
              <w:t>p</w:t>
            </w:r>
            <w:r w:rsidRPr="009766D5">
              <w:rPr>
                <w:iCs/>
                <w:sz w:val="18"/>
                <w:szCs w:val="18"/>
                <w:lang w:val="en-GB"/>
              </w:rPr>
              <w:t xml:space="preserve">rogramme monitoring reports </w:t>
            </w:r>
          </w:p>
          <w:p w14:paraId="3DAA2903" w14:textId="77777777" w:rsidR="00161EBF" w:rsidRPr="009766D5" w:rsidRDefault="00161EBF" w:rsidP="00654147">
            <w:pPr>
              <w:rPr>
                <w:sz w:val="18"/>
                <w:szCs w:val="18"/>
                <w:lang w:val="en-GB"/>
              </w:rPr>
            </w:pPr>
            <w:r w:rsidRPr="009766D5">
              <w:rPr>
                <w:sz w:val="18"/>
                <w:szCs w:val="18"/>
                <w:lang w:val="en-GB"/>
              </w:rPr>
              <w:t>Frequency: Annual</w:t>
            </w:r>
          </w:p>
          <w:p w14:paraId="0A0F8A6E" w14:textId="6D9E96F6" w:rsidR="00161EBF" w:rsidRPr="009766D5" w:rsidRDefault="00161EBF" w:rsidP="002D304B">
            <w:pPr>
              <w:spacing w:before="60"/>
              <w:textAlignment w:val="baseline"/>
              <w:rPr>
                <w:sz w:val="18"/>
                <w:szCs w:val="18"/>
                <w:lang w:val="en-GB"/>
              </w:rPr>
            </w:pPr>
            <w:r w:rsidRPr="009766D5">
              <w:rPr>
                <w:b/>
                <w:bCs/>
                <w:sz w:val="18"/>
                <w:szCs w:val="18"/>
                <w:lang w:val="en-GB"/>
              </w:rPr>
              <w:lastRenderedPageBreak/>
              <w:t>I</w:t>
            </w:r>
            <w:r w:rsidRPr="009766D5">
              <w:rPr>
                <w:b/>
                <w:sz w:val="18"/>
                <w:szCs w:val="18"/>
                <w:lang w:val="en-GB"/>
              </w:rPr>
              <w:t>ndicator 1.1.4</w:t>
            </w:r>
            <w:r w:rsidR="00F37158" w:rsidRPr="009766D5">
              <w:rPr>
                <w:b/>
                <w:sz w:val="18"/>
                <w:szCs w:val="18"/>
                <w:lang w:val="en-GB"/>
              </w:rPr>
              <w:t>.</w:t>
            </w:r>
            <w:r w:rsidRPr="009766D5">
              <w:rPr>
                <w:sz w:val="18"/>
                <w:szCs w:val="18"/>
                <w:lang w:val="en-GB"/>
              </w:rPr>
              <w:t xml:space="preserve"> Number of volunteers mobilized within the community for strengthening people’s resilience (a-women; b-men)</w:t>
            </w:r>
          </w:p>
          <w:p w14:paraId="113E53D6" w14:textId="77777777" w:rsidR="00161EBF" w:rsidRPr="009766D5" w:rsidRDefault="00161EBF" w:rsidP="00654147">
            <w:pPr>
              <w:textAlignment w:val="baseline"/>
              <w:rPr>
                <w:sz w:val="18"/>
                <w:szCs w:val="18"/>
                <w:lang w:val="en-GB"/>
              </w:rPr>
            </w:pPr>
            <w:r w:rsidRPr="009766D5">
              <w:rPr>
                <w:sz w:val="18"/>
                <w:szCs w:val="18"/>
                <w:lang w:val="en-GB"/>
              </w:rPr>
              <w:t>Baseline (2022): a-3; b-5</w:t>
            </w:r>
          </w:p>
          <w:p w14:paraId="1F230339" w14:textId="77777777" w:rsidR="00161EBF" w:rsidRPr="009766D5" w:rsidRDefault="00161EBF" w:rsidP="00654147">
            <w:pPr>
              <w:textAlignment w:val="baseline"/>
              <w:rPr>
                <w:sz w:val="18"/>
                <w:szCs w:val="18"/>
                <w:lang w:val="en-GB"/>
              </w:rPr>
            </w:pPr>
            <w:r w:rsidRPr="009766D5">
              <w:rPr>
                <w:sz w:val="18"/>
                <w:szCs w:val="18"/>
                <w:lang w:val="en-GB"/>
              </w:rPr>
              <w:t>Target (2026): a-5; b-7</w:t>
            </w:r>
          </w:p>
          <w:p w14:paraId="23255537" w14:textId="77777777" w:rsidR="00F37158" w:rsidRPr="009766D5" w:rsidRDefault="00161EBF" w:rsidP="00654147">
            <w:pPr>
              <w:textAlignment w:val="baseline"/>
              <w:rPr>
                <w:sz w:val="18"/>
                <w:szCs w:val="18"/>
                <w:lang w:val="en-GB"/>
              </w:rPr>
            </w:pPr>
            <w:r w:rsidRPr="009766D5">
              <w:rPr>
                <w:sz w:val="18"/>
                <w:szCs w:val="18"/>
                <w:lang w:val="en-GB"/>
              </w:rPr>
              <w:t>Source: UNV</w:t>
            </w:r>
          </w:p>
          <w:p w14:paraId="1D3F6A51" w14:textId="3BF30D69" w:rsidR="00161EBF" w:rsidRPr="009766D5" w:rsidRDefault="00F37158" w:rsidP="00654147">
            <w:pPr>
              <w:textAlignment w:val="baseline"/>
              <w:rPr>
                <w:sz w:val="18"/>
                <w:szCs w:val="18"/>
                <w:lang w:val="en-GB"/>
              </w:rPr>
            </w:pPr>
            <w:r w:rsidRPr="009766D5">
              <w:rPr>
                <w:sz w:val="18"/>
                <w:szCs w:val="18"/>
                <w:lang w:val="en-GB"/>
              </w:rPr>
              <w:t>N</w:t>
            </w:r>
            <w:r w:rsidR="00161EBF" w:rsidRPr="009766D5">
              <w:rPr>
                <w:sz w:val="18"/>
                <w:szCs w:val="18"/>
                <w:lang w:val="en-GB"/>
              </w:rPr>
              <w:t xml:space="preserve">ational </w:t>
            </w:r>
            <w:r w:rsidR="00FF0BB7" w:rsidRPr="009766D5">
              <w:rPr>
                <w:sz w:val="18"/>
                <w:szCs w:val="18"/>
                <w:lang w:val="en-GB"/>
              </w:rPr>
              <w:t>E</w:t>
            </w:r>
            <w:r w:rsidR="00161EBF" w:rsidRPr="009766D5">
              <w:rPr>
                <w:sz w:val="18"/>
                <w:szCs w:val="18"/>
                <w:lang w:val="en-GB"/>
              </w:rPr>
              <w:t xml:space="preserve">mployment </w:t>
            </w:r>
            <w:r w:rsidR="00FF0BB7" w:rsidRPr="009766D5">
              <w:rPr>
                <w:sz w:val="18"/>
                <w:szCs w:val="18"/>
                <w:lang w:val="en-GB"/>
              </w:rPr>
              <w:t>P</w:t>
            </w:r>
            <w:r w:rsidR="00161EBF" w:rsidRPr="009766D5">
              <w:rPr>
                <w:sz w:val="18"/>
                <w:szCs w:val="18"/>
                <w:lang w:val="en-GB"/>
              </w:rPr>
              <w:t xml:space="preserve">romotion </w:t>
            </w:r>
            <w:r w:rsidR="00FF0BB7" w:rsidRPr="009766D5">
              <w:rPr>
                <w:sz w:val="18"/>
                <w:szCs w:val="18"/>
                <w:lang w:val="en-GB"/>
              </w:rPr>
              <w:t>A</w:t>
            </w:r>
            <w:r w:rsidR="00161EBF" w:rsidRPr="009766D5">
              <w:rPr>
                <w:sz w:val="18"/>
                <w:szCs w:val="18"/>
                <w:lang w:val="en-GB"/>
              </w:rPr>
              <w:t>gency report</w:t>
            </w:r>
          </w:p>
          <w:p w14:paraId="24DE5947" w14:textId="77777777" w:rsidR="00161EBF" w:rsidRPr="009766D5" w:rsidRDefault="00161EBF" w:rsidP="00654147">
            <w:pPr>
              <w:textAlignment w:val="baseline"/>
              <w:rPr>
                <w:sz w:val="18"/>
                <w:szCs w:val="18"/>
                <w:lang w:val="en-GB"/>
              </w:rPr>
            </w:pPr>
            <w:r w:rsidRPr="009766D5">
              <w:rPr>
                <w:sz w:val="18"/>
                <w:szCs w:val="18"/>
                <w:lang w:val="en-GB"/>
              </w:rPr>
              <w:t>Frequency: Annual</w:t>
            </w:r>
          </w:p>
          <w:p w14:paraId="0113C6F3" w14:textId="77777777" w:rsidR="00161EBF" w:rsidRPr="009766D5" w:rsidRDefault="00161EBF" w:rsidP="00654147">
            <w:pPr>
              <w:rPr>
                <w:sz w:val="18"/>
                <w:szCs w:val="18"/>
                <w:lang w:val="en-GB"/>
              </w:rPr>
            </w:pPr>
          </w:p>
          <w:p w14:paraId="6EC3F6B2" w14:textId="287F19C7" w:rsidR="00161EBF" w:rsidRPr="009766D5" w:rsidRDefault="00161EBF" w:rsidP="002D304B">
            <w:pPr>
              <w:rPr>
                <w:b/>
                <w:sz w:val="18"/>
                <w:szCs w:val="18"/>
                <w:lang w:val="en-GB"/>
              </w:rPr>
            </w:pPr>
            <w:r w:rsidRPr="009766D5">
              <w:rPr>
                <w:b/>
                <w:sz w:val="18"/>
                <w:szCs w:val="18"/>
                <w:lang w:val="en-GB"/>
              </w:rPr>
              <w:t>Output 1.2</w:t>
            </w:r>
            <w:r w:rsidR="00F37158" w:rsidRPr="009766D5">
              <w:rPr>
                <w:b/>
                <w:sz w:val="18"/>
                <w:szCs w:val="18"/>
                <w:lang w:val="en-GB"/>
              </w:rPr>
              <w:t>.</w:t>
            </w:r>
            <w:r w:rsidRPr="009766D5">
              <w:rPr>
                <w:b/>
                <w:sz w:val="18"/>
                <w:szCs w:val="18"/>
                <w:lang w:val="en-GB"/>
              </w:rPr>
              <w:t xml:space="preserve"> Natural resources protected and managed to enhance sustainable productivity supported by innovative technologies and effective governance mechanisms.</w:t>
            </w:r>
          </w:p>
          <w:p w14:paraId="6EDC0120" w14:textId="77777777" w:rsidR="00161EBF" w:rsidRPr="009766D5" w:rsidRDefault="00161EBF" w:rsidP="002D304B">
            <w:pPr>
              <w:rPr>
                <w:sz w:val="18"/>
                <w:szCs w:val="18"/>
                <w:lang w:val="en-GB"/>
              </w:rPr>
            </w:pPr>
          </w:p>
          <w:p w14:paraId="092414C0" w14:textId="4ECAF697" w:rsidR="00161EBF" w:rsidRPr="009766D5" w:rsidRDefault="00161EBF" w:rsidP="002D304B">
            <w:pPr>
              <w:rPr>
                <w:sz w:val="18"/>
                <w:szCs w:val="18"/>
                <w:lang w:val="en-GB"/>
              </w:rPr>
            </w:pPr>
            <w:r w:rsidRPr="009766D5">
              <w:rPr>
                <w:b/>
                <w:bCs/>
                <w:sz w:val="18"/>
                <w:szCs w:val="18"/>
                <w:lang w:val="en-GB"/>
              </w:rPr>
              <w:t>Indicator 1.2.1</w:t>
            </w:r>
            <w:r w:rsidR="00F37158" w:rsidRPr="009766D5">
              <w:rPr>
                <w:b/>
                <w:bCs/>
                <w:sz w:val="18"/>
                <w:szCs w:val="18"/>
                <w:lang w:val="en-GB"/>
              </w:rPr>
              <w:t>.</w:t>
            </w:r>
            <w:r w:rsidRPr="009766D5">
              <w:rPr>
                <w:sz w:val="18"/>
                <w:szCs w:val="18"/>
                <w:lang w:val="en-GB"/>
              </w:rPr>
              <w:t xml:space="preserve"> Number of</w:t>
            </w:r>
            <w:r w:rsidR="00830CF1" w:rsidRPr="009766D5">
              <w:rPr>
                <w:sz w:val="18"/>
                <w:szCs w:val="18"/>
                <w:lang w:val="en-GB"/>
              </w:rPr>
              <w:t xml:space="preserve"> </w:t>
            </w:r>
            <w:r w:rsidRPr="009766D5">
              <w:rPr>
                <w:sz w:val="18"/>
                <w:szCs w:val="18"/>
                <w:lang w:val="en-GB"/>
              </w:rPr>
              <w:t xml:space="preserve">(a) innovative solutions and (b) governance mechanisms implemented for natural resources protection and management </w:t>
            </w:r>
          </w:p>
          <w:p w14:paraId="483CC16C" w14:textId="77777777" w:rsidR="00161EBF" w:rsidRPr="009766D5" w:rsidRDefault="00161EBF" w:rsidP="00F37158">
            <w:pPr>
              <w:rPr>
                <w:sz w:val="18"/>
                <w:szCs w:val="18"/>
                <w:lang w:val="en-GB"/>
              </w:rPr>
            </w:pPr>
            <w:r w:rsidRPr="009766D5">
              <w:rPr>
                <w:sz w:val="18"/>
                <w:szCs w:val="18"/>
                <w:lang w:val="en-GB"/>
              </w:rPr>
              <w:t>Baseline (2022): 0</w:t>
            </w:r>
          </w:p>
          <w:p w14:paraId="5DD52480" w14:textId="77777777" w:rsidR="00161EBF" w:rsidRPr="009766D5" w:rsidRDefault="00161EBF" w:rsidP="00F37158">
            <w:pPr>
              <w:rPr>
                <w:sz w:val="18"/>
                <w:szCs w:val="18"/>
                <w:lang w:val="en-GB"/>
              </w:rPr>
            </w:pPr>
            <w:r w:rsidRPr="009766D5">
              <w:rPr>
                <w:sz w:val="18"/>
                <w:szCs w:val="18"/>
                <w:lang w:val="en-GB"/>
              </w:rPr>
              <w:t>Target (2026): a-9; b-2</w:t>
            </w:r>
          </w:p>
          <w:p w14:paraId="54E61B4A" w14:textId="77777777" w:rsidR="00161EBF" w:rsidRPr="009766D5" w:rsidRDefault="00161EBF" w:rsidP="00F37158">
            <w:pPr>
              <w:rPr>
                <w:sz w:val="18"/>
                <w:szCs w:val="18"/>
                <w:lang w:val="en-GB"/>
              </w:rPr>
            </w:pPr>
            <w:r w:rsidRPr="009766D5">
              <w:rPr>
                <w:sz w:val="18"/>
                <w:szCs w:val="18"/>
                <w:lang w:val="en-GB"/>
              </w:rPr>
              <w:t>Source: Forestry inspection and ATDA performance reports</w:t>
            </w:r>
          </w:p>
          <w:p w14:paraId="1AB1C917" w14:textId="77777777" w:rsidR="00161EBF" w:rsidRPr="009766D5" w:rsidRDefault="00161EBF" w:rsidP="00F37158">
            <w:pPr>
              <w:rPr>
                <w:sz w:val="18"/>
                <w:szCs w:val="18"/>
                <w:lang w:val="en-GB"/>
              </w:rPr>
            </w:pPr>
            <w:r w:rsidRPr="009766D5">
              <w:rPr>
                <w:sz w:val="18"/>
                <w:szCs w:val="18"/>
                <w:lang w:val="en-GB"/>
              </w:rPr>
              <w:t>Frequency: Annual</w:t>
            </w:r>
          </w:p>
          <w:p w14:paraId="317C3DB7" w14:textId="77777777" w:rsidR="00161EBF" w:rsidRPr="009766D5" w:rsidRDefault="00161EBF" w:rsidP="000C2E44">
            <w:pPr>
              <w:rPr>
                <w:sz w:val="18"/>
                <w:szCs w:val="18"/>
                <w:lang w:val="en-GB"/>
              </w:rPr>
            </w:pPr>
          </w:p>
          <w:p w14:paraId="06585E77" w14:textId="2642E588" w:rsidR="00161EBF" w:rsidRPr="009766D5" w:rsidRDefault="00161EBF" w:rsidP="000C2E44">
            <w:pPr>
              <w:rPr>
                <w:sz w:val="18"/>
                <w:szCs w:val="18"/>
                <w:lang w:val="en-GB"/>
              </w:rPr>
            </w:pPr>
            <w:r w:rsidRPr="009766D5">
              <w:rPr>
                <w:b/>
                <w:bCs/>
                <w:sz w:val="18"/>
                <w:szCs w:val="18"/>
                <w:lang w:val="en-GB"/>
              </w:rPr>
              <w:t>Indicator 1.2.2</w:t>
            </w:r>
            <w:r w:rsidR="00F37158" w:rsidRPr="009766D5">
              <w:rPr>
                <w:b/>
                <w:bCs/>
                <w:sz w:val="18"/>
                <w:szCs w:val="18"/>
                <w:lang w:val="en-GB"/>
              </w:rPr>
              <w:t>.</w:t>
            </w:r>
            <w:r w:rsidRPr="009766D5">
              <w:rPr>
                <w:sz w:val="18"/>
                <w:szCs w:val="18"/>
                <w:lang w:val="en-GB"/>
              </w:rPr>
              <w:t xml:space="preserve"> Number of people who have access to secured land as a productive tool (a-women; </w:t>
            </w:r>
            <w:r w:rsidR="00F37158" w:rsidRPr="009766D5">
              <w:rPr>
                <w:sz w:val="18"/>
                <w:szCs w:val="18"/>
                <w:lang w:val="en-GB"/>
              </w:rPr>
              <w:t xml:space="preserve">      </w:t>
            </w:r>
            <w:r w:rsidRPr="009766D5">
              <w:rPr>
                <w:sz w:val="18"/>
                <w:szCs w:val="18"/>
                <w:lang w:val="en-GB"/>
              </w:rPr>
              <w:t>b-youth; c-people with disabilities, d-men, e-total)</w:t>
            </w:r>
          </w:p>
          <w:p w14:paraId="072CAB90" w14:textId="77777777" w:rsidR="00161EBF" w:rsidRPr="009766D5" w:rsidRDefault="00161EBF" w:rsidP="00654147">
            <w:pPr>
              <w:rPr>
                <w:sz w:val="18"/>
                <w:szCs w:val="18"/>
                <w:lang w:val="en-GB"/>
              </w:rPr>
            </w:pPr>
            <w:r w:rsidRPr="009766D5">
              <w:rPr>
                <w:sz w:val="18"/>
                <w:szCs w:val="18"/>
                <w:lang w:val="en-GB"/>
              </w:rPr>
              <w:t>Baseline (2022):0</w:t>
            </w:r>
          </w:p>
          <w:p w14:paraId="57BE6CDB" w14:textId="2562FDF8" w:rsidR="00161EBF" w:rsidRPr="009766D5" w:rsidRDefault="00161EBF" w:rsidP="00654147">
            <w:pPr>
              <w:rPr>
                <w:sz w:val="18"/>
                <w:szCs w:val="18"/>
                <w:lang w:val="en-GB"/>
              </w:rPr>
            </w:pPr>
            <w:r w:rsidRPr="009766D5">
              <w:rPr>
                <w:sz w:val="18"/>
                <w:szCs w:val="18"/>
                <w:lang w:val="en-GB"/>
              </w:rPr>
              <w:t>Target (2026): a-250; b-200; c-50; d-1</w:t>
            </w:r>
            <w:r w:rsidR="00FF0BB7" w:rsidRPr="009766D5">
              <w:rPr>
                <w:sz w:val="18"/>
                <w:szCs w:val="18"/>
                <w:lang w:val="en-GB"/>
              </w:rPr>
              <w:t>,</w:t>
            </w:r>
            <w:r w:rsidRPr="009766D5">
              <w:rPr>
                <w:sz w:val="18"/>
                <w:szCs w:val="18"/>
                <w:lang w:val="en-GB"/>
              </w:rPr>
              <w:t>000 e-1</w:t>
            </w:r>
            <w:r w:rsidR="00FF0BB7" w:rsidRPr="009766D5">
              <w:rPr>
                <w:sz w:val="18"/>
                <w:szCs w:val="18"/>
                <w:lang w:val="en-GB"/>
              </w:rPr>
              <w:t>,</w:t>
            </w:r>
            <w:r w:rsidRPr="009766D5">
              <w:rPr>
                <w:sz w:val="18"/>
                <w:szCs w:val="18"/>
                <w:lang w:val="en-GB"/>
              </w:rPr>
              <w:t>500</w:t>
            </w:r>
          </w:p>
          <w:p w14:paraId="3F62FA94" w14:textId="77777777" w:rsidR="00161EBF" w:rsidRPr="009766D5" w:rsidRDefault="00161EBF" w:rsidP="00654147">
            <w:pPr>
              <w:rPr>
                <w:sz w:val="18"/>
                <w:szCs w:val="18"/>
                <w:lang w:val="en-GB"/>
              </w:rPr>
            </w:pPr>
            <w:r w:rsidRPr="009766D5">
              <w:rPr>
                <w:sz w:val="18"/>
                <w:szCs w:val="18"/>
                <w:lang w:val="en-GB"/>
              </w:rPr>
              <w:t>Source: ATDA performance report</w:t>
            </w:r>
          </w:p>
          <w:p w14:paraId="5333E49E" w14:textId="77777777" w:rsidR="00161EBF" w:rsidRPr="009766D5" w:rsidRDefault="00161EBF" w:rsidP="00654147">
            <w:pPr>
              <w:rPr>
                <w:sz w:val="18"/>
                <w:szCs w:val="18"/>
                <w:lang w:val="en-GB"/>
              </w:rPr>
            </w:pPr>
            <w:r w:rsidRPr="009766D5">
              <w:rPr>
                <w:sz w:val="18"/>
                <w:szCs w:val="18"/>
                <w:lang w:val="en-GB"/>
              </w:rPr>
              <w:t>Frequency: Annual</w:t>
            </w:r>
          </w:p>
          <w:p w14:paraId="08D66DF9" w14:textId="77777777" w:rsidR="00161EBF" w:rsidRPr="009766D5" w:rsidRDefault="00161EBF" w:rsidP="00654147">
            <w:pPr>
              <w:jc w:val="both"/>
              <w:rPr>
                <w:sz w:val="18"/>
                <w:szCs w:val="18"/>
                <w:lang w:val="en-GB"/>
              </w:rPr>
            </w:pPr>
          </w:p>
          <w:p w14:paraId="2545A481" w14:textId="3D5CF19B" w:rsidR="00161EBF" w:rsidRPr="009766D5" w:rsidRDefault="00161EBF" w:rsidP="00654147">
            <w:pPr>
              <w:shd w:val="clear" w:color="auto" w:fill="FDFDFD"/>
              <w:jc w:val="both"/>
              <w:rPr>
                <w:sz w:val="18"/>
                <w:szCs w:val="18"/>
                <w:lang w:val="en-GB"/>
              </w:rPr>
            </w:pPr>
            <w:r w:rsidRPr="009766D5">
              <w:rPr>
                <w:b/>
                <w:bCs/>
                <w:sz w:val="18"/>
                <w:szCs w:val="18"/>
                <w:lang w:val="en-GB"/>
              </w:rPr>
              <w:t>Indicator 1.2.3</w:t>
            </w:r>
            <w:r w:rsidR="00F37158" w:rsidRPr="009766D5">
              <w:rPr>
                <w:b/>
                <w:bCs/>
                <w:sz w:val="18"/>
                <w:szCs w:val="18"/>
                <w:lang w:val="en-GB"/>
              </w:rPr>
              <w:t>.</w:t>
            </w:r>
            <w:r w:rsidRPr="009766D5">
              <w:rPr>
                <w:sz w:val="18"/>
                <w:szCs w:val="18"/>
                <w:lang w:val="en-GB"/>
              </w:rPr>
              <w:t xml:space="preserve"> Natural resources managed under a regime of sustainable use, conservation, access and benefit-sharing:</w:t>
            </w:r>
          </w:p>
          <w:p w14:paraId="7BC4A16E" w14:textId="621D3BEA" w:rsidR="00161EBF" w:rsidRPr="009766D5" w:rsidRDefault="00FF0BB7" w:rsidP="00654147">
            <w:pPr>
              <w:pStyle w:val="ListParagraph"/>
              <w:shd w:val="clear" w:color="auto" w:fill="FDFDFD"/>
              <w:ind w:left="259"/>
              <w:jc w:val="both"/>
              <w:rPr>
                <w:sz w:val="18"/>
                <w:szCs w:val="18"/>
                <w:lang w:val="en-GB"/>
              </w:rPr>
            </w:pPr>
            <w:r w:rsidRPr="009766D5">
              <w:rPr>
                <w:sz w:val="18"/>
                <w:szCs w:val="18"/>
                <w:lang w:val="en-GB"/>
              </w:rPr>
              <w:t>(</w:t>
            </w:r>
            <w:r w:rsidR="00161EBF" w:rsidRPr="009766D5">
              <w:rPr>
                <w:sz w:val="18"/>
                <w:szCs w:val="18"/>
                <w:lang w:val="en-GB"/>
              </w:rPr>
              <w:t>a</w:t>
            </w:r>
            <w:r w:rsidRPr="009766D5">
              <w:rPr>
                <w:sz w:val="18"/>
                <w:szCs w:val="18"/>
                <w:lang w:val="en-GB"/>
              </w:rPr>
              <w:t>)</w:t>
            </w:r>
            <w:r w:rsidR="00161EBF" w:rsidRPr="009766D5">
              <w:rPr>
                <w:sz w:val="18"/>
                <w:szCs w:val="18"/>
                <w:lang w:val="en-GB"/>
              </w:rPr>
              <w:t xml:space="preserve"> area of terrestrial protected area created or under improved management practices (hectares)</w:t>
            </w:r>
          </w:p>
          <w:p w14:paraId="4171FE7C" w14:textId="3F3BCFCD" w:rsidR="00161EBF" w:rsidRPr="009766D5" w:rsidRDefault="00FF0BB7" w:rsidP="00654147">
            <w:pPr>
              <w:pStyle w:val="ListParagraph"/>
              <w:shd w:val="clear" w:color="auto" w:fill="FDFDFD"/>
              <w:ind w:left="259"/>
              <w:jc w:val="both"/>
              <w:rPr>
                <w:sz w:val="18"/>
                <w:szCs w:val="18"/>
                <w:lang w:val="en-GB"/>
              </w:rPr>
            </w:pPr>
            <w:r w:rsidRPr="009766D5">
              <w:rPr>
                <w:sz w:val="18"/>
                <w:szCs w:val="18"/>
                <w:lang w:val="en-GB"/>
              </w:rPr>
              <w:t>(</w:t>
            </w:r>
            <w:r w:rsidR="00161EBF" w:rsidRPr="009766D5">
              <w:rPr>
                <w:sz w:val="18"/>
                <w:szCs w:val="18"/>
                <w:lang w:val="en-GB"/>
              </w:rPr>
              <w:t>b</w:t>
            </w:r>
            <w:r w:rsidRPr="009766D5">
              <w:rPr>
                <w:sz w:val="18"/>
                <w:szCs w:val="18"/>
                <w:lang w:val="en-GB"/>
              </w:rPr>
              <w:t>)</w:t>
            </w:r>
            <w:r w:rsidR="00161EBF" w:rsidRPr="009766D5">
              <w:rPr>
                <w:sz w:val="18"/>
                <w:szCs w:val="18"/>
                <w:lang w:val="en-GB"/>
              </w:rPr>
              <w:t xml:space="preserve"> area of land under improved practices, excluding protected areas (hectares)</w:t>
            </w:r>
          </w:p>
          <w:p w14:paraId="4D3CA8E6" w14:textId="11356A6C" w:rsidR="00161EBF" w:rsidRPr="009766D5" w:rsidRDefault="00FF0BB7" w:rsidP="00654147">
            <w:pPr>
              <w:pStyle w:val="ListParagraph"/>
              <w:shd w:val="clear" w:color="auto" w:fill="FDFDFD"/>
              <w:ind w:left="259"/>
              <w:jc w:val="both"/>
              <w:rPr>
                <w:sz w:val="18"/>
                <w:szCs w:val="18"/>
                <w:lang w:val="en-GB"/>
              </w:rPr>
            </w:pPr>
            <w:r w:rsidRPr="009766D5">
              <w:rPr>
                <w:sz w:val="18"/>
                <w:szCs w:val="18"/>
                <w:lang w:val="en-GB"/>
              </w:rPr>
              <w:t>(</w:t>
            </w:r>
            <w:r w:rsidR="00161EBF" w:rsidRPr="009766D5">
              <w:rPr>
                <w:sz w:val="18"/>
                <w:szCs w:val="18"/>
                <w:lang w:val="en-GB"/>
              </w:rPr>
              <w:t>c</w:t>
            </w:r>
            <w:r w:rsidRPr="009766D5">
              <w:rPr>
                <w:sz w:val="18"/>
                <w:szCs w:val="18"/>
                <w:lang w:val="en-GB"/>
              </w:rPr>
              <w:t>)</w:t>
            </w:r>
            <w:r w:rsidR="00161EBF" w:rsidRPr="009766D5">
              <w:rPr>
                <w:sz w:val="18"/>
                <w:szCs w:val="18"/>
                <w:lang w:val="en-GB"/>
              </w:rPr>
              <w:t xml:space="preserve"> area of restored forest and forest land (hectares)</w:t>
            </w:r>
          </w:p>
          <w:p w14:paraId="2B284ED5" w14:textId="77777777" w:rsidR="00161EBF" w:rsidRPr="009766D5" w:rsidRDefault="00161EBF" w:rsidP="00654147">
            <w:pPr>
              <w:rPr>
                <w:sz w:val="18"/>
                <w:szCs w:val="18"/>
                <w:lang w:val="en-GB"/>
              </w:rPr>
            </w:pPr>
            <w:r w:rsidRPr="009766D5">
              <w:rPr>
                <w:sz w:val="18"/>
                <w:szCs w:val="18"/>
                <w:lang w:val="en-GB"/>
              </w:rPr>
              <w:t>Baseline (2022):</w:t>
            </w:r>
          </w:p>
          <w:p w14:paraId="4464FB99" w14:textId="4C3122C2" w:rsidR="00161EBF" w:rsidRPr="009766D5" w:rsidRDefault="00161EBF" w:rsidP="00654147">
            <w:pPr>
              <w:ind w:left="401"/>
              <w:rPr>
                <w:sz w:val="18"/>
                <w:szCs w:val="18"/>
                <w:lang w:val="en-GB"/>
              </w:rPr>
            </w:pPr>
            <w:r w:rsidRPr="009766D5">
              <w:rPr>
                <w:sz w:val="18"/>
                <w:szCs w:val="18"/>
                <w:lang w:val="en-GB"/>
              </w:rPr>
              <w:t>a-500</w:t>
            </w:r>
          </w:p>
          <w:p w14:paraId="7114FB97" w14:textId="56743C9B" w:rsidR="00161EBF" w:rsidRPr="009766D5" w:rsidRDefault="00161EBF" w:rsidP="000C2E44">
            <w:pPr>
              <w:spacing w:before="60"/>
              <w:ind w:left="403"/>
              <w:rPr>
                <w:sz w:val="18"/>
                <w:szCs w:val="18"/>
                <w:lang w:val="en-GB"/>
              </w:rPr>
            </w:pPr>
            <w:r w:rsidRPr="009766D5">
              <w:rPr>
                <w:sz w:val="18"/>
                <w:szCs w:val="18"/>
                <w:lang w:val="en-GB"/>
              </w:rPr>
              <w:t>b-6</w:t>
            </w:r>
            <w:r w:rsidR="00FF0BB7" w:rsidRPr="009766D5">
              <w:rPr>
                <w:sz w:val="18"/>
                <w:szCs w:val="18"/>
                <w:lang w:val="en-GB"/>
              </w:rPr>
              <w:t>,</w:t>
            </w:r>
            <w:r w:rsidRPr="009766D5">
              <w:rPr>
                <w:sz w:val="18"/>
                <w:szCs w:val="18"/>
                <w:lang w:val="en-GB"/>
              </w:rPr>
              <w:t>334</w:t>
            </w:r>
          </w:p>
          <w:p w14:paraId="4D04B5FB" w14:textId="42E4E6E3" w:rsidR="00161EBF" w:rsidRPr="009766D5" w:rsidRDefault="00161EBF" w:rsidP="00654147">
            <w:pPr>
              <w:ind w:left="401"/>
              <w:rPr>
                <w:sz w:val="18"/>
                <w:szCs w:val="18"/>
                <w:lang w:val="en-GB"/>
              </w:rPr>
            </w:pPr>
            <w:r w:rsidRPr="009766D5">
              <w:rPr>
                <w:sz w:val="18"/>
                <w:szCs w:val="18"/>
                <w:lang w:val="en-GB"/>
              </w:rPr>
              <w:lastRenderedPageBreak/>
              <w:t>c-925</w:t>
            </w:r>
          </w:p>
          <w:p w14:paraId="48C64E34" w14:textId="77777777" w:rsidR="00161EBF" w:rsidRPr="009766D5" w:rsidRDefault="00161EBF" w:rsidP="00FF0BB7">
            <w:pPr>
              <w:rPr>
                <w:sz w:val="18"/>
                <w:szCs w:val="18"/>
                <w:lang w:val="en-GB"/>
              </w:rPr>
            </w:pPr>
            <w:r w:rsidRPr="009766D5">
              <w:rPr>
                <w:sz w:val="18"/>
                <w:szCs w:val="18"/>
                <w:lang w:val="en-GB"/>
              </w:rPr>
              <w:t xml:space="preserve">Target (2026): </w:t>
            </w:r>
          </w:p>
          <w:p w14:paraId="7AB2E991" w14:textId="4F677086" w:rsidR="00161EBF" w:rsidRPr="009766D5" w:rsidRDefault="00161EBF" w:rsidP="00654147">
            <w:pPr>
              <w:ind w:left="401"/>
              <w:rPr>
                <w:sz w:val="18"/>
                <w:szCs w:val="18"/>
                <w:lang w:val="en-GB"/>
              </w:rPr>
            </w:pPr>
            <w:r w:rsidRPr="009766D5">
              <w:rPr>
                <w:sz w:val="18"/>
                <w:szCs w:val="18"/>
                <w:lang w:val="en-GB"/>
              </w:rPr>
              <w:t>a-5</w:t>
            </w:r>
            <w:r w:rsidR="00FF0BB7" w:rsidRPr="009766D5">
              <w:rPr>
                <w:sz w:val="18"/>
                <w:szCs w:val="18"/>
                <w:lang w:val="en-GB"/>
              </w:rPr>
              <w:t>,</w:t>
            </w:r>
            <w:r w:rsidRPr="009766D5">
              <w:rPr>
                <w:sz w:val="18"/>
                <w:szCs w:val="18"/>
                <w:lang w:val="en-GB"/>
              </w:rPr>
              <w:t>550</w:t>
            </w:r>
          </w:p>
          <w:p w14:paraId="3CB76739" w14:textId="2625E43A" w:rsidR="00161EBF" w:rsidRPr="009766D5" w:rsidRDefault="00161EBF" w:rsidP="00654147">
            <w:pPr>
              <w:ind w:left="401"/>
              <w:rPr>
                <w:sz w:val="18"/>
                <w:szCs w:val="18"/>
                <w:lang w:val="en-GB"/>
              </w:rPr>
            </w:pPr>
            <w:r w:rsidRPr="009766D5">
              <w:rPr>
                <w:sz w:val="18"/>
                <w:szCs w:val="18"/>
                <w:lang w:val="en-GB"/>
              </w:rPr>
              <w:t>b-12</w:t>
            </w:r>
            <w:r w:rsidR="00FF0BB7" w:rsidRPr="009766D5">
              <w:rPr>
                <w:sz w:val="18"/>
                <w:szCs w:val="18"/>
                <w:lang w:val="en-GB"/>
              </w:rPr>
              <w:t>,</w:t>
            </w:r>
            <w:r w:rsidRPr="009766D5">
              <w:rPr>
                <w:sz w:val="18"/>
                <w:szCs w:val="18"/>
                <w:lang w:val="en-GB"/>
              </w:rPr>
              <w:t>553</w:t>
            </w:r>
          </w:p>
          <w:p w14:paraId="62FFBFCF" w14:textId="70889909" w:rsidR="00161EBF" w:rsidRPr="009766D5" w:rsidRDefault="00161EBF" w:rsidP="00654147">
            <w:pPr>
              <w:ind w:left="401"/>
              <w:rPr>
                <w:sz w:val="18"/>
                <w:szCs w:val="18"/>
                <w:lang w:val="en-GB"/>
              </w:rPr>
            </w:pPr>
            <w:r w:rsidRPr="009766D5">
              <w:rPr>
                <w:sz w:val="18"/>
                <w:szCs w:val="18"/>
                <w:lang w:val="en-GB"/>
              </w:rPr>
              <w:t>c-10</w:t>
            </w:r>
            <w:r w:rsidR="00FF0BB7" w:rsidRPr="009766D5">
              <w:rPr>
                <w:sz w:val="18"/>
                <w:szCs w:val="18"/>
                <w:lang w:val="en-GB"/>
              </w:rPr>
              <w:t>,</w:t>
            </w:r>
            <w:r w:rsidRPr="009766D5">
              <w:rPr>
                <w:sz w:val="18"/>
                <w:szCs w:val="18"/>
                <w:lang w:val="en-GB"/>
              </w:rPr>
              <w:t>925</w:t>
            </w:r>
          </w:p>
          <w:p w14:paraId="086E5AB2" w14:textId="1BF85A37" w:rsidR="00161EBF" w:rsidRPr="009766D5" w:rsidRDefault="00161EBF" w:rsidP="00654147">
            <w:pPr>
              <w:rPr>
                <w:sz w:val="18"/>
                <w:szCs w:val="18"/>
                <w:lang w:val="en-GB"/>
              </w:rPr>
            </w:pPr>
            <w:r w:rsidRPr="009766D5">
              <w:rPr>
                <w:sz w:val="18"/>
                <w:szCs w:val="18"/>
                <w:lang w:val="en-GB"/>
              </w:rPr>
              <w:t>Source: General Directorate of Water, Forests and Hunting</w:t>
            </w:r>
            <w:r w:rsidR="00F37158" w:rsidRPr="009766D5">
              <w:rPr>
                <w:sz w:val="18"/>
                <w:szCs w:val="18"/>
                <w:lang w:val="en-GB"/>
              </w:rPr>
              <w:t>,</w:t>
            </w:r>
            <w:r w:rsidRPr="009766D5">
              <w:rPr>
                <w:sz w:val="18"/>
                <w:szCs w:val="18"/>
                <w:lang w:val="en-GB"/>
              </w:rPr>
              <w:t xml:space="preserve"> annual activities report</w:t>
            </w:r>
          </w:p>
          <w:p w14:paraId="0C9A00C3" w14:textId="77777777" w:rsidR="00161EBF" w:rsidRPr="009766D5" w:rsidRDefault="00161EBF" w:rsidP="00654147">
            <w:pPr>
              <w:rPr>
                <w:sz w:val="18"/>
                <w:szCs w:val="18"/>
                <w:lang w:val="en-GB"/>
              </w:rPr>
            </w:pPr>
            <w:r w:rsidRPr="009766D5">
              <w:rPr>
                <w:sz w:val="18"/>
                <w:szCs w:val="18"/>
                <w:lang w:val="en-GB"/>
              </w:rPr>
              <w:t>Frequency: Annual</w:t>
            </w:r>
          </w:p>
          <w:p w14:paraId="0B1BDEC2" w14:textId="77777777" w:rsidR="00161EBF" w:rsidRPr="009766D5" w:rsidRDefault="00161EBF" w:rsidP="00654147">
            <w:pPr>
              <w:jc w:val="both"/>
              <w:rPr>
                <w:sz w:val="18"/>
                <w:szCs w:val="18"/>
                <w:lang w:val="en-GB"/>
              </w:rPr>
            </w:pPr>
          </w:p>
          <w:p w14:paraId="473D6881" w14:textId="58FF7125" w:rsidR="00161EBF" w:rsidRPr="009766D5" w:rsidRDefault="00161EBF" w:rsidP="000C2E44">
            <w:pPr>
              <w:rPr>
                <w:sz w:val="18"/>
                <w:szCs w:val="18"/>
                <w:lang w:val="en-GB"/>
              </w:rPr>
            </w:pPr>
            <w:r w:rsidRPr="009766D5">
              <w:rPr>
                <w:b/>
                <w:bCs/>
                <w:sz w:val="18"/>
                <w:szCs w:val="18"/>
                <w:lang w:val="en-GB"/>
              </w:rPr>
              <w:t>Indicator 1.2.4</w:t>
            </w:r>
            <w:r w:rsidR="00F37158" w:rsidRPr="009766D5">
              <w:rPr>
                <w:b/>
                <w:bCs/>
                <w:sz w:val="18"/>
                <w:szCs w:val="18"/>
                <w:lang w:val="en-GB"/>
              </w:rPr>
              <w:t>.</w:t>
            </w:r>
            <w:r w:rsidRPr="009766D5">
              <w:rPr>
                <w:b/>
                <w:bCs/>
                <w:sz w:val="18"/>
                <w:szCs w:val="18"/>
                <w:lang w:val="en-GB"/>
              </w:rPr>
              <w:t xml:space="preserve"> </w:t>
            </w:r>
            <w:r w:rsidRPr="009766D5">
              <w:rPr>
                <w:sz w:val="18"/>
                <w:szCs w:val="18"/>
                <w:lang w:val="en-GB"/>
              </w:rPr>
              <w:t>Number of agro-forestry value-chains strengthened for better conservation and valorization of forest ecosystems</w:t>
            </w:r>
          </w:p>
          <w:p w14:paraId="19DF0744" w14:textId="2FCC1A3E" w:rsidR="00161EBF" w:rsidRPr="009766D5" w:rsidRDefault="00161EBF" w:rsidP="00F37158">
            <w:pPr>
              <w:rPr>
                <w:sz w:val="18"/>
                <w:szCs w:val="18"/>
                <w:lang w:val="en-GB"/>
              </w:rPr>
            </w:pPr>
            <w:r w:rsidRPr="009766D5">
              <w:rPr>
                <w:sz w:val="18"/>
                <w:szCs w:val="18"/>
                <w:lang w:val="en-GB"/>
              </w:rPr>
              <w:t>Baseline (2022):</w:t>
            </w:r>
            <w:r w:rsidR="00FF0BB7" w:rsidRPr="009766D5">
              <w:rPr>
                <w:sz w:val="18"/>
                <w:szCs w:val="18"/>
                <w:lang w:val="en-GB"/>
              </w:rPr>
              <w:t xml:space="preserve"> </w:t>
            </w:r>
            <w:r w:rsidRPr="009766D5">
              <w:rPr>
                <w:sz w:val="18"/>
                <w:szCs w:val="18"/>
                <w:lang w:val="en-GB"/>
              </w:rPr>
              <w:t>0</w:t>
            </w:r>
          </w:p>
          <w:p w14:paraId="1C266C7C" w14:textId="3233D20C" w:rsidR="00161EBF" w:rsidRPr="009766D5" w:rsidRDefault="00161EBF" w:rsidP="00F37158">
            <w:pPr>
              <w:rPr>
                <w:sz w:val="18"/>
                <w:szCs w:val="18"/>
                <w:lang w:val="en-GB"/>
              </w:rPr>
            </w:pPr>
            <w:r w:rsidRPr="009766D5">
              <w:rPr>
                <w:sz w:val="18"/>
                <w:szCs w:val="18"/>
                <w:lang w:val="en-GB"/>
              </w:rPr>
              <w:t>Target</w:t>
            </w:r>
            <w:r w:rsidR="00F37158" w:rsidRPr="009766D5">
              <w:rPr>
                <w:sz w:val="18"/>
                <w:szCs w:val="18"/>
                <w:lang w:val="en-GB"/>
              </w:rPr>
              <w:t xml:space="preserve"> </w:t>
            </w:r>
            <w:r w:rsidRPr="009766D5">
              <w:rPr>
                <w:sz w:val="18"/>
                <w:szCs w:val="18"/>
                <w:lang w:val="en-GB"/>
              </w:rPr>
              <w:t>(2026): 5</w:t>
            </w:r>
          </w:p>
          <w:p w14:paraId="091C8E0B" w14:textId="77777777" w:rsidR="00161EBF" w:rsidRPr="009766D5" w:rsidRDefault="00161EBF" w:rsidP="00F37158">
            <w:pPr>
              <w:rPr>
                <w:sz w:val="18"/>
                <w:szCs w:val="18"/>
                <w:lang w:val="en-GB"/>
              </w:rPr>
            </w:pPr>
            <w:r w:rsidRPr="009766D5">
              <w:rPr>
                <w:sz w:val="18"/>
                <w:szCs w:val="18"/>
                <w:lang w:val="en-GB"/>
              </w:rPr>
              <w:t>Source: ATDA performance report</w:t>
            </w:r>
          </w:p>
          <w:p w14:paraId="2781E9EE" w14:textId="77777777" w:rsidR="00161EBF" w:rsidRPr="009766D5" w:rsidRDefault="00161EBF" w:rsidP="00F37158">
            <w:pPr>
              <w:rPr>
                <w:sz w:val="18"/>
                <w:szCs w:val="18"/>
                <w:lang w:val="en-GB"/>
              </w:rPr>
            </w:pPr>
            <w:r w:rsidRPr="009766D5">
              <w:rPr>
                <w:sz w:val="18"/>
                <w:szCs w:val="18"/>
                <w:lang w:val="en-GB"/>
              </w:rPr>
              <w:t>Frequency: Annual</w:t>
            </w:r>
          </w:p>
          <w:p w14:paraId="3DF81033" w14:textId="77777777" w:rsidR="00161EBF" w:rsidRPr="009766D5" w:rsidRDefault="00161EBF" w:rsidP="000C2E44">
            <w:pPr>
              <w:rPr>
                <w:sz w:val="18"/>
                <w:szCs w:val="18"/>
                <w:lang w:val="en-GB"/>
              </w:rPr>
            </w:pPr>
          </w:p>
          <w:p w14:paraId="70924BF7" w14:textId="04B57990" w:rsidR="00161EBF" w:rsidRPr="009766D5" w:rsidRDefault="00161EBF" w:rsidP="000C2E44">
            <w:pPr>
              <w:rPr>
                <w:sz w:val="18"/>
                <w:szCs w:val="18"/>
                <w:lang w:val="en-GB"/>
              </w:rPr>
            </w:pPr>
            <w:r w:rsidRPr="009766D5">
              <w:rPr>
                <w:b/>
                <w:bCs/>
                <w:sz w:val="18"/>
                <w:szCs w:val="18"/>
                <w:lang w:val="en-GB"/>
              </w:rPr>
              <w:t>Indicator 1.2.5</w:t>
            </w:r>
            <w:r w:rsidR="00F37158" w:rsidRPr="009766D5">
              <w:rPr>
                <w:b/>
                <w:bCs/>
                <w:sz w:val="18"/>
                <w:szCs w:val="18"/>
                <w:lang w:val="en-GB"/>
              </w:rPr>
              <w:t>.</w:t>
            </w:r>
            <w:r w:rsidRPr="009766D5">
              <w:rPr>
                <w:sz w:val="18"/>
                <w:szCs w:val="18"/>
                <w:lang w:val="en-GB"/>
              </w:rPr>
              <w:t xml:space="preserve"> Number of </w:t>
            </w:r>
            <w:r w:rsidR="00830CF1" w:rsidRPr="009766D5">
              <w:rPr>
                <w:sz w:val="18"/>
                <w:szCs w:val="18"/>
                <w:lang w:val="en-GB"/>
              </w:rPr>
              <w:t>(</w:t>
            </w:r>
            <w:r w:rsidRPr="009766D5">
              <w:rPr>
                <w:sz w:val="18"/>
                <w:szCs w:val="18"/>
                <w:lang w:val="en-GB"/>
              </w:rPr>
              <w:t>a</w:t>
            </w:r>
            <w:r w:rsidR="00830CF1" w:rsidRPr="009766D5">
              <w:rPr>
                <w:sz w:val="18"/>
                <w:szCs w:val="18"/>
                <w:lang w:val="en-GB"/>
              </w:rPr>
              <w:t xml:space="preserve">) </w:t>
            </w:r>
            <w:r w:rsidRPr="009766D5">
              <w:rPr>
                <w:sz w:val="18"/>
                <w:szCs w:val="18"/>
                <w:lang w:val="en-GB"/>
              </w:rPr>
              <w:t>female</w:t>
            </w:r>
            <w:r w:rsidR="00830CF1" w:rsidRPr="009766D5">
              <w:rPr>
                <w:sz w:val="18"/>
                <w:szCs w:val="18"/>
                <w:lang w:val="en-GB"/>
              </w:rPr>
              <w:t>s</w:t>
            </w:r>
            <w:r w:rsidRPr="009766D5">
              <w:rPr>
                <w:sz w:val="18"/>
                <w:szCs w:val="18"/>
                <w:lang w:val="en-GB"/>
              </w:rPr>
              <w:t xml:space="preserve"> and </w:t>
            </w:r>
            <w:r w:rsidR="00830CF1" w:rsidRPr="009766D5">
              <w:rPr>
                <w:sz w:val="18"/>
                <w:szCs w:val="18"/>
                <w:lang w:val="en-GB"/>
              </w:rPr>
              <w:t>(</w:t>
            </w:r>
            <w:r w:rsidRPr="009766D5">
              <w:rPr>
                <w:sz w:val="18"/>
                <w:szCs w:val="18"/>
                <w:lang w:val="en-GB"/>
              </w:rPr>
              <w:t>b</w:t>
            </w:r>
            <w:r w:rsidR="00FF0BB7" w:rsidRPr="009766D5">
              <w:rPr>
                <w:sz w:val="18"/>
                <w:szCs w:val="18"/>
                <w:lang w:val="en-GB"/>
              </w:rPr>
              <w:t>) </w:t>
            </w:r>
            <w:r w:rsidRPr="009766D5">
              <w:rPr>
                <w:sz w:val="18"/>
                <w:szCs w:val="18"/>
                <w:lang w:val="en-GB"/>
              </w:rPr>
              <w:t>male</w:t>
            </w:r>
            <w:r w:rsidR="00830CF1" w:rsidRPr="009766D5">
              <w:rPr>
                <w:sz w:val="18"/>
                <w:szCs w:val="18"/>
                <w:lang w:val="en-GB"/>
              </w:rPr>
              <w:t>s</w:t>
            </w:r>
            <w:r w:rsidRPr="009766D5">
              <w:rPr>
                <w:sz w:val="18"/>
                <w:szCs w:val="18"/>
                <w:lang w:val="en-GB"/>
              </w:rPr>
              <w:t xml:space="preserve"> directly benefiting from initiatives to protect nature and promote sustainable use of resources</w:t>
            </w:r>
          </w:p>
          <w:p w14:paraId="377941F6" w14:textId="77777777" w:rsidR="00161EBF" w:rsidRPr="009766D5" w:rsidRDefault="00161EBF" w:rsidP="00654147">
            <w:pPr>
              <w:jc w:val="both"/>
              <w:rPr>
                <w:sz w:val="18"/>
                <w:szCs w:val="18"/>
                <w:lang w:val="en-GB"/>
              </w:rPr>
            </w:pPr>
            <w:r w:rsidRPr="009766D5">
              <w:rPr>
                <w:sz w:val="18"/>
                <w:szCs w:val="18"/>
                <w:lang w:val="en-GB"/>
              </w:rPr>
              <w:t>Baseline (2022): 0</w:t>
            </w:r>
          </w:p>
          <w:p w14:paraId="41E43E54" w14:textId="10BA0446" w:rsidR="00161EBF" w:rsidRPr="009766D5" w:rsidRDefault="00161EBF" w:rsidP="00654147">
            <w:pPr>
              <w:rPr>
                <w:sz w:val="18"/>
                <w:szCs w:val="18"/>
                <w:lang w:val="en-GB"/>
              </w:rPr>
            </w:pPr>
            <w:r w:rsidRPr="009766D5">
              <w:rPr>
                <w:sz w:val="18"/>
                <w:szCs w:val="18"/>
                <w:lang w:val="en-GB"/>
              </w:rPr>
              <w:t>Target (2026): a-7000</w:t>
            </w:r>
            <w:r w:rsidR="00830CF1" w:rsidRPr="009766D5">
              <w:rPr>
                <w:sz w:val="18"/>
                <w:szCs w:val="18"/>
                <w:lang w:val="en-GB"/>
              </w:rPr>
              <w:t>;</w:t>
            </w:r>
            <w:r w:rsidRPr="009766D5">
              <w:rPr>
                <w:sz w:val="18"/>
                <w:szCs w:val="18"/>
                <w:lang w:val="en-GB"/>
              </w:rPr>
              <w:t xml:space="preserve"> b-10000</w:t>
            </w:r>
          </w:p>
          <w:p w14:paraId="3B0F81F0" w14:textId="77777777" w:rsidR="00F37158" w:rsidRPr="009766D5" w:rsidRDefault="00161EBF" w:rsidP="00654147">
            <w:pPr>
              <w:rPr>
                <w:sz w:val="18"/>
                <w:szCs w:val="18"/>
                <w:lang w:val="en-GB"/>
              </w:rPr>
            </w:pPr>
            <w:r w:rsidRPr="009766D5">
              <w:rPr>
                <w:sz w:val="18"/>
                <w:szCs w:val="18"/>
                <w:lang w:val="en-GB"/>
              </w:rPr>
              <w:t>Source: ATDA performance report</w:t>
            </w:r>
            <w:r w:rsidRPr="009766D5" w:rsidDel="0001024D">
              <w:rPr>
                <w:sz w:val="18"/>
                <w:szCs w:val="18"/>
                <w:lang w:val="en-GB"/>
              </w:rPr>
              <w:t xml:space="preserve"> </w:t>
            </w:r>
          </w:p>
          <w:p w14:paraId="6C37ECB0" w14:textId="37199F01" w:rsidR="00161EBF" w:rsidRPr="009766D5" w:rsidRDefault="00F37158" w:rsidP="00654147">
            <w:pPr>
              <w:rPr>
                <w:sz w:val="18"/>
                <w:szCs w:val="18"/>
                <w:lang w:val="en-GB"/>
              </w:rPr>
            </w:pPr>
            <w:r w:rsidRPr="009766D5">
              <w:rPr>
                <w:sz w:val="18"/>
                <w:szCs w:val="18"/>
                <w:lang w:val="en-GB"/>
              </w:rPr>
              <w:t>F</w:t>
            </w:r>
            <w:r w:rsidR="00161EBF" w:rsidRPr="009766D5">
              <w:rPr>
                <w:sz w:val="18"/>
                <w:szCs w:val="18"/>
                <w:lang w:val="en-GB"/>
              </w:rPr>
              <w:t>requency: Annual</w:t>
            </w:r>
          </w:p>
          <w:p w14:paraId="220FCD81" w14:textId="77777777" w:rsidR="00161EBF" w:rsidRPr="009766D5" w:rsidRDefault="00161EBF" w:rsidP="00654147">
            <w:pPr>
              <w:jc w:val="both"/>
              <w:rPr>
                <w:b/>
                <w:sz w:val="18"/>
                <w:szCs w:val="18"/>
                <w:lang w:val="en-GB"/>
              </w:rPr>
            </w:pPr>
          </w:p>
          <w:p w14:paraId="534B9917" w14:textId="0FF4C7FC" w:rsidR="00161EBF" w:rsidRPr="009766D5" w:rsidRDefault="00161EBF" w:rsidP="000C2E44">
            <w:pPr>
              <w:rPr>
                <w:b/>
                <w:sz w:val="18"/>
                <w:szCs w:val="18"/>
                <w:lang w:val="en-GB"/>
              </w:rPr>
            </w:pPr>
            <w:r w:rsidRPr="009766D5">
              <w:rPr>
                <w:b/>
                <w:sz w:val="18"/>
                <w:szCs w:val="18"/>
                <w:lang w:val="en-GB"/>
              </w:rPr>
              <w:t>Output 1.3</w:t>
            </w:r>
            <w:r w:rsidR="00F37158" w:rsidRPr="009766D5">
              <w:rPr>
                <w:b/>
                <w:sz w:val="18"/>
                <w:szCs w:val="18"/>
                <w:lang w:val="en-GB"/>
              </w:rPr>
              <w:t>.</w:t>
            </w:r>
            <w:r w:rsidRPr="009766D5">
              <w:rPr>
                <w:b/>
                <w:sz w:val="18"/>
                <w:szCs w:val="18"/>
                <w:lang w:val="en-GB"/>
              </w:rPr>
              <w:t xml:space="preserve"> Transition to renewable energy accelerated</w:t>
            </w:r>
            <w:r w:rsidR="00384E41" w:rsidRPr="009766D5">
              <w:rPr>
                <w:b/>
                <w:sz w:val="18"/>
                <w:szCs w:val="18"/>
                <w:lang w:val="en-GB"/>
              </w:rPr>
              <w:t>,</w:t>
            </w:r>
            <w:r w:rsidRPr="009766D5">
              <w:rPr>
                <w:b/>
                <w:sz w:val="18"/>
                <w:szCs w:val="18"/>
                <w:lang w:val="en-GB"/>
              </w:rPr>
              <w:t xml:space="preserve"> capitalizing on technological gains, clean energy innovations and new financing mechanisms to support green recovery.</w:t>
            </w:r>
          </w:p>
          <w:p w14:paraId="163CEF49" w14:textId="77777777" w:rsidR="00161EBF" w:rsidRPr="009766D5" w:rsidRDefault="00161EBF" w:rsidP="000C2E44">
            <w:pPr>
              <w:rPr>
                <w:b/>
                <w:sz w:val="18"/>
                <w:szCs w:val="18"/>
                <w:lang w:val="en-GB"/>
              </w:rPr>
            </w:pPr>
          </w:p>
          <w:p w14:paraId="38FBBE86" w14:textId="36531E6F" w:rsidR="00384E41" w:rsidRPr="009766D5" w:rsidRDefault="00161EBF" w:rsidP="00F37158">
            <w:pPr>
              <w:pStyle w:val="NormalWeb"/>
              <w:spacing w:before="0" w:beforeAutospacing="0" w:after="0" w:afterAutospacing="0"/>
              <w:rPr>
                <w:sz w:val="18"/>
                <w:szCs w:val="18"/>
                <w:lang w:val="en-GB"/>
              </w:rPr>
            </w:pPr>
            <w:r w:rsidRPr="009766D5">
              <w:rPr>
                <w:b/>
                <w:bCs/>
                <w:sz w:val="18"/>
                <w:szCs w:val="18"/>
                <w:lang w:val="en-GB"/>
              </w:rPr>
              <w:t>Indicator 1.3.1</w:t>
            </w:r>
            <w:r w:rsidR="00F37158" w:rsidRPr="009766D5">
              <w:rPr>
                <w:b/>
                <w:bCs/>
                <w:sz w:val="18"/>
                <w:szCs w:val="18"/>
                <w:lang w:val="en-GB"/>
              </w:rPr>
              <w:t>.</w:t>
            </w:r>
            <w:r w:rsidRPr="009766D5">
              <w:rPr>
                <w:sz w:val="18"/>
                <w:szCs w:val="18"/>
                <w:lang w:val="en-GB"/>
              </w:rPr>
              <w:t xml:space="preserve"> Number of people, who (</w:t>
            </w:r>
            <w:r w:rsidR="00830CF1" w:rsidRPr="009766D5">
              <w:rPr>
                <w:sz w:val="18"/>
                <w:szCs w:val="18"/>
                <w:lang w:val="en-GB"/>
              </w:rPr>
              <w:t>i</w:t>
            </w:r>
            <w:r w:rsidRPr="009766D5">
              <w:rPr>
                <w:sz w:val="18"/>
                <w:szCs w:val="18"/>
                <w:lang w:val="en-GB"/>
              </w:rPr>
              <w:t>)</w:t>
            </w:r>
            <w:r w:rsidR="00830CF1" w:rsidRPr="009766D5">
              <w:rPr>
                <w:sz w:val="18"/>
                <w:szCs w:val="18"/>
                <w:lang w:val="en-GB"/>
              </w:rPr>
              <w:t xml:space="preserve"> </w:t>
            </w:r>
            <w:r w:rsidRPr="009766D5">
              <w:rPr>
                <w:sz w:val="18"/>
                <w:szCs w:val="18"/>
                <w:lang w:val="en-GB"/>
              </w:rPr>
              <w:t xml:space="preserve">gained access to </w:t>
            </w:r>
            <w:r w:rsidR="00F37158" w:rsidRPr="009766D5">
              <w:rPr>
                <w:sz w:val="18"/>
                <w:szCs w:val="18"/>
                <w:lang w:val="en-GB"/>
              </w:rPr>
              <w:t>(</w:t>
            </w:r>
            <w:r w:rsidR="00830CF1" w:rsidRPr="009766D5">
              <w:rPr>
                <w:sz w:val="18"/>
                <w:szCs w:val="18"/>
                <w:lang w:val="en-GB"/>
              </w:rPr>
              <w:t>ii</w:t>
            </w:r>
            <w:r w:rsidRPr="009766D5">
              <w:rPr>
                <w:sz w:val="18"/>
                <w:szCs w:val="18"/>
                <w:lang w:val="en-GB"/>
              </w:rPr>
              <w:t xml:space="preserve">) benefited from services </w:t>
            </w:r>
            <w:r w:rsidR="00830CF1" w:rsidRPr="009766D5">
              <w:rPr>
                <w:sz w:val="18"/>
                <w:szCs w:val="18"/>
                <w:lang w:val="en-GB"/>
              </w:rPr>
              <w:t>such as</w:t>
            </w:r>
            <w:r w:rsidRPr="009766D5">
              <w:rPr>
                <w:sz w:val="18"/>
                <w:szCs w:val="18"/>
                <w:lang w:val="en-GB"/>
              </w:rPr>
              <w:t xml:space="preserve"> clean, affordable and sustainable energy: </w:t>
            </w:r>
          </w:p>
          <w:p w14:paraId="3AB47486" w14:textId="3BDFF266" w:rsidR="00161EBF" w:rsidRPr="009766D5" w:rsidRDefault="00161EBF" w:rsidP="00F37158">
            <w:pPr>
              <w:pStyle w:val="NormalWeb"/>
              <w:spacing w:before="0" w:beforeAutospacing="0" w:after="0" w:afterAutospacing="0"/>
              <w:rPr>
                <w:sz w:val="18"/>
                <w:szCs w:val="18"/>
                <w:lang w:val="en-GB"/>
              </w:rPr>
            </w:pPr>
            <w:r w:rsidRPr="009766D5">
              <w:rPr>
                <w:sz w:val="18"/>
                <w:szCs w:val="18"/>
                <w:lang w:val="en-GB"/>
              </w:rPr>
              <w:t>a</w:t>
            </w:r>
            <w:r w:rsidR="00830CF1" w:rsidRPr="009766D5">
              <w:rPr>
                <w:sz w:val="18"/>
                <w:szCs w:val="18"/>
                <w:lang w:val="en-GB"/>
              </w:rPr>
              <w:t>-</w:t>
            </w:r>
            <w:r w:rsidRPr="009766D5">
              <w:rPr>
                <w:sz w:val="18"/>
                <w:szCs w:val="18"/>
                <w:lang w:val="en-GB"/>
              </w:rPr>
              <w:t>Female</w:t>
            </w:r>
            <w:r w:rsidR="00830CF1" w:rsidRPr="009766D5">
              <w:rPr>
                <w:sz w:val="18"/>
                <w:szCs w:val="18"/>
                <w:lang w:val="en-GB"/>
              </w:rPr>
              <w:t>,</w:t>
            </w:r>
            <w:r w:rsidRPr="009766D5">
              <w:rPr>
                <w:sz w:val="18"/>
                <w:szCs w:val="18"/>
                <w:lang w:val="en-GB"/>
              </w:rPr>
              <w:t xml:space="preserve"> b</w:t>
            </w:r>
            <w:r w:rsidR="00830CF1" w:rsidRPr="009766D5">
              <w:rPr>
                <w:sz w:val="18"/>
                <w:szCs w:val="18"/>
                <w:lang w:val="en-GB"/>
              </w:rPr>
              <w:t>-</w:t>
            </w:r>
            <w:r w:rsidRPr="009766D5">
              <w:rPr>
                <w:sz w:val="18"/>
                <w:szCs w:val="18"/>
                <w:lang w:val="en-GB"/>
              </w:rPr>
              <w:t>Male c</w:t>
            </w:r>
            <w:r w:rsidR="00830CF1" w:rsidRPr="009766D5">
              <w:rPr>
                <w:sz w:val="18"/>
                <w:szCs w:val="18"/>
                <w:lang w:val="en-GB"/>
              </w:rPr>
              <w:t>-</w:t>
            </w:r>
            <w:r w:rsidRPr="009766D5">
              <w:rPr>
                <w:sz w:val="18"/>
                <w:szCs w:val="18"/>
                <w:lang w:val="en-GB"/>
              </w:rPr>
              <w:t>In rural area</w:t>
            </w:r>
            <w:r w:rsidR="00830CF1" w:rsidRPr="009766D5">
              <w:rPr>
                <w:sz w:val="18"/>
                <w:szCs w:val="18"/>
                <w:lang w:val="en-GB"/>
              </w:rPr>
              <w:t>s</w:t>
            </w:r>
          </w:p>
          <w:p w14:paraId="37E70A94" w14:textId="77777777" w:rsidR="00161EBF" w:rsidRPr="009766D5" w:rsidRDefault="00161EBF" w:rsidP="000C2E44">
            <w:pPr>
              <w:rPr>
                <w:sz w:val="18"/>
                <w:szCs w:val="18"/>
                <w:lang w:val="en-GB"/>
              </w:rPr>
            </w:pPr>
            <w:r w:rsidRPr="009766D5">
              <w:rPr>
                <w:sz w:val="18"/>
                <w:szCs w:val="18"/>
                <w:lang w:val="en-GB"/>
              </w:rPr>
              <w:t xml:space="preserve">Baseline (2022): 0 </w:t>
            </w:r>
          </w:p>
          <w:p w14:paraId="358D97B3" w14:textId="31EBC6B7" w:rsidR="00161EBF" w:rsidRPr="009766D5" w:rsidRDefault="00161EBF" w:rsidP="00654147">
            <w:pPr>
              <w:jc w:val="both"/>
              <w:rPr>
                <w:sz w:val="18"/>
                <w:szCs w:val="18"/>
                <w:lang w:val="en-GB"/>
              </w:rPr>
            </w:pPr>
            <w:r w:rsidRPr="009766D5">
              <w:rPr>
                <w:sz w:val="18"/>
                <w:szCs w:val="18"/>
                <w:lang w:val="en-GB"/>
              </w:rPr>
              <w:t xml:space="preserve">Target (2026): </w:t>
            </w:r>
          </w:p>
          <w:p w14:paraId="14016FE4" w14:textId="77777777" w:rsidR="00161EBF" w:rsidRPr="009766D5" w:rsidRDefault="00161EBF" w:rsidP="00654147">
            <w:pPr>
              <w:jc w:val="both"/>
              <w:rPr>
                <w:sz w:val="18"/>
                <w:szCs w:val="18"/>
                <w:lang w:val="en-GB"/>
              </w:rPr>
            </w:pPr>
            <w:r w:rsidRPr="009766D5">
              <w:rPr>
                <w:sz w:val="18"/>
                <w:szCs w:val="18"/>
                <w:lang w:val="en-GB"/>
              </w:rPr>
              <w:t xml:space="preserve">(i) Gain access </w:t>
            </w:r>
          </w:p>
          <w:p w14:paraId="162E4AB5" w14:textId="77777777" w:rsidR="00161EBF" w:rsidRPr="009766D5" w:rsidRDefault="00161EBF" w:rsidP="00654147">
            <w:pPr>
              <w:jc w:val="both"/>
              <w:rPr>
                <w:sz w:val="18"/>
                <w:szCs w:val="18"/>
                <w:lang w:val="en-GB"/>
              </w:rPr>
            </w:pPr>
            <w:r w:rsidRPr="009766D5">
              <w:rPr>
                <w:sz w:val="18"/>
                <w:szCs w:val="18"/>
                <w:lang w:val="en-GB"/>
              </w:rPr>
              <w:t>a-300,000; b-700,000; c-1,000,000</w:t>
            </w:r>
          </w:p>
          <w:p w14:paraId="08F4C32C" w14:textId="34EF09EF" w:rsidR="00161EBF" w:rsidRPr="009766D5" w:rsidRDefault="00161EBF" w:rsidP="00654147">
            <w:pPr>
              <w:jc w:val="both"/>
              <w:rPr>
                <w:sz w:val="18"/>
                <w:szCs w:val="18"/>
                <w:lang w:val="en-GB"/>
              </w:rPr>
            </w:pPr>
            <w:r w:rsidRPr="009766D5">
              <w:rPr>
                <w:sz w:val="18"/>
                <w:szCs w:val="18"/>
                <w:lang w:val="en-GB"/>
              </w:rPr>
              <w:t>(ii)</w:t>
            </w:r>
            <w:r w:rsidR="00384E41" w:rsidRPr="009766D5">
              <w:rPr>
                <w:sz w:val="18"/>
                <w:szCs w:val="18"/>
                <w:lang w:val="en-GB"/>
              </w:rPr>
              <w:t xml:space="preserve"> </w:t>
            </w:r>
            <w:r w:rsidRPr="009766D5">
              <w:rPr>
                <w:sz w:val="18"/>
                <w:szCs w:val="18"/>
                <w:lang w:val="en-GB"/>
              </w:rPr>
              <w:t>Benefited from services:</w:t>
            </w:r>
          </w:p>
          <w:p w14:paraId="30F0120D" w14:textId="77777777" w:rsidR="00161EBF" w:rsidRPr="009766D5" w:rsidRDefault="00161EBF" w:rsidP="00654147">
            <w:pPr>
              <w:rPr>
                <w:sz w:val="18"/>
                <w:szCs w:val="18"/>
                <w:lang w:val="en-GB"/>
              </w:rPr>
            </w:pPr>
            <w:r w:rsidRPr="009766D5">
              <w:rPr>
                <w:sz w:val="18"/>
                <w:szCs w:val="18"/>
                <w:lang w:val="en-GB"/>
              </w:rPr>
              <w:t>a-500,000; b-700,000; c-1,200,000</w:t>
            </w:r>
          </w:p>
          <w:p w14:paraId="32996914" w14:textId="77777777" w:rsidR="00384E41" w:rsidRPr="009766D5" w:rsidRDefault="00384E41" w:rsidP="00654147">
            <w:pPr>
              <w:rPr>
                <w:sz w:val="18"/>
                <w:szCs w:val="18"/>
                <w:lang w:val="en-GB"/>
              </w:rPr>
            </w:pPr>
          </w:p>
          <w:p w14:paraId="4260FF4E" w14:textId="77777777" w:rsidR="00384E41" w:rsidRPr="009766D5" w:rsidRDefault="00384E41" w:rsidP="00654147">
            <w:pPr>
              <w:rPr>
                <w:sz w:val="18"/>
                <w:szCs w:val="18"/>
                <w:lang w:val="en-GB"/>
              </w:rPr>
            </w:pPr>
          </w:p>
          <w:p w14:paraId="04F156DE" w14:textId="51E77C62" w:rsidR="00161EBF" w:rsidRPr="009766D5" w:rsidRDefault="00161EBF" w:rsidP="000C2E44">
            <w:pPr>
              <w:spacing w:before="60"/>
              <w:rPr>
                <w:sz w:val="18"/>
                <w:szCs w:val="18"/>
                <w:lang w:val="en-GB"/>
              </w:rPr>
            </w:pPr>
            <w:r w:rsidRPr="009766D5">
              <w:rPr>
                <w:sz w:val="18"/>
                <w:szCs w:val="18"/>
                <w:lang w:val="en-GB"/>
              </w:rPr>
              <w:lastRenderedPageBreak/>
              <w:t>Source: Energy information system</w:t>
            </w:r>
            <w:r w:rsidR="00604DF7" w:rsidRPr="009766D5">
              <w:rPr>
                <w:sz w:val="18"/>
                <w:szCs w:val="18"/>
                <w:lang w:val="en-GB"/>
              </w:rPr>
              <w:t>, p</w:t>
            </w:r>
            <w:r w:rsidRPr="009766D5">
              <w:rPr>
                <w:sz w:val="18"/>
                <w:szCs w:val="18"/>
                <w:lang w:val="en-GB"/>
              </w:rPr>
              <w:t>rogramme monitoring reports</w:t>
            </w:r>
          </w:p>
          <w:p w14:paraId="399E2378" w14:textId="77777777" w:rsidR="00161EBF" w:rsidRPr="009766D5" w:rsidRDefault="00161EBF" w:rsidP="00654147">
            <w:pPr>
              <w:rPr>
                <w:sz w:val="18"/>
                <w:szCs w:val="18"/>
                <w:lang w:val="en-GB"/>
              </w:rPr>
            </w:pPr>
            <w:r w:rsidRPr="009766D5">
              <w:rPr>
                <w:sz w:val="18"/>
                <w:szCs w:val="18"/>
                <w:lang w:val="en-GB"/>
              </w:rPr>
              <w:t>Frequency: Annual</w:t>
            </w:r>
          </w:p>
          <w:p w14:paraId="02C37B81" w14:textId="77777777" w:rsidR="00161EBF" w:rsidRPr="009766D5" w:rsidRDefault="00161EBF" w:rsidP="00654147">
            <w:pPr>
              <w:rPr>
                <w:sz w:val="18"/>
                <w:szCs w:val="18"/>
                <w:lang w:val="en-GB"/>
              </w:rPr>
            </w:pPr>
          </w:p>
          <w:p w14:paraId="2065AD3A" w14:textId="4140C3BB" w:rsidR="00161EBF" w:rsidRPr="009766D5" w:rsidRDefault="00161EBF" w:rsidP="000C2E44">
            <w:pPr>
              <w:spacing w:before="60"/>
              <w:rPr>
                <w:sz w:val="18"/>
                <w:szCs w:val="18"/>
                <w:lang w:val="en-GB"/>
              </w:rPr>
            </w:pPr>
            <w:r w:rsidRPr="009766D5">
              <w:rPr>
                <w:b/>
                <w:bCs/>
                <w:sz w:val="18"/>
                <w:szCs w:val="18"/>
                <w:lang w:val="en-GB"/>
              </w:rPr>
              <w:t>Indicator 1.3.2</w:t>
            </w:r>
            <w:r w:rsidR="00830CF1" w:rsidRPr="009766D5">
              <w:rPr>
                <w:b/>
                <w:bCs/>
                <w:sz w:val="18"/>
                <w:szCs w:val="18"/>
                <w:lang w:val="en-GB"/>
              </w:rPr>
              <w:t>.</w:t>
            </w:r>
            <w:r w:rsidRPr="009766D5">
              <w:rPr>
                <w:sz w:val="18"/>
                <w:szCs w:val="18"/>
                <w:lang w:val="en-GB"/>
              </w:rPr>
              <w:t xml:space="preserve"> Increase (in megawatt</w:t>
            </w:r>
            <w:r w:rsidR="00604DF7" w:rsidRPr="009766D5">
              <w:rPr>
                <w:sz w:val="18"/>
                <w:szCs w:val="18"/>
                <w:lang w:val="en-GB"/>
              </w:rPr>
              <w:t>s</w:t>
            </w:r>
            <w:r w:rsidRPr="009766D5">
              <w:rPr>
                <w:sz w:val="18"/>
                <w:szCs w:val="18"/>
                <w:lang w:val="en-GB"/>
              </w:rPr>
              <w:t>) in installed renewable energy capacity per technology</w:t>
            </w:r>
            <w:r w:rsidR="00604DF7" w:rsidRPr="009766D5">
              <w:rPr>
                <w:sz w:val="18"/>
                <w:szCs w:val="18"/>
                <w:lang w:val="en-GB"/>
              </w:rPr>
              <w:t xml:space="preserve"> </w:t>
            </w:r>
            <w:r w:rsidRPr="009766D5">
              <w:rPr>
                <w:sz w:val="18"/>
                <w:szCs w:val="18"/>
                <w:lang w:val="en-GB"/>
              </w:rPr>
              <w:t xml:space="preserve">(solar) </w:t>
            </w:r>
          </w:p>
          <w:p w14:paraId="77B347BC" w14:textId="3FAA6F7B" w:rsidR="00161EBF" w:rsidRPr="009766D5" w:rsidRDefault="00161EBF" w:rsidP="00654147">
            <w:pPr>
              <w:rPr>
                <w:sz w:val="18"/>
                <w:szCs w:val="18"/>
                <w:lang w:val="en-GB"/>
              </w:rPr>
            </w:pPr>
            <w:r w:rsidRPr="009766D5">
              <w:rPr>
                <w:sz w:val="18"/>
                <w:szCs w:val="18"/>
                <w:lang w:val="en-GB"/>
              </w:rPr>
              <w:t>Baseline (2022):</w:t>
            </w:r>
            <w:r w:rsidR="00604DF7" w:rsidRPr="009766D5">
              <w:rPr>
                <w:sz w:val="18"/>
                <w:szCs w:val="18"/>
                <w:lang w:val="en-GB"/>
              </w:rPr>
              <w:t xml:space="preserve"> </w:t>
            </w:r>
            <w:r w:rsidRPr="009766D5">
              <w:rPr>
                <w:sz w:val="18"/>
                <w:szCs w:val="18"/>
                <w:lang w:val="en-GB"/>
              </w:rPr>
              <w:t>0</w:t>
            </w:r>
            <w:r w:rsidR="00384E41" w:rsidRPr="009766D5">
              <w:rPr>
                <w:sz w:val="18"/>
                <w:szCs w:val="18"/>
                <w:lang w:val="en-GB"/>
              </w:rPr>
              <w:t>.</w:t>
            </w:r>
            <w:r w:rsidRPr="009766D5">
              <w:rPr>
                <w:sz w:val="18"/>
                <w:szCs w:val="18"/>
                <w:lang w:val="en-GB"/>
              </w:rPr>
              <w:t>51</w:t>
            </w:r>
          </w:p>
          <w:p w14:paraId="33D3FAF2" w14:textId="4EA7706B" w:rsidR="00161EBF" w:rsidRPr="009766D5" w:rsidRDefault="00161EBF" w:rsidP="00654147">
            <w:pPr>
              <w:rPr>
                <w:sz w:val="18"/>
                <w:szCs w:val="18"/>
                <w:lang w:val="en-GB"/>
              </w:rPr>
            </w:pPr>
            <w:r w:rsidRPr="009766D5">
              <w:rPr>
                <w:sz w:val="18"/>
                <w:szCs w:val="18"/>
                <w:lang w:val="en-GB"/>
              </w:rPr>
              <w:t>Target (2026):</w:t>
            </w:r>
            <w:r w:rsidR="00604DF7" w:rsidRPr="009766D5">
              <w:rPr>
                <w:sz w:val="18"/>
                <w:szCs w:val="18"/>
                <w:lang w:val="en-GB"/>
              </w:rPr>
              <w:t xml:space="preserve"> </w:t>
            </w:r>
            <w:r w:rsidRPr="009766D5">
              <w:rPr>
                <w:sz w:val="18"/>
                <w:szCs w:val="18"/>
                <w:lang w:val="en-GB"/>
              </w:rPr>
              <w:t>4</w:t>
            </w:r>
          </w:p>
          <w:p w14:paraId="664EF54C" w14:textId="77777777" w:rsidR="00161EBF" w:rsidRPr="009766D5" w:rsidRDefault="00161EBF" w:rsidP="00654147">
            <w:pPr>
              <w:rPr>
                <w:sz w:val="18"/>
                <w:szCs w:val="18"/>
                <w:lang w:val="en-GB"/>
              </w:rPr>
            </w:pPr>
            <w:r w:rsidRPr="009766D5">
              <w:rPr>
                <w:sz w:val="18"/>
                <w:szCs w:val="18"/>
                <w:lang w:val="en-GB"/>
              </w:rPr>
              <w:t>Source: Energy information system reports</w:t>
            </w:r>
          </w:p>
          <w:p w14:paraId="7E254736" w14:textId="77777777" w:rsidR="00161EBF" w:rsidRPr="009766D5" w:rsidRDefault="00161EBF" w:rsidP="00654147">
            <w:pPr>
              <w:rPr>
                <w:sz w:val="18"/>
                <w:szCs w:val="18"/>
                <w:lang w:val="en-GB"/>
              </w:rPr>
            </w:pPr>
            <w:r w:rsidRPr="009766D5">
              <w:rPr>
                <w:sz w:val="18"/>
                <w:szCs w:val="18"/>
                <w:lang w:val="en-GB"/>
              </w:rPr>
              <w:t>Frequency: Annual</w:t>
            </w:r>
          </w:p>
          <w:p w14:paraId="7729E451" w14:textId="77777777" w:rsidR="00161EBF" w:rsidRPr="009766D5" w:rsidRDefault="00161EBF" w:rsidP="00654147">
            <w:pPr>
              <w:rPr>
                <w:sz w:val="18"/>
                <w:szCs w:val="18"/>
                <w:lang w:val="en-GB"/>
              </w:rPr>
            </w:pPr>
          </w:p>
          <w:p w14:paraId="1D28E174" w14:textId="4D84CBED" w:rsidR="00161EBF" w:rsidRPr="009766D5" w:rsidRDefault="00161EBF" w:rsidP="00654147">
            <w:pPr>
              <w:rPr>
                <w:sz w:val="18"/>
                <w:szCs w:val="18"/>
                <w:lang w:val="en-GB"/>
              </w:rPr>
            </w:pPr>
            <w:r w:rsidRPr="009766D5">
              <w:rPr>
                <w:b/>
                <w:bCs/>
                <w:sz w:val="18"/>
                <w:szCs w:val="18"/>
                <w:lang w:val="en-GB"/>
              </w:rPr>
              <w:t>Indicator 1.3.3</w:t>
            </w:r>
            <w:r w:rsidR="00604DF7" w:rsidRPr="009766D5">
              <w:rPr>
                <w:b/>
                <w:bCs/>
                <w:sz w:val="18"/>
                <w:szCs w:val="18"/>
                <w:lang w:val="en-GB"/>
              </w:rPr>
              <w:t>.</w:t>
            </w:r>
            <w:r w:rsidRPr="009766D5">
              <w:rPr>
                <w:sz w:val="18"/>
                <w:szCs w:val="18"/>
                <w:lang w:val="en-GB"/>
              </w:rPr>
              <w:t xml:space="preserve"> </w:t>
            </w:r>
            <w:r w:rsidR="00604DF7" w:rsidRPr="009766D5">
              <w:rPr>
                <w:sz w:val="18"/>
                <w:szCs w:val="18"/>
                <w:lang w:val="en-GB"/>
              </w:rPr>
              <w:t>S</w:t>
            </w:r>
            <w:r w:rsidRPr="009766D5">
              <w:rPr>
                <w:sz w:val="18"/>
                <w:szCs w:val="18"/>
                <w:lang w:val="en-GB"/>
              </w:rPr>
              <w:t>hare of renewable energy out of all energy types used in targeted areas</w:t>
            </w:r>
          </w:p>
          <w:p w14:paraId="445DD384" w14:textId="77777777" w:rsidR="00161EBF" w:rsidRPr="009766D5" w:rsidRDefault="00161EBF" w:rsidP="00654147">
            <w:pPr>
              <w:rPr>
                <w:sz w:val="18"/>
                <w:szCs w:val="18"/>
                <w:lang w:val="en-GB"/>
              </w:rPr>
            </w:pPr>
            <w:r w:rsidRPr="009766D5">
              <w:rPr>
                <w:sz w:val="18"/>
                <w:szCs w:val="18"/>
                <w:lang w:val="en-GB"/>
              </w:rPr>
              <w:t>Baseline (2022): 0%</w:t>
            </w:r>
          </w:p>
          <w:p w14:paraId="5E884784" w14:textId="77777777" w:rsidR="00161EBF" w:rsidRPr="009766D5" w:rsidRDefault="00161EBF" w:rsidP="00654147">
            <w:pPr>
              <w:rPr>
                <w:sz w:val="18"/>
                <w:szCs w:val="18"/>
                <w:lang w:val="en-GB"/>
              </w:rPr>
            </w:pPr>
            <w:r w:rsidRPr="009766D5">
              <w:rPr>
                <w:sz w:val="18"/>
                <w:szCs w:val="18"/>
                <w:lang w:val="en-GB"/>
              </w:rPr>
              <w:t>Target (2026): 20%</w:t>
            </w:r>
          </w:p>
          <w:p w14:paraId="2D2C879E" w14:textId="77777777" w:rsidR="00161EBF" w:rsidRPr="009766D5" w:rsidRDefault="00161EBF" w:rsidP="00654147">
            <w:pPr>
              <w:rPr>
                <w:sz w:val="18"/>
                <w:szCs w:val="18"/>
                <w:lang w:val="en-GB"/>
              </w:rPr>
            </w:pPr>
            <w:r w:rsidRPr="009766D5">
              <w:rPr>
                <w:sz w:val="18"/>
                <w:szCs w:val="18"/>
                <w:lang w:val="en-GB"/>
              </w:rPr>
              <w:t>Source: Energy information system report</w:t>
            </w:r>
          </w:p>
          <w:p w14:paraId="205B8B1F" w14:textId="77777777" w:rsidR="00161EBF" w:rsidRPr="009766D5" w:rsidRDefault="00161EBF" w:rsidP="00654147">
            <w:pPr>
              <w:rPr>
                <w:sz w:val="18"/>
                <w:szCs w:val="18"/>
                <w:lang w:val="en-GB"/>
              </w:rPr>
            </w:pPr>
            <w:r w:rsidRPr="009766D5">
              <w:rPr>
                <w:sz w:val="18"/>
                <w:szCs w:val="18"/>
                <w:lang w:val="en-GB"/>
              </w:rPr>
              <w:t>Frequency: Annual</w:t>
            </w:r>
          </w:p>
          <w:p w14:paraId="72F4EC1D" w14:textId="77777777" w:rsidR="00161EBF" w:rsidRPr="009766D5" w:rsidRDefault="00161EBF" w:rsidP="00654147">
            <w:pPr>
              <w:rPr>
                <w:sz w:val="18"/>
                <w:szCs w:val="18"/>
                <w:lang w:val="en-GB"/>
              </w:rPr>
            </w:pPr>
          </w:p>
          <w:p w14:paraId="39131C28" w14:textId="73F08721" w:rsidR="00161EBF" w:rsidRPr="009766D5" w:rsidRDefault="00161EBF" w:rsidP="000C2E44">
            <w:pPr>
              <w:rPr>
                <w:sz w:val="18"/>
                <w:szCs w:val="18"/>
                <w:lang w:val="en-GB"/>
              </w:rPr>
            </w:pPr>
            <w:r w:rsidRPr="009766D5">
              <w:rPr>
                <w:b/>
                <w:bCs/>
                <w:sz w:val="18"/>
                <w:szCs w:val="18"/>
                <w:lang w:val="en-GB"/>
              </w:rPr>
              <w:t>Indicator 1.3</w:t>
            </w:r>
            <w:r w:rsidR="00604DF7" w:rsidRPr="009766D5">
              <w:rPr>
                <w:b/>
                <w:bCs/>
                <w:sz w:val="18"/>
                <w:szCs w:val="18"/>
                <w:lang w:val="en-GB"/>
              </w:rPr>
              <w:t>.4.</w:t>
            </w:r>
            <w:r w:rsidRPr="009766D5">
              <w:rPr>
                <w:sz w:val="18"/>
                <w:szCs w:val="18"/>
                <w:lang w:val="en-GB"/>
              </w:rPr>
              <w:t xml:space="preserve"> Number of: </w:t>
            </w:r>
            <w:r w:rsidR="00604DF7" w:rsidRPr="009766D5">
              <w:rPr>
                <w:sz w:val="18"/>
                <w:szCs w:val="18"/>
                <w:lang w:val="en-GB"/>
              </w:rPr>
              <w:t xml:space="preserve">(a) </w:t>
            </w:r>
            <w:r w:rsidRPr="009766D5">
              <w:rPr>
                <w:sz w:val="18"/>
                <w:szCs w:val="18"/>
                <w:lang w:val="en-GB"/>
              </w:rPr>
              <w:t xml:space="preserve">improved technological processes; </w:t>
            </w:r>
            <w:r w:rsidR="00604DF7" w:rsidRPr="009766D5">
              <w:rPr>
                <w:sz w:val="18"/>
                <w:szCs w:val="18"/>
                <w:lang w:val="en-GB"/>
              </w:rPr>
              <w:t xml:space="preserve">(b) </w:t>
            </w:r>
            <w:r w:rsidRPr="009766D5">
              <w:rPr>
                <w:sz w:val="18"/>
                <w:szCs w:val="18"/>
                <w:lang w:val="en-GB"/>
              </w:rPr>
              <w:t>clean energy innovations</w:t>
            </w:r>
          </w:p>
          <w:p w14:paraId="2D2BFBAE" w14:textId="77777777" w:rsidR="00161EBF" w:rsidRPr="009766D5" w:rsidRDefault="00161EBF" w:rsidP="00BD6B07">
            <w:pPr>
              <w:rPr>
                <w:sz w:val="18"/>
                <w:szCs w:val="18"/>
                <w:lang w:val="en-GB"/>
              </w:rPr>
            </w:pPr>
            <w:r w:rsidRPr="009766D5">
              <w:rPr>
                <w:sz w:val="18"/>
                <w:szCs w:val="18"/>
                <w:lang w:val="en-GB"/>
              </w:rPr>
              <w:t>Baseline (2022): 0</w:t>
            </w:r>
          </w:p>
          <w:p w14:paraId="0B631130" w14:textId="77777777" w:rsidR="00161EBF" w:rsidRPr="009766D5" w:rsidRDefault="00161EBF" w:rsidP="001751ED">
            <w:pPr>
              <w:rPr>
                <w:sz w:val="18"/>
                <w:szCs w:val="18"/>
                <w:lang w:val="en-GB"/>
              </w:rPr>
            </w:pPr>
            <w:r w:rsidRPr="009766D5">
              <w:rPr>
                <w:sz w:val="18"/>
                <w:szCs w:val="18"/>
                <w:lang w:val="en-GB"/>
              </w:rPr>
              <w:t>Target (2026): a-15; b-22</w:t>
            </w:r>
          </w:p>
          <w:p w14:paraId="72972325" w14:textId="77777777" w:rsidR="00161EBF" w:rsidRPr="009766D5" w:rsidRDefault="00161EBF" w:rsidP="001751ED">
            <w:pPr>
              <w:rPr>
                <w:sz w:val="18"/>
                <w:szCs w:val="18"/>
                <w:lang w:val="en-GB"/>
              </w:rPr>
            </w:pPr>
            <w:r w:rsidRPr="009766D5">
              <w:rPr>
                <w:sz w:val="18"/>
                <w:szCs w:val="18"/>
                <w:lang w:val="en-GB"/>
              </w:rPr>
              <w:t>Source: Energy information system reports</w:t>
            </w:r>
          </w:p>
          <w:p w14:paraId="2B2C31F0" w14:textId="77777777" w:rsidR="00161EBF" w:rsidRPr="009766D5" w:rsidRDefault="00161EBF" w:rsidP="00654147">
            <w:pPr>
              <w:rPr>
                <w:sz w:val="18"/>
                <w:szCs w:val="18"/>
                <w:lang w:val="en-GB"/>
              </w:rPr>
            </w:pPr>
            <w:r w:rsidRPr="009766D5">
              <w:rPr>
                <w:sz w:val="18"/>
                <w:szCs w:val="18"/>
                <w:lang w:val="en-GB"/>
              </w:rPr>
              <w:t>Frequency: Annual</w:t>
            </w:r>
          </w:p>
          <w:p w14:paraId="59848274" w14:textId="77777777" w:rsidR="00161EBF" w:rsidRPr="009766D5" w:rsidRDefault="00161EBF" w:rsidP="00654147">
            <w:pPr>
              <w:rPr>
                <w:sz w:val="18"/>
                <w:szCs w:val="18"/>
                <w:lang w:val="en-GB"/>
              </w:rPr>
            </w:pPr>
          </w:p>
          <w:p w14:paraId="4B8D73CE" w14:textId="75D5A6ED" w:rsidR="00161EBF" w:rsidRPr="009766D5" w:rsidRDefault="00161EBF" w:rsidP="000C2E44">
            <w:pPr>
              <w:rPr>
                <w:b/>
                <w:bCs/>
                <w:sz w:val="18"/>
                <w:szCs w:val="18"/>
                <w:lang w:val="en-GB"/>
              </w:rPr>
            </w:pPr>
            <w:r w:rsidRPr="009766D5">
              <w:rPr>
                <w:b/>
                <w:bCs/>
                <w:sz w:val="18"/>
                <w:szCs w:val="18"/>
                <w:lang w:val="en-GB"/>
              </w:rPr>
              <w:t>Output 1.4</w:t>
            </w:r>
            <w:r w:rsidR="00604DF7" w:rsidRPr="009766D5">
              <w:rPr>
                <w:b/>
                <w:bCs/>
                <w:sz w:val="18"/>
                <w:szCs w:val="18"/>
                <w:lang w:val="en-GB"/>
              </w:rPr>
              <w:t>.</w:t>
            </w:r>
            <w:r w:rsidRPr="009766D5">
              <w:rPr>
                <w:b/>
                <w:bCs/>
                <w:sz w:val="18"/>
                <w:szCs w:val="18"/>
                <w:lang w:val="en-GB"/>
              </w:rPr>
              <w:t xml:space="preserve"> Institutions and systems for climate and disaster risk management strengthened to enhance the resilience of population and ecosystems</w:t>
            </w:r>
            <w:r w:rsidR="00384E41" w:rsidRPr="009766D5">
              <w:rPr>
                <w:b/>
                <w:bCs/>
                <w:sz w:val="18"/>
                <w:szCs w:val="18"/>
                <w:lang w:val="en-GB"/>
              </w:rPr>
              <w:t>.</w:t>
            </w:r>
          </w:p>
          <w:p w14:paraId="0CA0939C" w14:textId="77777777" w:rsidR="00161EBF" w:rsidRPr="009766D5" w:rsidRDefault="00161EBF" w:rsidP="00604DF7">
            <w:pPr>
              <w:rPr>
                <w:sz w:val="18"/>
                <w:szCs w:val="18"/>
                <w:lang w:val="en-GB"/>
              </w:rPr>
            </w:pPr>
          </w:p>
          <w:p w14:paraId="074B7F1F" w14:textId="7C882C51" w:rsidR="00161EBF" w:rsidRPr="009766D5" w:rsidRDefault="00161EBF" w:rsidP="00604DF7">
            <w:pPr>
              <w:rPr>
                <w:sz w:val="18"/>
                <w:szCs w:val="18"/>
                <w:lang w:val="en-GB"/>
              </w:rPr>
            </w:pPr>
            <w:r w:rsidRPr="009766D5">
              <w:rPr>
                <w:b/>
                <w:bCs/>
                <w:sz w:val="18"/>
                <w:szCs w:val="18"/>
                <w:lang w:val="en-GB"/>
              </w:rPr>
              <w:t>Indicator 1.4.1</w:t>
            </w:r>
            <w:r w:rsidR="00604DF7" w:rsidRPr="009766D5">
              <w:rPr>
                <w:b/>
                <w:bCs/>
                <w:sz w:val="18"/>
                <w:szCs w:val="18"/>
                <w:lang w:val="en-GB"/>
              </w:rPr>
              <w:t>.</w:t>
            </w:r>
            <w:r w:rsidRPr="009766D5">
              <w:rPr>
                <w:sz w:val="18"/>
                <w:szCs w:val="18"/>
                <w:lang w:val="en-GB"/>
              </w:rPr>
              <w:t xml:space="preserve"> Number of risk-informed development strategies and plans implemented at </w:t>
            </w:r>
            <w:r w:rsidR="00BD6B07" w:rsidRPr="009766D5">
              <w:rPr>
                <w:sz w:val="18"/>
                <w:szCs w:val="18"/>
                <w:lang w:val="en-GB"/>
              </w:rPr>
              <w:t xml:space="preserve">    </w:t>
            </w:r>
            <w:r w:rsidR="00B71306" w:rsidRPr="009766D5">
              <w:rPr>
                <w:sz w:val="18"/>
                <w:szCs w:val="18"/>
                <w:lang w:val="en-GB"/>
              </w:rPr>
              <w:t>(</w:t>
            </w:r>
            <w:r w:rsidRPr="009766D5">
              <w:rPr>
                <w:sz w:val="18"/>
                <w:szCs w:val="18"/>
                <w:lang w:val="en-GB"/>
              </w:rPr>
              <w:t>a</w:t>
            </w:r>
            <w:r w:rsidR="00B71306" w:rsidRPr="009766D5">
              <w:rPr>
                <w:sz w:val="18"/>
                <w:szCs w:val="18"/>
                <w:lang w:val="en-GB"/>
              </w:rPr>
              <w:t xml:space="preserve">) </w:t>
            </w:r>
            <w:r w:rsidRPr="009766D5">
              <w:rPr>
                <w:sz w:val="18"/>
                <w:szCs w:val="18"/>
                <w:lang w:val="en-GB"/>
              </w:rPr>
              <w:t xml:space="preserve">national; </w:t>
            </w:r>
            <w:r w:rsidR="00B71306" w:rsidRPr="009766D5">
              <w:rPr>
                <w:sz w:val="18"/>
                <w:szCs w:val="18"/>
                <w:lang w:val="en-GB"/>
              </w:rPr>
              <w:t>(</w:t>
            </w:r>
            <w:r w:rsidRPr="009766D5">
              <w:rPr>
                <w:sz w:val="18"/>
                <w:szCs w:val="18"/>
                <w:lang w:val="en-GB"/>
              </w:rPr>
              <w:t>b</w:t>
            </w:r>
            <w:r w:rsidR="00B71306" w:rsidRPr="009766D5">
              <w:rPr>
                <w:sz w:val="18"/>
                <w:szCs w:val="18"/>
                <w:lang w:val="en-GB"/>
              </w:rPr>
              <w:t xml:space="preserve">) </w:t>
            </w:r>
            <w:r w:rsidRPr="009766D5">
              <w:rPr>
                <w:sz w:val="18"/>
                <w:szCs w:val="18"/>
                <w:lang w:val="en-GB"/>
              </w:rPr>
              <w:t xml:space="preserve">sectoral; </w:t>
            </w:r>
            <w:r w:rsidR="00B71306" w:rsidRPr="009766D5">
              <w:rPr>
                <w:sz w:val="18"/>
                <w:szCs w:val="18"/>
                <w:lang w:val="en-GB"/>
              </w:rPr>
              <w:t>(</w:t>
            </w:r>
            <w:r w:rsidRPr="009766D5">
              <w:rPr>
                <w:sz w:val="18"/>
                <w:szCs w:val="18"/>
                <w:lang w:val="en-GB"/>
              </w:rPr>
              <w:t>c</w:t>
            </w:r>
            <w:r w:rsidR="00B71306" w:rsidRPr="009766D5">
              <w:rPr>
                <w:sz w:val="18"/>
                <w:szCs w:val="18"/>
                <w:lang w:val="en-GB"/>
              </w:rPr>
              <w:t xml:space="preserve">) </w:t>
            </w:r>
            <w:r w:rsidRPr="009766D5">
              <w:rPr>
                <w:sz w:val="18"/>
                <w:szCs w:val="18"/>
                <w:lang w:val="en-GB"/>
              </w:rPr>
              <w:t>local</w:t>
            </w:r>
            <w:r w:rsidR="00604DF7" w:rsidRPr="009766D5">
              <w:rPr>
                <w:sz w:val="18"/>
                <w:szCs w:val="18"/>
                <w:lang w:val="en-GB"/>
              </w:rPr>
              <w:t xml:space="preserve"> level:</w:t>
            </w:r>
            <w:r w:rsidRPr="009766D5">
              <w:rPr>
                <w:sz w:val="18"/>
                <w:szCs w:val="18"/>
                <w:lang w:val="en-GB"/>
              </w:rPr>
              <w:t xml:space="preserve"> </w:t>
            </w:r>
          </w:p>
          <w:p w14:paraId="76588B9F" w14:textId="77777777" w:rsidR="00161EBF" w:rsidRPr="009766D5" w:rsidRDefault="00161EBF" w:rsidP="00604DF7">
            <w:pPr>
              <w:rPr>
                <w:sz w:val="18"/>
                <w:szCs w:val="18"/>
                <w:lang w:val="en-GB"/>
              </w:rPr>
            </w:pPr>
            <w:r w:rsidRPr="009766D5">
              <w:rPr>
                <w:sz w:val="18"/>
                <w:szCs w:val="18"/>
                <w:lang w:val="en-GB"/>
              </w:rPr>
              <w:t>Baseline (2022): a-2; b-2; c-2</w:t>
            </w:r>
          </w:p>
          <w:p w14:paraId="3DF137EA" w14:textId="77777777" w:rsidR="00161EBF" w:rsidRPr="009766D5" w:rsidRDefault="00161EBF" w:rsidP="00604DF7">
            <w:pPr>
              <w:rPr>
                <w:sz w:val="18"/>
                <w:szCs w:val="18"/>
                <w:lang w:val="en-GB"/>
              </w:rPr>
            </w:pPr>
            <w:r w:rsidRPr="009766D5">
              <w:rPr>
                <w:sz w:val="18"/>
                <w:szCs w:val="18"/>
                <w:lang w:val="en-GB"/>
              </w:rPr>
              <w:t>Target (2026): a-3; b-3; c-3</w:t>
            </w:r>
          </w:p>
          <w:p w14:paraId="69FAEE3D" w14:textId="6FABADB6" w:rsidR="00161EBF" w:rsidRPr="009766D5" w:rsidRDefault="00161EBF" w:rsidP="00604DF7">
            <w:pPr>
              <w:rPr>
                <w:sz w:val="18"/>
                <w:szCs w:val="18"/>
                <w:lang w:val="en-GB"/>
              </w:rPr>
            </w:pPr>
            <w:r w:rsidRPr="009766D5">
              <w:rPr>
                <w:sz w:val="18"/>
                <w:szCs w:val="18"/>
                <w:lang w:val="en-GB"/>
              </w:rPr>
              <w:t xml:space="preserve">Source: National </w:t>
            </w:r>
            <w:r w:rsidR="00BD6B07" w:rsidRPr="009766D5">
              <w:rPr>
                <w:sz w:val="18"/>
                <w:szCs w:val="18"/>
                <w:lang w:val="en-GB"/>
              </w:rPr>
              <w:t>A</w:t>
            </w:r>
            <w:r w:rsidRPr="009766D5">
              <w:rPr>
                <w:sz w:val="18"/>
                <w:szCs w:val="18"/>
                <w:lang w:val="en-GB"/>
              </w:rPr>
              <w:t xml:space="preserve">gency for </w:t>
            </w:r>
            <w:r w:rsidR="00BD6B07" w:rsidRPr="009766D5">
              <w:rPr>
                <w:sz w:val="18"/>
                <w:szCs w:val="18"/>
                <w:lang w:val="en-GB"/>
              </w:rPr>
              <w:t>C</w:t>
            </w:r>
            <w:r w:rsidRPr="009766D5">
              <w:rPr>
                <w:sz w:val="18"/>
                <w:szCs w:val="18"/>
                <w:lang w:val="en-GB"/>
              </w:rPr>
              <w:t xml:space="preserve">ivil </w:t>
            </w:r>
            <w:r w:rsidR="00BD6B07" w:rsidRPr="009766D5">
              <w:rPr>
                <w:sz w:val="18"/>
                <w:szCs w:val="18"/>
                <w:lang w:val="en-GB"/>
              </w:rPr>
              <w:t>P</w:t>
            </w:r>
            <w:r w:rsidRPr="009766D5">
              <w:rPr>
                <w:sz w:val="18"/>
                <w:szCs w:val="18"/>
                <w:lang w:val="en-GB"/>
              </w:rPr>
              <w:t xml:space="preserve">rotection </w:t>
            </w:r>
            <w:r w:rsidR="00384E41" w:rsidRPr="009766D5">
              <w:rPr>
                <w:sz w:val="18"/>
                <w:szCs w:val="18"/>
                <w:lang w:val="en-GB"/>
              </w:rPr>
              <w:t>r</w:t>
            </w:r>
            <w:r w:rsidRPr="009766D5">
              <w:rPr>
                <w:sz w:val="18"/>
                <w:szCs w:val="18"/>
                <w:lang w:val="en-GB"/>
              </w:rPr>
              <w:t>eport</w:t>
            </w:r>
          </w:p>
          <w:p w14:paraId="5A927905" w14:textId="77777777" w:rsidR="00161EBF" w:rsidRPr="009766D5" w:rsidRDefault="00161EBF" w:rsidP="00604DF7">
            <w:pPr>
              <w:rPr>
                <w:sz w:val="18"/>
                <w:szCs w:val="18"/>
                <w:lang w:val="en-GB"/>
              </w:rPr>
            </w:pPr>
            <w:r w:rsidRPr="009766D5">
              <w:rPr>
                <w:sz w:val="18"/>
                <w:szCs w:val="18"/>
                <w:lang w:val="en-GB"/>
              </w:rPr>
              <w:t>Frequency: Annual</w:t>
            </w:r>
          </w:p>
          <w:p w14:paraId="40398D02" w14:textId="77777777" w:rsidR="00161EBF" w:rsidRPr="009766D5" w:rsidRDefault="00161EBF" w:rsidP="00604DF7">
            <w:pPr>
              <w:pStyle w:val="Default"/>
              <w:rPr>
                <w:rFonts w:ascii="Times New Roman" w:eastAsia="Times New Roman" w:hAnsi="Times New Roman" w:cs="Times New Roman"/>
                <w:color w:val="auto"/>
                <w:sz w:val="18"/>
                <w:szCs w:val="18"/>
                <w:lang w:eastAsia="en-GB"/>
              </w:rPr>
            </w:pPr>
          </w:p>
          <w:p w14:paraId="7AA7B8BD" w14:textId="3654E1AB" w:rsidR="00384E41" w:rsidRPr="009766D5" w:rsidRDefault="00161EBF" w:rsidP="00F31662">
            <w:pPr>
              <w:spacing w:after="80"/>
              <w:rPr>
                <w:sz w:val="18"/>
                <w:szCs w:val="18"/>
                <w:lang w:val="en-GB"/>
              </w:rPr>
            </w:pPr>
            <w:r w:rsidRPr="009766D5">
              <w:rPr>
                <w:b/>
                <w:bCs/>
                <w:sz w:val="18"/>
                <w:szCs w:val="18"/>
                <w:lang w:val="en-GB"/>
              </w:rPr>
              <w:t>Indicator 1.4.2</w:t>
            </w:r>
            <w:r w:rsidR="00604DF7" w:rsidRPr="009766D5">
              <w:rPr>
                <w:b/>
                <w:bCs/>
                <w:sz w:val="18"/>
                <w:szCs w:val="18"/>
                <w:lang w:val="en-GB"/>
              </w:rPr>
              <w:t>.</w:t>
            </w:r>
            <w:r w:rsidRPr="009766D5">
              <w:rPr>
                <w:sz w:val="18"/>
                <w:szCs w:val="18"/>
                <w:lang w:val="en-GB"/>
              </w:rPr>
              <w:t xml:space="preserve"> Extent to which the country has set up operational arrangements for early warning and preparedness, to manage the impact of conflicts, </w:t>
            </w:r>
          </w:p>
          <w:p w14:paraId="7AE3578C" w14:textId="051E9C7F" w:rsidR="00161EBF" w:rsidRPr="009766D5" w:rsidRDefault="00161EBF" w:rsidP="00F31662">
            <w:pPr>
              <w:spacing w:before="120" w:after="60"/>
              <w:rPr>
                <w:sz w:val="18"/>
                <w:szCs w:val="18"/>
                <w:lang w:val="en-GB"/>
              </w:rPr>
            </w:pPr>
            <w:r w:rsidRPr="009766D5">
              <w:rPr>
                <w:sz w:val="18"/>
                <w:szCs w:val="18"/>
                <w:lang w:val="en-GB"/>
              </w:rPr>
              <w:lastRenderedPageBreak/>
              <w:t>disasters, pandemics, and other shocks at the national level (0=not set up, 1=work started, 2=work in progress, 3=work almost complete, 4=set up)</w:t>
            </w:r>
          </w:p>
          <w:p w14:paraId="7EA27D2F" w14:textId="4D88150F" w:rsidR="00161EBF" w:rsidRPr="009766D5" w:rsidRDefault="00161EBF" w:rsidP="00604DF7">
            <w:pPr>
              <w:rPr>
                <w:sz w:val="18"/>
                <w:szCs w:val="18"/>
                <w:lang w:val="en-GB"/>
              </w:rPr>
            </w:pPr>
            <w:r w:rsidRPr="009766D5">
              <w:rPr>
                <w:sz w:val="18"/>
                <w:szCs w:val="18"/>
                <w:lang w:val="en-GB"/>
              </w:rPr>
              <w:t>Baseline (2022):</w:t>
            </w:r>
            <w:r w:rsidR="00BD6B07" w:rsidRPr="009766D5">
              <w:rPr>
                <w:sz w:val="18"/>
                <w:szCs w:val="18"/>
                <w:lang w:val="en-GB"/>
              </w:rPr>
              <w:t xml:space="preserve"> </w:t>
            </w:r>
            <w:r w:rsidRPr="009766D5">
              <w:rPr>
                <w:sz w:val="18"/>
                <w:szCs w:val="18"/>
                <w:lang w:val="en-GB"/>
              </w:rPr>
              <w:t>3</w:t>
            </w:r>
          </w:p>
          <w:p w14:paraId="3AA9607F" w14:textId="789CCF7D" w:rsidR="00161EBF" w:rsidRPr="009766D5" w:rsidRDefault="00161EBF" w:rsidP="00604DF7">
            <w:pPr>
              <w:rPr>
                <w:sz w:val="18"/>
                <w:szCs w:val="18"/>
                <w:lang w:val="en-GB"/>
              </w:rPr>
            </w:pPr>
            <w:r w:rsidRPr="009766D5">
              <w:rPr>
                <w:sz w:val="18"/>
                <w:szCs w:val="18"/>
                <w:lang w:val="en-GB"/>
              </w:rPr>
              <w:t>Target (2026):</w:t>
            </w:r>
            <w:r w:rsidR="00BD6B07" w:rsidRPr="009766D5">
              <w:rPr>
                <w:sz w:val="18"/>
                <w:szCs w:val="18"/>
                <w:lang w:val="en-GB"/>
              </w:rPr>
              <w:t xml:space="preserve"> </w:t>
            </w:r>
            <w:r w:rsidRPr="009766D5">
              <w:rPr>
                <w:sz w:val="18"/>
                <w:szCs w:val="18"/>
                <w:lang w:val="en-GB"/>
              </w:rPr>
              <w:t>4</w:t>
            </w:r>
          </w:p>
          <w:p w14:paraId="0EE7BBAF" w14:textId="00A4A410" w:rsidR="00161EBF" w:rsidRPr="009766D5" w:rsidRDefault="00161EBF" w:rsidP="00F31662">
            <w:pPr>
              <w:spacing w:before="60"/>
              <w:rPr>
                <w:sz w:val="18"/>
                <w:szCs w:val="18"/>
                <w:lang w:val="en-GB"/>
              </w:rPr>
            </w:pPr>
            <w:r w:rsidRPr="009766D5">
              <w:rPr>
                <w:sz w:val="18"/>
                <w:szCs w:val="18"/>
                <w:lang w:val="en-GB"/>
              </w:rPr>
              <w:t xml:space="preserve">Source: </w:t>
            </w:r>
            <w:r w:rsidR="00604DF7" w:rsidRPr="009766D5">
              <w:rPr>
                <w:sz w:val="18"/>
                <w:szCs w:val="18"/>
                <w:lang w:val="en-GB"/>
              </w:rPr>
              <w:t>R</w:t>
            </w:r>
            <w:r w:rsidRPr="009766D5">
              <w:rPr>
                <w:sz w:val="18"/>
                <w:szCs w:val="18"/>
                <w:lang w:val="en-GB"/>
              </w:rPr>
              <w:t xml:space="preserve">eports of National </w:t>
            </w:r>
            <w:r w:rsidR="00604DF7" w:rsidRPr="009766D5">
              <w:rPr>
                <w:sz w:val="18"/>
                <w:szCs w:val="18"/>
                <w:lang w:val="en-GB"/>
              </w:rPr>
              <w:t>A</w:t>
            </w:r>
            <w:r w:rsidRPr="009766D5">
              <w:rPr>
                <w:sz w:val="18"/>
                <w:szCs w:val="18"/>
                <w:lang w:val="en-GB"/>
              </w:rPr>
              <w:t xml:space="preserve">gency for </w:t>
            </w:r>
            <w:r w:rsidR="00604DF7" w:rsidRPr="009766D5">
              <w:rPr>
                <w:sz w:val="18"/>
                <w:szCs w:val="18"/>
                <w:lang w:val="en-GB"/>
              </w:rPr>
              <w:t>C</w:t>
            </w:r>
            <w:r w:rsidRPr="009766D5">
              <w:rPr>
                <w:sz w:val="18"/>
                <w:szCs w:val="18"/>
                <w:lang w:val="en-GB"/>
              </w:rPr>
              <w:t xml:space="preserve">ivil </w:t>
            </w:r>
            <w:r w:rsidR="00604DF7" w:rsidRPr="009766D5">
              <w:rPr>
                <w:sz w:val="18"/>
                <w:szCs w:val="18"/>
                <w:lang w:val="en-GB"/>
              </w:rPr>
              <w:t>P</w:t>
            </w:r>
            <w:r w:rsidRPr="009766D5">
              <w:rPr>
                <w:sz w:val="18"/>
                <w:szCs w:val="18"/>
                <w:lang w:val="en-GB"/>
              </w:rPr>
              <w:t xml:space="preserve">rotection, High Commission for </w:t>
            </w:r>
            <w:r w:rsidR="00BD6B07" w:rsidRPr="009766D5">
              <w:rPr>
                <w:sz w:val="18"/>
                <w:szCs w:val="18"/>
                <w:lang w:val="en-GB"/>
              </w:rPr>
              <w:t>S</w:t>
            </w:r>
            <w:r w:rsidRPr="009766D5">
              <w:rPr>
                <w:sz w:val="18"/>
                <w:szCs w:val="18"/>
                <w:lang w:val="en-GB"/>
              </w:rPr>
              <w:t>edent</w:t>
            </w:r>
            <w:r w:rsidR="00604DF7" w:rsidRPr="009766D5">
              <w:rPr>
                <w:sz w:val="18"/>
                <w:szCs w:val="18"/>
                <w:lang w:val="en-GB"/>
              </w:rPr>
              <w:t>a</w:t>
            </w:r>
            <w:r w:rsidRPr="009766D5">
              <w:rPr>
                <w:sz w:val="18"/>
                <w:szCs w:val="18"/>
                <w:lang w:val="en-GB"/>
              </w:rPr>
              <w:t xml:space="preserve">rization of </w:t>
            </w:r>
            <w:r w:rsidR="00BD6B07" w:rsidRPr="009766D5">
              <w:rPr>
                <w:sz w:val="18"/>
                <w:szCs w:val="18"/>
                <w:lang w:val="en-GB"/>
              </w:rPr>
              <w:t>B</w:t>
            </w:r>
            <w:r w:rsidRPr="009766D5">
              <w:rPr>
                <w:sz w:val="18"/>
                <w:szCs w:val="18"/>
                <w:lang w:val="en-GB"/>
              </w:rPr>
              <w:t xml:space="preserve">reeders, Ministry of </w:t>
            </w:r>
            <w:r w:rsidR="00BD6B07" w:rsidRPr="009766D5">
              <w:rPr>
                <w:sz w:val="18"/>
                <w:szCs w:val="18"/>
                <w:lang w:val="en-GB"/>
              </w:rPr>
              <w:t>H</w:t>
            </w:r>
            <w:r w:rsidRPr="009766D5">
              <w:rPr>
                <w:sz w:val="18"/>
                <w:szCs w:val="18"/>
                <w:lang w:val="en-GB"/>
              </w:rPr>
              <w:t>ealth</w:t>
            </w:r>
          </w:p>
          <w:p w14:paraId="6B17F05A" w14:textId="77777777" w:rsidR="00161EBF" w:rsidRPr="009766D5" w:rsidRDefault="00161EBF" w:rsidP="00F31662">
            <w:pPr>
              <w:rPr>
                <w:sz w:val="18"/>
                <w:szCs w:val="18"/>
                <w:lang w:val="en-GB"/>
              </w:rPr>
            </w:pPr>
            <w:r w:rsidRPr="009766D5">
              <w:rPr>
                <w:sz w:val="18"/>
                <w:szCs w:val="18"/>
                <w:lang w:val="en-GB"/>
              </w:rPr>
              <w:t>Frequency: Annual</w:t>
            </w:r>
          </w:p>
          <w:p w14:paraId="106CAD5A" w14:textId="77777777" w:rsidR="00161EBF" w:rsidRPr="009766D5" w:rsidRDefault="00161EBF" w:rsidP="00F31662">
            <w:pPr>
              <w:rPr>
                <w:sz w:val="18"/>
                <w:szCs w:val="18"/>
                <w:lang w:val="en-GB"/>
              </w:rPr>
            </w:pPr>
          </w:p>
          <w:p w14:paraId="34430487" w14:textId="2D406550" w:rsidR="00161EBF" w:rsidRPr="009766D5" w:rsidRDefault="00161EBF" w:rsidP="00F31662">
            <w:pPr>
              <w:rPr>
                <w:sz w:val="18"/>
                <w:szCs w:val="18"/>
                <w:lang w:val="en-GB"/>
              </w:rPr>
            </w:pPr>
            <w:r w:rsidRPr="009766D5">
              <w:rPr>
                <w:b/>
                <w:bCs/>
                <w:sz w:val="18"/>
                <w:szCs w:val="18"/>
                <w:lang w:val="en-GB"/>
              </w:rPr>
              <w:t>Indicator 1.4.3</w:t>
            </w:r>
            <w:r w:rsidR="00604DF7" w:rsidRPr="009766D5">
              <w:rPr>
                <w:b/>
                <w:bCs/>
                <w:sz w:val="18"/>
                <w:szCs w:val="18"/>
                <w:lang w:val="en-GB"/>
              </w:rPr>
              <w:t>.</w:t>
            </w:r>
            <w:r w:rsidRPr="009766D5">
              <w:rPr>
                <w:sz w:val="18"/>
                <w:szCs w:val="18"/>
                <w:lang w:val="en-GB"/>
              </w:rPr>
              <w:t xml:space="preserve"> </w:t>
            </w:r>
            <w:r w:rsidR="00CB0A24" w:rsidRPr="009766D5">
              <w:rPr>
                <w:sz w:val="18"/>
                <w:szCs w:val="18"/>
                <w:lang w:val="en-GB"/>
              </w:rPr>
              <w:t>Nationally determined contribution</w:t>
            </w:r>
            <w:r w:rsidR="00CB0A24" w:rsidRPr="009766D5" w:rsidDel="00CB0A24">
              <w:rPr>
                <w:sz w:val="18"/>
                <w:szCs w:val="18"/>
                <w:lang w:val="en-GB"/>
              </w:rPr>
              <w:t xml:space="preserve"> </w:t>
            </w:r>
            <w:r w:rsidR="00CB0A24" w:rsidRPr="009766D5">
              <w:rPr>
                <w:sz w:val="18"/>
                <w:szCs w:val="18"/>
                <w:lang w:val="en-GB"/>
              </w:rPr>
              <w:t>p</w:t>
            </w:r>
            <w:r w:rsidRPr="009766D5">
              <w:rPr>
                <w:sz w:val="18"/>
                <w:szCs w:val="18"/>
                <w:lang w:val="en-GB"/>
              </w:rPr>
              <w:t>olicy measures in place to enhance and/or implement under the Paris Agreement (0=</w:t>
            </w:r>
            <w:r w:rsidR="00604DF7" w:rsidRPr="009766D5">
              <w:rPr>
                <w:sz w:val="18"/>
                <w:szCs w:val="18"/>
                <w:lang w:val="en-GB"/>
              </w:rPr>
              <w:t>not in place</w:t>
            </w:r>
            <w:r w:rsidR="001A4D0B" w:rsidRPr="009766D5">
              <w:rPr>
                <w:sz w:val="18"/>
                <w:szCs w:val="18"/>
                <w:lang w:val="en-GB"/>
              </w:rPr>
              <w:t>;</w:t>
            </w:r>
            <w:r w:rsidR="00604DF7" w:rsidRPr="009766D5">
              <w:rPr>
                <w:sz w:val="18"/>
                <w:szCs w:val="18"/>
                <w:lang w:val="en-GB"/>
              </w:rPr>
              <w:t xml:space="preserve"> 1=work started</w:t>
            </w:r>
            <w:r w:rsidR="001A4D0B" w:rsidRPr="009766D5">
              <w:rPr>
                <w:sz w:val="18"/>
                <w:szCs w:val="18"/>
                <w:lang w:val="en-GB"/>
              </w:rPr>
              <w:t>;</w:t>
            </w:r>
            <w:r w:rsidR="00604DF7" w:rsidRPr="009766D5">
              <w:rPr>
                <w:sz w:val="18"/>
                <w:szCs w:val="18"/>
                <w:lang w:val="en-GB"/>
              </w:rPr>
              <w:t xml:space="preserve"> 2=work in progress</w:t>
            </w:r>
            <w:r w:rsidR="001A4D0B" w:rsidRPr="009766D5">
              <w:rPr>
                <w:sz w:val="18"/>
                <w:szCs w:val="18"/>
                <w:lang w:val="en-GB"/>
              </w:rPr>
              <w:t>;</w:t>
            </w:r>
            <w:r w:rsidR="00604DF7" w:rsidRPr="009766D5">
              <w:rPr>
                <w:sz w:val="18"/>
                <w:szCs w:val="18"/>
                <w:lang w:val="en-GB"/>
              </w:rPr>
              <w:t xml:space="preserve"> 3=work almost complete</w:t>
            </w:r>
            <w:r w:rsidR="001A4D0B" w:rsidRPr="009766D5">
              <w:rPr>
                <w:sz w:val="18"/>
                <w:szCs w:val="18"/>
                <w:lang w:val="en-GB"/>
              </w:rPr>
              <w:t>;</w:t>
            </w:r>
            <w:r w:rsidR="00604DF7" w:rsidRPr="009766D5">
              <w:rPr>
                <w:sz w:val="18"/>
                <w:szCs w:val="18"/>
                <w:lang w:val="en-GB"/>
              </w:rPr>
              <w:t xml:space="preserve"> 4 =in place)</w:t>
            </w:r>
          </w:p>
          <w:p w14:paraId="0A1176AE" w14:textId="77777777" w:rsidR="00161EBF" w:rsidRPr="009766D5" w:rsidRDefault="00161EBF" w:rsidP="00604DF7">
            <w:pPr>
              <w:rPr>
                <w:sz w:val="18"/>
                <w:szCs w:val="18"/>
                <w:lang w:val="en-GB"/>
              </w:rPr>
            </w:pPr>
            <w:r w:rsidRPr="009766D5">
              <w:rPr>
                <w:sz w:val="18"/>
                <w:szCs w:val="18"/>
                <w:lang w:val="en-GB"/>
              </w:rPr>
              <w:t>Baseline (2022): 2</w:t>
            </w:r>
          </w:p>
          <w:p w14:paraId="5B029733" w14:textId="77777777" w:rsidR="00161EBF" w:rsidRPr="009766D5" w:rsidRDefault="00161EBF" w:rsidP="00604DF7">
            <w:pPr>
              <w:rPr>
                <w:sz w:val="18"/>
                <w:szCs w:val="18"/>
                <w:lang w:val="en-GB"/>
              </w:rPr>
            </w:pPr>
            <w:r w:rsidRPr="009766D5">
              <w:rPr>
                <w:sz w:val="18"/>
                <w:szCs w:val="18"/>
                <w:lang w:val="en-GB"/>
              </w:rPr>
              <w:t>Target (2026): 4</w:t>
            </w:r>
          </w:p>
          <w:p w14:paraId="0D6F5CE4" w14:textId="77777777" w:rsidR="00161EBF" w:rsidRPr="009766D5" w:rsidRDefault="00161EBF" w:rsidP="00604DF7">
            <w:pPr>
              <w:rPr>
                <w:sz w:val="18"/>
                <w:szCs w:val="18"/>
                <w:lang w:val="en-GB"/>
              </w:rPr>
            </w:pPr>
            <w:r w:rsidRPr="009766D5">
              <w:rPr>
                <w:sz w:val="18"/>
                <w:szCs w:val="18"/>
                <w:lang w:val="en-GB"/>
              </w:rPr>
              <w:t>Source: DGEC</w:t>
            </w:r>
          </w:p>
          <w:p w14:paraId="044B56BF" w14:textId="77777777" w:rsidR="00161EBF" w:rsidRPr="009766D5" w:rsidRDefault="00161EBF" w:rsidP="00F31662">
            <w:pPr>
              <w:rPr>
                <w:sz w:val="18"/>
                <w:szCs w:val="18"/>
                <w:lang w:val="en-GB"/>
              </w:rPr>
            </w:pPr>
            <w:r w:rsidRPr="009766D5">
              <w:rPr>
                <w:sz w:val="18"/>
                <w:szCs w:val="18"/>
                <w:lang w:val="en-GB"/>
              </w:rPr>
              <w:t>Frequency: Annual</w:t>
            </w:r>
          </w:p>
          <w:p w14:paraId="594B8E8A" w14:textId="77777777" w:rsidR="00161EBF" w:rsidRPr="009766D5" w:rsidRDefault="00161EBF" w:rsidP="00654147">
            <w:pPr>
              <w:jc w:val="both"/>
              <w:rPr>
                <w:sz w:val="18"/>
                <w:szCs w:val="18"/>
                <w:lang w:val="en-GB"/>
              </w:rPr>
            </w:pPr>
          </w:p>
        </w:tc>
        <w:tc>
          <w:tcPr>
            <w:tcW w:w="3536" w:type="dxa"/>
            <w:vMerge w:val="restart"/>
            <w:tcBorders>
              <w:right w:val="nil"/>
            </w:tcBorders>
            <w:hideMark/>
          </w:tcPr>
          <w:p w14:paraId="42A823F7" w14:textId="47BC5DEB" w:rsidR="00161EBF" w:rsidRPr="009766D5" w:rsidRDefault="00161EBF" w:rsidP="00654147">
            <w:pPr>
              <w:pStyle w:val="HTMLPreformatted"/>
              <w:rPr>
                <w:rFonts w:ascii="Times New Roman" w:hAnsi="Times New Roman" w:cs="Times New Roman"/>
                <w:sz w:val="18"/>
                <w:szCs w:val="18"/>
                <w:lang w:val="en-GB"/>
              </w:rPr>
            </w:pPr>
            <w:r w:rsidRPr="009766D5">
              <w:rPr>
                <w:rFonts w:ascii="Times New Roman" w:hAnsi="Times New Roman" w:cs="Times New Roman"/>
                <w:b/>
                <w:bCs/>
                <w:sz w:val="18"/>
                <w:szCs w:val="18"/>
                <w:lang w:val="en-GB"/>
              </w:rPr>
              <w:lastRenderedPageBreak/>
              <w:t>Government partners:</w:t>
            </w:r>
            <w:r w:rsidRPr="009766D5">
              <w:rPr>
                <w:rFonts w:ascii="Times New Roman" w:hAnsi="Times New Roman" w:cs="Times New Roman"/>
                <w:sz w:val="18"/>
                <w:szCs w:val="18"/>
                <w:lang w:val="en-GB"/>
              </w:rPr>
              <w:t xml:space="preserve"> Government (sector ministries, agencies and their branches)</w:t>
            </w:r>
          </w:p>
          <w:p w14:paraId="4778A0C8" w14:textId="3D3321E3" w:rsidR="00161EBF" w:rsidRPr="009766D5" w:rsidRDefault="00C1265B" w:rsidP="00654147">
            <w:pPr>
              <w:pStyle w:val="HTMLPreformatted"/>
              <w:rPr>
                <w:rFonts w:ascii="Times New Roman" w:hAnsi="Times New Roman" w:cs="Times New Roman"/>
                <w:sz w:val="18"/>
                <w:szCs w:val="18"/>
                <w:lang w:val="en-GB"/>
              </w:rPr>
            </w:pPr>
            <w:r w:rsidRPr="009766D5">
              <w:rPr>
                <w:rFonts w:ascii="Times New Roman" w:hAnsi="Times New Roman" w:cs="Times New Roman"/>
                <w:sz w:val="18"/>
                <w:szCs w:val="18"/>
                <w:lang w:val="en-GB"/>
              </w:rPr>
              <w:t>L</w:t>
            </w:r>
            <w:r w:rsidR="00161EBF" w:rsidRPr="009766D5">
              <w:rPr>
                <w:rFonts w:ascii="Times New Roman" w:hAnsi="Times New Roman" w:cs="Times New Roman"/>
                <w:sz w:val="18"/>
                <w:szCs w:val="18"/>
                <w:lang w:val="en-GB"/>
              </w:rPr>
              <w:t>ocal collectiv</w:t>
            </w:r>
            <w:r w:rsidR="00620906" w:rsidRPr="009766D5">
              <w:rPr>
                <w:rFonts w:ascii="Times New Roman" w:hAnsi="Times New Roman" w:cs="Times New Roman"/>
                <w:sz w:val="18"/>
                <w:szCs w:val="18"/>
                <w:lang w:val="en-GB"/>
              </w:rPr>
              <w:t>ities</w:t>
            </w:r>
          </w:p>
          <w:p w14:paraId="79BD01A1" w14:textId="7ACA1551" w:rsidR="00161EBF" w:rsidRPr="009766D5" w:rsidRDefault="00DD4BAF" w:rsidP="00654147">
            <w:pPr>
              <w:pStyle w:val="HTMLPreformatted"/>
              <w:rPr>
                <w:rFonts w:ascii="Times New Roman" w:hAnsi="Times New Roman" w:cs="Times New Roman"/>
                <w:sz w:val="18"/>
                <w:szCs w:val="18"/>
                <w:lang w:val="en-GB"/>
              </w:rPr>
            </w:pPr>
            <w:r w:rsidRPr="009766D5">
              <w:rPr>
                <w:rFonts w:ascii="Times New Roman" w:hAnsi="Times New Roman" w:cs="Times New Roman"/>
                <w:sz w:val="18"/>
                <w:szCs w:val="18"/>
                <w:lang w:val="en-GB"/>
              </w:rPr>
              <w:t>U</w:t>
            </w:r>
            <w:r w:rsidR="00161EBF" w:rsidRPr="009766D5">
              <w:rPr>
                <w:rFonts w:ascii="Times New Roman" w:hAnsi="Times New Roman" w:cs="Times New Roman"/>
                <w:sz w:val="18"/>
                <w:szCs w:val="18"/>
                <w:lang w:val="en-GB"/>
              </w:rPr>
              <w:t>niversities and research facilities</w:t>
            </w:r>
          </w:p>
          <w:p w14:paraId="62F469AF" w14:textId="77777777" w:rsidR="00161EBF" w:rsidRPr="009766D5" w:rsidRDefault="00161EBF" w:rsidP="00654147">
            <w:pPr>
              <w:rPr>
                <w:sz w:val="18"/>
                <w:szCs w:val="18"/>
                <w:lang w:val="en-GB"/>
              </w:rPr>
            </w:pPr>
          </w:p>
          <w:p w14:paraId="55874380" w14:textId="77777777" w:rsidR="00161EBF" w:rsidRPr="009766D5" w:rsidRDefault="00161EBF" w:rsidP="00654147">
            <w:pPr>
              <w:rPr>
                <w:b/>
                <w:bCs/>
                <w:sz w:val="18"/>
                <w:szCs w:val="18"/>
                <w:lang w:val="en-GB"/>
              </w:rPr>
            </w:pPr>
            <w:r w:rsidRPr="009766D5">
              <w:rPr>
                <w:b/>
                <w:bCs/>
                <w:sz w:val="18"/>
                <w:szCs w:val="18"/>
                <w:lang w:val="en-GB"/>
              </w:rPr>
              <w:t xml:space="preserve">United Nations system </w:t>
            </w:r>
          </w:p>
          <w:p w14:paraId="4135790A" w14:textId="77777777" w:rsidR="00161EBF" w:rsidRPr="009766D5" w:rsidRDefault="00161EBF" w:rsidP="00654147">
            <w:pPr>
              <w:rPr>
                <w:sz w:val="18"/>
                <w:szCs w:val="18"/>
                <w:lang w:val="en-GB"/>
              </w:rPr>
            </w:pPr>
          </w:p>
          <w:p w14:paraId="3B7151EB" w14:textId="73A67DD9" w:rsidR="00161EBF" w:rsidRPr="009766D5" w:rsidRDefault="00161EBF" w:rsidP="00061229">
            <w:pPr>
              <w:spacing w:line="256" w:lineRule="auto"/>
              <w:contextualSpacing/>
              <w:rPr>
                <w:sz w:val="18"/>
                <w:szCs w:val="18"/>
                <w:lang w:val="en-GB"/>
              </w:rPr>
            </w:pPr>
            <w:r w:rsidRPr="009766D5">
              <w:rPr>
                <w:b/>
                <w:bCs/>
                <w:sz w:val="18"/>
                <w:szCs w:val="18"/>
                <w:lang w:val="en-GB"/>
              </w:rPr>
              <w:t>Civil society:</w:t>
            </w:r>
            <w:r w:rsidRPr="009766D5">
              <w:rPr>
                <w:sz w:val="18"/>
                <w:szCs w:val="18"/>
                <w:lang w:val="en-GB"/>
              </w:rPr>
              <w:t xml:space="preserve"> </w:t>
            </w:r>
            <w:r w:rsidR="00DD4BAF" w:rsidRPr="009766D5">
              <w:rPr>
                <w:sz w:val="18"/>
                <w:szCs w:val="18"/>
                <w:lang w:val="en-GB"/>
              </w:rPr>
              <w:t>N</w:t>
            </w:r>
            <w:r w:rsidRPr="009766D5">
              <w:rPr>
                <w:sz w:val="18"/>
                <w:szCs w:val="18"/>
                <w:lang w:val="en-GB"/>
              </w:rPr>
              <w:t xml:space="preserve">on-governmental and civil society organizations </w:t>
            </w:r>
            <w:r w:rsidR="00DD4BAF" w:rsidRPr="009766D5">
              <w:rPr>
                <w:sz w:val="18"/>
                <w:szCs w:val="18"/>
                <w:lang w:val="en-GB"/>
              </w:rPr>
              <w:t xml:space="preserve">(NGOs and CSOs) </w:t>
            </w:r>
            <w:r w:rsidRPr="009766D5">
              <w:rPr>
                <w:sz w:val="18"/>
                <w:szCs w:val="18"/>
                <w:lang w:val="en-GB"/>
              </w:rPr>
              <w:t>engaged in the different fields.</w:t>
            </w:r>
          </w:p>
          <w:p w14:paraId="056083AF" w14:textId="77777777" w:rsidR="00161EBF" w:rsidRPr="009766D5" w:rsidRDefault="00161EBF" w:rsidP="00DD4BAF">
            <w:pPr>
              <w:rPr>
                <w:sz w:val="18"/>
                <w:szCs w:val="18"/>
                <w:lang w:val="en-GB"/>
              </w:rPr>
            </w:pPr>
          </w:p>
          <w:p w14:paraId="62A885D9" w14:textId="48967183" w:rsidR="00161EBF" w:rsidRPr="009766D5" w:rsidRDefault="00FF0BB7" w:rsidP="00654147">
            <w:pPr>
              <w:rPr>
                <w:sz w:val="18"/>
                <w:szCs w:val="18"/>
                <w:lang w:val="en-GB"/>
              </w:rPr>
            </w:pPr>
            <w:r w:rsidRPr="009766D5">
              <w:rPr>
                <w:b/>
                <w:bCs/>
                <w:sz w:val="18"/>
                <w:szCs w:val="18"/>
                <w:lang w:val="en-GB"/>
              </w:rPr>
              <w:t>P</w:t>
            </w:r>
            <w:r w:rsidR="00161EBF" w:rsidRPr="009766D5">
              <w:rPr>
                <w:b/>
                <w:bCs/>
                <w:sz w:val="18"/>
                <w:szCs w:val="18"/>
                <w:lang w:val="en-GB"/>
              </w:rPr>
              <w:t>rivate sector:</w:t>
            </w:r>
            <w:r w:rsidR="00161EBF" w:rsidRPr="009766D5">
              <w:rPr>
                <w:sz w:val="18"/>
                <w:szCs w:val="18"/>
                <w:lang w:val="en-GB"/>
              </w:rPr>
              <w:t xml:space="preserve"> </w:t>
            </w:r>
            <w:r w:rsidR="00DD4BAF" w:rsidRPr="009766D5">
              <w:rPr>
                <w:sz w:val="18"/>
                <w:szCs w:val="18"/>
                <w:lang w:val="en-GB"/>
              </w:rPr>
              <w:t>F</w:t>
            </w:r>
            <w:r w:rsidR="00161EBF" w:rsidRPr="009766D5">
              <w:rPr>
                <w:sz w:val="18"/>
                <w:szCs w:val="18"/>
                <w:lang w:val="en-GB"/>
              </w:rPr>
              <w:t xml:space="preserve">inancial sector, </w:t>
            </w:r>
            <w:r w:rsidR="00C1265B" w:rsidRPr="009766D5">
              <w:rPr>
                <w:sz w:val="18"/>
                <w:szCs w:val="18"/>
                <w:lang w:val="en-GB"/>
              </w:rPr>
              <w:t xml:space="preserve">Global System for </w:t>
            </w:r>
            <w:r w:rsidR="0021647B" w:rsidRPr="009766D5">
              <w:rPr>
                <w:sz w:val="18"/>
                <w:szCs w:val="18"/>
                <w:lang w:val="en-GB"/>
              </w:rPr>
              <w:t>mobile</w:t>
            </w:r>
            <w:r w:rsidR="00C1265B" w:rsidRPr="009766D5">
              <w:rPr>
                <w:sz w:val="18"/>
                <w:szCs w:val="18"/>
                <w:lang w:val="en-GB"/>
              </w:rPr>
              <w:t xml:space="preserve"> </w:t>
            </w:r>
            <w:r w:rsidR="0021647B" w:rsidRPr="009766D5">
              <w:rPr>
                <w:sz w:val="18"/>
                <w:szCs w:val="18"/>
                <w:lang w:val="en-GB"/>
              </w:rPr>
              <w:t>p</w:t>
            </w:r>
            <w:r w:rsidR="00962394" w:rsidRPr="009766D5">
              <w:rPr>
                <w:sz w:val="18"/>
                <w:szCs w:val="18"/>
                <w:lang w:val="en-GB"/>
              </w:rPr>
              <w:t xml:space="preserve">hone </w:t>
            </w:r>
            <w:r w:rsidR="0021647B" w:rsidRPr="009766D5">
              <w:rPr>
                <w:sz w:val="18"/>
                <w:szCs w:val="18"/>
                <w:lang w:val="en-GB"/>
              </w:rPr>
              <w:t>c</w:t>
            </w:r>
            <w:r w:rsidR="00962394" w:rsidRPr="009766D5">
              <w:rPr>
                <w:sz w:val="18"/>
                <w:szCs w:val="18"/>
                <w:lang w:val="en-GB"/>
              </w:rPr>
              <w:t>ompanies</w:t>
            </w:r>
            <w:r w:rsidR="00161EBF" w:rsidRPr="009766D5">
              <w:rPr>
                <w:sz w:val="18"/>
                <w:szCs w:val="18"/>
                <w:lang w:val="en-GB"/>
              </w:rPr>
              <w:t xml:space="preserve">, technology providers </w:t>
            </w:r>
            <w:r w:rsidR="00830CF1" w:rsidRPr="009766D5">
              <w:rPr>
                <w:sz w:val="18"/>
                <w:szCs w:val="18"/>
                <w:lang w:val="en-GB"/>
              </w:rPr>
              <w:t>(</w:t>
            </w:r>
            <w:r w:rsidR="00161EBF" w:rsidRPr="009766D5">
              <w:rPr>
                <w:sz w:val="18"/>
                <w:szCs w:val="18"/>
                <w:lang w:val="en-GB"/>
              </w:rPr>
              <w:t>including of information and communication technologies</w:t>
            </w:r>
            <w:r w:rsidR="00830CF1" w:rsidRPr="009766D5">
              <w:rPr>
                <w:sz w:val="18"/>
                <w:szCs w:val="18"/>
                <w:lang w:val="en-GB"/>
              </w:rPr>
              <w:t>)</w:t>
            </w:r>
            <w:r w:rsidR="00161EBF" w:rsidRPr="009766D5">
              <w:rPr>
                <w:sz w:val="18"/>
                <w:szCs w:val="18"/>
                <w:lang w:val="en-GB"/>
              </w:rPr>
              <w:t xml:space="preserve"> </w:t>
            </w:r>
          </w:p>
          <w:p w14:paraId="7623B54A" w14:textId="77777777" w:rsidR="00161EBF" w:rsidRPr="009766D5" w:rsidRDefault="00161EBF" w:rsidP="00654147">
            <w:pPr>
              <w:rPr>
                <w:i/>
                <w:iCs/>
                <w:sz w:val="18"/>
                <w:szCs w:val="18"/>
                <w:lang w:val="en-GB"/>
              </w:rPr>
            </w:pPr>
          </w:p>
          <w:p w14:paraId="2C807CCC" w14:textId="0957D02C" w:rsidR="00161EBF" w:rsidRPr="009766D5" w:rsidRDefault="00161EBF" w:rsidP="00654147">
            <w:pPr>
              <w:rPr>
                <w:sz w:val="18"/>
                <w:szCs w:val="18"/>
                <w:lang w:val="en-GB"/>
              </w:rPr>
            </w:pPr>
            <w:r w:rsidRPr="009766D5">
              <w:rPr>
                <w:b/>
                <w:bCs/>
                <w:iCs/>
                <w:sz w:val="18"/>
                <w:szCs w:val="18"/>
                <w:lang w:val="en-GB"/>
              </w:rPr>
              <w:t xml:space="preserve">Donors: </w:t>
            </w:r>
            <w:r w:rsidRPr="009766D5">
              <w:rPr>
                <w:sz w:val="18"/>
                <w:szCs w:val="18"/>
                <w:lang w:val="en-GB"/>
              </w:rPr>
              <w:t>Bilateral and multilateral technical and financial partners and vertical fund mechanisms</w:t>
            </w:r>
            <w:r w:rsidR="00DD4BAF" w:rsidRPr="009766D5">
              <w:rPr>
                <w:sz w:val="18"/>
                <w:szCs w:val="18"/>
                <w:lang w:val="en-GB"/>
              </w:rPr>
              <w:t>;</w:t>
            </w:r>
            <w:r w:rsidRPr="009766D5">
              <w:rPr>
                <w:sz w:val="18"/>
                <w:szCs w:val="18"/>
                <w:lang w:val="en-GB"/>
              </w:rPr>
              <w:t xml:space="preserve"> World Bank, United Nations system,</w:t>
            </w:r>
            <w:r w:rsidR="00DD4BAF" w:rsidRPr="009766D5">
              <w:rPr>
                <w:sz w:val="18"/>
                <w:szCs w:val="18"/>
                <w:lang w:val="en-GB"/>
              </w:rPr>
              <w:t xml:space="preserve"> Belgium, China, </w:t>
            </w:r>
            <w:r w:rsidR="00752411" w:rsidRPr="009766D5">
              <w:rPr>
                <w:sz w:val="18"/>
                <w:szCs w:val="18"/>
                <w:lang w:val="en-GB"/>
              </w:rPr>
              <w:t>European Union</w:t>
            </w:r>
            <w:r w:rsidRPr="009766D5">
              <w:rPr>
                <w:sz w:val="18"/>
                <w:szCs w:val="18"/>
                <w:lang w:val="en-GB"/>
              </w:rPr>
              <w:t>, Japan</w:t>
            </w:r>
            <w:r w:rsidR="00DD4BAF" w:rsidRPr="009766D5">
              <w:rPr>
                <w:sz w:val="18"/>
                <w:szCs w:val="18"/>
                <w:lang w:val="en-GB"/>
              </w:rPr>
              <w:t xml:space="preserve">, </w:t>
            </w:r>
            <w:r w:rsidRPr="009766D5">
              <w:rPr>
                <w:sz w:val="18"/>
                <w:szCs w:val="18"/>
                <w:lang w:val="en-GB"/>
              </w:rPr>
              <w:t xml:space="preserve">Netherlands, </w:t>
            </w:r>
            <w:r w:rsidR="00DD4BAF" w:rsidRPr="009766D5">
              <w:rPr>
                <w:sz w:val="18"/>
                <w:szCs w:val="18"/>
                <w:lang w:val="en-GB"/>
              </w:rPr>
              <w:t xml:space="preserve">Qatar, </w:t>
            </w:r>
            <w:r w:rsidRPr="009766D5">
              <w:rPr>
                <w:sz w:val="18"/>
                <w:szCs w:val="18"/>
                <w:lang w:val="en-GB"/>
              </w:rPr>
              <w:t>United States Agency for International Development</w:t>
            </w:r>
            <w:r w:rsidR="00DD4BAF" w:rsidRPr="009766D5">
              <w:rPr>
                <w:sz w:val="18"/>
                <w:szCs w:val="18"/>
                <w:lang w:val="en-GB"/>
              </w:rPr>
              <w:t>;</w:t>
            </w:r>
            <w:r w:rsidRPr="009766D5">
              <w:rPr>
                <w:sz w:val="18"/>
                <w:szCs w:val="18"/>
                <w:lang w:val="en-GB"/>
              </w:rPr>
              <w:t xml:space="preserve"> Global Environment Facility, Green Climate Fund, UNDP Crisis Bureau, </w:t>
            </w:r>
            <w:r w:rsidR="00575B4C" w:rsidRPr="009766D5">
              <w:rPr>
                <w:sz w:val="18"/>
                <w:szCs w:val="18"/>
                <w:lang w:val="en-GB"/>
              </w:rPr>
              <w:t>United Nations Volunteers programme (</w:t>
            </w:r>
            <w:r w:rsidRPr="009766D5">
              <w:rPr>
                <w:sz w:val="18"/>
                <w:szCs w:val="18"/>
                <w:lang w:val="en-GB"/>
              </w:rPr>
              <w:t>UNV</w:t>
            </w:r>
            <w:r w:rsidR="00575B4C" w:rsidRPr="009766D5">
              <w:rPr>
                <w:sz w:val="18"/>
                <w:szCs w:val="18"/>
                <w:lang w:val="en-GB"/>
              </w:rPr>
              <w:t>)</w:t>
            </w:r>
            <w:r w:rsidRPr="009766D5">
              <w:rPr>
                <w:sz w:val="18"/>
                <w:szCs w:val="18"/>
                <w:lang w:val="en-GB"/>
              </w:rPr>
              <w:t xml:space="preserve"> </w:t>
            </w:r>
          </w:p>
          <w:p w14:paraId="58406909" w14:textId="77777777" w:rsidR="00161EBF" w:rsidRPr="009766D5" w:rsidRDefault="00161EBF" w:rsidP="00654147">
            <w:pPr>
              <w:rPr>
                <w:i/>
                <w:iCs/>
                <w:sz w:val="18"/>
                <w:szCs w:val="18"/>
                <w:lang w:val="en-GB"/>
              </w:rPr>
            </w:pPr>
          </w:p>
          <w:p w14:paraId="3A0A70B0" w14:textId="77777777" w:rsidR="00161EBF" w:rsidRPr="009766D5" w:rsidRDefault="00161EBF" w:rsidP="00654147">
            <w:pPr>
              <w:rPr>
                <w:b/>
                <w:bCs/>
                <w:iCs/>
                <w:sz w:val="18"/>
                <w:szCs w:val="18"/>
                <w:lang w:val="en-GB"/>
              </w:rPr>
            </w:pPr>
            <w:r w:rsidRPr="009766D5">
              <w:rPr>
                <w:b/>
                <w:bCs/>
                <w:iCs/>
                <w:sz w:val="18"/>
                <w:szCs w:val="18"/>
                <w:lang w:val="en-GB"/>
              </w:rPr>
              <w:t>Other partners:</w:t>
            </w:r>
          </w:p>
          <w:p w14:paraId="3D91D16D" w14:textId="2F0D073E" w:rsidR="00161EBF" w:rsidRPr="009766D5" w:rsidRDefault="00DD4BAF" w:rsidP="00654147">
            <w:pPr>
              <w:rPr>
                <w:sz w:val="18"/>
                <w:szCs w:val="18"/>
                <w:lang w:val="en-GB"/>
              </w:rPr>
            </w:pPr>
            <w:r w:rsidRPr="009766D5">
              <w:rPr>
                <w:sz w:val="18"/>
                <w:szCs w:val="18"/>
                <w:lang w:val="en-GB"/>
              </w:rPr>
              <w:t>H</w:t>
            </w:r>
            <w:r w:rsidR="00161EBF" w:rsidRPr="009766D5">
              <w:rPr>
                <w:sz w:val="18"/>
                <w:szCs w:val="18"/>
                <w:lang w:val="en-GB"/>
              </w:rPr>
              <w:t>umanitarian associations, international NGOs</w:t>
            </w:r>
          </w:p>
          <w:p w14:paraId="1E1C1300" w14:textId="77777777" w:rsidR="00161EBF" w:rsidRPr="009766D5" w:rsidRDefault="00161EBF" w:rsidP="00654147">
            <w:pPr>
              <w:rPr>
                <w:i/>
                <w:iCs/>
                <w:sz w:val="18"/>
                <w:szCs w:val="18"/>
                <w:lang w:val="en-GB"/>
              </w:rPr>
            </w:pPr>
          </w:p>
          <w:p w14:paraId="361196A8" w14:textId="77777777" w:rsidR="00161EBF" w:rsidRPr="009766D5" w:rsidRDefault="00161EBF" w:rsidP="00654147">
            <w:pPr>
              <w:rPr>
                <w:i/>
                <w:iCs/>
                <w:sz w:val="18"/>
                <w:szCs w:val="18"/>
                <w:lang w:val="en-GB"/>
              </w:rPr>
            </w:pPr>
          </w:p>
        </w:tc>
        <w:tc>
          <w:tcPr>
            <w:tcW w:w="1838" w:type="dxa"/>
            <w:tcBorders>
              <w:top w:val="nil"/>
              <w:left w:val="nil"/>
              <w:bottom w:val="nil"/>
              <w:right w:val="nil"/>
            </w:tcBorders>
            <w:tcMar>
              <w:top w:w="15" w:type="dxa"/>
              <w:left w:w="108" w:type="dxa"/>
              <w:bottom w:w="0" w:type="dxa"/>
              <w:right w:w="108" w:type="dxa"/>
            </w:tcMar>
            <w:hideMark/>
          </w:tcPr>
          <w:p w14:paraId="5BCD7296" w14:textId="325A7946" w:rsidR="00161EBF" w:rsidRPr="009766D5" w:rsidRDefault="00161EBF" w:rsidP="00654147">
            <w:pPr>
              <w:rPr>
                <w:sz w:val="18"/>
                <w:szCs w:val="18"/>
                <w:lang w:val="en-GB"/>
              </w:rPr>
            </w:pPr>
            <w:r w:rsidRPr="009766D5">
              <w:rPr>
                <w:b/>
                <w:bCs/>
                <w:sz w:val="18"/>
                <w:szCs w:val="18"/>
                <w:lang w:val="en-GB"/>
              </w:rPr>
              <w:t xml:space="preserve">Regular: </w:t>
            </w:r>
            <w:r w:rsidRPr="009766D5">
              <w:rPr>
                <w:sz w:val="18"/>
                <w:szCs w:val="18"/>
                <w:lang w:val="en-GB"/>
              </w:rPr>
              <w:t>6,014</w:t>
            </w:r>
          </w:p>
        </w:tc>
      </w:tr>
      <w:tr w:rsidR="00161EBF" w:rsidRPr="009766D5" w14:paraId="6FFCEAD4" w14:textId="77777777" w:rsidTr="00061229">
        <w:trPr>
          <w:trHeight w:val="461"/>
          <w:jc w:val="center"/>
        </w:trPr>
        <w:tc>
          <w:tcPr>
            <w:tcW w:w="2665" w:type="dxa"/>
            <w:vMerge/>
            <w:vAlign w:val="center"/>
            <w:hideMark/>
          </w:tcPr>
          <w:p w14:paraId="078E95A5" w14:textId="77777777" w:rsidR="00161EBF" w:rsidRPr="009766D5" w:rsidRDefault="00161EBF" w:rsidP="00654147">
            <w:pPr>
              <w:rPr>
                <w:bCs/>
                <w:i/>
                <w:sz w:val="18"/>
                <w:szCs w:val="18"/>
                <w:lang w:val="en-GB"/>
              </w:rPr>
            </w:pPr>
          </w:p>
        </w:tc>
        <w:tc>
          <w:tcPr>
            <w:tcW w:w="2154" w:type="dxa"/>
            <w:vMerge/>
            <w:vAlign w:val="center"/>
            <w:hideMark/>
          </w:tcPr>
          <w:p w14:paraId="040F9A8F" w14:textId="77777777" w:rsidR="00161EBF" w:rsidRPr="009766D5" w:rsidRDefault="00161EBF" w:rsidP="00654147">
            <w:pPr>
              <w:rPr>
                <w:b/>
                <w:bCs/>
                <w:i/>
                <w:sz w:val="18"/>
                <w:szCs w:val="18"/>
                <w:lang w:val="en-GB"/>
              </w:rPr>
            </w:pPr>
          </w:p>
        </w:tc>
        <w:tc>
          <w:tcPr>
            <w:tcW w:w="4119" w:type="dxa"/>
            <w:vMerge/>
            <w:vAlign w:val="center"/>
            <w:hideMark/>
          </w:tcPr>
          <w:p w14:paraId="65A91B97" w14:textId="77777777" w:rsidR="00161EBF" w:rsidRPr="009766D5" w:rsidRDefault="00161EBF" w:rsidP="00654147">
            <w:pPr>
              <w:rPr>
                <w:b/>
                <w:bCs/>
                <w:sz w:val="18"/>
                <w:szCs w:val="18"/>
                <w:lang w:val="en-GB"/>
              </w:rPr>
            </w:pPr>
          </w:p>
        </w:tc>
        <w:tc>
          <w:tcPr>
            <w:tcW w:w="3536" w:type="dxa"/>
            <w:vMerge/>
            <w:vAlign w:val="center"/>
            <w:hideMark/>
          </w:tcPr>
          <w:p w14:paraId="2394602D" w14:textId="77777777" w:rsidR="00161EBF" w:rsidRPr="009766D5" w:rsidRDefault="00161EBF" w:rsidP="00654147">
            <w:pPr>
              <w:rPr>
                <w:i/>
                <w:iCs/>
                <w:sz w:val="18"/>
                <w:szCs w:val="18"/>
                <w:lang w:val="en-GB"/>
              </w:rPr>
            </w:pPr>
          </w:p>
        </w:tc>
        <w:tc>
          <w:tcPr>
            <w:tcW w:w="1838" w:type="dxa"/>
            <w:tcBorders>
              <w:top w:val="nil"/>
            </w:tcBorders>
            <w:tcMar>
              <w:top w:w="15" w:type="dxa"/>
              <w:left w:w="108" w:type="dxa"/>
              <w:bottom w:w="0" w:type="dxa"/>
              <w:right w:w="108" w:type="dxa"/>
            </w:tcMar>
          </w:tcPr>
          <w:p w14:paraId="0E3A5C8B" w14:textId="24E05242" w:rsidR="00161EBF" w:rsidRPr="009766D5" w:rsidRDefault="00161EBF" w:rsidP="00654147">
            <w:pPr>
              <w:rPr>
                <w:b/>
                <w:bCs/>
                <w:sz w:val="18"/>
                <w:szCs w:val="18"/>
                <w:lang w:val="en-GB"/>
              </w:rPr>
            </w:pPr>
            <w:r w:rsidRPr="009766D5">
              <w:rPr>
                <w:b/>
                <w:bCs/>
                <w:sz w:val="18"/>
                <w:szCs w:val="18"/>
                <w:lang w:val="en-GB"/>
              </w:rPr>
              <w:t xml:space="preserve">Other: </w:t>
            </w:r>
            <w:r w:rsidRPr="009766D5">
              <w:rPr>
                <w:sz w:val="18"/>
                <w:szCs w:val="18"/>
                <w:lang w:val="en-GB"/>
              </w:rPr>
              <w:t>30,596</w:t>
            </w:r>
            <w:r w:rsidR="00DD4BAF" w:rsidRPr="009766D5">
              <w:rPr>
                <w:sz w:val="18"/>
                <w:szCs w:val="18"/>
                <w:lang w:val="en-GB"/>
              </w:rPr>
              <w:t>.</w:t>
            </w:r>
            <w:r w:rsidRPr="009766D5">
              <w:rPr>
                <w:sz w:val="18"/>
                <w:szCs w:val="18"/>
                <w:lang w:val="en-GB"/>
              </w:rPr>
              <w:t>557</w:t>
            </w:r>
          </w:p>
        </w:tc>
      </w:tr>
      <w:tr w:rsidR="00161EBF" w:rsidRPr="009766D5" w14:paraId="59C779B7" w14:textId="77777777" w:rsidTr="00654147">
        <w:trPr>
          <w:trHeight w:val="461"/>
          <w:jc w:val="center"/>
        </w:trPr>
        <w:tc>
          <w:tcPr>
            <w:tcW w:w="14312" w:type="dxa"/>
            <w:gridSpan w:val="5"/>
            <w:shd w:val="clear" w:color="auto" w:fill="DBE5F1" w:themeFill="accent1" w:themeFillTint="33"/>
          </w:tcPr>
          <w:p w14:paraId="54C9B8E8" w14:textId="3004F3D8" w:rsidR="00161EBF" w:rsidRPr="009766D5" w:rsidRDefault="00604DF7" w:rsidP="00654147">
            <w:pPr>
              <w:rPr>
                <w:b/>
                <w:sz w:val="18"/>
                <w:szCs w:val="18"/>
                <w:lang w:val="en-GB"/>
              </w:rPr>
            </w:pPr>
            <w:r w:rsidRPr="009766D5">
              <w:rPr>
                <w:b/>
                <w:bCs/>
                <w:sz w:val="18"/>
                <w:szCs w:val="18"/>
                <w:lang w:val="en-GB"/>
              </w:rPr>
              <w:lastRenderedPageBreak/>
              <w:t xml:space="preserve">National priority or goal: </w:t>
            </w:r>
            <w:r w:rsidR="00161EBF" w:rsidRPr="009766D5">
              <w:rPr>
                <w:sz w:val="18"/>
                <w:szCs w:val="18"/>
                <w:lang w:val="en-GB"/>
              </w:rPr>
              <w:t xml:space="preserve">Pillar 1 of </w:t>
            </w:r>
            <w:r w:rsidR="001A4D0B" w:rsidRPr="009766D5">
              <w:rPr>
                <w:sz w:val="18"/>
                <w:szCs w:val="18"/>
                <w:lang w:val="en-GB"/>
              </w:rPr>
              <w:t>G</w:t>
            </w:r>
            <w:r w:rsidR="00161EBF" w:rsidRPr="009766D5">
              <w:rPr>
                <w:sz w:val="18"/>
                <w:szCs w:val="18"/>
                <w:lang w:val="en-GB"/>
              </w:rPr>
              <w:t xml:space="preserve">overnment </w:t>
            </w:r>
            <w:r w:rsidR="001A4D0B" w:rsidRPr="009766D5">
              <w:rPr>
                <w:sz w:val="18"/>
                <w:szCs w:val="18"/>
                <w:lang w:val="en-GB"/>
              </w:rPr>
              <w:t>A</w:t>
            </w:r>
            <w:r w:rsidR="00161EBF" w:rsidRPr="009766D5">
              <w:rPr>
                <w:sz w:val="18"/>
                <w:szCs w:val="18"/>
                <w:lang w:val="en-GB"/>
              </w:rPr>
              <w:t xml:space="preserve">ction </w:t>
            </w:r>
            <w:r w:rsidR="001A4D0B" w:rsidRPr="009766D5">
              <w:rPr>
                <w:sz w:val="18"/>
                <w:szCs w:val="18"/>
                <w:lang w:val="en-GB"/>
              </w:rPr>
              <w:t>P</w:t>
            </w:r>
            <w:r w:rsidR="00161EBF" w:rsidRPr="009766D5">
              <w:rPr>
                <w:sz w:val="18"/>
                <w:szCs w:val="18"/>
                <w:lang w:val="en-GB"/>
              </w:rPr>
              <w:t>rogram</w:t>
            </w:r>
            <w:r w:rsidR="001A4D0B" w:rsidRPr="009766D5">
              <w:rPr>
                <w:sz w:val="18"/>
                <w:szCs w:val="18"/>
                <w:lang w:val="en-GB"/>
              </w:rPr>
              <w:t>me,</w:t>
            </w:r>
            <w:r w:rsidR="00161EBF" w:rsidRPr="009766D5">
              <w:rPr>
                <w:sz w:val="18"/>
                <w:szCs w:val="18"/>
                <w:lang w:val="en-GB"/>
              </w:rPr>
              <w:t xml:space="preserve"> 2021-2026</w:t>
            </w:r>
            <w:r w:rsidR="001A4D0B" w:rsidRPr="009766D5">
              <w:rPr>
                <w:sz w:val="18"/>
                <w:szCs w:val="18"/>
                <w:lang w:val="en-GB"/>
              </w:rPr>
              <w:t xml:space="preserve"> –</w:t>
            </w:r>
            <w:r w:rsidR="00161EBF" w:rsidRPr="009766D5">
              <w:rPr>
                <w:sz w:val="18"/>
                <w:szCs w:val="18"/>
                <w:lang w:val="en-GB"/>
              </w:rPr>
              <w:t xml:space="preserve"> Strengthen democracy, rule of law and good governance</w:t>
            </w:r>
            <w:r w:rsidR="001A4D0B" w:rsidRPr="009766D5">
              <w:rPr>
                <w:sz w:val="18"/>
                <w:szCs w:val="18"/>
                <w:lang w:val="en-GB"/>
              </w:rPr>
              <w:t>.</w:t>
            </w:r>
            <w:r w:rsidR="00161EBF" w:rsidRPr="009766D5" w:rsidDel="001B528B">
              <w:rPr>
                <w:b/>
                <w:bCs/>
                <w:sz w:val="18"/>
                <w:szCs w:val="18"/>
                <w:lang w:val="en-GB"/>
              </w:rPr>
              <w:t xml:space="preserve"> </w:t>
            </w:r>
          </w:p>
        </w:tc>
      </w:tr>
      <w:tr w:rsidR="00161EBF" w:rsidRPr="009766D5" w14:paraId="7EFA08F6" w14:textId="77777777" w:rsidTr="00654147">
        <w:trPr>
          <w:trHeight w:val="461"/>
          <w:jc w:val="center"/>
        </w:trPr>
        <w:tc>
          <w:tcPr>
            <w:tcW w:w="14312" w:type="dxa"/>
            <w:gridSpan w:val="5"/>
            <w:shd w:val="clear" w:color="auto" w:fill="DBE5F1" w:themeFill="accent1" w:themeFillTint="33"/>
          </w:tcPr>
          <w:p w14:paraId="54954EBA" w14:textId="7174B2A9" w:rsidR="00161EBF" w:rsidRPr="009766D5" w:rsidRDefault="00604DF7" w:rsidP="00604DF7">
            <w:pPr>
              <w:contextualSpacing/>
              <w:jc w:val="both"/>
              <w:rPr>
                <w:sz w:val="18"/>
                <w:szCs w:val="18"/>
                <w:lang w:val="en-GB"/>
              </w:rPr>
            </w:pPr>
            <w:r w:rsidRPr="009766D5">
              <w:rPr>
                <w:b/>
                <w:bCs/>
                <w:sz w:val="18"/>
                <w:szCs w:val="18"/>
                <w:lang w:val="en-GB"/>
              </w:rPr>
              <w:t xml:space="preserve">Cooperation Framework (or equivalent) outcome involving </w:t>
            </w:r>
            <w:r w:rsidR="00161EBF" w:rsidRPr="009766D5">
              <w:rPr>
                <w:b/>
                <w:bCs/>
                <w:sz w:val="18"/>
                <w:szCs w:val="18"/>
                <w:lang w:val="en-GB"/>
              </w:rPr>
              <w:t>UNDP #3</w:t>
            </w:r>
            <w:r w:rsidRPr="009766D5">
              <w:rPr>
                <w:b/>
                <w:bCs/>
                <w:sz w:val="18"/>
                <w:szCs w:val="18"/>
                <w:lang w:val="en-GB"/>
              </w:rPr>
              <w:t>.</w:t>
            </w:r>
            <w:r w:rsidR="00161EBF" w:rsidRPr="009766D5">
              <w:rPr>
                <w:sz w:val="18"/>
                <w:szCs w:val="18"/>
                <w:lang w:val="en-GB"/>
              </w:rPr>
              <w:t xml:space="preserve"> By 2026, the Beninese population, particular</w:t>
            </w:r>
            <w:r w:rsidRPr="009766D5">
              <w:rPr>
                <w:sz w:val="18"/>
                <w:szCs w:val="18"/>
                <w:lang w:val="en-GB"/>
              </w:rPr>
              <w:t>ly</w:t>
            </w:r>
            <w:r w:rsidR="00161EBF" w:rsidRPr="009766D5">
              <w:rPr>
                <w:sz w:val="18"/>
                <w:szCs w:val="18"/>
                <w:lang w:val="en-GB"/>
              </w:rPr>
              <w:t xml:space="preserve"> the vulnerable, will benefit from the rule of law, a peaceful democracy, good governance and strengthened social cohesion.</w:t>
            </w:r>
          </w:p>
        </w:tc>
      </w:tr>
      <w:tr w:rsidR="00161EBF" w:rsidRPr="009766D5" w14:paraId="263A98B8" w14:textId="77777777" w:rsidTr="00654147">
        <w:trPr>
          <w:trHeight w:val="461"/>
          <w:jc w:val="center"/>
        </w:trPr>
        <w:tc>
          <w:tcPr>
            <w:tcW w:w="14312" w:type="dxa"/>
            <w:gridSpan w:val="5"/>
            <w:shd w:val="clear" w:color="auto" w:fill="DBE5F1" w:themeFill="accent1" w:themeFillTint="33"/>
          </w:tcPr>
          <w:p w14:paraId="5936CBF0" w14:textId="7AD2CF13" w:rsidR="00161EBF" w:rsidRPr="009766D5" w:rsidRDefault="00604DF7" w:rsidP="00654147">
            <w:pPr>
              <w:rPr>
                <w:i/>
                <w:iCs/>
                <w:sz w:val="18"/>
                <w:szCs w:val="18"/>
                <w:lang w:val="en-GB"/>
              </w:rPr>
            </w:pPr>
            <w:r w:rsidRPr="009766D5">
              <w:rPr>
                <w:b/>
                <w:bCs/>
                <w:sz w:val="18"/>
                <w:szCs w:val="18"/>
                <w:lang w:val="en-GB"/>
              </w:rPr>
              <w:t>Related Strategic Plan outcome</w:t>
            </w:r>
            <w:r w:rsidR="00161EBF" w:rsidRPr="009766D5">
              <w:rPr>
                <w:b/>
                <w:bCs/>
                <w:sz w:val="18"/>
                <w:szCs w:val="18"/>
                <w:lang w:val="en-GB"/>
              </w:rPr>
              <w:t xml:space="preserve">: </w:t>
            </w:r>
            <w:r w:rsidR="00161EBF" w:rsidRPr="009766D5">
              <w:rPr>
                <w:i/>
                <w:iCs/>
                <w:sz w:val="18"/>
                <w:szCs w:val="18"/>
                <w:lang w:val="en-GB"/>
              </w:rPr>
              <w:t>Outcome 1</w:t>
            </w:r>
            <w:r w:rsidRPr="009766D5">
              <w:rPr>
                <w:i/>
                <w:iCs/>
                <w:sz w:val="18"/>
                <w:szCs w:val="18"/>
                <w:lang w:val="en-GB"/>
              </w:rPr>
              <w:t>.</w:t>
            </w:r>
            <w:r w:rsidR="00161EBF" w:rsidRPr="009766D5">
              <w:rPr>
                <w:i/>
                <w:iCs/>
                <w:sz w:val="18"/>
                <w:szCs w:val="18"/>
                <w:lang w:val="en-GB"/>
              </w:rPr>
              <w:t xml:space="preserve"> Structural transformation accelerated, particularly green, inclusive and digital transitions.</w:t>
            </w:r>
          </w:p>
        </w:tc>
      </w:tr>
      <w:tr w:rsidR="00161EBF" w:rsidRPr="009766D5" w14:paraId="34CA8210" w14:textId="77777777" w:rsidTr="00654147">
        <w:trPr>
          <w:trHeight w:val="233"/>
          <w:jc w:val="center"/>
        </w:trPr>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tcPr>
          <w:p w14:paraId="31019F37" w14:textId="6F1EBD51" w:rsidR="00161EBF" w:rsidRPr="009766D5" w:rsidRDefault="005771F3" w:rsidP="00654147">
            <w:pPr>
              <w:rPr>
                <w:i/>
                <w:iCs/>
                <w:sz w:val="18"/>
                <w:szCs w:val="18"/>
                <w:lang w:val="en-GB"/>
              </w:rPr>
            </w:pPr>
            <w:r w:rsidRPr="009766D5">
              <w:rPr>
                <w:b/>
                <w:bCs/>
                <w:sz w:val="18"/>
                <w:szCs w:val="18"/>
                <w:lang w:val="en-GB"/>
              </w:rPr>
              <w:t>Cooperation Framework outcome indicator(s), baselines, target(s)</w:t>
            </w:r>
          </w:p>
        </w:tc>
        <w:tc>
          <w:tcPr>
            <w:tcW w:w="21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5C8B0" w14:textId="52FEB3ED" w:rsidR="00161EBF" w:rsidRPr="009766D5" w:rsidRDefault="005771F3" w:rsidP="00654147">
            <w:pPr>
              <w:rPr>
                <w:i/>
                <w:iCs/>
                <w:sz w:val="18"/>
                <w:szCs w:val="18"/>
                <w:lang w:val="en-GB"/>
              </w:rPr>
            </w:pPr>
            <w:r w:rsidRPr="009766D5">
              <w:rPr>
                <w:b/>
                <w:sz w:val="18"/>
                <w:szCs w:val="18"/>
                <w:lang w:val="en-GB"/>
              </w:rPr>
              <w:t>Data source and frequency of data collection, and responsibilities</w:t>
            </w:r>
          </w:p>
        </w:tc>
        <w:tc>
          <w:tcPr>
            <w:tcW w:w="41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tcPr>
          <w:p w14:paraId="5E30DB42" w14:textId="19BC1E99" w:rsidR="00161EBF" w:rsidRPr="009766D5" w:rsidRDefault="005771F3" w:rsidP="00654147">
            <w:pPr>
              <w:rPr>
                <w:i/>
                <w:iCs/>
                <w:sz w:val="18"/>
                <w:szCs w:val="18"/>
                <w:lang w:val="en-GB"/>
              </w:rPr>
            </w:pPr>
            <w:r w:rsidRPr="009766D5">
              <w:rPr>
                <w:b/>
                <w:bCs/>
                <w:sz w:val="18"/>
                <w:szCs w:val="18"/>
                <w:lang w:val="en-GB"/>
              </w:rPr>
              <w:t xml:space="preserve">Indicative country programme outputs </w:t>
            </w:r>
          </w:p>
        </w:tc>
        <w:tc>
          <w:tcPr>
            <w:tcW w:w="3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584C38" w14:textId="17DB0151" w:rsidR="00161EBF" w:rsidRPr="009766D5" w:rsidRDefault="005771F3" w:rsidP="00654147">
            <w:pPr>
              <w:jc w:val="center"/>
              <w:rPr>
                <w:b/>
                <w:bCs/>
                <w:sz w:val="18"/>
                <w:szCs w:val="18"/>
                <w:lang w:val="en-GB"/>
              </w:rPr>
            </w:pPr>
            <w:r w:rsidRPr="009766D5">
              <w:rPr>
                <w:b/>
                <w:bCs/>
                <w:sz w:val="18"/>
                <w:szCs w:val="18"/>
                <w:lang w:val="en-GB"/>
              </w:rPr>
              <w:t>Major partners/partnerships</w:t>
            </w:r>
          </w:p>
          <w:p w14:paraId="3D70C0A2" w14:textId="1E4356EA" w:rsidR="00161EBF" w:rsidRPr="009766D5" w:rsidRDefault="005771F3" w:rsidP="00654147">
            <w:pPr>
              <w:jc w:val="center"/>
              <w:rPr>
                <w:i/>
                <w:iCs/>
                <w:sz w:val="18"/>
                <w:szCs w:val="18"/>
                <w:lang w:val="en-GB"/>
              </w:rPr>
            </w:pPr>
            <w:r w:rsidRPr="009766D5">
              <w:rPr>
                <w:b/>
                <w:bCs/>
                <w:sz w:val="18"/>
                <w:szCs w:val="18"/>
                <w:lang w:val="en-GB"/>
              </w:rPr>
              <w:t>Frameworks</w:t>
            </w:r>
          </w:p>
        </w:tc>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tcPr>
          <w:p w14:paraId="43124166" w14:textId="42F75D1D" w:rsidR="005771F3" w:rsidRPr="009766D5" w:rsidRDefault="005771F3" w:rsidP="00DD60B2">
            <w:pPr>
              <w:jc w:val="center"/>
              <w:rPr>
                <w:b/>
                <w:bCs/>
                <w:sz w:val="18"/>
                <w:szCs w:val="18"/>
                <w:lang w:val="en-GB"/>
              </w:rPr>
            </w:pPr>
            <w:r w:rsidRPr="009766D5">
              <w:rPr>
                <w:b/>
                <w:bCs/>
                <w:sz w:val="18"/>
                <w:szCs w:val="18"/>
                <w:lang w:val="en-GB"/>
              </w:rPr>
              <w:t>Estimated cost by outcome</w:t>
            </w:r>
          </w:p>
          <w:p w14:paraId="299ADAD9" w14:textId="2FB6051D" w:rsidR="00161EBF" w:rsidRPr="009766D5" w:rsidRDefault="00161EBF" w:rsidP="00DD60B2">
            <w:pPr>
              <w:jc w:val="center"/>
              <w:rPr>
                <w:b/>
                <w:sz w:val="18"/>
                <w:szCs w:val="18"/>
                <w:lang w:val="en-GB"/>
              </w:rPr>
            </w:pPr>
            <w:r w:rsidRPr="009766D5">
              <w:rPr>
                <w:b/>
                <w:bCs/>
                <w:sz w:val="18"/>
                <w:szCs w:val="18"/>
                <w:lang w:val="en-GB"/>
              </w:rPr>
              <w:t>($</w:t>
            </w:r>
            <w:r w:rsidR="005771F3" w:rsidRPr="009766D5">
              <w:rPr>
                <w:b/>
                <w:bCs/>
                <w:sz w:val="18"/>
                <w:szCs w:val="18"/>
                <w:lang w:val="en-GB"/>
              </w:rPr>
              <w:t xml:space="preserve"> thousands</w:t>
            </w:r>
            <w:r w:rsidRPr="009766D5">
              <w:rPr>
                <w:b/>
                <w:bCs/>
                <w:sz w:val="18"/>
                <w:szCs w:val="18"/>
                <w:lang w:val="en-GB"/>
              </w:rPr>
              <w:t>)</w:t>
            </w:r>
          </w:p>
        </w:tc>
      </w:tr>
      <w:tr w:rsidR="00161EBF" w:rsidRPr="009766D5" w14:paraId="10407E2E" w14:textId="77777777" w:rsidTr="00654147">
        <w:trPr>
          <w:trHeight w:val="232"/>
          <w:jc w:val="center"/>
        </w:trPr>
        <w:tc>
          <w:tcPr>
            <w:tcW w:w="2665" w:type="dxa"/>
            <w:vAlign w:val="center"/>
          </w:tcPr>
          <w:p w14:paraId="57EC6160" w14:textId="5EE45E54" w:rsidR="00161EBF" w:rsidRPr="009766D5" w:rsidRDefault="00161EBF" w:rsidP="00654147">
            <w:pPr>
              <w:rPr>
                <w:sz w:val="18"/>
                <w:szCs w:val="18"/>
                <w:lang w:val="en-GB"/>
              </w:rPr>
            </w:pPr>
            <w:r w:rsidRPr="009766D5">
              <w:rPr>
                <w:b/>
                <w:bCs/>
                <w:sz w:val="18"/>
                <w:szCs w:val="18"/>
                <w:lang w:val="en-GB"/>
              </w:rPr>
              <w:t>Indicator 2.1</w:t>
            </w:r>
            <w:r w:rsidR="005771F3" w:rsidRPr="009766D5">
              <w:rPr>
                <w:b/>
                <w:bCs/>
                <w:sz w:val="18"/>
                <w:szCs w:val="18"/>
                <w:lang w:val="en-GB"/>
              </w:rPr>
              <w:t>.</w:t>
            </w:r>
            <w:r w:rsidRPr="009766D5">
              <w:rPr>
                <w:sz w:val="18"/>
                <w:szCs w:val="18"/>
                <w:lang w:val="en-GB"/>
              </w:rPr>
              <w:t xml:space="preserve"> Ibrahim Index of African Governance </w:t>
            </w:r>
            <w:r w:rsidR="00BD6B07" w:rsidRPr="009766D5">
              <w:rPr>
                <w:sz w:val="18"/>
                <w:szCs w:val="18"/>
                <w:lang w:val="en-GB"/>
              </w:rPr>
              <w:t>(IIAG),</w:t>
            </w:r>
            <w:r w:rsidRPr="009766D5">
              <w:rPr>
                <w:sz w:val="18"/>
                <w:szCs w:val="18"/>
                <w:lang w:val="en-GB"/>
              </w:rPr>
              <w:t xml:space="preserve"> Rule of Law </w:t>
            </w:r>
            <w:r w:rsidR="00BD6B07" w:rsidRPr="009766D5">
              <w:rPr>
                <w:sz w:val="18"/>
                <w:szCs w:val="18"/>
                <w:lang w:val="en-GB"/>
              </w:rPr>
              <w:t>and</w:t>
            </w:r>
            <w:r w:rsidRPr="009766D5">
              <w:rPr>
                <w:sz w:val="18"/>
                <w:szCs w:val="18"/>
                <w:lang w:val="en-GB"/>
              </w:rPr>
              <w:t xml:space="preserve"> Justice subcategory </w:t>
            </w:r>
          </w:p>
          <w:p w14:paraId="2260773E" w14:textId="1B5BFB46" w:rsidR="00161EBF" w:rsidRPr="009766D5" w:rsidRDefault="00161EBF" w:rsidP="00654147">
            <w:pPr>
              <w:rPr>
                <w:sz w:val="18"/>
                <w:szCs w:val="18"/>
                <w:lang w:val="en-GB"/>
              </w:rPr>
            </w:pPr>
            <w:r w:rsidRPr="009766D5">
              <w:rPr>
                <w:sz w:val="18"/>
                <w:szCs w:val="18"/>
                <w:lang w:val="en-GB"/>
              </w:rPr>
              <w:t>Baseline (2022): 61</w:t>
            </w:r>
            <w:r w:rsidR="005771F3" w:rsidRPr="009766D5">
              <w:rPr>
                <w:sz w:val="18"/>
                <w:szCs w:val="18"/>
                <w:lang w:val="en-GB"/>
              </w:rPr>
              <w:t>.</w:t>
            </w:r>
            <w:r w:rsidRPr="009766D5">
              <w:rPr>
                <w:sz w:val="18"/>
                <w:szCs w:val="18"/>
                <w:lang w:val="en-GB"/>
              </w:rPr>
              <w:t>7</w:t>
            </w:r>
          </w:p>
          <w:p w14:paraId="69CB576B" w14:textId="77777777" w:rsidR="00161EBF" w:rsidRPr="009766D5" w:rsidRDefault="00161EBF" w:rsidP="00654147">
            <w:pPr>
              <w:rPr>
                <w:sz w:val="18"/>
                <w:szCs w:val="18"/>
                <w:lang w:val="en-GB"/>
              </w:rPr>
            </w:pPr>
            <w:r w:rsidRPr="009766D5">
              <w:rPr>
                <w:sz w:val="18"/>
                <w:szCs w:val="18"/>
                <w:lang w:val="en-GB"/>
              </w:rPr>
              <w:t>Target (2026): 63</w:t>
            </w:r>
          </w:p>
          <w:p w14:paraId="38E5922B" w14:textId="77777777" w:rsidR="00161EBF" w:rsidRPr="009766D5" w:rsidRDefault="00161EBF" w:rsidP="00654147">
            <w:pPr>
              <w:rPr>
                <w:sz w:val="18"/>
                <w:szCs w:val="18"/>
                <w:lang w:val="en-GB"/>
              </w:rPr>
            </w:pPr>
          </w:p>
          <w:p w14:paraId="5A253D7B" w14:textId="77777777" w:rsidR="00161EBF" w:rsidRPr="009766D5" w:rsidRDefault="00161EBF" w:rsidP="00654147">
            <w:pPr>
              <w:rPr>
                <w:sz w:val="18"/>
                <w:szCs w:val="18"/>
                <w:lang w:val="en-GB"/>
              </w:rPr>
            </w:pPr>
          </w:p>
          <w:p w14:paraId="61B48AEC" w14:textId="6F921E92" w:rsidR="00161EBF" w:rsidRPr="009766D5" w:rsidRDefault="00161EBF" w:rsidP="00654147">
            <w:pPr>
              <w:rPr>
                <w:sz w:val="18"/>
                <w:szCs w:val="18"/>
                <w:lang w:val="en-GB"/>
              </w:rPr>
            </w:pPr>
            <w:r w:rsidRPr="009766D5">
              <w:rPr>
                <w:b/>
                <w:bCs/>
                <w:sz w:val="18"/>
                <w:szCs w:val="18"/>
                <w:lang w:val="en-GB"/>
              </w:rPr>
              <w:t>Indicator 2.2</w:t>
            </w:r>
            <w:r w:rsidR="005771F3" w:rsidRPr="009766D5">
              <w:rPr>
                <w:b/>
                <w:bCs/>
                <w:sz w:val="18"/>
                <w:szCs w:val="18"/>
                <w:lang w:val="en-GB"/>
              </w:rPr>
              <w:t>.</w:t>
            </w:r>
            <w:r w:rsidRPr="009766D5">
              <w:rPr>
                <w:sz w:val="18"/>
                <w:szCs w:val="18"/>
                <w:lang w:val="en-GB"/>
              </w:rPr>
              <w:t xml:space="preserve"> </w:t>
            </w:r>
            <w:r w:rsidR="00BD6B07" w:rsidRPr="009766D5">
              <w:rPr>
                <w:sz w:val="18"/>
                <w:szCs w:val="18"/>
                <w:lang w:val="en-GB"/>
              </w:rPr>
              <w:t>IIAG</w:t>
            </w:r>
          </w:p>
          <w:p w14:paraId="66426782" w14:textId="0D22BD3D" w:rsidR="00161EBF" w:rsidRPr="009766D5" w:rsidRDefault="00161EBF" w:rsidP="00654147">
            <w:pPr>
              <w:rPr>
                <w:sz w:val="18"/>
                <w:szCs w:val="18"/>
                <w:lang w:val="en-GB"/>
              </w:rPr>
            </w:pPr>
            <w:r w:rsidRPr="009766D5">
              <w:rPr>
                <w:sz w:val="18"/>
                <w:szCs w:val="18"/>
                <w:lang w:val="en-GB"/>
              </w:rPr>
              <w:t>Baseline (2022):</w:t>
            </w:r>
            <w:r w:rsidR="005771F3" w:rsidRPr="009766D5">
              <w:rPr>
                <w:sz w:val="18"/>
                <w:szCs w:val="18"/>
                <w:lang w:val="en-GB"/>
              </w:rPr>
              <w:t xml:space="preserve"> </w:t>
            </w:r>
            <w:r w:rsidRPr="009766D5">
              <w:rPr>
                <w:sz w:val="18"/>
                <w:szCs w:val="18"/>
                <w:lang w:val="en-GB"/>
              </w:rPr>
              <w:t>56</w:t>
            </w:r>
            <w:r w:rsidR="005771F3" w:rsidRPr="009766D5">
              <w:rPr>
                <w:sz w:val="18"/>
                <w:szCs w:val="18"/>
                <w:lang w:val="en-GB"/>
              </w:rPr>
              <w:t>.</w:t>
            </w:r>
            <w:r w:rsidRPr="009766D5">
              <w:rPr>
                <w:sz w:val="18"/>
                <w:szCs w:val="18"/>
                <w:lang w:val="en-GB"/>
              </w:rPr>
              <w:t>1</w:t>
            </w:r>
          </w:p>
          <w:p w14:paraId="1C89D606" w14:textId="2738CE83" w:rsidR="00161EBF" w:rsidRPr="009766D5" w:rsidRDefault="00161EBF" w:rsidP="00654147">
            <w:pPr>
              <w:rPr>
                <w:sz w:val="18"/>
                <w:szCs w:val="18"/>
                <w:lang w:val="en-GB"/>
              </w:rPr>
            </w:pPr>
            <w:r w:rsidRPr="009766D5">
              <w:rPr>
                <w:sz w:val="18"/>
                <w:szCs w:val="18"/>
                <w:lang w:val="en-GB"/>
              </w:rPr>
              <w:t>Target (2026): 58</w:t>
            </w:r>
            <w:r w:rsidR="005771F3" w:rsidRPr="009766D5">
              <w:rPr>
                <w:sz w:val="18"/>
                <w:szCs w:val="18"/>
                <w:lang w:val="en-GB"/>
              </w:rPr>
              <w:t>.</w:t>
            </w:r>
            <w:r w:rsidRPr="009766D5">
              <w:rPr>
                <w:sz w:val="18"/>
                <w:szCs w:val="18"/>
                <w:lang w:val="en-GB"/>
              </w:rPr>
              <w:t>6</w:t>
            </w:r>
          </w:p>
          <w:p w14:paraId="6EE457F4" w14:textId="77777777" w:rsidR="00161EBF" w:rsidRPr="009766D5" w:rsidRDefault="00161EBF" w:rsidP="00654147">
            <w:pPr>
              <w:rPr>
                <w:sz w:val="18"/>
                <w:szCs w:val="18"/>
                <w:lang w:val="en-GB"/>
              </w:rPr>
            </w:pPr>
          </w:p>
          <w:p w14:paraId="490F1930" w14:textId="77777777" w:rsidR="00161EBF" w:rsidRPr="009766D5" w:rsidRDefault="00161EBF" w:rsidP="00654147">
            <w:pPr>
              <w:rPr>
                <w:sz w:val="18"/>
                <w:szCs w:val="18"/>
                <w:lang w:val="en-GB"/>
              </w:rPr>
            </w:pPr>
          </w:p>
          <w:p w14:paraId="63460F7E" w14:textId="65A0D3FE" w:rsidR="00161EBF" w:rsidRPr="009766D5" w:rsidRDefault="00161EBF" w:rsidP="00654147">
            <w:pPr>
              <w:shd w:val="clear" w:color="auto" w:fill="FDFDFD"/>
              <w:rPr>
                <w:sz w:val="18"/>
                <w:szCs w:val="18"/>
                <w:lang w:val="en-GB"/>
              </w:rPr>
            </w:pPr>
            <w:r w:rsidRPr="009766D5">
              <w:rPr>
                <w:b/>
                <w:bCs/>
                <w:sz w:val="18"/>
                <w:szCs w:val="18"/>
                <w:lang w:val="en-GB"/>
              </w:rPr>
              <w:lastRenderedPageBreak/>
              <w:t>Indicator 2.3</w:t>
            </w:r>
            <w:r w:rsidR="005771F3" w:rsidRPr="009766D5">
              <w:rPr>
                <w:b/>
                <w:bCs/>
                <w:sz w:val="18"/>
                <w:szCs w:val="18"/>
                <w:lang w:val="en-GB"/>
              </w:rPr>
              <w:t>.</w:t>
            </w:r>
            <w:r w:rsidRPr="009766D5">
              <w:rPr>
                <w:sz w:val="18"/>
                <w:szCs w:val="18"/>
                <w:lang w:val="en-GB"/>
              </w:rPr>
              <w:t xml:space="preserve"> Proportion of women employed in positions of responsibility:</w:t>
            </w:r>
          </w:p>
          <w:p w14:paraId="11CD3270" w14:textId="224C4D5E" w:rsidR="00161EBF" w:rsidRPr="009766D5" w:rsidRDefault="00161EBF" w:rsidP="00654147">
            <w:pPr>
              <w:shd w:val="clear" w:color="auto" w:fill="FDFDFD"/>
              <w:ind w:left="243"/>
              <w:rPr>
                <w:sz w:val="18"/>
                <w:szCs w:val="18"/>
                <w:lang w:val="en-GB"/>
              </w:rPr>
            </w:pPr>
            <w:r w:rsidRPr="009766D5">
              <w:rPr>
                <w:sz w:val="18"/>
                <w:szCs w:val="18"/>
                <w:lang w:val="en-GB"/>
              </w:rPr>
              <w:t xml:space="preserve">a-Managerial </w:t>
            </w:r>
          </w:p>
          <w:p w14:paraId="0814A81D" w14:textId="46BE0348" w:rsidR="00161EBF" w:rsidRPr="009766D5" w:rsidRDefault="00161EBF" w:rsidP="00654147">
            <w:pPr>
              <w:shd w:val="clear" w:color="auto" w:fill="FDFDFD"/>
              <w:ind w:left="243"/>
              <w:rPr>
                <w:sz w:val="18"/>
                <w:szCs w:val="18"/>
                <w:lang w:val="en-GB"/>
              </w:rPr>
            </w:pPr>
            <w:r w:rsidRPr="009766D5">
              <w:rPr>
                <w:sz w:val="18"/>
                <w:szCs w:val="18"/>
                <w:lang w:val="en-GB"/>
              </w:rPr>
              <w:t xml:space="preserve">b-Parliamentary </w:t>
            </w:r>
          </w:p>
          <w:p w14:paraId="1B822792" w14:textId="784B6366" w:rsidR="00161EBF" w:rsidRPr="009766D5" w:rsidRDefault="00161EBF" w:rsidP="00654147">
            <w:pPr>
              <w:shd w:val="clear" w:color="auto" w:fill="FDFDFD"/>
              <w:ind w:left="243"/>
              <w:rPr>
                <w:sz w:val="18"/>
                <w:szCs w:val="18"/>
                <w:lang w:val="en-GB"/>
              </w:rPr>
            </w:pPr>
            <w:r w:rsidRPr="009766D5">
              <w:rPr>
                <w:sz w:val="18"/>
                <w:szCs w:val="18"/>
                <w:lang w:val="en-GB"/>
              </w:rPr>
              <w:t xml:space="preserve">c-Local government </w:t>
            </w:r>
          </w:p>
          <w:p w14:paraId="06725879" w14:textId="77777777" w:rsidR="005771F3" w:rsidRPr="009766D5" w:rsidRDefault="005771F3" w:rsidP="00654147">
            <w:pPr>
              <w:rPr>
                <w:sz w:val="18"/>
                <w:szCs w:val="18"/>
                <w:lang w:val="en-GB"/>
              </w:rPr>
            </w:pPr>
          </w:p>
          <w:p w14:paraId="6B34C701" w14:textId="77777777" w:rsidR="00161EBF" w:rsidRPr="009766D5" w:rsidRDefault="00161EBF" w:rsidP="00654147">
            <w:pPr>
              <w:rPr>
                <w:sz w:val="18"/>
                <w:szCs w:val="18"/>
                <w:lang w:val="en-GB"/>
              </w:rPr>
            </w:pPr>
            <w:r w:rsidRPr="009766D5">
              <w:rPr>
                <w:sz w:val="18"/>
                <w:szCs w:val="18"/>
                <w:lang w:val="en-GB"/>
              </w:rPr>
              <w:t>Baseline:</w:t>
            </w:r>
          </w:p>
          <w:p w14:paraId="62C36FB1" w14:textId="77777777" w:rsidR="00161EBF" w:rsidRPr="009766D5" w:rsidRDefault="00161EBF" w:rsidP="00154BB0">
            <w:pPr>
              <w:ind w:left="236"/>
              <w:rPr>
                <w:sz w:val="18"/>
                <w:szCs w:val="18"/>
                <w:lang w:val="en-GB"/>
              </w:rPr>
            </w:pPr>
            <w:r w:rsidRPr="009766D5">
              <w:rPr>
                <w:sz w:val="18"/>
                <w:szCs w:val="18"/>
                <w:lang w:val="en-GB"/>
              </w:rPr>
              <w:t>a-(2022): 11%</w:t>
            </w:r>
          </w:p>
          <w:p w14:paraId="7EA0BCBA" w14:textId="77777777" w:rsidR="00161EBF" w:rsidRPr="009766D5" w:rsidRDefault="00161EBF" w:rsidP="00154BB0">
            <w:pPr>
              <w:ind w:left="236"/>
              <w:rPr>
                <w:sz w:val="18"/>
                <w:szCs w:val="18"/>
                <w:lang w:val="en-GB"/>
              </w:rPr>
            </w:pPr>
            <w:r w:rsidRPr="009766D5">
              <w:rPr>
                <w:sz w:val="18"/>
                <w:szCs w:val="18"/>
                <w:lang w:val="en-GB"/>
              </w:rPr>
              <w:t>b-(2023): 26,6%</w:t>
            </w:r>
          </w:p>
          <w:p w14:paraId="77752D31" w14:textId="77777777" w:rsidR="00161EBF" w:rsidRPr="009766D5" w:rsidRDefault="00161EBF" w:rsidP="00154BB0">
            <w:pPr>
              <w:ind w:left="236"/>
              <w:rPr>
                <w:sz w:val="18"/>
                <w:szCs w:val="18"/>
                <w:lang w:val="en-GB"/>
              </w:rPr>
            </w:pPr>
            <w:r w:rsidRPr="009766D5">
              <w:rPr>
                <w:sz w:val="18"/>
                <w:szCs w:val="18"/>
                <w:lang w:val="en-GB"/>
              </w:rPr>
              <w:t>c-(2020): 4%</w:t>
            </w:r>
          </w:p>
          <w:p w14:paraId="6553BA4B" w14:textId="77777777" w:rsidR="00161EBF" w:rsidRPr="009766D5" w:rsidRDefault="00161EBF" w:rsidP="00654147">
            <w:pPr>
              <w:rPr>
                <w:sz w:val="18"/>
                <w:szCs w:val="18"/>
                <w:lang w:val="en-GB"/>
              </w:rPr>
            </w:pPr>
            <w:r w:rsidRPr="009766D5">
              <w:rPr>
                <w:sz w:val="18"/>
                <w:szCs w:val="18"/>
                <w:lang w:val="en-GB"/>
              </w:rPr>
              <w:t xml:space="preserve">Target (2026): </w:t>
            </w:r>
          </w:p>
          <w:p w14:paraId="581EB513" w14:textId="77777777" w:rsidR="00161EBF" w:rsidRPr="009766D5" w:rsidRDefault="00161EBF" w:rsidP="00654147">
            <w:pPr>
              <w:ind w:left="243"/>
              <w:rPr>
                <w:sz w:val="18"/>
                <w:szCs w:val="18"/>
                <w:lang w:val="en-GB"/>
              </w:rPr>
            </w:pPr>
            <w:r w:rsidRPr="009766D5">
              <w:rPr>
                <w:sz w:val="18"/>
                <w:szCs w:val="18"/>
                <w:lang w:val="en-GB"/>
              </w:rPr>
              <w:t>a-15%</w:t>
            </w:r>
          </w:p>
          <w:p w14:paraId="2D156DF9" w14:textId="77777777" w:rsidR="00161EBF" w:rsidRPr="009766D5" w:rsidRDefault="00161EBF" w:rsidP="00654147">
            <w:pPr>
              <w:ind w:left="243"/>
              <w:rPr>
                <w:sz w:val="18"/>
                <w:szCs w:val="18"/>
                <w:lang w:val="en-GB"/>
              </w:rPr>
            </w:pPr>
            <w:r w:rsidRPr="009766D5">
              <w:rPr>
                <w:sz w:val="18"/>
                <w:szCs w:val="18"/>
                <w:lang w:val="en-GB"/>
              </w:rPr>
              <w:t>b-30%</w:t>
            </w:r>
          </w:p>
          <w:p w14:paraId="2A28BBA8" w14:textId="77777777" w:rsidR="00161EBF" w:rsidRPr="009766D5" w:rsidRDefault="00161EBF" w:rsidP="00654147">
            <w:pPr>
              <w:ind w:left="243"/>
              <w:rPr>
                <w:sz w:val="18"/>
                <w:szCs w:val="18"/>
                <w:lang w:val="en-GB"/>
              </w:rPr>
            </w:pPr>
            <w:r w:rsidRPr="009766D5">
              <w:rPr>
                <w:sz w:val="18"/>
                <w:szCs w:val="18"/>
                <w:lang w:val="en-GB"/>
              </w:rPr>
              <w:t>c-15%</w:t>
            </w:r>
          </w:p>
          <w:p w14:paraId="77B3D978" w14:textId="77777777" w:rsidR="00161EBF" w:rsidRPr="009766D5" w:rsidRDefault="00161EBF" w:rsidP="00654147">
            <w:pPr>
              <w:pStyle w:val="Default"/>
              <w:rPr>
                <w:rFonts w:ascii="Times New Roman" w:hAnsi="Times New Roman" w:cs="Times New Roman"/>
                <w:color w:val="auto"/>
                <w:sz w:val="18"/>
                <w:szCs w:val="18"/>
              </w:rPr>
            </w:pPr>
          </w:p>
          <w:p w14:paraId="49AACEB3" w14:textId="3516F208" w:rsidR="00161EBF" w:rsidRPr="009766D5" w:rsidRDefault="00161EBF" w:rsidP="00654147">
            <w:pPr>
              <w:pStyle w:val="Default"/>
              <w:rPr>
                <w:rFonts w:ascii="Times New Roman" w:eastAsia="Times New Roman" w:hAnsi="Times New Roman" w:cs="Times New Roman"/>
                <w:color w:val="auto"/>
                <w:sz w:val="18"/>
                <w:szCs w:val="18"/>
              </w:rPr>
            </w:pPr>
            <w:r w:rsidRPr="009766D5">
              <w:rPr>
                <w:rFonts w:ascii="Times New Roman" w:eastAsia="Times New Roman" w:hAnsi="Times New Roman" w:cs="Times New Roman"/>
                <w:b/>
                <w:bCs/>
                <w:color w:val="auto"/>
                <w:sz w:val="18"/>
                <w:szCs w:val="18"/>
              </w:rPr>
              <w:t>Indicator 2.4</w:t>
            </w:r>
            <w:r w:rsidR="00154BB0" w:rsidRPr="009766D5">
              <w:rPr>
                <w:rFonts w:ascii="Times New Roman" w:eastAsia="Times New Roman" w:hAnsi="Times New Roman" w:cs="Times New Roman"/>
                <w:b/>
                <w:bCs/>
                <w:color w:val="auto"/>
                <w:sz w:val="18"/>
                <w:szCs w:val="18"/>
              </w:rPr>
              <w:t>.</w:t>
            </w:r>
            <w:r w:rsidRPr="009766D5">
              <w:rPr>
                <w:rFonts w:ascii="Times New Roman" w:eastAsia="Times New Roman" w:hAnsi="Times New Roman" w:cs="Times New Roman"/>
                <w:color w:val="auto"/>
                <w:sz w:val="18"/>
                <w:szCs w:val="18"/>
              </w:rPr>
              <w:t xml:space="preserve"> Share of the population whose most recent experience with the public services was satisfactory.</w:t>
            </w:r>
          </w:p>
          <w:p w14:paraId="38C8777A" w14:textId="77777777" w:rsidR="00161EBF" w:rsidRPr="009766D5" w:rsidRDefault="00161EBF" w:rsidP="00654147">
            <w:pPr>
              <w:rPr>
                <w:sz w:val="18"/>
                <w:szCs w:val="18"/>
                <w:lang w:val="en-GB"/>
              </w:rPr>
            </w:pPr>
            <w:r w:rsidRPr="009766D5">
              <w:rPr>
                <w:sz w:val="18"/>
                <w:szCs w:val="18"/>
                <w:lang w:val="en-GB"/>
              </w:rPr>
              <w:t>Baseline (2022): 80,7%</w:t>
            </w:r>
          </w:p>
          <w:p w14:paraId="7D9C63F9" w14:textId="77777777" w:rsidR="00161EBF" w:rsidRPr="009766D5" w:rsidRDefault="00161EBF" w:rsidP="00654147">
            <w:pPr>
              <w:rPr>
                <w:sz w:val="18"/>
                <w:szCs w:val="18"/>
                <w:lang w:val="en-GB"/>
              </w:rPr>
            </w:pPr>
            <w:r w:rsidRPr="009766D5">
              <w:rPr>
                <w:sz w:val="18"/>
                <w:szCs w:val="18"/>
                <w:lang w:val="en-GB"/>
              </w:rPr>
              <w:t>Target (2026): 85%</w:t>
            </w:r>
          </w:p>
          <w:p w14:paraId="73B453CB" w14:textId="77777777" w:rsidR="00161EBF" w:rsidRPr="009766D5" w:rsidRDefault="00161EBF" w:rsidP="00654147">
            <w:pPr>
              <w:autoSpaceDE w:val="0"/>
              <w:autoSpaceDN w:val="0"/>
              <w:adjustRightInd w:val="0"/>
              <w:rPr>
                <w:i/>
                <w:iCs/>
                <w:sz w:val="18"/>
                <w:szCs w:val="18"/>
                <w:lang w:val="en-GB"/>
              </w:rPr>
            </w:pPr>
          </w:p>
        </w:tc>
        <w:tc>
          <w:tcPr>
            <w:tcW w:w="2154" w:type="dxa"/>
          </w:tcPr>
          <w:p w14:paraId="67FF9B30" w14:textId="07866CD7" w:rsidR="00161EBF" w:rsidRPr="009766D5" w:rsidRDefault="00161EBF" w:rsidP="00654147">
            <w:pPr>
              <w:rPr>
                <w:sz w:val="18"/>
                <w:szCs w:val="18"/>
                <w:lang w:val="en-GB"/>
              </w:rPr>
            </w:pPr>
            <w:r w:rsidRPr="009766D5">
              <w:rPr>
                <w:sz w:val="18"/>
                <w:szCs w:val="18"/>
                <w:lang w:val="en-GB"/>
              </w:rPr>
              <w:lastRenderedPageBreak/>
              <w:t>Source: IIAG report</w:t>
            </w:r>
          </w:p>
          <w:p w14:paraId="53F177CC" w14:textId="75C942C3" w:rsidR="00161EBF" w:rsidRPr="009766D5" w:rsidRDefault="00161EBF" w:rsidP="00654147">
            <w:pPr>
              <w:rPr>
                <w:sz w:val="18"/>
                <w:szCs w:val="18"/>
                <w:lang w:val="en-GB"/>
              </w:rPr>
            </w:pPr>
            <w:r w:rsidRPr="009766D5">
              <w:rPr>
                <w:sz w:val="18"/>
                <w:szCs w:val="18"/>
                <w:lang w:val="en-GB"/>
              </w:rPr>
              <w:t xml:space="preserve">Frequency: </w:t>
            </w:r>
            <w:r w:rsidR="005771F3" w:rsidRPr="009766D5">
              <w:rPr>
                <w:sz w:val="18"/>
                <w:szCs w:val="18"/>
                <w:lang w:val="en-GB"/>
              </w:rPr>
              <w:t>A</w:t>
            </w:r>
            <w:r w:rsidRPr="009766D5">
              <w:rPr>
                <w:sz w:val="18"/>
                <w:szCs w:val="18"/>
                <w:lang w:val="en-GB"/>
              </w:rPr>
              <w:t>nnual</w:t>
            </w:r>
          </w:p>
          <w:p w14:paraId="718DB482" w14:textId="77777777" w:rsidR="00161EBF" w:rsidRPr="009766D5" w:rsidRDefault="00161EBF" w:rsidP="00654147">
            <w:pPr>
              <w:rPr>
                <w:sz w:val="18"/>
                <w:szCs w:val="18"/>
                <w:lang w:val="en-GB"/>
              </w:rPr>
            </w:pPr>
            <w:r w:rsidRPr="009766D5">
              <w:rPr>
                <w:sz w:val="18"/>
                <w:szCs w:val="18"/>
                <w:lang w:val="en-GB"/>
              </w:rPr>
              <w:t>Responsible: MEF</w:t>
            </w:r>
          </w:p>
          <w:p w14:paraId="6452D28A" w14:textId="77777777" w:rsidR="00161EBF" w:rsidRPr="009766D5" w:rsidRDefault="00161EBF" w:rsidP="00654147">
            <w:pPr>
              <w:rPr>
                <w:sz w:val="18"/>
                <w:szCs w:val="18"/>
                <w:lang w:val="en-GB"/>
              </w:rPr>
            </w:pPr>
          </w:p>
          <w:p w14:paraId="5863E6F3" w14:textId="77777777" w:rsidR="00161EBF" w:rsidRPr="009766D5" w:rsidRDefault="00161EBF" w:rsidP="00654147">
            <w:pPr>
              <w:rPr>
                <w:sz w:val="18"/>
                <w:szCs w:val="18"/>
                <w:lang w:val="en-GB"/>
              </w:rPr>
            </w:pPr>
          </w:p>
          <w:p w14:paraId="0B9FEAEC" w14:textId="77777777" w:rsidR="00161EBF" w:rsidRPr="009766D5" w:rsidRDefault="00161EBF" w:rsidP="00654147">
            <w:pPr>
              <w:rPr>
                <w:sz w:val="18"/>
                <w:szCs w:val="18"/>
                <w:lang w:val="en-GB"/>
              </w:rPr>
            </w:pPr>
          </w:p>
          <w:p w14:paraId="11040FC4" w14:textId="7B8D4650" w:rsidR="00161EBF" w:rsidRPr="009766D5" w:rsidRDefault="00161EBF" w:rsidP="00654147">
            <w:pPr>
              <w:rPr>
                <w:sz w:val="18"/>
                <w:szCs w:val="18"/>
                <w:lang w:val="en-GB"/>
              </w:rPr>
            </w:pPr>
            <w:r w:rsidRPr="009766D5">
              <w:rPr>
                <w:sz w:val="18"/>
                <w:szCs w:val="18"/>
                <w:lang w:val="en-GB"/>
              </w:rPr>
              <w:t>Source: IIAG report</w:t>
            </w:r>
          </w:p>
          <w:p w14:paraId="63DD963C" w14:textId="24C93666" w:rsidR="00161EBF" w:rsidRPr="009766D5" w:rsidRDefault="00161EBF" w:rsidP="00654147">
            <w:pPr>
              <w:rPr>
                <w:sz w:val="18"/>
                <w:szCs w:val="18"/>
                <w:lang w:val="en-GB"/>
              </w:rPr>
            </w:pPr>
            <w:r w:rsidRPr="009766D5">
              <w:rPr>
                <w:sz w:val="18"/>
                <w:szCs w:val="18"/>
                <w:lang w:val="en-GB"/>
              </w:rPr>
              <w:t xml:space="preserve">Frequency: </w:t>
            </w:r>
            <w:r w:rsidR="005771F3" w:rsidRPr="009766D5">
              <w:rPr>
                <w:sz w:val="18"/>
                <w:szCs w:val="18"/>
                <w:lang w:val="en-GB"/>
              </w:rPr>
              <w:t>A</w:t>
            </w:r>
            <w:r w:rsidRPr="009766D5">
              <w:rPr>
                <w:sz w:val="18"/>
                <w:szCs w:val="18"/>
                <w:lang w:val="en-GB"/>
              </w:rPr>
              <w:t>nnual</w:t>
            </w:r>
          </w:p>
          <w:p w14:paraId="46D9794D" w14:textId="77777777" w:rsidR="00161EBF" w:rsidRPr="009766D5" w:rsidRDefault="00161EBF" w:rsidP="00654147">
            <w:pPr>
              <w:rPr>
                <w:sz w:val="18"/>
                <w:szCs w:val="18"/>
                <w:lang w:val="en-GB"/>
              </w:rPr>
            </w:pPr>
            <w:r w:rsidRPr="009766D5">
              <w:rPr>
                <w:sz w:val="18"/>
                <w:szCs w:val="18"/>
                <w:lang w:val="en-GB"/>
              </w:rPr>
              <w:t>Responsible: MEF</w:t>
            </w:r>
          </w:p>
          <w:p w14:paraId="200F6254" w14:textId="77777777" w:rsidR="00161EBF" w:rsidRPr="009766D5" w:rsidRDefault="00161EBF" w:rsidP="00654147">
            <w:pPr>
              <w:rPr>
                <w:sz w:val="18"/>
                <w:szCs w:val="18"/>
                <w:lang w:val="en-GB"/>
              </w:rPr>
            </w:pPr>
          </w:p>
          <w:p w14:paraId="093C04D0" w14:textId="77777777" w:rsidR="00161EBF" w:rsidRPr="009766D5" w:rsidRDefault="00161EBF" w:rsidP="00654147">
            <w:pPr>
              <w:rPr>
                <w:sz w:val="18"/>
                <w:szCs w:val="18"/>
                <w:lang w:val="en-GB"/>
              </w:rPr>
            </w:pPr>
          </w:p>
          <w:p w14:paraId="5E91604D" w14:textId="33400D12" w:rsidR="00161EBF" w:rsidRPr="009766D5" w:rsidRDefault="00161EBF" w:rsidP="00654147">
            <w:pPr>
              <w:rPr>
                <w:sz w:val="18"/>
                <w:szCs w:val="18"/>
                <w:lang w:val="en-GB"/>
              </w:rPr>
            </w:pPr>
            <w:r w:rsidRPr="009766D5">
              <w:rPr>
                <w:sz w:val="18"/>
                <w:szCs w:val="18"/>
                <w:lang w:val="en-GB"/>
              </w:rPr>
              <w:lastRenderedPageBreak/>
              <w:t>Source: Statistical report on</w:t>
            </w:r>
            <w:r w:rsidR="005771F3" w:rsidRPr="009766D5">
              <w:rPr>
                <w:sz w:val="18"/>
                <w:szCs w:val="18"/>
                <w:lang w:val="en-GB"/>
              </w:rPr>
              <w:t> </w:t>
            </w:r>
            <w:r w:rsidRPr="009766D5">
              <w:rPr>
                <w:sz w:val="18"/>
                <w:szCs w:val="18"/>
                <w:lang w:val="en-GB"/>
              </w:rPr>
              <w:t>gender in public administration</w:t>
            </w:r>
          </w:p>
          <w:p w14:paraId="0A28416B" w14:textId="375AAAC4" w:rsidR="00161EBF" w:rsidRPr="009766D5" w:rsidRDefault="00161EBF" w:rsidP="00654147">
            <w:pPr>
              <w:rPr>
                <w:sz w:val="18"/>
                <w:szCs w:val="18"/>
                <w:lang w:val="en-GB"/>
              </w:rPr>
            </w:pPr>
            <w:r w:rsidRPr="009766D5">
              <w:rPr>
                <w:sz w:val="18"/>
                <w:szCs w:val="18"/>
                <w:lang w:val="en-GB"/>
              </w:rPr>
              <w:t xml:space="preserve">Frequency: </w:t>
            </w:r>
            <w:r w:rsidR="005771F3" w:rsidRPr="009766D5">
              <w:rPr>
                <w:sz w:val="18"/>
                <w:szCs w:val="18"/>
                <w:lang w:val="en-GB"/>
              </w:rPr>
              <w:t>Biennial</w:t>
            </w:r>
          </w:p>
          <w:p w14:paraId="4562585F" w14:textId="058E121B" w:rsidR="00161EBF" w:rsidRPr="009766D5" w:rsidRDefault="00161EBF" w:rsidP="00654147">
            <w:pPr>
              <w:rPr>
                <w:sz w:val="18"/>
                <w:szCs w:val="18"/>
                <w:lang w:val="en-GB"/>
              </w:rPr>
            </w:pPr>
            <w:r w:rsidRPr="009766D5">
              <w:rPr>
                <w:sz w:val="18"/>
                <w:szCs w:val="18"/>
                <w:lang w:val="en-GB"/>
              </w:rPr>
              <w:t xml:space="preserve">Responsible: </w:t>
            </w:r>
            <w:r w:rsidR="005771F3" w:rsidRPr="009766D5">
              <w:rPr>
                <w:sz w:val="18"/>
                <w:szCs w:val="18"/>
                <w:lang w:val="en-GB"/>
              </w:rPr>
              <w:t xml:space="preserve">Ministry of Labour and Public Service </w:t>
            </w:r>
            <w:r w:rsidRPr="009766D5">
              <w:rPr>
                <w:sz w:val="18"/>
                <w:szCs w:val="18"/>
                <w:lang w:val="en-GB"/>
              </w:rPr>
              <w:t>(MTFP)</w:t>
            </w:r>
          </w:p>
          <w:p w14:paraId="68E51EAF" w14:textId="77777777" w:rsidR="00161EBF" w:rsidRPr="009766D5" w:rsidRDefault="00161EBF" w:rsidP="00654147">
            <w:pPr>
              <w:rPr>
                <w:sz w:val="18"/>
                <w:szCs w:val="18"/>
                <w:lang w:val="en-GB"/>
              </w:rPr>
            </w:pPr>
          </w:p>
          <w:p w14:paraId="38D7082D" w14:textId="77777777" w:rsidR="00161EBF" w:rsidRPr="009766D5" w:rsidRDefault="00161EBF" w:rsidP="00654147">
            <w:pPr>
              <w:rPr>
                <w:i/>
                <w:iCs/>
                <w:sz w:val="18"/>
                <w:szCs w:val="18"/>
                <w:lang w:val="en-GB"/>
              </w:rPr>
            </w:pPr>
          </w:p>
          <w:p w14:paraId="2C616FB4" w14:textId="77777777" w:rsidR="00161EBF" w:rsidRPr="009766D5" w:rsidRDefault="00161EBF" w:rsidP="00654147">
            <w:pPr>
              <w:rPr>
                <w:i/>
                <w:iCs/>
                <w:sz w:val="18"/>
                <w:szCs w:val="18"/>
                <w:lang w:val="en-GB"/>
              </w:rPr>
            </w:pPr>
          </w:p>
          <w:p w14:paraId="31071F90" w14:textId="77777777" w:rsidR="00161EBF" w:rsidRPr="009766D5" w:rsidRDefault="00161EBF" w:rsidP="00654147">
            <w:pPr>
              <w:rPr>
                <w:i/>
                <w:iCs/>
                <w:sz w:val="18"/>
                <w:szCs w:val="18"/>
                <w:lang w:val="en-GB"/>
              </w:rPr>
            </w:pPr>
          </w:p>
          <w:p w14:paraId="7952A29D" w14:textId="77777777" w:rsidR="00161EBF" w:rsidRPr="009766D5" w:rsidRDefault="00161EBF" w:rsidP="00654147">
            <w:pPr>
              <w:rPr>
                <w:i/>
                <w:iCs/>
                <w:sz w:val="18"/>
                <w:szCs w:val="18"/>
                <w:lang w:val="en-GB"/>
              </w:rPr>
            </w:pPr>
          </w:p>
          <w:p w14:paraId="72354FED" w14:textId="77777777" w:rsidR="00161EBF" w:rsidRPr="009766D5" w:rsidRDefault="00161EBF" w:rsidP="00654147">
            <w:pPr>
              <w:rPr>
                <w:i/>
                <w:iCs/>
                <w:sz w:val="18"/>
                <w:szCs w:val="18"/>
                <w:lang w:val="en-GB"/>
              </w:rPr>
            </w:pPr>
          </w:p>
          <w:p w14:paraId="024830B6" w14:textId="77777777" w:rsidR="00161EBF" w:rsidRPr="009766D5" w:rsidRDefault="00161EBF" w:rsidP="00654147">
            <w:pPr>
              <w:rPr>
                <w:i/>
                <w:iCs/>
                <w:sz w:val="18"/>
                <w:szCs w:val="18"/>
                <w:lang w:val="en-GB"/>
              </w:rPr>
            </w:pPr>
          </w:p>
          <w:p w14:paraId="2681621A" w14:textId="77777777" w:rsidR="00161EBF" w:rsidRPr="009766D5" w:rsidRDefault="00161EBF" w:rsidP="00654147">
            <w:pPr>
              <w:rPr>
                <w:i/>
                <w:iCs/>
                <w:sz w:val="18"/>
                <w:szCs w:val="18"/>
                <w:lang w:val="en-GB"/>
              </w:rPr>
            </w:pPr>
          </w:p>
          <w:p w14:paraId="4C9D4AD3" w14:textId="1A0A625E" w:rsidR="00161EBF" w:rsidRPr="009766D5" w:rsidRDefault="00161EBF" w:rsidP="00654147">
            <w:pPr>
              <w:rPr>
                <w:sz w:val="18"/>
                <w:szCs w:val="18"/>
                <w:lang w:val="en-GB"/>
              </w:rPr>
            </w:pPr>
            <w:r w:rsidRPr="009766D5">
              <w:rPr>
                <w:sz w:val="18"/>
                <w:szCs w:val="18"/>
                <w:lang w:val="en-GB"/>
              </w:rPr>
              <w:t xml:space="preserve">Source: </w:t>
            </w:r>
            <w:r w:rsidR="00154BB0" w:rsidRPr="009766D5">
              <w:rPr>
                <w:sz w:val="18"/>
                <w:szCs w:val="18"/>
                <w:lang w:val="en-GB"/>
              </w:rPr>
              <w:t>P</w:t>
            </w:r>
            <w:r w:rsidRPr="009766D5">
              <w:rPr>
                <w:sz w:val="18"/>
                <w:szCs w:val="18"/>
                <w:lang w:val="en-GB"/>
              </w:rPr>
              <w:t>ublic administration customer</w:t>
            </w:r>
            <w:r w:rsidR="00154BB0" w:rsidRPr="009766D5">
              <w:rPr>
                <w:sz w:val="18"/>
                <w:szCs w:val="18"/>
                <w:lang w:val="en-GB"/>
              </w:rPr>
              <w:t xml:space="preserve"> satisfaction survey </w:t>
            </w:r>
          </w:p>
          <w:p w14:paraId="494C6727" w14:textId="707C39FE" w:rsidR="00161EBF" w:rsidRPr="009766D5" w:rsidRDefault="00161EBF" w:rsidP="00654147">
            <w:pPr>
              <w:rPr>
                <w:sz w:val="18"/>
                <w:szCs w:val="18"/>
                <w:lang w:val="en-GB"/>
              </w:rPr>
            </w:pPr>
            <w:r w:rsidRPr="009766D5">
              <w:rPr>
                <w:sz w:val="18"/>
                <w:szCs w:val="18"/>
                <w:lang w:val="en-GB"/>
              </w:rPr>
              <w:t xml:space="preserve">Frequency: </w:t>
            </w:r>
            <w:r w:rsidR="00154BB0" w:rsidRPr="009766D5">
              <w:rPr>
                <w:sz w:val="18"/>
                <w:szCs w:val="18"/>
                <w:lang w:val="en-GB"/>
              </w:rPr>
              <w:t>A</w:t>
            </w:r>
            <w:r w:rsidRPr="009766D5">
              <w:rPr>
                <w:sz w:val="18"/>
                <w:szCs w:val="18"/>
                <w:lang w:val="en-GB"/>
              </w:rPr>
              <w:t>nnual</w:t>
            </w:r>
          </w:p>
          <w:p w14:paraId="131E2F98" w14:textId="77777777" w:rsidR="00161EBF" w:rsidRPr="009766D5" w:rsidRDefault="00161EBF" w:rsidP="00654147">
            <w:pPr>
              <w:rPr>
                <w:i/>
                <w:iCs/>
                <w:sz w:val="18"/>
                <w:szCs w:val="18"/>
                <w:lang w:val="en-GB"/>
              </w:rPr>
            </w:pPr>
            <w:r w:rsidRPr="009766D5">
              <w:rPr>
                <w:sz w:val="18"/>
                <w:szCs w:val="18"/>
                <w:lang w:val="en-GB"/>
              </w:rPr>
              <w:t>Responsible: MTFP</w:t>
            </w:r>
          </w:p>
        </w:tc>
        <w:tc>
          <w:tcPr>
            <w:tcW w:w="4119" w:type="dxa"/>
            <w:vAlign w:val="center"/>
          </w:tcPr>
          <w:p w14:paraId="08148754" w14:textId="1E0F469C" w:rsidR="00161EBF" w:rsidRPr="009766D5" w:rsidRDefault="00161EBF" w:rsidP="004C7973">
            <w:pPr>
              <w:pStyle w:val="pf0"/>
              <w:rPr>
                <w:b/>
                <w:sz w:val="18"/>
                <w:szCs w:val="18"/>
                <w:lang w:val="en-GB"/>
              </w:rPr>
            </w:pPr>
            <w:r w:rsidRPr="009766D5">
              <w:rPr>
                <w:b/>
                <w:sz w:val="18"/>
                <w:szCs w:val="18"/>
                <w:lang w:val="en-GB" w:eastAsia="en-US"/>
              </w:rPr>
              <w:lastRenderedPageBreak/>
              <w:t>Output 2.1</w:t>
            </w:r>
            <w:r w:rsidR="00154BB0" w:rsidRPr="009766D5">
              <w:rPr>
                <w:b/>
                <w:sz w:val="18"/>
                <w:szCs w:val="18"/>
                <w:lang w:val="en-GB" w:eastAsia="en-US"/>
              </w:rPr>
              <w:t>.</w:t>
            </w:r>
            <w:r w:rsidRPr="009766D5">
              <w:rPr>
                <w:b/>
                <w:sz w:val="18"/>
                <w:szCs w:val="18"/>
                <w:lang w:val="en-GB" w:eastAsia="en-US"/>
              </w:rPr>
              <w:t xml:space="preserve"> </w:t>
            </w:r>
            <w:r w:rsidRPr="009766D5">
              <w:rPr>
                <w:b/>
                <w:sz w:val="18"/>
                <w:szCs w:val="18"/>
                <w:lang w:val="en-GB"/>
              </w:rPr>
              <w:t>National and local public institutions have strengthened</w:t>
            </w:r>
            <w:r w:rsidRPr="009766D5" w:rsidDel="00067BD1">
              <w:rPr>
                <w:b/>
                <w:sz w:val="18"/>
                <w:szCs w:val="18"/>
                <w:lang w:val="en-GB"/>
              </w:rPr>
              <w:t xml:space="preserve"> </w:t>
            </w:r>
            <w:r w:rsidRPr="009766D5">
              <w:rPr>
                <w:b/>
                <w:sz w:val="18"/>
                <w:szCs w:val="18"/>
                <w:lang w:val="en-GB"/>
              </w:rPr>
              <w:t xml:space="preserve">technical, technological and operational capacities to provide modern, accessible and equitable quality administrative services. </w:t>
            </w:r>
          </w:p>
          <w:p w14:paraId="16986255" w14:textId="733579F8" w:rsidR="00161EBF" w:rsidRPr="009766D5" w:rsidRDefault="00161EBF" w:rsidP="00654147">
            <w:pPr>
              <w:rPr>
                <w:sz w:val="18"/>
                <w:szCs w:val="18"/>
                <w:lang w:val="en-GB"/>
              </w:rPr>
            </w:pPr>
            <w:r w:rsidRPr="009766D5">
              <w:rPr>
                <w:b/>
                <w:bCs/>
                <w:sz w:val="18"/>
                <w:szCs w:val="18"/>
                <w:lang w:val="en-GB"/>
              </w:rPr>
              <w:t>Indicator 2.1.1</w:t>
            </w:r>
            <w:r w:rsidR="00154BB0" w:rsidRPr="009766D5">
              <w:rPr>
                <w:b/>
                <w:bCs/>
                <w:sz w:val="18"/>
                <w:szCs w:val="18"/>
                <w:lang w:val="en-GB"/>
              </w:rPr>
              <w:t>.</w:t>
            </w:r>
            <w:r w:rsidRPr="009766D5">
              <w:rPr>
                <w:sz w:val="18"/>
                <w:szCs w:val="18"/>
                <w:lang w:val="en-GB"/>
              </w:rPr>
              <w:t xml:space="preserve"> Number of administrative services d</w:t>
            </w:r>
            <w:r w:rsidR="00962394" w:rsidRPr="009766D5">
              <w:rPr>
                <w:sz w:val="18"/>
                <w:szCs w:val="18"/>
                <w:lang w:val="en-GB"/>
              </w:rPr>
              <w:t>igitali</w:t>
            </w:r>
            <w:r w:rsidR="00E74312" w:rsidRPr="009766D5">
              <w:rPr>
                <w:sz w:val="18"/>
                <w:szCs w:val="18"/>
                <w:lang w:val="en-GB"/>
              </w:rPr>
              <w:t>z</w:t>
            </w:r>
            <w:r w:rsidR="00962394" w:rsidRPr="009766D5">
              <w:rPr>
                <w:sz w:val="18"/>
                <w:szCs w:val="18"/>
                <w:lang w:val="en-GB"/>
              </w:rPr>
              <w:t>ed</w:t>
            </w:r>
            <w:r w:rsidR="00962394" w:rsidRPr="009766D5">
              <w:rPr>
                <w:sz w:val="18"/>
                <w:szCs w:val="18"/>
                <w:highlight w:val="yellow"/>
                <w:lang w:val="en-GB"/>
              </w:rPr>
              <w:t xml:space="preserve"> </w:t>
            </w:r>
          </w:p>
          <w:p w14:paraId="6F010EEC" w14:textId="77777777" w:rsidR="00161EBF" w:rsidRPr="009766D5" w:rsidRDefault="00161EBF" w:rsidP="00654147">
            <w:pPr>
              <w:rPr>
                <w:sz w:val="18"/>
                <w:szCs w:val="18"/>
                <w:lang w:val="en-GB"/>
              </w:rPr>
            </w:pPr>
            <w:r w:rsidRPr="009766D5">
              <w:rPr>
                <w:sz w:val="18"/>
                <w:szCs w:val="18"/>
                <w:lang w:val="en-GB"/>
              </w:rPr>
              <w:t>Baseline (2022): 27</w:t>
            </w:r>
          </w:p>
          <w:p w14:paraId="16A66ED8" w14:textId="77777777" w:rsidR="00161EBF" w:rsidRPr="009766D5" w:rsidRDefault="00161EBF" w:rsidP="00654147">
            <w:pPr>
              <w:rPr>
                <w:sz w:val="18"/>
                <w:szCs w:val="18"/>
                <w:lang w:val="en-GB"/>
              </w:rPr>
            </w:pPr>
            <w:r w:rsidRPr="009766D5">
              <w:rPr>
                <w:sz w:val="18"/>
                <w:szCs w:val="18"/>
                <w:lang w:val="en-GB"/>
              </w:rPr>
              <w:t>Target (2026): 37</w:t>
            </w:r>
          </w:p>
          <w:p w14:paraId="09F718BB" w14:textId="1777BFB3" w:rsidR="00161EBF" w:rsidRPr="009766D5" w:rsidRDefault="00161EBF" w:rsidP="00654147">
            <w:pPr>
              <w:rPr>
                <w:sz w:val="18"/>
                <w:szCs w:val="18"/>
                <w:lang w:val="en-GB"/>
              </w:rPr>
            </w:pPr>
            <w:r w:rsidRPr="009766D5">
              <w:rPr>
                <w:sz w:val="18"/>
                <w:szCs w:val="18"/>
                <w:lang w:val="en-GB"/>
              </w:rPr>
              <w:t xml:space="preserve">Source: </w:t>
            </w:r>
            <w:r w:rsidR="00575B4C" w:rsidRPr="009766D5">
              <w:rPr>
                <w:sz w:val="18"/>
                <w:szCs w:val="18"/>
                <w:lang w:val="en-GB"/>
              </w:rPr>
              <w:t>S</w:t>
            </w:r>
            <w:r w:rsidRPr="009766D5">
              <w:rPr>
                <w:sz w:val="18"/>
                <w:szCs w:val="18"/>
                <w:lang w:val="en-GB"/>
              </w:rPr>
              <w:t xml:space="preserve">tatistical yearbook of the </w:t>
            </w:r>
            <w:r w:rsidR="00154BB0" w:rsidRPr="009766D5">
              <w:rPr>
                <w:sz w:val="18"/>
                <w:szCs w:val="18"/>
                <w:lang w:val="en-GB"/>
              </w:rPr>
              <w:t>M</w:t>
            </w:r>
            <w:r w:rsidRPr="009766D5">
              <w:rPr>
                <w:sz w:val="18"/>
                <w:szCs w:val="18"/>
                <w:lang w:val="en-GB"/>
              </w:rPr>
              <w:t xml:space="preserve">inistry of </w:t>
            </w:r>
            <w:r w:rsidR="00154BB0" w:rsidRPr="009766D5">
              <w:rPr>
                <w:sz w:val="18"/>
                <w:szCs w:val="18"/>
                <w:lang w:val="en-GB"/>
              </w:rPr>
              <w:t>P</w:t>
            </w:r>
            <w:r w:rsidRPr="009766D5">
              <w:rPr>
                <w:sz w:val="18"/>
                <w:szCs w:val="18"/>
                <w:lang w:val="en-GB"/>
              </w:rPr>
              <w:t xml:space="preserve">ublic </w:t>
            </w:r>
            <w:r w:rsidR="00154BB0" w:rsidRPr="009766D5">
              <w:rPr>
                <w:sz w:val="18"/>
                <w:szCs w:val="18"/>
                <w:lang w:val="en-GB"/>
              </w:rPr>
              <w:t>S</w:t>
            </w:r>
            <w:r w:rsidRPr="009766D5">
              <w:rPr>
                <w:sz w:val="18"/>
                <w:szCs w:val="18"/>
                <w:lang w:val="en-GB"/>
              </w:rPr>
              <w:t xml:space="preserve">ervice </w:t>
            </w:r>
            <w:r w:rsidR="00154BB0" w:rsidRPr="009766D5">
              <w:rPr>
                <w:sz w:val="18"/>
                <w:szCs w:val="18"/>
                <w:lang w:val="en-GB"/>
              </w:rPr>
              <w:t>p</w:t>
            </w:r>
            <w:r w:rsidRPr="009766D5">
              <w:rPr>
                <w:sz w:val="18"/>
                <w:szCs w:val="18"/>
                <w:lang w:val="en-GB"/>
              </w:rPr>
              <w:t>rogramme monitoring report</w:t>
            </w:r>
          </w:p>
          <w:p w14:paraId="677C839D" w14:textId="77777777" w:rsidR="00161EBF" w:rsidRPr="009766D5" w:rsidRDefault="00161EBF" w:rsidP="00654147">
            <w:pPr>
              <w:rPr>
                <w:sz w:val="18"/>
                <w:szCs w:val="18"/>
                <w:lang w:val="en-GB"/>
              </w:rPr>
            </w:pPr>
            <w:r w:rsidRPr="009766D5">
              <w:rPr>
                <w:sz w:val="18"/>
                <w:szCs w:val="18"/>
                <w:lang w:val="en-GB"/>
              </w:rPr>
              <w:t>Frequency: Annual</w:t>
            </w:r>
          </w:p>
          <w:p w14:paraId="2ED21B64" w14:textId="77777777" w:rsidR="00161EBF" w:rsidRPr="009766D5" w:rsidRDefault="00161EBF" w:rsidP="00654147">
            <w:pPr>
              <w:rPr>
                <w:sz w:val="18"/>
                <w:szCs w:val="18"/>
                <w:lang w:val="en-GB"/>
              </w:rPr>
            </w:pPr>
          </w:p>
          <w:p w14:paraId="4D71A0BF" w14:textId="0FE951BD" w:rsidR="00161EBF" w:rsidRPr="009766D5" w:rsidRDefault="00161EBF" w:rsidP="00654147">
            <w:pPr>
              <w:rPr>
                <w:sz w:val="18"/>
                <w:szCs w:val="18"/>
                <w:lang w:val="en-GB"/>
              </w:rPr>
            </w:pPr>
            <w:r w:rsidRPr="009766D5">
              <w:rPr>
                <w:b/>
                <w:bCs/>
                <w:sz w:val="18"/>
                <w:szCs w:val="18"/>
                <w:lang w:val="en-GB"/>
              </w:rPr>
              <w:lastRenderedPageBreak/>
              <w:t>Indicator 2.1.2</w:t>
            </w:r>
            <w:r w:rsidR="00154BB0" w:rsidRPr="009766D5">
              <w:rPr>
                <w:b/>
                <w:bCs/>
                <w:sz w:val="18"/>
                <w:szCs w:val="18"/>
                <w:lang w:val="en-GB"/>
              </w:rPr>
              <w:t>.</w:t>
            </w:r>
            <w:r w:rsidRPr="009766D5">
              <w:rPr>
                <w:sz w:val="18"/>
                <w:szCs w:val="18"/>
                <w:lang w:val="en-GB"/>
              </w:rPr>
              <w:t xml:space="preserve"> Number of </w:t>
            </w:r>
            <w:r w:rsidR="00154BB0" w:rsidRPr="009766D5">
              <w:rPr>
                <w:sz w:val="18"/>
                <w:szCs w:val="18"/>
                <w:lang w:val="en-GB"/>
              </w:rPr>
              <w:t>(</w:t>
            </w:r>
            <w:r w:rsidRPr="009766D5">
              <w:rPr>
                <w:sz w:val="18"/>
                <w:szCs w:val="18"/>
                <w:lang w:val="en-GB"/>
              </w:rPr>
              <w:t>a</w:t>
            </w:r>
            <w:r w:rsidR="00154BB0" w:rsidRPr="009766D5">
              <w:rPr>
                <w:sz w:val="18"/>
                <w:szCs w:val="18"/>
                <w:lang w:val="en-GB"/>
              </w:rPr>
              <w:t xml:space="preserve">) </w:t>
            </w:r>
            <w:r w:rsidRPr="009766D5">
              <w:rPr>
                <w:sz w:val="18"/>
                <w:szCs w:val="18"/>
                <w:lang w:val="en-GB"/>
              </w:rPr>
              <w:t xml:space="preserve">women and </w:t>
            </w:r>
            <w:r w:rsidR="00154BB0" w:rsidRPr="009766D5">
              <w:rPr>
                <w:sz w:val="18"/>
                <w:szCs w:val="18"/>
                <w:lang w:val="en-GB"/>
              </w:rPr>
              <w:t>(</w:t>
            </w:r>
            <w:r w:rsidRPr="009766D5">
              <w:rPr>
                <w:sz w:val="18"/>
                <w:szCs w:val="18"/>
                <w:lang w:val="en-GB"/>
              </w:rPr>
              <w:t>b</w:t>
            </w:r>
            <w:r w:rsidR="00154BB0" w:rsidRPr="009766D5">
              <w:rPr>
                <w:sz w:val="18"/>
                <w:szCs w:val="18"/>
                <w:lang w:val="en-GB"/>
              </w:rPr>
              <w:t xml:space="preserve">) </w:t>
            </w:r>
            <w:r w:rsidRPr="009766D5">
              <w:rPr>
                <w:sz w:val="18"/>
                <w:szCs w:val="18"/>
                <w:lang w:val="en-GB"/>
              </w:rPr>
              <w:t>men using developed e-services.</w:t>
            </w:r>
          </w:p>
          <w:p w14:paraId="1B309BED" w14:textId="2CD2993F" w:rsidR="00161EBF" w:rsidRPr="009766D5" w:rsidRDefault="00161EBF" w:rsidP="00654147">
            <w:pPr>
              <w:rPr>
                <w:sz w:val="18"/>
                <w:szCs w:val="18"/>
                <w:lang w:val="en-GB"/>
              </w:rPr>
            </w:pPr>
            <w:r w:rsidRPr="009766D5">
              <w:rPr>
                <w:sz w:val="18"/>
                <w:szCs w:val="18"/>
                <w:lang w:val="en-GB"/>
              </w:rPr>
              <w:t>Baseline (2022):</w:t>
            </w:r>
            <w:r w:rsidR="001A4D0B" w:rsidRPr="009766D5">
              <w:rPr>
                <w:sz w:val="18"/>
                <w:szCs w:val="18"/>
                <w:lang w:val="en-GB"/>
              </w:rPr>
              <w:t xml:space="preserve"> </w:t>
            </w:r>
            <w:r w:rsidRPr="009766D5">
              <w:rPr>
                <w:sz w:val="18"/>
                <w:szCs w:val="18"/>
                <w:lang w:val="en-GB"/>
              </w:rPr>
              <w:t>0</w:t>
            </w:r>
          </w:p>
          <w:p w14:paraId="32DA9316" w14:textId="768EB232" w:rsidR="00161EBF" w:rsidRPr="009766D5" w:rsidRDefault="00161EBF" w:rsidP="00654147">
            <w:pPr>
              <w:rPr>
                <w:sz w:val="18"/>
                <w:szCs w:val="18"/>
                <w:lang w:val="en-GB"/>
              </w:rPr>
            </w:pPr>
            <w:r w:rsidRPr="009766D5">
              <w:rPr>
                <w:sz w:val="18"/>
                <w:szCs w:val="18"/>
                <w:lang w:val="en-GB"/>
              </w:rPr>
              <w:t>Target (2026): a-15,000 b-25,000</w:t>
            </w:r>
          </w:p>
          <w:p w14:paraId="0649917B" w14:textId="68C9707C" w:rsidR="00161EBF" w:rsidRPr="009766D5" w:rsidRDefault="00161EBF" w:rsidP="00654147">
            <w:pPr>
              <w:rPr>
                <w:sz w:val="18"/>
                <w:szCs w:val="18"/>
                <w:lang w:val="en-GB"/>
              </w:rPr>
            </w:pPr>
            <w:r w:rsidRPr="009766D5">
              <w:rPr>
                <w:sz w:val="18"/>
                <w:szCs w:val="18"/>
                <w:lang w:val="en-GB"/>
              </w:rPr>
              <w:t xml:space="preserve">Source: </w:t>
            </w:r>
            <w:r w:rsidR="0035108B" w:rsidRPr="009766D5">
              <w:rPr>
                <w:sz w:val="18"/>
                <w:szCs w:val="18"/>
                <w:lang w:val="en-GB"/>
              </w:rPr>
              <w:t>S</w:t>
            </w:r>
            <w:r w:rsidRPr="009766D5">
              <w:rPr>
                <w:sz w:val="18"/>
                <w:szCs w:val="18"/>
                <w:lang w:val="en-GB"/>
              </w:rPr>
              <w:t xml:space="preserve">tatistical yearbook of the </w:t>
            </w:r>
            <w:r w:rsidR="0035108B" w:rsidRPr="009766D5">
              <w:rPr>
                <w:sz w:val="18"/>
                <w:szCs w:val="18"/>
                <w:lang w:val="en-GB"/>
              </w:rPr>
              <w:t>M</w:t>
            </w:r>
            <w:r w:rsidRPr="009766D5">
              <w:rPr>
                <w:sz w:val="18"/>
                <w:szCs w:val="18"/>
                <w:lang w:val="en-GB"/>
              </w:rPr>
              <w:t xml:space="preserve">inistry of </w:t>
            </w:r>
            <w:r w:rsidR="0035108B" w:rsidRPr="009766D5">
              <w:rPr>
                <w:sz w:val="18"/>
                <w:szCs w:val="18"/>
                <w:lang w:val="en-GB"/>
              </w:rPr>
              <w:t>P</w:t>
            </w:r>
            <w:r w:rsidRPr="009766D5">
              <w:rPr>
                <w:sz w:val="18"/>
                <w:szCs w:val="18"/>
                <w:lang w:val="en-GB"/>
              </w:rPr>
              <w:t xml:space="preserve">ublic </w:t>
            </w:r>
            <w:r w:rsidR="0035108B" w:rsidRPr="009766D5">
              <w:rPr>
                <w:sz w:val="18"/>
                <w:szCs w:val="18"/>
                <w:lang w:val="en-GB"/>
              </w:rPr>
              <w:t>S</w:t>
            </w:r>
            <w:r w:rsidRPr="009766D5">
              <w:rPr>
                <w:sz w:val="18"/>
                <w:szCs w:val="18"/>
                <w:lang w:val="en-GB"/>
              </w:rPr>
              <w:t>ervice</w:t>
            </w:r>
            <w:r w:rsidR="0035108B" w:rsidRPr="009766D5">
              <w:rPr>
                <w:sz w:val="18"/>
                <w:szCs w:val="18"/>
                <w:lang w:val="en-GB"/>
              </w:rPr>
              <w:t>, p</w:t>
            </w:r>
            <w:r w:rsidRPr="009766D5">
              <w:rPr>
                <w:sz w:val="18"/>
                <w:szCs w:val="18"/>
                <w:lang w:val="en-GB"/>
              </w:rPr>
              <w:t>rogramme monitoring report</w:t>
            </w:r>
          </w:p>
          <w:p w14:paraId="4F5ED108" w14:textId="77777777" w:rsidR="00161EBF" w:rsidRPr="009766D5" w:rsidRDefault="00161EBF" w:rsidP="00654147">
            <w:pPr>
              <w:rPr>
                <w:sz w:val="18"/>
                <w:szCs w:val="18"/>
                <w:lang w:val="en-GB"/>
              </w:rPr>
            </w:pPr>
            <w:r w:rsidRPr="009766D5">
              <w:rPr>
                <w:sz w:val="18"/>
                <w:szCs w:val="18"/>
                <w:lang w:val="en-GB"/>
              </w:rPr>
              <w:t>Frequency: Annual</w:t>
            </w:r>
          </w:p>
          <w:p w14:paraId="03860656" w14:textId="77777777" w:rsidR="00161EBF" w:rsidRPr="009766D5" w:rsidRDefault="00161EBF" w:rsidP="00654147">
            <w:pPr>
              <w:rPr>
                <w:sz w:val="18"/>
                <w:szCs w:val="18"/>
                <w:lang w:val="en-GB"/>
              </w:rPr>
            </w:pPr>
          </w:p>
          <w:p w14:paraId="47ADD055" w14:textId="58F6193A" w:rsidR="00161EBF" w:rsidRPr="009766D5" w:rsidRDefault="00161EBF" w:rsidP="00654147">
            <w:pPr>
              <w:rPr>
                <w:sz w:val="18"/>
                <w:szCs w:val="18"/>
                <w:lang w:val="en-GB"/>
              </w:rPr>
            </w:pPr>
            <w:r w:rsidRPr="009766D5">
              <w:rPr>
                <w:b/>
                <w:bCs/>
                <w:sz w:val="18"/>
                <w:szCs w:val="18"/>
                <w:lang w:val="en-GB"/>
              </w:rPr>
              <w:t>Indicator 2.1.3</w:t>
            </w:r>
            <w:r w:rsidR="0035108B" w:rsidRPr="009766D5">
              <w:rPr>
                <w:b/>
                <w:bCs/>
                <w:sz w:val="18"/>
                <w:szCs w:val="18"/>
                <w:lang w:val="en-GB"/>
              </w:rPr>
              <w:t>.</w:t>
            </w:r>
            <w:r w:rsidRPr="009766D5">
              <w:rPr>
                <w:sz w:val="18"/>
                <w:szCs w:val="18"/>
                <w:lang w:val="en-GB"/>
              </w:rPr>
              <w:t xml:space="preserve"> Percentage of municipalities equipped with communal public service centr</w:t>
            </w:r>
            <w:r w:rsidR="0035108B" w:rsidRPr="009766D5">
              <w:rPr>
                <w:sz w:val="18"/>
                <w:szCs w:val="18"/>
                <w:lang w:val="en-GB"/>
              </w:rPr>
              <w:t>e</w:t>
            </w:r>
            <w:r w:rsidRPr="009766D5">
              <w:rPr>
                <w:sz w:val="18"/>
                <w:szCs w:val="18"/>
                <w:lang w:val="en-GB"/>
              </w:rPr>
              <w:t>s</w:t>
            </w:r>
          </w:p>
          <w:p w14:paraId="721E2478" w14:textId="4661BA5C" w:rsidR="00161EBF" w:rsidRPr="009766D5" w:rsidRDefault="00161EBF" w:rsidP="00654147">
            <w:pPr>
              <w:rPr>
                <w:sz w:val="18"/>
                <w:szCs w:val="18"/>
                <w:lang w:val="en-GB"/>
              </w:rPr>
            </w:pPr>
            <w:r w:rsidRPr="009766D5">
              <w:rPr>
                <w:sz w:val="18"/>
                <w:szCs w:val="18"/>
                <w:lang w:val="en-GB"/>
              </w:rPr>
              <w:t>Baseline (2022):</w:t>
            </w:r>
            <w:r w:rsidR="0035108B" w:rsidRPr="009766D5">
              <w:rPr>
                <w:sz w:val="18"/>
                <w:szCs w:val="18"/>
                <w:lang w:val="en-GB"/>
              </w:rPr>
              <w:t xml:space="preserve"> </w:t>
            </w:r>
            <w:r w:rsidRPr="009766D5">
              <w:rPr>
                <w:sz w:val="18"/>
                <w:szCs w:val="18"/>
                <w:lang w:val="en-GB"/>
              </w:rPr>
              <w:t>26%</w:t>
            </w:r>
          </w:p>
          <w:p w14:paraId="0969F666" w14:textId="0748557B" w:rsidR="00161EBF" w:rsidRPr="009766D5" w:rsidRDefault="00161EBF" w:rsidP="00654147">
            <w:pPr>
              <w:rPr>
                <w:sz w:val="18"/>
                <w:szCs w:val="18"/>
                <w:lang w:val="en-GB"/>
              </w:rPr>
            </w:pPr>
            <w:r w:rsidRPr="009766D5">
              <w:rPr>
                <w:sz w:val="18"/>
                <w:szCs w:val="18"/>
                <w:lang w:val="en-GB"/>
              </w:rPr>
              <w:t>Target (2026):</w:t>
            </w:r>
            <w:r w:rsidR="0035108B" w:rsidRPr="009766D5">
              <w:rPr>
                <w:sz w:val="18"/>
                <w:szCs w:val="18"/>
                <w:lang w:val="en-GB"/>
              </w:rPr>
              <w:t xml:space="preserve"> </w:t>
            </w:r>
            <w:r w:rsidRPr="009766D5">
              <w:rPr>
                <w:sz w:val="18"/>
                <w:szCs w:val="18"/>
                <w:lang w:val="en-GB"/>
              </w:rPr>
              <w:t>75%</w:t>
            </w:r>
          </w:p>
          <w:p w14:paraId="411E629F" w14:textId="71C6AF64" w:rsidR="00161EBF" w:rsidRPr="009766D5" w:rsidRDefault="00161EBF" w:rsidP="00654147">
            <w:pPr>
              <w:rPr>
                <w:sz w:val="18"/>
                <w:szCs w:val="18"/>
                <w:lang w:val="en-GB"/>
              </w:rPr>
            </w:pPr>
            <w:r w:rsidRPr="009766D5">
              <w:rPr>
                <w:sz w:val="18"/>
                <w:szCs w:val="18"/>
                <w:lang w:val="en-GB"/>
              </w:rPr>
              <w:t xml:space="preserve">Source: </w:t>
            </w:r>
            <w:r w:rsidR="0035108B" w:rsidRPr="009766D5">
              <w:rPr>
                <w:sz w:val="18"/>
                <w:szCs w:val="18"/>
                <w:lang w:val="en-GB"/>
              </w:rPr>
              <w:t>S</w:t>
            </w:r>
            <w:r w:rsidRPr="009766D5">
              <w:rPr>
                <w:sz w:val="18"/>
                <w:szCs w:val="18"/>
                <w:lang w:val="en-GB"/>
              </w:rPr>
              <w:t>tatistical yearbook of MTF</w:t>
            </w:r>
            <w:r w:rsidR="0035108B" w:rsidRPr="009766D5">
              <w:rPr>
                <w:sz w:val="18"/>
                <w:szCs w:val="18"/>
                <w:lang w:val="en-GB"/>
              </w:rPr>
              <w:t>,</w:t>
            </w:r>
            <w:r w:rsidRPr="009766D5">
              <w:rPr>
                <w:sz w:val="18"/>
                <w:szCs w:val="18"/>
                <w:lang w:val="en-GB"/>
              </w:rPr>
              <w:t xml:space="preserve"> </w:t>
            </w:r>
            <w:r w:rsidR="0035108B" w:rsidRPr="009766D5">
              <w:rPr>
                <w:sz w:val="18"/>
                <w:szCs w:val="18"/>
                <w:lang w:val="en-GB"/>
              </w:rPr>
              <w:t>p</w:t>
            </w:r>
            <w:r w:rsidRPr="009766D5">
              <w:rPr>
                <w:sz w:val="18"/>
                <w:szCs w:val="18"/>
                <w:lang w:val="en-GB"/>
              </w:rPr>
              <w:t>rogramme monitoring report</w:t>
            </w:r>
          </w:p>
          <w:p w14:paraId="45BA571C" w14:textId="77777777" w:rsidR="00161EBF" w:rsidRPr="009766D5" w:rsidRDefault="00161EBF" w:rsidP="00654147">
            <w:pPr>
              <w:rPr>
                <w:sz w:val="18"/>
                <w:szCs w:val="18"/>
                <w:lang w:val="en-GB"/>
              </w:rPr>
            </w:pPr>
            <w:r w:rsidRPr="009766D5">
              <w:rPr>
                <w:sz w:val="18"/>
                <w:szCs w:val="18"/>
                <w:lang w:val="en-GB"/>
              </w:rPr>
              <w:t>Frequency: Annual</w:t>
            </w:r>
          </w:p>
          <w:p w14:paraId="18ACB5D9" w14:textId="77777777" w:rsidR="00161EBF" w:rsidRPr="009766D5" w:rsidRDefault="00161EBF" w:rsidP="00654147">
            <w:pPr>
              <w:rPr>
                <w:sz w:val="18"/>
                <w:szCs w:val="18"/>
                <w:lang w:val="en-GB"/>
              </w:rPr>
            </w:pPr>
          </w:p>
          <w:p w14:paraId="34C91628" w14:textId="018FDA03" w:rsidR="00161EBF" w:rsidRPr="009766D5" w:rsidRDefault="00161EBF" w:rsidP="00654147">
            <w:pPr>
              <w:rPr>
                <w:b/>
                <w:sz w:val="18"/>
                <w:szCs w:val="18"/>
                <w:lang w:val="en-GB"/>
              </w:rPr>
            </w:pPr>
            <w:r w:rsidRPr="009766D5">
              <w:rPr>
                <w:b/>
                <w:bCs/>
                <w:sz w:val="18"/>
                <w:szCs w:val="18"/>
                <w:lang w:val="en-GB"/>
              </w:rPr>
              <w:t>Indicator</w:t>
            </w:r>
            <w:r w:rsidRPr="009766D5">
              <w:rPr>
                <w:b/>
                <w:sz w:val="18"/>
                <w:szCs w:val="18"/>
                <w:lang w:val="en-GB"/>
              </w:rPr>
              <w:t xml:space="preserve"> 2.1.4</w:t>
            </w:r>
            <w:r w:rsidR="0035108B" w:rsidRPr="009766D5">
              <w:rPr>
                <w:b/>
                <w:sz w:val="18"/>
                <w:szCs w:val="18"/>
                <w:lang w:val="en-GB"/>
              </w:rPr>
              <w:t>.</w:t>
            </w:r>
            <w:r w:rsidRPr="009766D5">
              <w:rPr>
                <w:b/>
                <w:sz w:val="18"/>
                <w:szCs w:val="18"/>
                <w:lang w:val="en-GB"/>
              </w:rPr>
              <w:t xml:space="preserve"> </w:t>
            </w:r>
          </w:p>
          <w:p w14:paraId="2163CB95" w14:textId="40461FE8" w:rsidR="00161EBF" w:rsidRPr="009766D5" w:rsidRDefault="00161EBF" w:rsidP="00654147">
            <w:pPr>
              <w:rPr>
                <w:sz w:val="18"/>
                <w:szCs w:val="18"/>
                <w:lang w:val="en-GB"/>
              </w:rPr>
            </w:pPr>
            <w:r w:rsidRPr="009766D5">
              <w:rPr>
                <w:sz w:val="18"/>
                <w:szCs w:val="18"/>
                <w:lang w:val="en-GB"/>
              </w:rPr>
              <w:t>Percentage women and men users satisfied with the quality of e-services available</w:t>
            </w:r>
          </w:p>
          <w:p w14:paraId="0C85DECF" w14:textId="77777777" w:rsidR="00161EBF" w:rsidRPr="009766D5" w:rsidRDefault="00161EBF" w:rsidP="00654147">
            <w:pPr>
              <w:spacing w:line="259" w:lineRule="auto"/>
              <w:rPr>
                <w:sz w:val="18"/>
                <w:szCs w:val="18"/>
                <w:lang w:val="en-GB"/>
              </w:rPr>
            </w:pPr>
            <w:r w:rsidRPr="009766D5">
              <w:rPr>
                <w:sz w:val="18"/>
                <w:szCs w:val="18"/>
                <w:lang w:val="en-GB"/>
              </w:rPr>
              <w:t>Baseline (2023): a-66%; b-60%</w:t>
            </w:r>
          </w:p>
          <w:p w14:paraId="06C17036" w14:textId="77777777" w:rsidR="00161EBF" w:rsidRPr="009766D5" w:rsidRDefault="00161EBF" w:rsidP="00654147">
            <w:pPr>
              <w:rPr>
                <w:sz w:val="18"/>
                <w:szCs w:val="18"/>
                <w:lang w:val="en-GB"/>
              </w:rPr>
            </w:pPr>
            <w:r w:rsidRPr="009766D5">
              <w:rPr>
                <w:sz w:val="18"/>
                <w:szCs w:val="18"/>
                <w:lang w:val="en-GB"/>
              </w:rPr>
              <w:t>Target (2026): a-95%; b-95%</w:t>
            </w:r>
          </w:p>
          <w:p w14:paraId="45FA8642" w14:textId="74654E4E" w:rsidR="00161EBF" w:rsidRPr="009766D5" w:rsidRDefault="00161EBF" w:rsidP="00654147">
            <w:pPr>
              <w:rPr>
                <w:sz w:val="18"/>
                <w:szCs w:val="18"/>
                <w:lang w:val="en-GB"/>
              </w:rPr>
            </w:pPr>
            <w:r w:rsidRPr="009766D5">
              <w:rPr>
                <w:sz w:val="18"/>
                <w:szCs w:val="18"/>
                <w:lang w:val="en-GB"/>
              </w:rPr>
              <w:t xml:space="preserve">Source: </w:t>
            </w:r>
            <w:r w:rsidR="0035108B" w:rsidRPr="009766D5">
              <w:rPr>
                <w:sz w:val="18"/>
                <w:szCs w:val="18"/>
                <w:lang w:val="en-GB"/>
              </w:rPr>
              <w:t xml:space="preserve">Statistical yearbook of MTF, programme </w:t>
            </w:r>
            <w:r w:rsidRPr="009766D5">
              <w:rPr>
                <w:sz w:val="18"/>
                <w:szCs w:val="18"/>
                <w:lang w:val="en-GB"/>
              </w:rPr>
              <w:t>monitoring report</w:t>
            </w:r>
          </w:p>
          <w:p w14:paraId="36FD661F" w14:textId="149250AA" w:rsidR="00161EBF" w:rsidRPr="009766D5" w:rsidRDefault="00161EBF" w:rsidP="00654147">
            <w:pPr>
              <w:rPr>
                <w:sz w:val="18"/>
                <w:szCs w:val="18"/>
                <w:lang w:val="en-GB"/>
              </w:rPr>
            </w:pPr>
            <w:r w:rsidRPr="009766D5">
              <w:rPr>
                <w:sz w:val="18"/>
                <w:szCs w:val="18"/>
                <w:lang w:val="en-GB"/>
              </w:rPr>
              <w:t xml:space="preserve">Frequency: </w:t>
            </w:r>
            <w:r w:rsidR="0035108B" w:rsidRPr="009766D5">
              <w:rPr>
                <w:sz w:val="18"/>
                <w:szCs w:val="18"/>
                <w:lang w:val="en-GB"/>
              </w:rPr>
              <w:t>A</w:t>
            </w:r>
            <w:r w:rsidRPr="009766D5">
              <w:rPr>
                <w:sz w:val="18"/>
                <w:szCs w:val="18"/>
                <w:lang w:val="en-GB"/>
              </w:rPr>
              <w:t>nnual</w:t>
            </w:r>
          </w:p>
          <w:p w14:paraId="32438C6D" w14:textId="77777777" w:rsidR="00161EBF" w:rsidRPr="009766D5" w:rsidRDefault="00161EBF" w:rsidP="00654147">
            <w:pPr>
              <w:rPr>
                <w:b/>
                <w:bCs/>
                <w:sz w:val="18"/>
                <w:szCs w:val="18"/>
                <w:lang w:val="en-GB"/>
              </w:rPr>
            </w:pPr>
          </w:p>
          <w:p w14:paraId="646F1147" w14:textId="11671F80" w:rsidR="00161EBF" w:rsidRPr="009766D5" w:rsidRDefault="00161EBF" w:rsidP="00654147">
            <w:pPr>
              <w:shd w:val="clear" w:color="auto" w:fill="FDFDFD"/>
              <w:rPr>
                <w:b/>
                <w:bCs/>
                <w:sz w:val="18"/>
                <w:szCs w:val="18"/>
                <w:lang w:val="en-GB"/>
              </w:rPr>
            </w:pPr>
            <w:r w:rsidRPr="009766D5">
              <w:rPr>
                <w:b/>
                <w:bCs/>
                <w:sz w:val="18"/>
                <w:szCs w:val="18"/>
                <w:lang w:val="en-GB"/>
              </w:rPr>
              <w:t>Output 2.2</w:t>
            </w:r>
            <w:r w:rsidR="0035108B" w:rsidRPr="009766D5">
              <w:rPr>
                <w:b/>
                <w:bCs/>
                <w:sz w:val="18"/>
                <w:szCs w:val="18"/>
                <w:lang w:val="en-GB"/>
              </w:rPr>
              <w:t>.</w:t>
            </w:r>
            <w:r w:rsidRPr="009766D5">
              <w:rPr>
                <w:b/>
                <w:bCs/>
                <w:sz w:val="18"/>
                <w:szCs w:val="18"/>
                <w:lang w:val="en-GB"/>
              </w:rPr>
              <w:t xml:space="preserve"> The Ministry of Justice, the Supreme Court</w:t>
            </w:r>
            <w:r w:rsidR="00CD7F4B" w:rsidRPr="009766D5">
              <w:rPr>
                <w:b/>
                <w:bCs/>
                <w:sz w:val="18"/>
                <w:szCs w:val="18"/>
                <w:lang w:val="en-GB"/>
              </w:rPr>
              <w:t>,</w:t>
            </w:r>
            <w:r w:rsidRPr="009766D5">
              <w:rPr>
                <w:b/>
                <w:bCs/>
                <w:sz w:val="18"/>
                <w:szCs w:val="18"/>
                <w:lang w:val="en-GB"/>
              </w:rPr>
              <w:t xml:space="preserve"> and national human rights institutions and mechanisms have improved technical, technological and operational capacities to expand the effective exercise of people</w:t>
            </w:r>
            <w:r w:rsidR="00CD7F4B" w:rsidRPr="009766D5">
              <w:rPr>
                <w:b/>
                <w:bCs/>
                <w:sz w:val="18"/>
                <w:szCs w:val="18"/>
                <w:lang w:val="en-GB"/>
              </w:rPr>
              <w:t>’</w:t>
            </w:r>
            <w:r w:rsidRPr="009766D5">
              <w:rPr>
                <w:b/>
                <w:bCs/>
                <w:sz w:val="18"/>
                <w:szCs w:val="18"/>
                <w:lang w:val="en-GB"/>
              </w:rPr>
              <w:t>s rights</w:t>
            </w:r>
            <w:r w:rsidR="0035108B" w:rsidRPr="009766D5">
              <w:rPr>
                <w:b/>
                <w:bCs/>
                <w:sz w:val="18"/>
                <w:szCs w:val="18"/>
                <w:lang w:val="en-GB"/>
              </w:rPr>
              <w:t>.</w:t>
            </w:r>
          </w:p>
          <w:p w14:paraId="13F6CF46" w14:textId="77777777" w:rsidR="00161EBF" w:rsidRPr="009766D5" w:rsidRDefault="00161EBF" w:rsidP="00654147">
            <w:pPr>
              <w:rPr>
                <w:sz w:val="18"/>
                <w:szCs w:val="18"/>
                <w:lang w:val="en-GB"/>
              </w:rPr>
            </w:pPr>
          </w:p>
          <w:p w14:paraId="485B8F5F" w14:textId="4372D25A" w:rsidR="0035108B" w:rsidRPr="009766D5" w:rsidRDefault="00161EBF" w:rsidP="001C30CE">
            <w:pPr>
              <w:rPr>
                <w:sz w:val="18"/>
                <w:szCs w:val="18"/>
                <w:lang w:val="en-GB"/>
              </w:rPr>
            </w:pPr>
            <w:r w:rsidRPr="009766D5">
              <w:rPr>
                <w:b/>
                <w:bCs/>
                <w:sz w:val="18"/>
                <w:szCs w:val="18"/>
                <w:lang w:val="en-GB"/>
              </w:rPr>
              <w:t>Indicator 2.2.1</w:t>
            </w:r>
            <w:r w:rsidR="0035108B" w:rsidRPr="009766D5">
              <w:rPr>
                <w:b/>
                <w:bCs/>
                <w:sz w:val="18"/>
                <w:szCs w:val="18"/>
                <w:lang w:val="en-GB"/>
              </w:rPr>
              <w:t>.</w:t>
            </w:r>
            <w:r w:rsidRPr="009766D5">
              <w:rPr>
                <w:sz w:val="18"/>
                <w:szCs w:val="18"/>
                <w:lang w:val="en-GB"/>
              </w:rPr>
              <w:t xml:space="preserve"> Extent to which country institutions, systems or stakeholders have the necessary capacity to</w:t>
            </w:r>
            <w:r w:rsidR="00CD7F4B" w:rsidRPr="009766D5">
              <w:rPr>
                <w:sz w:val="18"/>
                <w:szCs w:val="18"/>
                <w:lang w:val="en-GB"/>
              </w:rPr>
              <w:t> </w:t>
            </w:r>
            <w:r w:rsidRPr="009766D5">
              <w:rPr>
                <w:sz w:val="18"/>
                <w:szCs w:val="18"/>
                <w:lang w:val="en-GB"/>
              </w:rPr>
              <w:t xml:space="preserve">support compliance with ratified human rights obligations at national and international levels </w:t>
            </w:r>
          </w:p>
          <w:p w14:paraId="661FC1B6" w14:textId="4187532C" w:rsidR="0035108B" w:rsidRPr="009766D5" w:rsidRDefault="00161EBF" w:rsidP="001C30CE">
            <w:pPr>
              <w:rPr>
                <w:sz w:val="18"/>
                <w:szCs w:val="18"/>
                <w:lang w:val="en-GB"/>
              </w:rPr>
            </w:pPr>
            <w:r w:rsidRPr="009766D5">
              <w:rPr>
                <w:sz w:val="18"/>
                <w:szCs w:val="18"/>
                <w:lang w:val="en-GB"/>
              </w:rPr>
              <w:t xml:space="preserve">(0-no capacity; 1-weak capacity; 2-neither low nor high capacity; 3-high capacity; 4-very high capacity) </w:t>
            </w:r>
          </w:p>
          <w:p w14:paraId="7E7A7B48" w14:textId="20813173" w:rsidR="00161EBF" w:rsidRPr="009766D5" w:rsidRDefault="00B71306" w:rsidP="001C30CE">
            <w:pPr>
              <w:rPr>
                <w:sz w:val="18"/>
                <w:szCs w:val="18"/>
                <w:lang w:val="en-GB"/>
              </w:rPr>
            </w:pPr>
            <w:r w:rsidRPr="009766D5">
              <w:rPr>
                <w:sz w:val="18"/>
                <w:szCs w:val="18"/>
                <w:lang w:val="en-GB"/>
              </w:rPr>
              <w:t>(</w:t>
            </w:r>
            <w:r w:rsidR="00161EBF" w:rsidRPr="009766D5">
              <w:rPr>
                <w:sz w:val="18"/>
                <w:szCs w:val="18"/>
                <w:lang w:val="en-GB"/>
              </w:rPr>
              <w:t>a</w:t>
            </w:r>
            <w:r w:rsidRPr="009766D5">
              <w:rPr>
                <w:sz w:val="18"/>
                <w:szCs w:val="18"/>
                <w:lang w:val="en-GB"/>
              </w:rPr>
              <w:t xml:space="preserve">) </w:t>
            </w:r>
            <w:r w:rsidR="00161EBF" w:rsidRPr="009766D5">
              <w:rPr>
                <w:sz w:val="18"/>
                <w:szCs w:val="18"/>
                <w:lang w:val="en-GB"/>
              </w:rPr>
              <w:t xml:space="preserve">Rule of law and justice; </w:t>
            </w:r>
            <w:r w:rsidRPr="009766D5">
              <w:rPr>
                <w:sz w:val="18"/>
                <w:szCs w:val="18"/>
                <w:lang w:val="en-GB"/>
              </w:rPr>
              <w:t>(</w:t>
            </w:r>
            <w:r w:rsidR="00161EBF" w:rsidRPr="009766D5">
              <w:rPr>
                <w:sz w:val="18"/>
                <w:szCs w:val="18"/>
                <w:lang w:val="en-GB"/>
              </w:rPr>
              <w:t>b</w:t>
            </w:r>
            <w:r w:rsidRPr="009766D5">
              <w:rPr>
                <w:sz w:val="18"/>
                <w:szCs w:val="18"/>
                <w:lang w:val="en-GB"/>
              </w:rPr>
              <w:t xml:space="preserve">) </w:t>
            </w:r>
            <w:r w:rsidR="00161EBF" w:rsidRPr="009766D5">
              <w:rPr>
                <w:sz w:val="18"/>
                <w:szCs w:val="18"/>
                <w:lang w:val="en-GB"/>
              </w:rPr>
              <w:t>Human rights</w:t>
            </w:r>
          </w:p>
          <w:p w14:paraId="3BD8649B" w14:textId="77777777" w:rsidR="00161EBF" w:rsidRPr="009766D5" w:rsidRDefault="00161EBF" w:rsidP="0035108B">
            <w:pPr>
              <w:rPr>
                <w:sz w:val="18"/>
                <w:szCs w:val="18"/>
                <w:lang w:val="en-GB"/>
              </w:rPr>
            </w:pPr>
            <w:r w:rsidRPr="009766D5">
              <w:rPr>
                <w:sz w:val="18"/>
                <w:szCs w:val="18"/>
                <w:lang w:val="en-GB"/>
              </w:rPr>
              <w:t>Baseline (2022): a-3; b-3</w:t>
            </w:r>
          </w:p>
          <w:p w14:paraId="77985410" w14:textId="77777777" w:rsidR="00161EBF" w:rsidRPr="009766D5" w:rsidRDefault="00161EBF" w:rsidP="0035108B">
            <w:pPr>
              <w:rPr>
                <w:sz w:val="18"/>
                <w:szCs w:val="18"/>
                <w:lang w:val="en-GB"/>
              </w:rPr>
            </w:pPr>
            <w:r w:rsidRPr="009766D5">
              <w:rPr>
                <w:sz w:val="18"/>
                <w:szCs w:val="18"/>
                <w:lang w:val="en-GB"/>
              </w:rPr>
              <w:t>Target (2026): a-4; b-4</w:t>
            </w:r>
          </w:p>
          <w:p w14:paraId="29DDEE23" w14:textId="77777777" w:rsidR="00161EBF" w:rsidRPr="009766D5" w:rsidRDefault="00161EBF" w:rsidP="0035108B">
            <w:pPr>
              <w:rPr>
                <w:sz w:val="18"/>
                <w:szCs w:val="18"/>
                <w:lang w:val="en-GB"/>
              </w:rPr>
            </w:pPr>
            <w:r w:rsidRPr="009766D5">
              <w:rPr>
                <w:sz w:val="18"/>
                <w:szCs w:val="18"/>
                <w:lang w:val="en-GB"/>
              </w:rPr>
              <w:t>Source: Universal periodic review</w:t>
            </w:r>
          </w:p>
          <w:p w14:paraId="42058629" w14:textId="77777777" w:rsidR="00161EBF" w:rsidRPr="009766D5" w:rsidRDefault="00161EBF" w:rsidP="0035108B">
            <w:pPr>
              <w:rPr>
                <w:sz w:val="18"/>
                <w:szCs w:val="18"/>
                <w:lang w:val="en-GB"/>
              </w:rPr>
            </w:pPr>
            <w:r w:rsidRPr="009766D5">
              <w:rPr>
                <w:sz w:val="18"/>
                <w:szCs w:val="18"/>
                <w:lang w:val="en-GB"/>
              </w:rPr>
              <w:t>Frequency: Annual</w:t>
            </w:r>
          </w:p>
          <w:p w14:paraId="68F8BDBD" w14:textId="77777777" w:rsidR="00161EBF" w:rsidRPr="009766D5" w:rsidRDefault="00161EBF" w:rsidP="001C30CE">
            <w:pPr>
              <w:rPr>
                <w:sz w:val="18"/>
                <w:szCs w:val="18"/>
                <w:lang w:val="en-GB"/>
              </w:rPr>
            </w:pPr>
          </w:p>
          <w:p w14:paraId="2993FC9D" w14:textId="00382790" w:rsidR="00161EBF" w:rsidRPr="009766D5" w:rsidRDefault="00161EBF" w:rsidP="0035108B">
            <w:pPr>
              <w:rPr>
                <w:sz w:val="18"/>
                <w:szCs w:val="18"/>
                <w:lang w:val="en-GB"/>
              </w:rPr>
            </w:pPr>
            <w:r w:rsidRPr="009766D5">
              <w:rPr>
                <w:b/>
                <w:bCs/>
                <w:sz w:val="18"/>
                <w:szCs w:val="18"/>
                <w:lang w:val="en-GB"/>
              </w:rPr>
              <w:lastRenderedPageBreak/>
              <w:t>Indicator 2.2.2</w:t>
            </w:r>
            <w:r w:rsidRPr="009766D5">
              <w:rPr>
                <w:sz w:val="18"/>
                <w:szCs w:val="18"/>
                <w:lang w:val="en-GB"/>
              </w:rPr>
              <w:t>: Number of people supported who have access to justice (a-women; b-men; c-youth)</w:t>
            </w:r>
          </w:p>
          <w:p w14:paraId="2D4EDDAA" w14:textId="77777777" w:rsidR="00161EBF" w:rsidRPr="009766D5" w:rsidRDefault="00161EBF" w:rsidP="0035108B">
            <w:pPr>
              <w:rPr>
                <w:sz w:val="18"/>
                <w:szCs w:val="18"/>
                <w:lang w:val="en-GB"/>
              </w:rPr>
            </w:pPr>
            <w:r w:rsidRPr="009766D5">
              <w:rPr>
                <w:sz w:val="18"/>
                <w:szCs w:val="18"/>
                <w:lang w:val="en-GB"/>
              </w:rPr>
              <w:t>Baseline (2022): 0</w:t>
            </w:r>
          </w:p>
          <w:p w14:paraId="459A994D" w14:textId="77777777" w:rsidR="00161EBF" w:rsidRPr="009766D5" w:rsidRDefault="00161EBF" w:rsidP="00654147">
            <w:pPr>
              <w:rPr>
                <w:sz w:val="18"/>
                <w:szCs w:val="18"/>
                <w:lang w:val="en-GB"/>
              </w:rPr>
            </w:pPr>
            <w:r w:rsidRPr="009766D5">
              <w:rPr>
                <w:sz w:val="18"/>
                <w:szCs w:val="18"/>
                <w:lang w:val="en-GB"/>
              </w:rPr>
              <w:t>Target (2026): a-1,000; b-1000; c-1,000</w:t>
            </w:r>
          </w:p>
          <w:p w14:paraId="56F7F0F1" w14:textId="7E7D53B3" w:rsidR="00161EBF" w:rsidRPr="009766D5" w:rsidRDefault="00161EBF" w:rsidP="00654147">
            <w:pPr>
              <w:rPr>
                <w:sz w:val="18"/>
                <w:szCs w:val="18"/>
                <w:lang w:val="en-GB"/>
              </w:rPr>
            </w:pPr>
            <w:r w:rsidRPr="009766D5">
              <w:rPr>
                <w:sz w:val="18"/>
                <w:szCs w:val="18"/>
                <w:lang w:val="en-GB"/>
              </w:rPr>
              <w:t xml:space="preserve">Source: Ministry of Justice </w:t>
            </w:r>
            <w:r w:rsidR="00080E1B" w:rsidRPr="009766D5">
              <w:rPr>
                <w:sz w:val="18"/>
                <w:szCs w:val="18"/>
                <w:lang w:val="en-GB"/>
              </w:rPr>
              <w:t>s</w:t>
            </w:r>
            <w:r w:rsidRPr="009766D5">
              <w:rPr>
                <w:sz w:val="18"/>
                <w:szCs w:val="18"/>
                <w:lang w:val="en-GB"/>
              </w:rPr>
              <w:t xml:space="preserve">tatistical </w:t>
            </w:r>
            <w:r w:rsidR="00080E1B" w:rsidRPr="009766D5">
              <w:rPr>
                <w:sz w:val="18"/>
                <w:szCs w:val="18"/>
                <w:lang w:val="en-GB"/>
              </w:rPr>
              <w:t>y</w:t>
            </w:r>
            <w:r w:rsidRPr="009766D5">
              <w:rPr>
                <w:sz w:val="18"/>
                <w:szCs w:val="18"/>
                <w:lang w:val="en-GB"/>
              </w:rPr>
              <w:t>earbook</w:t>
            </w:r>
            <w:r w:rsidRPr="009766D5" w:rsidDel="00164B21">
              <w:rPr>
                <w:sz w:val="18"/>
                <w:szCs w:val="18"/>
                <w:lang w:val="en-GB"/>
              </w:rPr>
              <w:t xml:space="preserve"> </w:t>
            </w:r>
          </w:p>
          <w:p w14:paraId="00E342D1" w14:textId="77777777" w:rsidR="00161EBF" w:rsidRPr="009766D5" w:rsidRDefault="00161EBF" w:rsidP="00654147">
            <w:pPr>
              <w:rPr>
                <w:sz w:val="18"/>
                <w:szCs w:val="18"/>
                <w:lang w:val="en-GB"/>
              </w:rPr>
            </w:pPr>
            <w:r w:rsidRPr="009766D5">
              <w:rPr>
                <w:sz w:val="18"/>
                <w:szCs w:val="18"/>
                <w:lang w:val="en-GB"/>
              </w:rPr>
              <w:t>Frequency: Annual</w:t>
            </w:r>
          </w:p>
          <w:p w14:paraId="298709AB" w14:textId="77777777" w:rsidR="00161EBF" w:rsidRPr="009766D5" w:rsidRDefault="00161EBF" w:rsidP="00654147">
            <w:pPr>
              <w:rPr>
                <w:sz w:val="18"/>
                <w:szCs w:val="18"/>
                <w:lang w:val="en-GB"/>
              </w:rPr>
            </w:pPr>
          </w:p>
          <w:p w14:paraId="3C8AB260" w14:textId="65952357" w:rsidR="00161EBF" w:rsidRPr="009766D5" w:rsidRDefault="00161EBF" w:rsidP="00654147">
            <w:pPr>
              <w:shd w:val="clear" w:color="auto" w:fill="FDFDFD"/>
              <w:rPr>
                <w:sz w:val="18"/>
                <w:szCs w:val="18"/>
                <w:lang w:val="en-GB"/>
              </w:rPr>
            </w:pPr>
            <w:r w:rsidRPr="009766D5">
              <w:rPr>
                <w:b/>
                <w:bCs/>
                <w:sz w:val="18"/>
                <w:szCs w:val="18"/>
                <w:lang w:val="en-GB"/>
              </w:rPr>
              <w:t>Indicator 2.2.3</w:t>
            </w:r>
            <w:r w:rsidR="00080E1B" w:rsidRPr="009766D5">
              <w:rPr>
                <w:b/>
                <w:bCs/>
                <w:sz w:val="18"/>
                <w:szCs w:val="18"/>
                <w:lang w:val="en-GB"/>
              </w:rPr>
              <w:t>.</w:t>
            </w:r>
            <w:r w:rsidRPr="009766D5">
              <w:rPr>
                <w:sz w:val="18"/>
                <w:szCs w:val="18"/>
                <w:lang w:val="en-GB"/>
              </w:rPr>
              <w:t xml:space="preserve"> Satisfaction rate of prisoners who have</w:t>
            </w:r>
            <w:r w:rsidR="00080E1B" w:rsidRPr="009766D5">
              <w:rPr>
                <w:sz w:val="18"/>
                <w:szCs w:val="18"/>
                <w:lang w:val="en-GB"/>
              </w:rPr>
              <w:t> </w:t>
            </w:r>
            <w:r w:rsidRPr="009766D5">
              <w:rPr>
                <w:sz w:val="18"/>
                <w:szCs w:val="18"/>
                <w:lang w:val="en-GB"/>
              </w:rPr>
              <w:t>received training for their socio-professional reintegration (a-women; b-men; c-youth)</w:t>
            </w:r>
          </w:p>
          <w:p w14:paraId="2FE9D645" w14:textId="77777777" w:rsidR="00161EBF" w:rsidRPr="009766D5" w:rsidRDefault="00161EBF" w:rsidP="00654147">
            <w:pPr>
              <w:rPr>
                <w:sz w:val="18"/>
                <w:szCs w:val="18"/>
                <w:lang w:val="en-GB"/>
              </w:rPr>
            </w:pPr>
            <w:r w:rsidRPr="009766D5">
              <w:rPr>
                <w:sz w:val="18"/>
                <w:szCs w:val="18"/>
                <w:lang w:val="en-GB"/>
              </w:rPr>
              <w:t>Baseline (2023): a&gt;50%; b&gt;50%; c&gt;50%</w:t>
            </w:r>
          </w:p>
          <w:p w14:paraId="38CDD881" w14:textId="77777777" w:rsidR="00161EBF" w:rsidRPr="009766D5" w:rsidRDefault="00161EBF" w:rsidP="00654147">
            <w:pPr>
              <w:rPr>
                <w:sz w:val="18"/>
                <w:szCs w:val="18"/>
                <w:lang w:val="en-GB"/>
              </w:rPr>
            </w:pPr>
            <w:r w:rsidRPr="009766D5">
              <w:rPr>
                <w:sz w:val="18"/>
                <w:szCs w:val="18"/>
                <w:lang w:val="en-GB"/>
              </w:rPr>
              <w:t>Target (2026): a-90%; b-90%; c-90%</w:t>
            </w:r>
          </w:p>
          <w:p w14:paraId="4BF7929F" w14:textId="77777777" w:rsidR="00161EBF" w:rsidRPr="009766D5" w:rsidRDefault="00161EBF" w:rsidP="00654147">
            <w:pPr>
              <w:rPr>
                <w:sz w:val="18"/>
                <w:szCs w:val="18"/>
                <w:lang w:val="en-GB"/>
              </w:rPr>
            </w:pPr>
            <w:r w:rsidRPr="009766D5">
              <w:rPr>
                <w:sz w:val="18"/>
                <w:szCs w:val="18"/>
                <w:lang w:val="en-GB"/>
              </w:rPr>
              <w:t>Source: Ministry of Justice statistical yearbook</w:t>
            </w:r>
          </w:p>
          <w:p w14:paraId="73C0BBB8" w14:textId="77777777" w:rsidR="00161EBF" w:rsidRPr="009766D5" w:rsidRDefault="00161EBF" w:rsidP="00654147">
            <w:pPr>
              <w:rPr>
                <w:sz w:val="18"/>
                <w:szCs w:val="18"/>
                <w:lang w:val="en-GB"/>
              </w:rPr>
            </w:pPr>
            <w:r w:rsidRPr="009766D5">
              <w:rPr>
                <w:sz w:val="18"/>
                <w:szCs w:val="18"/>
                <w:lang w:val="en-GB"/>
              </w:rPr>
              <w:t>Frequency: Annual</w:t>
            </w:r>
          </w:p>
          <w:p w14:paraId="43EE7981" w14:textId="77777777" w:rsidR="00161EBF" w:rsidRPr="009766D5" w:rsidRDefault="00161EBF" w:rsidP="00654147">
            <w:pPr>
              <w:rPr>
                <w:sz w:val="18"/>
                <w:szCs w:val="18"/>
                <w:lang w:val="en-GB"/>
              </w:rPr>
            </w:pPr>
          </w:p>
          <w:p w14:paraId="69B73CA1" w14:textId="753BF33D" w:rsidR="00161EBF" w:rsidRPr="009766D5" w:rsidRDefault="00161EBF" w:rsidP="001C30CE">
            <w:pPr>
              <w:rPr>
                <w:b/>
                <w:bCs/>
                <w:sz w:val="18"/>
                <w:szCs w:val="18"/>
                <w:lang w:val="en-GB"/>
              </w:rPr>
            </w:pPr>
            <w:r w:rsidRPr="009766D5">
              <w:rPr>
                <w:b/>
                <w:bCs/>
                <w:sz w:val="18"/>
                <w:szCs w:val="18"/>
                <w:lang w:val="en-GB"/>
              </w:rPr>
              <w:t>Output 2.3</w:t>
            </w:r>
            <w:r w:rsidR="00080E1B" w:rsidRPr="009766D5">
              <w:rPr>
                <w:b/>
                <w:bCs/>
                <w:sz w:val="18"/>
                <w:szCs w:val="18"/>
                <w:lang w:val="en-GB"/>
              </w:rPr>
              <w:t>.</w:t>
            </w:r>
            <w:r w:rsidRPr="009766D5">
              <w:rPr>
                <w:b/>
                <w:bCs/>
                <w:sz w:val="18"/>
                <w:szCs w:val="18"/>
                <w:lang w:val="en-GB"/>
              </w:rPr>
              <w:t xml:space="preserve"> Parliament and </w:t>
            </w:r>
            <w:r w:rsidR="00080E1B" w:rsidRPr="009766D5">
              <w:rPr>
                <w:b/>
                <w:bCs/>
                <w:sz w:val="18"/>
                <w:szCs w:val="18"/>
                <w:lang w:val="en-GB"/>
              </w:rPr>
              <w:t>electoral management bodies have technical and op</w:t>
            </w:r>
            <w:r w:rsidRPr="009766D5">
              <w:rPr>
                <w:b/>
                <w:bCs/>
                <w:sz w:val="18"/>
                <w:szCs w:val="18"/>
                <w:lang w:val="en-GB"/>
              </w:rPr>
              <w:t>erational capacities to assume their respective missions</w:t>
            </w:r>
            <w:r w:rsidR="00080E1B" w:rsidRPr="009766D5">
              <w:rPr>
                <w:b/>
                <w:bCs/>
                <w:sz w:val="18"/>
                <w:szCs w:val="18"/>
                <w:lang w:val="en-GB"/>
              </w:rPr>
              <w:t>.</w:t>
            </w:r>
          </w:p>
          <w:p w14:paraId="359DD89C" w14:textId="77777777" w:rsidR="00161EBF" w:rsidRPr="009766D5" w:rsidRDefault="00161EBF" w:rsidP="001C30CE">
            <w:pPr>
              <w:rPr>
                <w:sz w:val="18"/>
                <w:szCs w:val="18"/>
                <w:lang w:val="en-GB"/>
              </w:rPr>
            </w:pPr>
          </w:p>
          <w:p w14:paraId="038BB6A3" w14:textId="568F92D5" w:rsidR="00161EBF" w:rsidRPr="009766D5" w:rsidRDefault="00161EBF" w:rsidP="001C30CE">
            <w:pPr>
              <w:rPr>
                <w:sz w:val="18"/>
                <w:szCs w:val="18"/>
                <w:lang w:val="en-GB"/>
              </w:rPr>
            </w:pPr>
            <w:r w:rsidRPr="009766D5">
              <w:rPr>
                <w:b/>
                <w:bCs/>
                <w:sz w:val="18"/>
                <w:szCs w:val="18"/>
                <w:lang w:val="en-GB"/>
              </w:rPr>
              <w:t>Indicator 2.3.1</w:t>
            </w:r>
            <w:r w:rsidR="00080E1B" w:rsidRPr="009766D5">
              <w:rPr>
                <w:b/>
                <w:bCs/>
                <w:sz w:val="18"/>
                <w:szCs w:val="18"/>
                <w:lang w:val="en-GB"/>
              </w:rPr>
              <w:t>.</w:t>
            </w:r>
            <w:r w:rsidRPr="009766D5">
              <w:rPr>
                <w:sz w:val="18"/>
                <w:szCs w:val="18"/>
                <w:lang w:val="en-GB"/>
              </w:rPr>
              <w:t xml:space="preserve"> Extent to which the new parliament has the capacity to assume its tasks of legitimation, oversight of government action and representation of the population</w:t>
            </w:r>
          </w:p>
          <w:p w14:paraId="21EA3627" w14:textId="63E6B71F" w:rsidR="00161EBF" w:rsidRPr="009766D5" w:rsidRDefault="00161EBF" w:rsidP="001C30CE">
            <w:pPr>
              <w:rPr>
                <w:sz w:val="18"/>
                <w:szCs w:val="18"/>
                <w:lang w:val="en-GB"/>
              </w:rPr>
            </w:pPr>
            <w:r w:rsidRPr="009766D5">
              <w:rPr>
                <w:sz w:val="18"/>
                <w:szCs w:val="18"/>
                <w:lang w:val="en-GB"/>
              </w:rPr>
              <w:t>(0=no capacity; 1=weak capacity; 2=neither low nor high capacity; 3=high capacity; 4=very high capacity)</w:t>
            </w:r>
          </w:p>
          <w:p w14:paraId="312C2CB8" w14:textId="77777777" w:rsidR="00161EBF" w:rsidRPr="009766D5" w:rsidRDefault="00161EBF" w:rsidP="00080E1B">
            <w:pPr>
              <w:rPr>
                <w:sz w:val="18"/>
                <w:szCs w:val="18"/>
                <w:lang w:val="en-GB"/>
              </w:rPr>
            </w:pPr>
            <w:r w:rsidRPr="009766D5">
              <w:rPr>
                <w:sz w:val="18"/>
                <w:szCs w:val="18"/>
                <w:lang w:val="en-GB"/>
              </w:rPr>
              <w:t>Baseline (2022): 1</w:t>
            </w:r>
          </w:p>
          <w:p w14:paraId="06BC4B51" w14:textId="77777777" w:rsidR="00161EBF" w:rsidRPr="009766D5" w:rsidRDefault="00161EBF" w:rsidP="00080E1B">
            <w:pPr>
              <w:rPr>
                <w:sz w:val="18"/>
                <w:szCs w:val="18"/>
                <w:lang w:val="en-GB"/>
              </w:rPr>
            </w:pPr>
            <w:r w:rsidRPr="009766D5">
              <w:rPr>
                <w:sz w:val="18"/>
                <w:szCs w:val="18"/>
                <w:lang w:val="en-GB"/>
              </w:rPr>
              <w:t>Target (2026): 4</w:t>
            </w:r>
          </w:p>
          <w:p w14:paraId="00A205F2" w14:textId="77777777" w:rsidR="00161EBF" w:rsidRPr="009766D5" w:rsidRDefault="00161EBF" w:rsidP="00080E1B">
            <w:pPr>
              <w:rPr>
                <w:sz w:val="18"/>
                <w:szCs w:val="18"/>
                <w:lang w:val="en-GB"/>
              </w:rPr>
            </w:pPr>
            <w:r w:rsidRPr="009766D5">
              <w:rPr>
                <w:sz w:val="18"/>
                <w:szCs w:val="18"/>
                <w:lang w:val="en-GB"/>
              </w:rPr>
              <w:t>Source: Parliament reports</w:t>
            </w:r>
          </w:p>
          <w:p w14:paraId="62CACC22" w14:textId="77777777" w:rsidR="00161EBF" w:rsidRPr="009766D5" w:rsidRDefault="00161EBF" w:rsidP="00080E1B">
            <w:pPr>
              <w:rPr>
                <w:sz w:val="18"/>
                <w:szCs w:val="18"/>
                <w:lang w:val="en-GB"/>
              </w:rPr>
            </w:pPr>
            <w:r w:rsidRPr="009766D5">
              <w:rPr>
                <w:sz w:val="18"/>
                <w:szCs w:val="18"/>
                <w:lang w:val="en-GB"/>
              </w:rPr>
              <w:t>Frequency: Annual</w:t>
            </w:r>
          </w:p>
          <w:p w14:paraId="19062F8A" w14:textId="77777777" w:rsidR="00161EBF" w:rsidRPr="009766D5" w:rsidRDefault="00161EBF" w:rsidP="001C30CE">
            <w:pPr>
              <w:rPr>
                <w:sz w:val="18"/>
                <w:szCs w:val="18"/>
                <w:lang w:val="en-GB"/>
              </w:rPr>
            </w:pPr>
          </w:p>
          <w:p w14:paraId="1D5A7164" w14:textId="686AEB2D" w:rsidR="00161EBF" w:rsidRPr="009766D5" w:rsidRDefault="00161EBF" w:rsidP="001C30CE">
            <w:pPr>
              <w:rPr>
                <w:rFonts w:eastAsia="Arial Nova"/>
                <w:sz w:val="18"/>
                <w:szCs w:val="18"/>
                <w:lang w:val="en-GB"/>
              </w:rPr>
            </w:pPr>
            <w:r w:rsidRPr="009766D5">
              <w:rPr>
                <w:b/>
                <w:bCs/>
                <w:sz w:val="18"/>
                <w:szCs w:val="18"/>
                <w:lang w:val="en-GB"/>
              </w:rPr>
              <w:t>Indicator 2.3.2</w:t>
            </w:r>
            <w:r w:rsidR="00080E1B" w:rsidRPr="009766D5">
              <w:rPr>
                <w:b/>
                <w:bCs/>
                <w:sz w:val="18"/>
                <w:szCs w:val="18"/>
                <w:lang w:val="en-GB"/>
              </w:rPr>
              <w:t>.</w:t>
            </w:r>
            <w:r w:rsidRPr="009766D5">
              <w:rPr>
                <w:sz w:val="18"/>
                <w:szCs w:val="18"/>
                <w:lang w:val="en-GB"/>
              </w:rPr>
              <w:t xml:space="preserve"> Extent to which the new electoral management bodies have capacities to conduct inclusive, peaceful and credible elections</w:t>
            </w:r>
          </w:p>
          <w:p w14:paraId="31BCBBE8" w14:textId="77777777" w:rsidR="00161EBF" w:rsidRPr="009766D5" w:rsidRDefault="00161EBF" w:rsidP="001C30CE">
            <w:pPr>
              <w:rPr>
                <w:sz w:val="18"/>
                <w:szCs w:val="18"/>
                <w:lang w:val="en-GB"/>
              </w:rPr>
            </w:pPr>
            <w:r w:rsidRPr="009766D5">
              <w:rPr>
                <w:sz w:val="18"/>
                <w:szCs w:val="18"/>
                <w:lang w:val="en-GB"/>
              </w:rPr>
              <w:t>(0=no capacity; 1=weak capacity; 2=neither low nor high capacity; 3=high capacity; 4=very high capacity):</w:t>
            </w:r>
          </w:p>
          <w:p w14:paraId="30817E10" w14:textId="77777777" w:rsidR="00161EBF" w:rsidRPr="009766D5" w:rsidRDefault="00161EBF" w:rsidP="00080E1B">
            <w:pPr>
              <w:rPr>
                <w:sz w:val="18"/>
                <w:szCs w:val="18"/>
                <w:lang w:val="en-GB"/>
              </w:rPr>
            </w:pPr>
            <w:r w:rsidRPr="009766D5">
              <w:rPr>
                <w:sz w:val="18"/>
                <w:szCs w:val="18"/>
                <w:lang w:val="en-GB"/>
              </w:rPr>
              <w:t>Baseline (2022): 1</w:t>
            </w:r>
          </w:p>
          <w:p w14:paraId="72CDE9ED" w14:textId="77777777" w:rsidR="00161EBF" w:rsidRPr="009766D5" w:rsidRDefault="00161EBF" w:rsidP="00654147">
            <w:pPr>
              <w:rPr>
                <w:sz w:val="18"/>
                <w:szCs w:val="18"/>
                <w:lang w:val="en-GB"/>
              </w:rPr>
            </w:pPr>
            <w:r w:rsidRPr="009766D5">
              <w:rPr>
                <w:sz w:val="18"/>
                <w:szCs w:val="18"/>
                <w:lang w:val="en-GB"/>
              </w:rPr>
              <w:t>Target (2026): 4</w:t>
            </w:r>
          </w:p>
          <w:p w14:paraId="60941930" w14:textId="1FE9F446" w:rsidR="00161EBF" w:rsidRPr="009766D5" w:rsidRDefault="00161EBF" w:rsidP="00654147">
            <w:pPr>
              <w:rPr>
                <w:sz w:val="18"/>
                <w:szCs w:val="18"/>
                <w:lang w:val="en-GB"/>
              </w:rPr>
            </w:pPr>
            <w:r w:rsidRPr="009766D5">
              <w:rPr>
                <w:sz w:val="18"/>
                <w:szCs w:val="18"/>
                <w:lang w:val="en-GB"/>
              </w:rPr>
              <w:t xml:space="preserve">Source: Autonomous </w:t>
            </w:r>
            <w:r w:rsidR="00CD7F4B" w:rsidRPr="009766D5">
              <w:rPr>
                <w:sz w:val="18"/>
                <w:szCs w:val="18"/>
                <w:lang w:val="en-GB"/>
              </w:rPr>
              <w:t>N</w:t>
            </w:r>
            <w:r w:rsidRPr="009766D5">
              <w:rPr>
                <w:sz w:val="18"/>
                <w:szCs w:val="18"/>
                <w:lang w:val="en-GB"/>
              </w:rPr>
              <w:t xml:space="preserve">ational </w:t>
            </w:r>
            <w:r w:rsidR="00CD7F4B" w:rsidRPr="009766D5">
              <w:rPr>
                <w:sz w:val="18"/>
                <w:szCs w:val="18"/>
                <w:lang w:val="en-GB"/>
              </w:rPr>
              <w:t>E</w:t>
            </w:r>
            <w:r w:rsidRPr="009766D5">
              <w:rPr>
                <w:sz w:val="18"/>
                <w:szCs w:val="18"/>
                <w:lang w:val="en-GB"/>
              </w:rPr>
              <w:t xml:space="preserve">lectoral </w:t>
            </w:r>
            <w:r w:rsidR="00CD7F4B" w:rsidRPr="009766D5">
              <w:rPr>
                <w:sz w:val="18"/>
                <w:szCs w:val="18"/>
                <w:lang w:val="en-GB"/>
              </w:rPr>
              <w:t>C</w:t>
            </w:r>
            <w:r w:rsidRPr="009766D5">
              <w:rPr>
                <w:sz w:val="18"/>
                <w:szCs w:val="18"/>
                <w:lang w:val="en-GB"/>
              </w:rPr>
              <w:t>ommission reports</w:t>
            </w:r>
          </w:p>
          <w:p w14:paraId="2C973C73" w14:textId="77777777" w:rsidR="00161EBF" w:rsidRPr="009766D5" w:rsidRDefault="00161EBF" w:rsidP="00654147">
            <w:pPr>
              <w:rPr>
                <w:sz w:val="18"/>
                <w:szCs w:val="18"/>
                <w:lang w:val="en-GB"/>
              </w:rPr>
            </w:pPr>
            <w:r w:rsidRPr="009766D5">
              <w:rPr>
                <w:sz w:val="18"/>
                <w:szCs w:val="18"/>
                <w:lang w:val="en-GB"/>
              </w:rPr>
              <w:t>Frequency: Annual</w:t>
            </w:r>
          </w:p>
          <w:p w14:paraId="40F6E4D7" w14:textId="77777777" w:rsidR="00161EBF" w:rsidRPr="009766D5" w:rsidRDefault="00161EBF" w:rsidP="00654147">
            <w:pPr>
              <w:rPr>
                <w:sz w:val="18"/>
                <w:szCs w:val="18"/>
                <w:lang w:val="en-GB"/>
              </w:rPr>
            </w:pPr>
          </w:p>
          <w:p w14:paraId="0CF3213B" w14:textId="07336FD7" w:rsidR="00161EBF" w:rsidRPr="009766D5" w:rsidRDefault="00161EBF" w:rsidP="001C30CE">
            <w:pPr>
              <w:rPr>
                <w:b/>
                <w:bCs/>
                <w:sz w:val="18"/>
                <w:szCs w:val="18"/>
                <w:lang w:val="en-GB"/>
              </w:rPr>
            </w:pPr>
            <w:r w:rsidRPr="009766D5">
              <w:rPr>
                <w:b/>
                <w:bCs/>
                <w:sz w:val="18"/>
                <w:szCs w:val="18"/>
                <w:lang w:val="en-GB"/>
              </w:rPr>
              <w:t>Output 2.4</w:t>
            </w:r>
            <w:r w:rsidR="00080E1B" w:rsidRPr="009766D5">
              <w:rPr>
                <w:b/>
                <w:bCs/>
                <w:sz w:val="18"/>
                <w:szCs w:val="18"/>
                <w:lang w:val="en-GB"/>
              </w:rPr>
              <w:t>.</w:t>
            </w:r>
            <w:r w:rsidRPr="009766D5">
              <w:rPr>
                <w:b/>
                <w:bCs/>
                <w:sz w:val="18"/>
                <w:szCs w:val="18"/>
                <w:lang w:val="en-GB"/>
              </w:rPr>
              <w:t xml:space="preserve"> Access to basic social services and to formal and informal mechanisms for conflict resolution, strengthened to promote social cohesion and prevent conflict and violent extremism</w:t>
            </w:r>
            <w:r w:rsidR="00CD7F4B" w:rsidRPr="009766D5">
              <w:rPr>
                <w:b/>
                <w:bCs/>
                <w:sz w:val="18"/>
                <w:szCs w:val="18"/>
                <w:lang w:val="en-GB"/>
              </w:rPr>
              <w:t>.</w:t>
            </w:r>
            <w:r w:rsidRPr="009766D5">
              <w:rPr>
                <w:b/>
                <w:bCs/>
                <w:sz w:val="18"/>
                <w:szCs w:val="18"/>
                <w:lang w:val="en-GB"/>
              </w:rPr>
              <w:t xml:space="preserve"> </w:t>
            </w:r>
          </w:p>
          <w:p w14:paraId="57667B35" w14:textId="77777777" w:rsidR="00080E1B" w:rsidRPr="009766D5" w:rsidRDefault="00080E1B" w:rsidP="001C30CE">
            <w:pPr>
              <w:pStyle w:val="NormalWeb"/>
              <w:spacing w:before="0" w:beforeAutospacing="0" w:after="0" w:afterAutospacing="0"/>
              <w:rPr>
                <w:b/>
                <w:bCs/>
                <w:sz w:val="18"/>
                <w:szCs w:val="18"/>
                <w:lang w:val="en-GB" w:eastAsia="en-US"/>
              </w:rPr>
            </w:pPr>
          </w:p>
          <w:p w14:paraId="664E8C67" w14:textId="457565D9" w:rsidR="00161EBF" w:rsidRPr="009766D5" w:rsidRDefault="00161EBF" w:rsidP="001C30CE">
            <w:pPr>
              <w:pStyle w:val="NormalWeb"/>
              <w:spacing w:before="0" w:beforeAutospacing="0" w:after="0" w:afterAutospacing="0"/>
              <w:rPr>
                <w:sz w:val="18"/>
                <w:szCs w:val="18"/>
                <w:lang w:val="en-GB" w:eastAsia="en-US"/>
              </w:rPr>
            </w:pPr>
            <w:r w:rsidRPr="009766D5">
              <w:rPr>
                <w:b/>
                <w:bCs/>
                <w:sz w:val="18"/>
                <w:szCs w:val="18"/>
                <w:lang w:val="en-GB" w:eastAsia="en-US"/>
              </w:rPr>
              <w:t>Indicator 2.4.1</w:t>
            </w:r>
            <w:r w:rsidR="00080E1B" w:rsidRPr="009766D5">
              <w:rPr>
                <w:b/>
                <w:bCs/>
                <w:sz w:val="18"/>
                <w:szCs w:val="18"/>
                <w:lang w:val="en-GB" w:eastAsia="en-US"/>
              </w:rPr>
              <w:t>.</w:t>
            </w:r>
            <w:r w:rsidRPr="009766D5">
              <w:rPr>
                <w:sz w:val="18"/>
                <w:szCs w:val="18"/>
                <w:lang w:val="en-GB" w:eastAsia="en-US"/>
              </w:rPr>
              <w:t xml:space="preserve"> Number of cross-border, regional, national, subnational and community-based organizations with capacities for: </w:t>
            </w:r>
          </w:p>
          <w:p w14:paraId="6E6D3F8E" w14:textId="13CAE383" w:rsidR="00161EBF" w:rsidRPr="009766D5" w:rsidRDefault="001853CC" w:rsidP="00654147">
            <w:pPr>
              <w:pStyle w:val="NormalWeb"/>
              <w:spacing w:before="0" w:beforeAutospacing="0" w:after="0" w:afterAutospacing="0"/>
              <w:ind w:left="259"/>
              <w:jc w:val="both"/>
              <w:rPr>
                <w:sz w:val="18"/>
                <w:szCs w:val="18"/>
                <w:lang w:val="en-GB" w:eastAsia="en-US"/>
              </w:rPr>
            </w:pPr>
            <w:r w:rsidRPr="009766D5">
              <w:rPr>
                <w:sz w:val="18"/>
                <w:szCs w:val="18"/>
                <w:lang w:val="en-GB" w:eastAsia="en-US"/>
              </w:rPr>
              <w:t>(</w:t>
            </w:r>
            <w:r w:rsidR="00161EBF" w:rsidRPr="009766D5">
              <w:rPr>
                <w:sz w:val="18"/>
                <w:szCs w:val="18"/>
                <w:lang w:val="en-GB" w:eastAsia="en-US"/>
              </w:rPr>
              <w:t>a</w:t>
            </w:r>
            <w:r w:rsidRPr="009766D5">
              <w:rPr>
                <w:sz w:val="18"/>
                <w:szCs w:val="18"/>
                <w:lang w:val="en-GB" w:eastAsia="en-US"/>
              </w:rPr>
              <w:t xml:space="preserve">) </w:t>
            </w:r>
            <w:r w:rsidR="00161EBF" w:rsidRPr="009766D5">
              <w:rPr>
                <w:sz w:val="18"/>
                <w:szCs w:val="18"/>
                <w:lang w:val="en-GB" w:eastAsia="en-US"/>
              </w:rPr>
              <w:t xml:space="preserve">Dialogue and Mediation </w:t>
            </w:r>
          </w:p>
          <w:p w14:paraId="702C1941" w14:textId="201AD675" w:rsidR="00161EBF" w:rsidRPr="009766D5" w:rsidRDefault="001853CC" w:rsidP="00654147">
            <w:pPr>
              <w:pStyle w:val="NormalWeb"/>
              <w:spacing w:before="0" w:beforeAutospacing="0" w:after="0" w:afterAutospacing="0"/>
              <w:ind w:left="259"/>
              <w:jc w:val="both"/>
              <w:rPr>
                <w:sz w:val="18"/>
                <w:szCs w:val="18"/>
                <w:lang w:val="en-GB" w:eastAsia="en-US"/>
              </w:rPr>
            </w:pPr>
            <w:r w:rsidRPr="009766D5">
              <w:rPr>
                <w:sz w:val="18"/>
                <w:szCs w:val="18"/>
                <w:lang w:val="en-GB" w:eastAsia="en-US"/>
              </w:rPr>
              <w:t>(</w:t>
            </w:r>
            <w:r w:rsidR="00161EBF" w:rsidRPr="009766D5">
              <w:rPr>
                <w:sz w:val="18"/>
                <w:szCs w:val="18"/>
                <w:lang w:val="en-GB" w:eastAsia="en-US"/>
              </w:rPr>
              <w:t>b</w:t>
            </w:r>
            <w:r w:rsidRPr="009766D5">
              <w:rPr>
                <w:sz w:val="18"/>
                <w:szCs w:val="18"/>
                <w:lang w:val="en-GB" w:eastAsia="en-US"/>
              </w:rPr>
              <w:t xml:space="preserve">) </w:t>
            </w:r>
            <w:r w:rsidR="00161EBF" w:rsidRPr="009766D5">
              <w:rPr>
                <w:sz w:val="18"/>
                <w:szCs w:val="18"/>
                <w:lang w:val="en-GB" w:eastAsia="en-US"/>
              </w:rPr>
              <w:t xml:space="preserve">Social cohesion </w:t>
            </w:r>
          </w:p>
          <w:p w14:paraId="66D1B764" w14:textId="4F42D2CF" w:rsidR="00161EBF" w:rsidRPr="009766D5" w:rsidRDefault="001853CC" w:rsidP="00654147">
            <w:pPr>
              <w:pStyle w:val="NormalWeb"/>
              <w:spacing w:before="0" w:beforeAutospacing="0" w:after="0" w:afterAutospacing="0"/>
              <w:ind w:left="259"/>
              <w:jc w:val="both"/>
              <w:rPr>
                <w:sz w:val="18"/>
                <w:szCs w:val="18"/>
                <w:lang w:val="en-GB" w:eastAsia="en-US"/>
              </w:rPr>
            </w:pPr>
            <w:r w:rsidRPr="009766D5">
              <w:rPr>
                <w:sz w:val="18"/>
                <w:szCs w:val="18"/>
                <w:lang w:val="en-GB" w:eastAsia="en-US"/>
              </w:rPr>
              <w:t>(</w:t>
            </w:r>
            <w:r w:rsidR="00161EBF" w:rsidRPr="009766D5">
              <w:rPr>
                <w:sz w:val="18"/>
                <w:szCs w:val="18"/>
                <w:lang w:val="en-GB" w:eastAsia="en-US"/>
              </w:rPr>
              <w:t>c</w:t>
            </w:r>
            <w:r w:rsidRPr="009766D5">
              <w:rPr>
                <w:sz w:val="18"/>
                <w:szCs w:val="18"/>
                <w:lang w:val="en-GB" w:eastAsia="en-US"/>
              </w:rPr>
              <w:t xml:space="preserve">) </w:t>
            </w:r>
            <w:r w:rsidR="00161EBF" w:rsidRPr="009766D5">
              <w:rPr>
                <w:sz w:val="18"/>
                <w:szCs w:val="18"/>
                <w:lang w:val="en-GB" w:eastAsia="en-US"/>
              </w:rPr>
              <w:t xml:space="preserve">Conflict prevention and peacebuilding </w:t>
            </w:r>
          </w:p>
          <w:p w14:paraId="16755D02" w14:textId="2CDDFE11" w:rsidR="00161EBF" w:rsidRPr="009766D5" w:rsidRDefault="001853CC" w:rsidP="001C30CE">
            <w:pPr>
              <w:pStyle w:val="NormalWeb"/>
              <w:spacing w:before="0" w:beforeAutospacing="0" w:after="0" w:afterAutospacing="0"/>
              <w:ind w:left="259"/>
              <w:rPr>
                <w:sz w:val="18"/>
                <w:szCs w:val="18"/>
                <w:lang w:val="en-GB" w:eastAsia="en-US"/>
              </w:rPr>
            </w:pPr>
            <w:r w:rsidRPr="009766D5">
              <w:rPr>
                <w:sz w:val="18"/>
                <w:szCs w:val="18"/>
                <w:lang w:val="en-GB" w:eastAsia="en-US"/>
              </w:rPr>
              <w:t>(</w:t>
            </w:r>
            <w:r w:rsidR="00161EBF" w:rsidRPr="009766D5">
              <w:rPr>
                <w:sz w:val="18"/>
                <w:szCs w:val="18"/>
                <w:lang w:val="en-GB" w:eastAsia="en-US"/>
              </w:rPr>
              <w:t>d</w:t>
            </w:r>
            <w:r w:rsidRPr="009766D5">
              <w:rPr>
                <w:sz w:val="18"/>
                <w:szCs w:val="18"/>
                <w:lang w:val="en-GB" w:eastAsia="en-US"/>
              </w:rPr>
              <w:t xml:space="preserve">) </w:t>
            </w:r>
            <w:r w:rsidR="00161EBF" w:rsidRPr="009766D5">
              <w:rPr>
                <w:sz w:val="18"/>
                <w:szCs w:val="18"/>
                <w:lang w:val="en-GB" w:eastAsia="en-US"/>
              </w:rPr>
              <w:t xml:space="preserve">Addressing hate speech and information pollution. </w:t>
            </w:r>
          </w:p>
          <w:p w14:paraId="2F7DDBDC" w14:textId="7BF55C54" w:rsidR="00161EBF" w:rsidRPr="009766D5" w:rsidRDefault="001853CC" w:rsidP="00654147">
            <w:pPr>
              <w:pStyle w:val="NormalWeb"/>
              <w:spacing w:before="0" w:beforeAutospacing="0" w:after="0" w:afterAutospacing="0"/>
              <w:ind w:left="259"/>
              <w:jc w:val="both"/>
              <w:rPr>
                <w:sz w:val="18"/>
                <w:szCs w:val="18"/>
                <w:lang w:val="en-GB" w:eastAsia="en-US"/>
              </w:rPr>
            </w:pPr>
            <w:r w:rsidRPr="009766D5">
              <w:rPr>
                <w:sz w:val="18"/>
                <w:szCs w:val="18"/>
                <w:lang w:val="en-GB" w:eastAsia="en-US"/>
              </w:rPr>
              <w:t>(</w:t>
            </w:r>
            <w:r w:rsidR="00161EBF" w:rsidRPr="009766D5">
              <w:rPr>
                <w:sz w:val="18"/>
                <w:szCs w:val="18"/>
                <w:lang w:val="en-GB" w:eastAsia="en-US"/>
              </w:rPr>
              <w:t>e</w:t>
            </w:r>
            <w:r w:rsidRPr="009766D5">
              <w:rPr>
                <w:sz w:val="18"/>
                <w:szCs w:val="18"/>
                <w:lang w:val="en-GB" w:eastAsia="en-US"/>
              </w:rPr>
              <w:t xml:space="preserve">) </w:t>
            </w:r>
            <w:r w:rsidR="00161EBF" w:rsidRPr="009766D5">
              <w:rPr>
                <w:sz w:val="18"/>
                <w:szCs w:val="18"/>
                <w:lang w:val="en-GB" w:eastAsia="en-US"/>
              </w:rPr>
              <w:t xml:space="preserve">Mental health and psycho-social support </w:t>
            </w:r>
          </w:p>
          <w:p w14:paraId="0A68615D" w14:textId="77777777" w:rsidR="00161EBF" w:rsidRPr="009766D5" w:rsidRDefault="00161EBF" w:rsidP="00654147">
            <w:pPr>
              <w:rPr>
                <w:lang w:val="en-GB"/>
              </w:rPr>
            </w:pPr>
            <w:r w:rsidRPr="009766D5">
              <w:rPr>
                <w:lang w:val="en-GB"/>
              </w:rPr>
              <w:t>Baseline (2022): a-36; b-37; c-36; d-4; e-4</w:t>
            </w:r>
          </w:p>
          <w:p w14:paraId="616BE97A" w14:textId="77777777" w:rsidR="00161EBF" w:rsidRPr="009766D5" w:rsidRDefault="00161EBF" w:rsidP="00654147">
            <w:pPr>
              <w:rPr>
                <w:sz w:val="18"/>
                <w:szCs w:val="18"/>
                <w:lang w:val="en-GB"/>
              </w:rPr>
            </w:pPr>
            <w:r w:rsidRPr="009766D5">
              <w:rPr>
                <w:sz w:val="18"/>
                <w:szCs w:val="18"/>
                <w:lang w:val="en-GB"/>
              </w:rPr>
              <w:t>Target (2026): a-77; b-77; c-77; d-12; e-12</w:t>
            </w:r>
          </w:p>
          <w:p w14:paraId="03E8CC1C" w14:textId="0E964F28" w:rsidR="00161EBF" w:rsidRPr="009766D5" w:rsidRDefault="00161EBF" w:rsidP="00654147">
            <w:pPr>
              <w:rPr>
                <w:sz w:val="18"/>
                <w:szCs w:val="18"/>
                <w:lang w:val="en-GB"/>
              </w:rPr>
            </w:pPr>
            <w:r w:rsidRPr="009766D5">
              <w:rPr>
                <w:sz w:val="18"/>
                <w:szCs w:val="18"/>
                <w:lang w:val="en-GB"/>
              </w:rPr>
              <w:t xml:space="preserve">Source: Ministry of the </w:t>
            </w:r>
            <w:r w:rsidR="00575B4C" w:rsidRPr="009766D5">
              <w:rPr>
                <w:sz w:val="18"/>
                <w:szCs w:val="18"/>
                <w:lang w:val="en-GB"/>
              </w:rPr>
              <w:t>I</w:t>
            </w:r>
            <w:r w:rsidRPr="009766D5">
              <w:rPr>
                <w:sz w:val="18"/>
                <w:szCs w:val="18"/>
                <w:lang w:val="en-GB"/>
              </w:rPr>
              <w:t xml:space="preserve">nterior and </w:t>
            </w:r>
            <w:r w:rsidR="00575B4C" w:rsidRPr="009766D5">
              <w:rPr>
                <w:sz w:val="18"/>
                <w:szCs w:val="18"/>
                <w:lang w:val="en-GB"/>
              </w:rPr>
              <w:t>P</w:t>
            </w:r>
            <w:r w:rsidRPr="009766D5">
              <w:rPr>
                <w:sz w:val="18"/>
                <w:szCs w:val="18"/>
                <w:lang w:val="en-GB"/>
              </w:rPr>
              <w:t xml:space="preserve">ublic </w:t>
            </w:r>
            <w:r w:rsidR="00575B4C" w:rsidRPr="009766D5">
              <w:rPr>
                <w:sz w:val="18"/>
                <w:szCs w:val="18"/>
                <w:lang w:val="en-GB"/>
              </w:rPr>
              <w:t>S</w:t>
            </w:r>
            <w:r w:rsidRPr="009766D5">
              <w:rPr>
                <w:sz w:val="18"/>
                <w:szCs w:val="18"/>
                <w:lang w:val="en-GB"/>
              </w:rPr>
              <w:t>ecurity (MISP) reports</w:t>
            </w:r>
          </w:p>
          <w:p w14:paraId="14EAF909" w14:textId="77777777" w:rsidR="00161EBF" w:rsidRPr="009766D5" w:rsidRDefault="00161EBF" w:rsidP="00654147">
            <w:pPr>
              <w:rPr>
                <w:sz w:val="18"/>
                <w:szCs w:val="18"/>
                <w:lang w:val="en-GB"/>
              </w:rPr>
            </w:pPr>
            <w:r w:rsidRPr="009766D5">
              <w:rPr>
                <w:sz w:val="18"/>
                <w:szCs w:val="18"/>
                <w:lang w:val="en-GB"/>
              </w:rPr>
              <w:t>Frequency: Annual</w:t>
            </w:r>
          </w:p>
          <w:p w14:paraId="15607DDA" w14:textId="77777777" w:rsidR="00161EBF" w:rsidRPr="009766D5" w:rsidRDefault="00161EBF" w:rsidP="00654147">
            <w:pPr>
              <w:rPr>
                <w:sz w:val="18"/>
                <w:szCs w:val="18"/>
                <w:lang w:val="en-GB"/>
              </w:rPr>
            </w:pPr>
          </w:p>
          <w:p w14:paraId="31C8D4C9" w14:textId="34E5B2F2" w:rsidR="00161EBF" w:rsidRPr="009766D5" w:rsidRDefault="00161EBF" w:rsidP="00654147">
            <w:pPr>
              <w:rPr>
                <w:sz w:val="18"/>
                <w:szCs w:val="18"/>
                <w:lang w:val="en-GB"/>
              </w:rPr>
            </w:pPr>
            <w:r w:rsidRPr="009766D5">
              <w:rPr>
                <w:b/>
                <w:bCs/>
                <w:sz w:val="18"/>
                <w:szCs w:val="18"/>
                <w:lang w:val="en-GB"/>
              </w:rPr>
              <w:t>Indicator 2.4.2</w:t>
            </w:r>
            <w:r w:rsidR="00080E1B" w:rsidRPr="009766D5">
              <w:rPr>
                <w:b/>
                <w:bCs/>
                <w:sz w:val="18"/>
                <w:szCs w:val="18"/>
                <w:lang w:val="en-GB"/>
              </w:rPr>
              <w:t>.</w:t>
            </w:r>
            <w:r w:rsidRPr="009766D5">
              <w:rPr>
                <w:sz w:val="18"/>
                <w:szCs w:val="18"/>
                <w:lang w:val="en-GB"/>
              </w:rPr>
              <w:t xml:space="preserve"> Number of people in border areas accessing basic services (a-women; b-men; c-youth; </w:t>
            </w:r>
            <w:r w:rsidR="00080E1B" w:rsidRPr="009766D5">
              <w:rPr>
                <w:sz w:val="18"/>
                <w:szCs w:val="18"/>
                <w:lang w:val="en-GB"/>
              </w:rPr>
              <w:t xml:space="preserve">    </w:t>
            </w:r>
            <w:r w:rsidRPr="009766D5">
              <w:rPr>
                <w:sz w:val="18"/>
                <w:szCs w:val="18"/>
                <w:lang w:val="en-GB"/>
              </w:rPr>
              <w:t>d-total)</w:t>
            </w:r>
          </w:p>
          <w:p w14:paraId="0097EC87" w14:textId="77777777" w:rsidR="00161EBF" w:rsidRPr="009766D5" w:rsidRDefault="00161EBF" w:rsidP="00654147">
            <w:pPr>
              <w:rPr>
                <w:sz w:val="18"/>
                <w:szCs w:val="18"/>
                <w:lang w:val="en-GB"/>
              </w:rPr>
            </w:pPr>
            <w:r w:rsidRPr="009766D5">
              <w:rPr>
                <w:sz w:val="18"/>
                <w:szCs w:val="18"/>
                <w:lang w:val="en-GB"/>
              </w:rPr>
              <w:t>Baseline (2022): 0</w:t>
            </w:r>
          </w:p>
          <w:p w14:paraId="5F59B1C9" w14:textId="53BFFDEE" w:rsidR="00161EBF" w:rsidRPr="009766D5" w:rsidRDefault="00161EBF" w:rsidP="00654147">
            <w:pPr>
              <w:rPr>
                <w:sz w:val="18"/>
                <w:szCs w:val="18"/>
                <w:lang w:val="en-GB"/>
              </w:rPr>
            </w:pPr>
            <w:r w:rsidRPr="009766D5">
              <w:rPr>
                <w:sz w:val="18"/>
                <w:szCs w:val="18"/>
                <w:lang w:val="en-GB"/>
              </w:rPr>
              <w:t>Target:(2026): a-55</w:t>
            </w:r>
            <w:r w:rsidR="00080E1B" w:rsidRPr="009766D5">
              <w:rPr>
                <w:sz w:val="18"/>
                <w:szCs w:val="18"/>
                <w:lang w:val="en-GB"/>
              </w:rPr>
              <w:t>,</w:t>
            </w:r>
            <w:r w:rsidRPr="009766D5">
              <w:rPr>
                <w:sz w:val="18"/>
                <w:szCs w:val="18"/>
                <w:lang w:val="en-GB"/>
              </w:rPr>
              <w:t>000; b-45</w:t>
            </w:r>
            <w:r w:rsidR="00080E1B" w:rsidRPr="009766D5">
              <w:rPr>
                <w:sz w:val="18"/>
                <w:szCs w:val="18"/>
                <w:lang w:val="en-GB"/>
              </w:rPr>
              <w:t>,</w:t>
            </w:r>
            <w:r w:rsidRPr="009766D5">
              <w:rPr>
                <w:sz w:val="18"/>
                <w:szCs w:val="18"/>
                <w:lang w:val="en-GB"/>
              </w:rPr>
              <w:t>000; c-70</w:t>
            </w:r>
            <w:r w:rsidR="00080E1B" w:rsidRPr="009766D5">
              <w:rPr>
                <w:sz w:val="18"/>
                <w:szCs w:val="18"/>
                <w:lang w:val="en-GB"/>
              </w:rPr>
              <w:t>,</w:t>
            </w:r>
            <w:r w:rsidRPr="009766D5">
              <w:rPr>
                <w:sz w:val="18"/>
                <w:szCs w:val="18"/>
                <w:lang w:val="en-GB"/>
              </w:rPr>
              <w:t>000; d-100</w:t>
            </w:r>
            <w:r w:rsidR="00080E1B" w:rsidRPr="009766D5">
              <w:rPr>
                <w:sz w:val="18"/>
                <w:szCs w:val="18"/>
                <w:lang w:val="en-GB"/>
              </w:rPr>
              <w:t>,</w:t>
            </w:r>
            <w:r w:rsidRPr="009766D5">
              <w:rPr>
                <w:sz w:val="18"/>
                <w:szCs w:val="18"/>
                <w:lang w:val="en-GB"/>
              </w:rPr>
              <w:t>000</w:t>
            </w:r>
          </w:p>
          <w:p w14:paraId="0F065573" w14:textId="77777777" w:rsidR="00161EBF" w:rsidRPr="009766D5" w:rsidRDefault="00161EBF" w:rsidP="00654147">
            <w:pPr>
              <w:rPr>
                <w:sz w:val="18"/>
                <w:szCs w:val="18"/>
                <w:lang w:val="en-GB"/>
              </w:rPr>
            </w:pPr>
            <w:r w:rsidRPr="009766D5">
              <w:rPr>
                <w:sz w:val="18"/>
                <w:szCs w:val="18"/>
                <w:lang w:val="en-GB"/>
              </w:rPr>
              <w:t>Source: MISP reports</w:t>
            </w:r>
          </w:p>
          <w:p w14:paraId="0108CB2A" w14:textId="77777777" w:rsidR="00161EBF" w:rsidRPr="009766D5" w:rsidRDefault="00161EBF" w:rsidP="00654147">
            <w:pPr>
              <w:rPr>
                <w:sz w:val="18"/>
                <w:szCs w:val="18"/>
                <w:lang w:val="en-GB"/>
              </w:rPr>
            </w:pPr>
            <w:r w:rsidRPr="009766D5">
              <w:rPr>
                <w:sz w:val="18"/>
                <w:szCs w:val="18"/>
                <w:lang w:val="en-GB"/>
              </w:rPr>
              <w:t>Frequency: Annual</w:t>
            </w:r>
          </w:p>
          <w:p w14:paraId="4966A814" w14:textId="77777777" w:rsidR="00161EBF" w:rsidRPr="009766D5" w:rsidRDefault="00161EBF" w:rsidP="00654147">
            <w:pPr>
              <w:rPr>
                <w:sz w:val="18"/>
                <w:szCs w:val="18"/>
                <w:lang w:val="en-GB"/>
              </w:rPr>
            </w:pPr>
          </w:p>
          <w:p w14:paraId="024AEC59" w14:textId="363CEE3B" w:rsidR="00161EBF" w:rsidRPr="009766D5" w:rsidRDefault="00161EBF" w:rsidP="00654147">
            <w:pPr>
              <w:shd w:val="clear" w:color="auto" w:fill="FDFDFD"/>
              <w:rPr>
                <w:sz w:val="18"/>
                <w:szCs w:val="18"/>
                <w:lang w:val="en-GB"/>
              </w:rPr>
            </w:pPr>
            <w:r w:rsidRPr="009766D5">
              <w:rPr>
                <w:b/>
                <w:bCs/>
                <w:sz w:val="18"/>
                <w:szCs w:val="18"/>
                <w:lang w:val="en-GB"/>
              </w:rPr>
              <w:t>Indicator 2.4.3</w:t>
            </w:r>
            <w:r w:rsidR="00080E1B" w:rsidRPr="009766D5">
              <w:rPr>
                <w:b/>
                <w:bCs/>
                <w:sz w:val="18"/>
                <w:szCs w:val="18"/>
                <w:lang w:val="en-GB"/>
              </w:rPr>
              <w:t>.</w:t>
            </w:r>
            <w:r w:rsidRPr="009766D5">
              <w:rPr>
                <w:sz w:val="18"/>
                <w:szCs w:val="18"/>
                <w:lang w:val="en-GB"/>
              </w:rPr>
              <w:t xml:space="preserve"> Percentage of operational early</w:t>
            </w:r>
            <w:r w:rsidR="00080E1B" w:rsidRPr="009766D5">
              <w:rPr>
                <w:sz w:val="18"/>
                <w:szCs w:val="18"/>
                <w:lang w:val="en-GB"/>
              </w:rPr>
              <w:t>-</w:t>
            </w:r>
            <w:r w:rsidRPr="009766D5">
              <w:rPr>
                <w:sz w:val="18"/>
                <w:szCs w:val="18"/>
                <w:lang w:val="en-GB"/>
              </w:rPr>
              <w:t xml:space="preserve">warning systems for conflict prevention </w:t>
            </w:r>
          </w:p>
          <w:p w14:paraId="0F59D28D" w14:textId="77777777" w:rsidR="00161EBF" w:rsidRPr="009766D5" w:rsidRDefault="00161EBF" w:rsidP="00654147">
            <w:pPr>
              <w:rPr>
                <w:sz w:val="18"/>
                <w:szCs w:val="18"/>
                <w:lang w:val="en-GB"/>
              </w:rPr>
            </w:pPr>
            <w:r w:rsidRPr="009766D5">
              <w:rPr>
                <w:sz w:val="18"/>
                <w:szCs w:val="18"/>
                <w:lang w:val="en-GB"/>
              </w:rPr>
              <w:t>Baseline (2022): 25%</w:t>
            </w:r>
          </w:p>
          <w:p w14:paraId="03EF11E4" w14:textId="77777777" w:rsidR="00161EBF" w:rsidRPr="009766D5" w:rsidRDefault="00161EBF" w:rsidP="00654147">
            <w:pPr>
              <w:rPr>
                <w:sz w:val="18"/>
                <w:szCs w:val="18"/>
                <w:lang w:val="en-GB"/>
              </w:rPr>
            </w:pPr>
            <w:r w:rsidRPr="009766D5">
              <w:rPr>
                <w:sz w:val="18"/>
                <w:szCs w:val="18"/>
                <w:lang w:val="en-GB"/>
              </w:rPr>
              <w:t>Target (2026): 90%</w:t>
            </w:r>
          </w:p>
          <w:p w14:paraId="058E17D2" w14:textId="77777777" w:rsidR="00161EBF" w:rsidRPr="009766D5" w:rsidRDefault="00161EBF" w:rsidP="00654147">
            <w:pPr>
              <w:rPr>
                <w:sz w:val="18"/>
                <w:szCs w:val="18"/>
                <w:lang w:val="en-GB"/>
              </w:rPr>
            </w:pPr>
            <w:r w:rsidRPr="009766D5">
              <w:rPr>
                <w:sz w:val="18"/>
                <w:szCs w:val="18"/>
                <w:lang w:val="en-GB"/>
              </w:rPr>
              <w:t>Source: MISP reports</w:t>
            </w:r>
          </w:p>
          <w:p w14:paraId="37348B69" w14:textId="77777777" w:rsidR="00161EBF" w:rsidRPr="009766D5" w:rsidRDefault="00161EBF" w:rsidP="00654147">
            <w:pPr>
              <w:rPr>
                <w:sz w:val="18"/>
                <w:szCs w:val="18"/>
                <w:lang w:val="en-GB"/>
              </w:rPr>
            </w:pPr>
            <w:r w:rsidRPr="009766D5">
              <w:rPr>
                <w:sz w:val="18"/>
                <w:szCs w:val="18"/>
                <w:lang w:val="en-GB"/>
              </w:rPr>
              <w:t>Frequency: Annual</w:t>
            </w:r>
          </w:p>
          <w:p w14:paraId="75D516DB" w14:textId="77777777" w:rsidR="00161EBF" w:rsidRPr="009766D5" w:rsidRDefault="00161EBF" w:rsidP="00654147">
            <w:pPr>
              <w:rPr>
                <w:sz w:val="18"/>
                <w:szCs w:val="18"/>
                <w:lang w:val="en-GB"/>
              </w:rPr>
            </w:pPr>
          </w:p>
          <w:p w14:paraId="0ADAB5FD" w14:textId="19FDA49C" w:rsidR="00161EBF" w:rsidRPr="009766D5" w:rsidRDefault="00161EBF" w:rsidP="00080E1B">
            <w:pPr>
              <w:textAlignment w:val="baseline"/>
              <w:rPr>
                <w:sz w:val="18"/>
                <w:szCs w:val="18"/>
                <w:lang w:val="en-GB"/>
              </w:rPr>
            </w:pPr>
            <w:r w:rsidRPr="009766D5">
              <w:rPr>
                <w:b/>
                <w:bCs/>
                <w:sz w:val="18"/>
                <w:szCs w:val="18"/>
                <w:lang w:val="en-GB"/>
              </w:rPr>
              <w:t>I</w:t>
            </w:r>
            <w:r w:rsidRPr="009766D5">
              <w:rPr>
                <w:b/>
                <w:sz w:val="18"/>
                <w:szCs w:val="18"/>
                <w:lang w:val="en-GB"/>
              </w:rPr>
              <w:t>ndicator 2.4.4</w:t>
            </w:r>
            <w:r w:rsidR="00080E1B" w:rsidRPr="009766D5">
              <w:rPr>
                <w:b/>
                <w:sz w:val="18"/>
                <w:szCs w:val="18"/>
                <w:lang w:val="en-GB"/>
              </w:rPr>
              <w:t>.</w:t>
            </w:r>
            <w:r w:rsidRPr="009766D5">
              <w:rPr>
                <w:sz w:val="18"/>
                <w:szCs w:val="18"/>
                <w:lang w:val="en-GB"/>
              </w:rPr>
              <w:t xml:space="preserve"> Number of volunteers involved within the community for </w:t>
            </w:r>
            <w:r w:rsidR="00080E1B" w:rsidRPr="009766D5">
              <w:rPr>
                <w:sz w:val="18"/>
                <w:szCs w:val="18"/>
                <w:lang w:val="en-GB"/>
              </w:rPr>
              <w:t xml:space="preserve">social cohesion, civic engagement and </w:t>
            </w:r>
            <w:r w:rsidRPr="009766D5">
              <w:rPr>
                <w:sz w:val="18"/>
                <w:szCs w:val="18"/>
                <w:lang w:val="en-GB"/>
              </w:rPr>
              <w:t>prevention of violent extremism, (a-women; b-men)</w:t>
            </w:r>
          </w:p>
          <w:p w14:paraId="03846A14" w14:textId="460ABB63" w:rsidR="00161EBF" w:rsidRPr="009766D5" w:rsidRDefault="00161EBF" w:rsidP="00080E1B">
            <w:pPr>
              <w:textAlignment w:val="baseline"/>
              <w:rPr>
                <w:sz w:val="18"/>
                <w:szCs w:val="18"/>
                <w:lang w:val="en-GB"/>
              </w:rPr>
            </w:pPr>
            <w:r w:rsidRPr="009766D5">
              <w:rPr>
                <w:sz w:val="18"/>
                <w:szCs w:val="18"/>
                <w:lang w:val="en-GB"/>
              </w:rPr>
              <w:t>Baseline (2022):</w:t>
            </w:r>
            <w:r w:rsidR="00080E1B" w:rsidRPr="009766D5">
              <w:rPr>
                <w:sz w:val="18"/>
                <w:szCs w:val="18"/>
                <w:lang w:val="en-GB"/>
              </w:rPr>
              <w:t xml:space="preserve"> </w:t>
            </w:r>
            <w:r w:rsidRPr="009766D5">
              <w:rPr>
                <w:sz w:val="18"/>
                <w:szCs w:val="18"/>
                <w:lang w:val="en-GB"/>
              </w:rPr>
              <w:t>0</w:t>
            </w:r>
          </w:p>
          <w:p w14:paraId="09E63977" w14:textId="6E5E33EA" w:rsidR="00161EBF" w:rsidRPr="009766D5" w:rsidRDefault="00161EBF" w:rsidP="00080E1B">
            <w:pPr>
              <w:textAlignment w:val="baseline"/>
              <w:rPr>
                <w:sz w:val="18"/>
                <w:szCs w:val="18"/>
                <w:lang w:val="en-GB"/>
              </w:rPr>
            </w:pPr>
            <w:r w:rsidRPr="009766D5">
              <w:rPr>
                <w:sz w:val="18"/>
                <w:szCs w:val="18"/>
                <w:lang w:val="en-GB"/>
              </w:rPr>
              <w:t>Target (2026): a-10; b-7</w:t>
            </w:r>
          </w:p>
          <w:p w14:paraId="6037468C" w14:textId="2CFAC1E7" w:rsidR="00161EBF" w:rsidRPr="009766D5" w:rsidRDefault="00161EBF" w:rsidP="00080E1B">
            <w:pPr>
              <w:textAlignment w:val="baseline"/>
              <w:rPr>
                <w:sz w:val="18"/>
                <w:szCs w:val="18"/>
                <w:lang w:val="en-GB"/>
              </w:rPr>
            </w:pPr>
            <w:r w:rsidRPr="009766D5">
              <w:rPr>
                <w:sz w:val="18"/>
                <w:szCs w:val="18"/>
                <w:lang w:val="en-GB"/>
              </w:rPr>
              <w:t>Source: UNV</w:t>
            </w:r>
            <w:r w:rsidR="00080E1B" w:rsidRPr="009766D5">
              <w:rPr>
                <w:sz w:val="18"/>
                <w:szCs w:val="18"/>
                <w:lang w:val="en-GB"/>
              </w:rPr>
              <w:t xml:space="preserve">, National Employment Promotion Agency </w:t>
            </w:r>
            <w:r w:rsidRPr="009766D5">
              <w:rPr>
                <w:sz w:val="18"/>
                <w:szCs w:val="18"/>
                <w:lang w:val="en-GB"/>
              </w:rPr>
              <w:t>reports</w:t>
            </w:r>
          </w:p>
          <w:p w14:paraId="439A4B2A" w14:textId="77777777" w:rsidR="00161EBF" w:rsidRPr="009766D5" w:rsidRDefault="00161EBF" w:rsidP="00080E1B">
            <w:pPr>
              <w:textAlignment w:val="baseline"/>
              <w:rPr>
                <w:sz w:val="18"/>
                <w:szCs w:val="18"/>
                <w:lang w:val="en-GB"/>
              </w:rPr>
            </w:pPr>
            <w:r w:rsidRPr="009766D5">
              <w:rPr>
                <w:sz w:val="18"/>
                <w:szCs w:val="18"/>
                <w:lang w:val="en-GB"/>
              </w:rPr>
              <w:t>Frequency: Annual</w:t>
            </w:r>
          </w:p>
          <w:p w14:paraId="11427017" w14:textId="77777777" w:rsidR="00161EBF" w:rsidRPr="009766D5" w:rsidRDefault="00161EBF" w:rsidP="00080E1B">
            <w:pPr>
              <w:rPr>
                <w:sz w:val="18"/>
                <w:szCs w:val="18"/>
                <w:lang w:val="en-GB"/>
              </w:rPr>
            </w:pPr>
          </w:p>
          <w:p w14:paraId="3CD2D010" w14:textId="1D0383F7" w:rsidR="00161EBF" w:rsidRPr="009766D5" w:rsidRDefault="00161EBF" w:rsidP="001C30CE">
            <w:pPr>
              <w:rPr>
                <w:b/>
                <w:bCs/>
                <w:sz w:val="18"/>
                <w:szCs w:val="18"/>
                <w:lang w:val="en-GB"/>
              </w:rPr>
            </w:pPr>
            <w:r w:rsidRPr="009766D5">
              <w:rPr>
                <w:b/>
                <w:bCs/>
                <w:sz w:val="18"/>
                <w:szCs w:val="18"/>
                <w:lang w:val="en-GB"/>
              </w:rPr>
              <w:t>Output 2.5</w:t>
            </w:r>
            <w:r w:rsidR="00080E1B" w:rsidRPr="009766D5">
              <w:rPr>
                <w:b/>
                <w:bCs/>
                <w:sz w:val="18"/>
                <w:szCs w:val="18"/>
                <w:lang w:val="en-GB"/>
              </w:rPr>
              <w:t>.</w:t>
            </w:r>
            <w:r w:rsidRPr="009766D5">
              <w:rPr>
                <w:rFonts w:eastAsiaTheme="minorEastAsia"/>
                <w:b/>
                <w:bCs/>
                <w:kern w:val="24"/>
                <w:sz w:val="18"/>
                <w:szCs w:val="18"/>
                <w:lang w:val="en-GB"/>
              </w:rPr>
              <w:t xml:space="preserve"> </w:t>
            </w:r>
            <w:r w:rsidRPr="009766D5">
              <w:rPr>
                <w:b/>
                <w:bCs/>
                <w:sz w:val="18"/>
                <w:szCs w:val="18"/>
                <w:lang w:val="en-GB"/>
              </w:rPr>
              <w:t xml:space="preserve">Citizen participation and control mechanisms strengthened to improve transparency </w:t>
            </w:r>
            <w:r w:rsidRPr="009766D5">
              <w:rPr>
                <w:b/>
                <w:bCs/>
                <w:sz w:val="18"/>
                <w:szCs w:val="18"/>
                <w:lang w:val="en-GB"/>
              </w:rPr>
              <w:lastRenderedPageBreak/>
              <w:t>and accountability in public action and electoral processes.</w:t>
            </w:r>
          </w:p>
          <w:p w14:paraId="7E84C801" w14:textId="77777777" w:rsidR="00161EBF" w:rsidRPr="009766D5" w:rsidRDefault="00161EBF" w:rsidP="001C30CE">
            <w:pPr>
              <w:rPr>
                <w:sz w:val="18"/>
                <w:szCs w:val="18"/>
                <w:lang w:val="en-GB"/>
              </w:rPr>
            </w:pPr>
          </w:p>
          <w:p w14:paraId="46F9D888" w14:textId="64ABC340" w:rsidR="00161EBF" w:rsidRPr="009766D5" w:rsidRDefault="00161EBF" w:rsidP="00654147">
            <w:pPr>
              <w:rPr>
                <w:sz w:val="18"/>
                <w:szCs w:val="18"/>
                <w:lang w:val="en-GB"/>
              </w:rPr>
            </w:pPr>
            <w:r w:rsidRPr="009766D5">
              <w:rPr>
                <w:b/>
                <w:bCs/>
                <w:sz w:val="18"/>
                <w:szCs w:val="18"/>
                <w:lang w:val="en-GB"/>
              </w:rPr>
              <w:t>Indicator 2.5.1</w:t>
            </w:r>
            <w:r w:rsidR="00080E1B" w:rsidRPr="009766D5">
              <w:rPr>
                <w:b/>
                <w:bCs/>
                <w:sz w:val="18"/>
                <w:szCs w:val="18"/>
                <w:lang w:val="en-GB"/>
              </w:rPr>
              <w:t>.</w:t>
            </w:r>
            <w:r w:rsidRPr="009766D5">
              <w:rPr>
                <w:sz w:val="18"/>
                <w:szCs w:val="18"/>
                <w:lang w:val="en-GB"/>
              </w:rPr>
              <w:t xml:space="preserve"> Number of measures to strengthen accountability (including social accountability)</w:t>
            </w:r>
          </w:p>
          <w:p w14:paraId="79F4B125" w14:textId="77777777" w:rsidR="00161EBF" w:rsidRPr="009766D5" w:rsidRDefault="00161EBF" w:rsidP="00654147">
            <w:pPr>
              <w:rPr>
                <w:sz w:val="18"/>
                <w:szCs w:val="18"/>
                <w:lang w:val="en-GB"/>
              </w:rPr>
            </w:pPr>
            <w:r w:rsidRPr="009766D5">
              <w:rPr>
                <w:sz w:val="18"/>
                <w:szCs w:val="18"/>
                <w:lang w:val="en-GB"/>
              </w:rPr>
              <w:t>Baseline (2022): 0</w:t>
            </w:r>
          </w:p>
          <w:p w14:paraId="3B3CCD2E" w14:textId="6E4D52E9" w:rsidR="00161EBF" w:rsidRPr="009766D5" w:rsidRDefault="00161EBF" w:rsidP="00654147">
            <w:pPr>
              <w:rPr>
                <w:sz w:val="18"/>
                <w:szCs w:val="18"/>
                <w:lang w:val="en-GB"/>
              </w:rPr>
            </w:pPr>
            <w:r w:rsidRPr="009766D5">
              <w:rPr>
                <w:sz w:val="18"/>
                <w:szCs w:val="18"/>
                <w:lang w:val="en-GB"/>
              </w:rPr>
              <w:t>Target (2026):</w:t>
            </w:r>
            <w:r w:rsidR="00080E1B" w:rsidRPr="009766D5">
              <w:rPr>
                <w:sz w:val="18"/>
                <w:szCs w:val="18"/>
                <w:lang w:val="en-GB"/>
              </w:rPr>
              <w:t xml:space="preserve"> </w:t>
            </w:r>
            <w:r w:rsidRPr="009766D5" w:rsidDel="0EEF366C">
              <w:rPr>
                <w:sz w:val="18"/>
                <w:szCs w:val="18"/>
                <w:lang w:val="en-GB"/>
              </w:rPr>
              <w:t>4</w:t>
            </w:r>
          </w:p>
          <w:p w14:paraId="2698378D" w14:textId="556D816A" w:rsidR="00161EBF" w:rsidRPr="009766D5" w:rsidRDefault="00161EBF" w:rsidP="00654147">
            <w:pPr>
              <w:rPr>
                <w:sz w:val="18"/>
                <w:szCs w:val="18"/>
                <w:lang w:val="en-GB"/>
              </w:rPr>
            </w:pPr>
            <w:r w:rsidRPr="009766D5">
              <w:rPr>
                <w:sz w:val="18"/>
                <w:szCs w:val="18"/>
                <w:lang w:val="en-GB"/>
              </w:rPr>
              <w:t xml:space="preserve">Source: </w:t>
            </w:r>
            <w:r w:rsidR="00575B4C" w:rsidRPr="009766D5">
              <w:rPr>
                <w:sz w:val="18"/>
                <w:szCs w:val="18"/>
                <w:lang w:val="en-GB"/>
              </w:rPr>
              <w:t>Ministry of Justice and Legislation (</w:t>
            </w:r>
            <w:r w:rsidRPr="009766D5">
              <w:rPr>
                <w:sz w:val="18"/>
                <w:szCs w:val="18"/>
                <w:lang w:val="en-GB"/>
              </w:rPr>
              <w:t>MJL</w:t>
            </w:r>
            <w:r w:rsidR="00575B4C" w:rsidRPr="009766D5">
              <w:rPr>
                <w:sz w:val="18"/>
                <w:szCs w:val="18"/>
                <w:lang w:val="en-GB"/>
              </w:rPr>
              <w:t>)</w:t>
            </w:r>
          </w:p>
          <w:p w14:paraId="3897EDE5" w14:textId="77777777" w:rsidR="00161EBF" w:rsidRPr="009766D5" w:rsidRDefault="00161EBF" w:rsidP="00654147">
            <w:pPr>
              <w:rPr>
                <w:sz w:val="18"/>
                <w:szCs w:val="18"/>
                <w:lang w:val="en-GB"/>
              </w:rPr>
            </w:pPr>
            <w:r w:rsidRPr="009766D5">
              <w:rPr>
                <w:sz w:val="18"/>
                <w:szCs w:val="18"/>
                <w:lang w:val="en-GB"/>
              </w:rPr>
              <w:t>Frequency: Annual</w:t>
            </w:r>
          </w:p>
          <w:p w14:paraId="378E4395" w14:textId="77777777" w:rsidR="00161EBF" w:rsidRPr="009766D5" w:rsidRDefault="00161EBF" w:rsidP="00654147">
            <w:pPr>
              <w:rPr>
                <w:sz w:val="18"/>
                <w:szCs w:val="18"/>
                <w:lang w:val="en-GB"/>
              </w:rPr>
            </w:pPr>
          </w:p>
          <w:p w14:paraId="67C3795A" w14:textId="1374EC77" w:rsidR="00161EBF" w:rsidRPr="009766D5" w:rsidRDefault="00161EBF" w:rsidP="00654147">
            <w:pPr>
              <w:rPr>
                <w:sz w:val="18"/>
                <w:szCs w:val="18"/>
                <w:lang w:val="en-GB"/>
              </w:rPr>
            </w:pPr>
            <w:r w:rsidRPr="009766D5">
              <w:rPr>
                <w:b/>
                <w:bCs/>
                <w:sz w:val="18"/>
                <w:szCs w:val="18"/>
                <w:lang w:val="en-GB"/>
              </w:rPr>
              <w:t>Indicator 2.5.2</w:t>
            </w:r>
            <w:r w:rsidR="00080E1B" w:rsidRPr="009766D5">
              <w:rPr>
                <w:b/>
                <w:bCs/>
                <w:sz w:val="18"/>
                <w:szCs w:val="18"/>
                <w:lang w:val="en-GB"/>
              </w:rPr>
              <w:t>.</w:t>
            </w:r>
            <w:r w:rsidRPr="009766D5">
              <w:rPr>
                <w:sz w:val="18"/>
                <w:szCs w:val="18"/>
                <w:lang w:val="en-GB"/>
              </w:rPr>
              <w:t xml:space="preserve"> Number of social accountability mechanisms implemented or strengthened</w:t>
            </w:r>
          </w:p>
          <w:p w14:paraId="511363CF" w14:textId="597A3F93" w:rsidR="00161EBF" w:rsidRPr="009766D5" w:rsidRDefault="00161EBF" w:rsidP="00654147">
            <w:pPr>
              <w:rPr>
                <w:sz w:val="18"/>
                <w:szCs w:val="18"/>
                <w:lang w:val="en-GB"/>
              </w:rPr>
            </w:pPr>
            <w:r w:rsidRPr="009766D5">
              <w:rPr>
                <w:sz w:val="18"/>
                <w:szCs w:val="18"/>
                <w:lang w:val="en-GB"/>
              </w:rPr>
              <w:t>Baseline (2022):</w:t>
            </w:r>
            <w:r w:rsidR="00080E1B" w:rsidRPr="009766D5">
              <w:rPr>
                <w:sz w:val="18"/>
                <w:szCs w:val="18"/>
                <w:lang w:val="en-GB"/>
              </w:rPr>
              <w:t xml:space="preserve"> </w:t>
            </w:r>
            <w:r w:rsidRPr="009766D5">
              <w:rPr>
                <w:sz w:val="18"/>
                <w:szCs w:val="18"/>
                <w:lang w:val="en-GB"/>
              </w:rPr>
              <w:t>0</w:t>
            </w:r>
          </w:p>
          <w:p w14:paraId="6FE8EE8A" w14:textId="7F88B208" w:rsidR="00161EBF" w:rsidRPr="009766D5" w:rsidRDefault="00161EBF" w:rsidP="00654147">
            <w:pPr>
              <w:rPr>
                <w:sz w:val="18"/>
                <w:szCs w:val="18"/>
                <w:lang w:val="en-GB"/>
              </w:rPr>
            </w:pPr>
            <w:r w:rsidRPr="009766D5">
              <w:rPr>
                <w:sz w:val="18"/>
                <w:szCs w:val="18"/>
                <w:lang w:val="en-GB"/>
              </w:rPr>
              <w:t>Target (2026):</w:t>
            </w:r>
            <w:r w:rsidR="00080E1B" w:rsidRPr="009766D5">
              <w:rPr>
                <w:sz w:val="18"/>
                <w:szCs w:val="18"/>
                <w:lang w:val="en-GB"/>
              </w:rPr>
              <w:t xml:space="preserve"> </w:t>
            </w:r>
            <w:r w:rsidRPr="009766D5">
              <w:rPr>
                <w:sz w:val="18"/>
                <w:szCs w:val="18"/>
                <w:lang w:val="en-GB"/>
              </w:rPr>
              <w:t>5</w:t>
            </w:r>
          </w:p>
          <w:p w14:paraId="56140504" w14:textId="77777777" w:rsidR="00161EBF" w:rsidRPr="009766D5" w:rsidRDefault="00161EBF" w:rsidP="00654147">
            <w:pPr>
              <w:rPr>
                <w:sz w:val="18"/>
                <w:szCs w:val="18"/>
                <w:lang w:val="en-GB"/>
              </w:rPr>
            </w:pPr>
            <w:r w:rsidRPr="009766D5">
              <w:rPr>
                <w:sz w:val="18"/>
                <w:szCs w:val="18"/>
                <w:lang w:val="en-GB"/>
              </w:rPr>
              <w:t>Source: MJL reports</w:t>
            </w:r>
          </w:p>
          <w:p w14:paraId="59113F0C" w14:textId="77777777" w:rsidR="00161EBF" w:rsidRPr="009766D5" w:rsidRDefault="00161EBF" w:rsidP="00654147">
            <w:pPr>
              <w:rPr>
                <w:sz w:val="18"/>
                <w:szCs w:val="18"/>
                <w:lang w:val="en-GB"/>
              </w:rPr>
            </w:pPr>
            <w:r w:rsidRPr="009766D5">
              <w:rPr>
                <w:sz w:val="18"/>
                <w:szCs w:val="18"/>
                <w:lang w:val="en-GB"/>
              </w:rPr>
              <w:t>Frequency: Annual</w:t>
            </w:r>
          </w:p>
          <w:p w14:paraId="05AC8BFA" w14:textId="77777777" w:rsidR="00161EBF" w:rsidRPr="009766D5" w:rsidRDefault="00161EBF" w:rsidP="00654147">
            <w:pPr>
              <w:jc w:val="both"/>
              <w:rPr>
                <w:b/>
                <w:bCs/>
                <w:sz w:val="18"/>
                <w:szCs w:val="18"/>
                <w:lang w:val="en-GB"/>
              </w:rPr>
            </w:pPr>
          </w:p>
          <w:p w14:paraId="77D13ADE" w14:textId="0136BB4B" w:rsidR="00161EBF" w:rsidRPr="009766D5" w:rsidRDefault="00161EBF" w:rsidP="001C30CE">
            <w:pPr>
              <w:rPr>
                <w:b/>
                <w:sz w:val="18"/>
                <w:szCs w:val="18"/>
                <w:lang w:val="en-GB"/>
              </w:rPr>
            </w:pPr>
            <w:r w:rsidRPr="009766D5">
              <w:rPr>
                <w:b/>
                <w:sz w:val="18"/>
                <w:szCs w:val="18"/>
                <w:lang w:val="en-GB"/>
              </w:rPr>
              <w:t>Output 2.6</w:t>
            </w:r>
            <w:r w:rsidR="00080E1B" w:rsidRPr="009766D5">
              <w:rPr>
                <w:b/>
                <w:sz w:val="18"/>
                <w:szCs w:val="18"/>
                <w:lang w:val="en-GB"/>
              </w:rPr>
              <w:t>.</w:t>
            </w:r>
            <w:r w:rsidRPr="009766D5">
              <w:rPr>
                <w:b/>
                <w:sz w:val="18"/>
                <w:szCs w:val="18"/>
                <w:lang w:val="en-GB"/>
              </w:rPr>
              <w:t xml:space="preserve"> 2030 Agenda, Paris Agreement and other intergovernmental</w:t>
            </w:r>
            <w:r w:rsidR="00644699" w:rsidRPr="009766D5">
              <w:rPr>
                <w:b/>
                <w:sz w:val="18"/>
                <w:szCs w:val="18"/>
                <w:lang w:val="en-GB"/>
              </w:rPr>
              <w:t xml:space="preserve">ly </w:t>
            </w:r>
            <w:r w:rsidRPr="009766D5">
              <w:rPr>
                <w:b/>
                <w:sz w:val="18"/>
                <w:szCs w:val="18"/>
                <w:lang w:val="en-GB"/>
              </w:rPr>
              <w:t>agreed frameworks integrated in</w:t>
            </w:r>
            <w:r w:rsidR="00080E1B" w:rsidRPr="009766D5">
              <w:rPr>
                <w:b/>
                <w:sz w:val="18"/>
                <w:szCs w:val="18"/>
                <w:lang w:val="en-GB"/>
              </w:rPr>
              <w:t>to</w:t>
            </w:r>
            <w:r w:rsidRPr="009766D5">
              <w:rPr>
                <w:b/>
                <w:sz w:val="18"/>
                <w:szCs w:val="18"/>
                <w:lang w:val="en-GB"/>
              </w:rPr>
              <w:t xml:space="preserve"> national and local development plans, measures to accelerate progress put in place, and budgets and progress assessed using gender-sensitive</w:t>
            </w:r>
            <w:r w:rsidR="00080E1B" w:rsidRPr="009766D5">
              <w:rPr>
                <w:b/>
                <w:sz w:val="18"/>
                <w:szCs w:val="18"/>
                <w:lang w:val="en-GB"/>
              </w:rPr>
              <w:t>,</w:t>
            </w:r>
            <w:r w:rsidRPr="009766D5">
              <w:rPr>
                <w:b/>
                <w:sz w:val="18"/>
                <w:szCs w:val="18"/>
                <w:lang w:val="en-GB"/>
              </w:rPr>
              <w:t xml:space="preserve"> data-driven solutions</w:t>
            </w:r>
          </w:p>
          <w:p w14:paraId="30CC591A" w14:textId="77777777" w:rsidR="00161EBF" w:rsidRPr="009766D5" w:rsidRDefault="00161EBF" w:rsidP="001853CC">
            <w:pPr>
              <w:rPr>
                <w:sz w:val="18"/>
                <w:szCs w:val="18"/>
                <w:lang w:val="en-GB"/>
              </w:rPr>
            </w:pPr>
          </w:p>
          <w:p w14:paraId="2A82F710" w14:textId="4EF3B2D5" w:rsidR="00161EBF" w:rsidRPr="009766D5" w:rsidRDefault="00161EBF" w:rsidP="001C30CE">
            <w:pPr>
              <w:rPr>
                <w:sz w:val="18"/>
                <w:szCs w:val="18"/>
                <w:lang w:val="en-GB"/>
              </w:rPr>
            </w:pPr>
            <w:r w:rsidRPr="009766D5">
              <w:rPr>
                <w:b/>
                <w:bCs/>
                <w:sz w:val="18"/>
                <w:szCs w:val="18"/>
                <w:lang w:val="en-GB"/>
              </w:rPr>
              <w:t>Indicator 2.6.1</w:t>
            </w:r>
            <w:r w:rsidR="00080E1B" w:rsidRPr="009766D5">
              <w:rPr>
                <w:b/>
                <w:bCs/>
                <w:sz w:val="18"/>
                <w:szCs w:val="18"/>
                <w:lang w:val="en-GB"/>
              </w:rPr>
              <w:t>.</w:t>
            </w:r>
            <w:r w:rsidRPr="009766D5">
              <w:rPr>
                <w:sz w:val="18"/>
                <w:szCs w:val="18"/>
                <w:lang w:val="en-GB"/>
              </w:rPr>
              <w:t xml:space="preserve"> Exten</w:t>
            </w:r>
            <w:r w:rsidR="00644699" w:rsidRPr="009766D5">
              <w:rPr>
                <w:sz w:val="18"/>
                <w:szCs w:val="18"/>
                <w:lang w:val="en-GB"/>
              </w:rPr>
              <w:t>t</w:t>
            </w:r>
            <w:r w:rsidRPr="009766D5">
              <w:rPr>
                <w:sz w:val="18"/>
                <w:szCs w:val="18"/>
                <w:lang w:val="en-GB"/>
              </w:rPr>
              <w:t xml:space="preserve"> to which country development plans and budgets mainstream the frameworks agreed at the intergovernmental level (0=not integrated, 1=mainstreaming started, 2=integration in progress, 3=integration nearly completed, 4=integration completed)</w:t>
            </w:r>
          </w:p>
          <w:p w14:paraId="7D4CF8A0" w14:textId="11FCD315" w:rsidR="00161EBF" w:rsidRPr="009766D5" w:rsidRDefault="00161EBF" w:rsidP="001C30CE">
            <w:pPr>
              <w:ind w:left="259"/>
              <w:rPr>
                <w:sz w:val="18"/>
                <w:szCs w:val="18"/>
                <w:lang w:val="en-GB"/>
              </w:rPr>
            </w:pPr>
            <w:r w:rsidRPr="009766D5">
              <w:rPr>
                <w:sz w:val="18"/>
                <w:szCs w:val="18"/>
                <w:lang w:val="en-GB"/>
              </w:rPr>
              <w:t>a-2030</w:t>
            </w:r>
            <w:r w:rsidR="00644699" w:rsidRPr="009766D5">
              <w:rPr>
                <w:sz w:val="18"/>
                <w:szCs w:val="18"/>
                <w:lang w:val="en-GB"/>
              </w:rPr>
              <w:t xml:space="preserve"> Agenda</w:t>
            </w:r>
            <w:r w:rsidRPr="009766D5">
              <w:rPr>
                <w:sz w:val="18"/>
                <w:szCs w:val="18"/>
                <w:lang w:val="en-GB"/>
              </w:rPr>
              <w:t xml:space="preserve">; </w:t>
            </w:r>
          </w:p>
          <w:p w14:paraId="0CEB0DD6" w14:textId="77777777" w:rsidR="00161EBF" w:rsidRPr="009766D5" w:rsidRDefault="00161EBF" w:rsidP="001C30CE">
            <w:pPr>
              <w:ind w:left="259"/>
              <w:rPr>
                <w:sz w:val="18"/>
                <w:szCs w:val="18"/>
                <w:lang w:val="en-GB"/>
              </w:rPr>
            </w:pPr>
            <w:r w:rsidRPr="009766D5">
              <w:rPr>
                <w:sz w:val="18"/>
                <w:szCs w:val="18"/>
                <w:lang w:val="en-GB"/>
              </w:rPr>
              <w:t>b-Agenda 2063</w:t>
            </w:r>
          </w:p>
          <w:p w14:paraId="307E7A06" w14:textId="0F24D4B5" w:rsidR="00161EBF" w:rsidRPr="009766D5" w:rsidRDefault="00161EBF" w:rsidP="001C30CE">
            <w:pPr>
              <w:ind w:left="259"/>
              <w:rPr>
                <w:sz w:val="18"/>
                <w:szCs w:val="18"/>
                <w:lang w:val="en-GB"/>
              </w:rPr>
            </w:pPr>
            <w:r w:rsidRPr="009766D5">
              <w:rPr>
                <w:sz w:val="18"/>
                <w:szCs w:val="18"/>
                <w:lang w:val="en-GB"/>
              </w:rPr>
              <w:t xml:space="preserve">c-Paris </w:t>
            </w:r>
            <w:r w:rsidR="00F76825" w:rsidRPr="009766D5">
              <w:rPr>
                <w:sz w:val="18"/>
                <w:szCs w:val="18"/>
                <w:lang w:val="en-GB"/>
              </w:rPr>
              <w:t>A</w:t>
            </w:r>
            <w:r w:rsidRPr="009766D5">
              <w:rPr>
                <w:sz w:val="18"/>
                <w:szCs w:val="18"/>
                <w:lang w:val="en-GB"/>
              </w:rPr>
              <w:t xml:space="preserve">greement on </w:t>
            </w:r>
            <w:r w:rsidR="00F76825" w:rsidRPr="009766D5">
              <w:rPr>
                <w:sz w:val="18"/>
                <w:szCs w:val="18"/>
                <w:lang w:val="en-GB"/>
              </w:rPr>
              <w:t>c</w:t>
            </w:r>
            <w:r w:rsidRPr="009766D5">
              <w:rPr>
                <w:sz w:val="18"/>
                <w:szCs w:val="18"/>
                <w:lang w:val="en-GB"/>
              </w:rPr>
              <w:t>limate change</w:t>
            </w:r>
          </w:p>
          <w:p w14:paraId="7F1C0341" w14:textId="573DB943" w:rsidR="00161EBF" w:rsidRPr="009766D5" w:rsidRDefault="00161EBF" w:rsidP="001C30CE">
            <w:pPr>
              <w:ind w:left="259"/>
              <w:rPr>
                <w:sz w:val="18"/>
                <w:szCs w:val="18"/>
                <w:lang w:val="en-GB"/>
              </w:rPr>
            </w:pPr>
            <w:r w:rsidRPr="009766D5">
              <w:rPr>
                <w:sz w:val="18"/>
                <w:szCs w:val="18"/>
                <w:lang w:val="en-GB"/>
              </w:rPr>
              <w:t>d-</w:t>
            </w:r>
            <w:r w:rsidR="00C1265B" w:rsidRPr="009766D5">
              <w:rPr>
                <w:sz w:val="18"/>
                <w:szCs w:val="18"/>
                <w:lang w:val="en-GB"/>
              </w:rPr>
              <w:t>Convention on the Elimination of All Forms of Discrimination against Women</w:t>
            </w:r>
          </w:p>
          <w:p w14:paraId="70B5D4F6" w14:textId="413FA763" w:rsidR="00161EBF" w:rsidRPr="009766D5" w:rsidRDefault="00161EBF" w:rsidP="001C30CE">
            <w:pPr>
              <w:rPr>
                <w:sz w:val="18"/>
                <w:szCs w:val="18"/>
                <w:lang w:val="en-GB"/>
              </w:rPr>
            </w:pPr>
            <w:r w:rsidRPr="009766D5">
              <w:rPr>
                <w:sz w:val="18"/>
                <w:szCs w:val="18"/>
                <w:lang w:val="en-GB"/>
              </w:rPr>
              <w:t>Baseline (2022): a-2; b-2; c-2</w:t>
            </w:r>
          </w:p>
          <w:p w14:paraId="0AB7E76B" w14:textId="7FBD4D6F" w:rsidR="00161EBF" w:rsidRPr="009766D5" w:rsidRDefault="00161EBF" w:rsidP="001853CC">
            <w:pPr>
              <w:rPr>
                <w:sz w:val="18"/>
                <w:szCs w:val="18"/>
                <w:lang w:val="en-GB"/>
              </w:rPr>
            </w:pPr>
            <w:r w:rsidRPr="009766D5">
              <w:rPr>
                <w:sz w:val="18"/>
                <w:szCs w:val="18"/>
                <w:lang w:val="en-GB"/>
              </w:rPr>
              <w:t>Target (2026): a-4; b-4; c-4</w:t>
            </w:r>
          </w:p>
          <w:p w14:paraId="4C35A5B3" w14:textId="265BA620" w:rsidR="00161EBF" w:rsidRPr="009766D5" w:rsidRDefault="00161EBF" w:rsidP="001853CC">
            <w:pPr>
              <w:rPr>
                <w:sz w:val="18"/>
                <w:szCs w:val="18"/>
                <w:lang w:val="en-GB"/>
              </w:rPr>
            </w:pPr>
            <w:r w:rsidRPr="009766D5">
              <w:rPr>
                <w:sz w:val="18"/>
                <w:szCs w:val="18"/>
                <w:lang w:val="en-GB"/>
              </w:rPr>
              <w:t>Source: Office of the Head of State</w:t>
            </w:r>
            <w:r w:rsidR="00644699" w:rsidRPr="009766D5">
              <w:rPr>
                <w:sz w:val="18"/>
                <w:szCs w:val="18"/>
                <w:lang w:val="en-GB"/>
              </w:rPr>
              <w:t xml:space="preserve">; </w:t>
            </w:r>
            <w:r w:rsidRPr="009766D5">
              <w:rPr>
                <w:sz w:val="18"/>
                <w:szCs w:val="18"/>
                <w:lang w:val="en-GB"/>
              </w:rPr>
              <w:t xml:space="preserve">Ministry of </w:t>
            </w:r>
            <w:r w:rsidR="00644699" w:rsidRPr="009766D5">
              <w:rPr>
                <w:sz w:val="18"/>
                <w:szCs w:val="18"/>
                <w:lang w:val="en-GB"/>
              </w:rPr>
              <w:t>F</w:t>
            </w:r>
            <w:r w:rsidRPr="009766D5">
              <w:rPr>
                <w:sz w:val="18"/>
                <w:szCs w:val="18"/>
                <w:lang w:val="en-GB"/>
              </w:rPr>
              <w:t>inance</w:t>
            </w:r>
            <w:r w:rsidR="00644699" w:rsidRPr="009766D5">
              <w:rPr>
                <w:sz w:val="18"/>
                <w:szCs w:val="18"/>
                <w:lang w:val="en-GB"/>
              </w:rPr>
              <w:t>; M</w:t>
            </w:r>
            <w:r w:rsidRPr="009766D5">
              <w:rPr>
                <w:sz w:val="18"/>
                <w:szCs w:val="18"/>
                <w:lang w:val="en-GB"/>
              </w:rPr>
              <w:t xml:space="preserve">inistry of </w:t>
            </w:r>
            <w:r w:rsidR="00644699" w:rsidRPr="009766D5">
              <w:rPr>
                <w:sz w:val="18"/>
                <w:szCs w:val="18"/>
                <w:lang w:val="en-GB"/>
              </w:rPr>
              <w:t>D</w:t>
            </w:r>
            <w:r w:rsidRPr="009766D5">
              <w:rPr>
                <w:sz w:val="18"/>
                <w:szCs w:val="18"/>
                <w:lang w:val="en-GB"/>
              </w:rPr>
              <w:t xml:space="preserve">evelopment and </w:t>
            </w:r>
            <w:r w:rsidR="00644699" w:rsidRPr="009766D5">
              <w:rPr>
                <w:sz w:val="18"/>
                <w:szCs w:val="18"/>
                <w:lang w:val="en-GB"/>
              </w:rPr>
              <w:t>P</w:t>
            </w:r>
            <w:r w:rsidRPr="009766D5">
              <w:rPr>
                <w:sz w:val="18"/>
                <w:szCs w:val="18"/>
                <w:lang w:val="en-GB"/>
              </w:rPr>
              <w:t>lanning</w:t>
            </w:r>
          </w:p>
          <w:p w14:paraId="412295D9" w14:textId="0F2518BC" w:rsidR="00161EBF" w:rsidRPr="009766D5" w:rsidRDefault="00161EBF" w:rsidP="00654147">
            <w:pPr>
              <w:rPr>
                <w:sz w:val="18"/>
                <w:szCs w:val="18"/>
                <w:lang w:val="en-GB"/>
              </w:rPr>
            </w:pPr>
            <w:r w:rsidRPr="009766D5">
              <w:rPr>
                <w:sz w:val="18"/>
                <w:szCs w:val="18"/>
                <w:lang w:val="en-GB"/>
              </w:rPr>
              <w:t xml:space="preserve">Frequency: </w:t>
            </w:r>
            <w:r w:rsidR="00644699" w:rsidRPr="009766D5">
              <w:rPr>
                <w:sz w:val="18"/>
                <w:szCs w:val="18"/>
                <w:lang w:val="en-GB"/>
              </w:rPr>
              <w:t>B</w:t>
            </w:r>
            <w:r w:rsidRPr="009766D5">
              <w:rPr>
                <w:sz w:val="18"/>
                <w:szCs w:val="18"/>
                <w:lang w:val="en-GB"/>
              </w:rPr>
              <w:t>iennial</w:t>
            </w:r>
          </w:p>
          <w:p w14:paraId="66DB8D28" w14:textId="77777777" w:rsidR="00161EBF" w:rsidRPr="009766D5" w:rsidRDefault="00161EBF" w:rsidP="00654147">
            <w:pPr>
              <w:rPr>
                <w:sz w:val="18"/>
                <w:szCs w:val="18"/>
                <w:lang w:val="en-GB"/>
              </w:rPr>
            </w:pPr>
          </w:p>
          <w:p w14:paraId="512EFDCD" w14:textId="38496694" w:rsidR="00F76825" w:rsidRPr="009766D5" w:rsidRDefault="00161EBF" w:rsidP="001C30CE">
            <w:pPr>
              <w:rPr>
                <w:sz w:val="18"/>
                <w:szCs w:val="18"/>
                <w:lang w:val="en-GB"/>
              </w:rPr>
            </w:pPr>
            <w:r w:rsidRPr="009766D5">
              <w:rPr>
                <w:b/>
                <w:bCs/>
                <w:sz w:val="18"/>
                <w:szCs w:val="18"/>
                <w:lang w:val="en-GB"/>
              </w:rPr>
              <w:t>Indicator 2.6.2</w:t>
            </w:r>
            <w:r w:rsidR="00F76825" w:rsidRPr="009766D5">
              <w:rPr>
                <w:b/>
                <w:bCs/>
                <w:sz w:val="18"/>
                <w:szCs w:val="18"/>
                <w:lang w:val="en-GB"/>
              </w:rPr>
              <w:t>.</w:t>
            </w:r>
            <w:r w:rsidRPr="009766D5">
              <w:rPr>
                <w:sz w:val="18"/>
                <w:szCs w:val="18"/>
                <w:lang w:val="en-GB"/>
              </w:rPr>
              <w:t xml:space="preserve"> Extent to which the country has data collection and/or analysis mechanisms in place that provide disaggregated data to track progress towards achieving the </w:t>
            </w:r>
            <w:r w:rsidR="00255D8F" w:rsidRPr="009766D5">
              <w:rPr>
                <w:sz w:val="18"/>
                <w:szCs w:val="18"/>
                <w:lang w:val="en-GB"/>
              </w:rPr>
              <w:t>Sustainable Development Goals</w:t>
            </w:r>
            <w:r w:rsidRPr="009766D5">
              <w:rPr>
                <w:sz w:val="18"/>
                <w:szCs w:val="18"/>
                <w:lang w:val="en-GB"/>
              </w:rPr>
              <w:t xml:space="preserve"> </w:t>
            </w:r>
          </w:p>
          <w:p w14:paraId="0FC323E1" w14:textId="12CB8907" w:rsidR="00161EBF" w:rsidRPr="009766D5" w:rsidRDefault="00161EBF" w:rsidP="001C30CE">
            <w:pPr>
              <w:rPr>
                <w:sz w:val="18"/>
                <w:szCs w:val="18"/>
                <w:lang w:val="en-GB"/>
              </w:rPr>
            </w:pPr>
            <w:r w:rsidRPr="009766D5">
              <w:rPr>
                <w:sz w:val="18"/>
                <w:szCs w:val="18"/>
                <w:lang w:val="en-GB"/>
              </w:rPr>
              <w:lastRenderedPageBreak/>
              <w:t>(0=not set up 1=started, 2=in progress, 3=almost completed, 4=set up)</w:t>
            </w:r>
          </w:p>
          <w:p w14:paraId="4C443B3D" w14:textId="1AC8B4EC" w:rsidR="00161EBF" w:rsidRPr="009766D5" w:rsidRDefault="001853CC" w:rsidP="001C30CE">
            <w:pPr>
              <w:pStyle w:val="ListParagraph"/>
              <w:ind w:left="245"/>
              <w:rPr>
                <w:sz w:val="18"/>
                <w:szCs w:val="18"/>
                <w:lang w:val="en-GB"/>
              </w:rPr>
            </w:pPr>
            <w:r w:rsidRPr="009766D5">
              <w:rPr>
                <w:sz w:val="18"/>
                <w:szCs w:val="18"/>
                <w:lang w:val="en-GB"/>
              </w:rPr>
              <w:t>(</w:t>
            </w:r>
            <w:r w:rsidR="00161EBF" w:rsidRPr="009766D5">
              <w:rPr>
                <w:sz w:val="18"/>
                <w:szCs w:val="18"/>
                <w:lang w:val="en-GB"/>
              </w:rPr>
              <w:t>a</w:t>
            </w:r>
            <w:r w:rsidRPr="009766D5">
              <w:rPr>
                <w:sz w:val="18"/>
                <w:szCs w:val="18"/>
                <w:lang w:val="en-GB"/>
              </w:rPr>
              <w:t xml:space="preserve">) </w:t>
            </w:r>
            <w:r w:rsidR="00161EBF" w:rsidRPr="009766D5">
              <w:rPr>
                <w:sz w:val="18"/>
                <w:szCs w:val="18"/>
                <w:lang w:val="en-GB"/>
              </w:rPr>
              <w:t>Conventional data collection methods (e.g.</w:t>
            </w:r>
            <w:r w:rsidR="00F76825" w:rsidRPr="009766D5">
              <w:rPr>
                <w:sz w:val="18"/>
                <w:szCs w:val="18"/>
                <w:lang w:val="en-GB"/>
              </w:rPr>
              <w:t>,</w:t>
            </w:r>
            <w:r w:rsidR="00161EBF" w:rsidRPr="009766D5">
              <w:rPr>
                <w:sz w:val="18"/>
                <w:szCs w:val="18"/>
                <w:lang w:val="en-GB"/>
              </w:rPr>
              <w:t xml:space="preserve"> surveys)</w:t>
            </w:r>
          </w:p>
          <w:p w14:paraId="70A17E74" w14:textId="0F74379E" w:rsidR="00161EBF" w:rsidRPr="009766D5" w:rsidRDefault="001853CC" w:rsidP="001C30CE">
            <w:pPr>
              <w:pStyle w:val="ListParagraph"/>
              <w:ind w:left="245"/>
              <w:rPr>
                <w:sz w:val="18"/>
                <w:szCs w:val="18"/>
                <w:lang w:val="en-GB"/>
              </w:rPr>
            </w:pPr>
            <w:r w:rsidRPr="009766D5">
              <w:rPr>
                <w:sz w:val="18"/>
                <w:szCs w:val="18"/>
                <w:lang w:val="en-GB"/>
              </w:rPr>
              <w:t>(</w:t>
            </w:r>
            <w:r w:rsidR="00161EBF" w:rsidRPr="009766D5">
              <w:rPr>
                <w:sz w:val="18"/>
                <w:szCs w:val="18"/>
                <w:lang w:val="en-GB"/>
              </w:rPr>
              <w:t>b</w:t>
            </w:r>
            <w:r w:rsidRPr="009766D5">
              <w:rPr>
                <w:sz w:val="18"/>
                <w:szCs w:val="18"/>
                <w:lang w:val="en-GB"/>
              </w:rPr>
              <w:t xml:space="preserve">) </w:t>
            </w:r>
            <w:r w:rsidR="00161EBF" w:rsidRPr="009766D5">
              <w:rPr>
                <w:sz w:val="18"/>
                <w:szCs w:val="18"/>
                <w:lang w:val="en-GB"/>
              </w:rPr>
              <w:t>Administrative reporting systems</w:t>
            </w:r>
          </w:p>
          <w:p w14:paraId="7E7D2C89" w14:textId="78866DA1" w:rsidR="00161EBF" w:rsidRPr="009766D5" w:rsidRDefault="001853CC" w:rsidP="001C30CE">
            <w:pPr>
              <w:pStyle w:val="ListParagraph"/>
              <w:ind w:left="245"/>
              <w:rPr>
                <w:sz w:val="18"/>
                <w:szCs w:val="18"/>
                <w:lang w:val="en-GB"/>
              </w:rPr>
            </w:pPr>
            <w:r w:rsidRPr="009766D5">
              <w:rPr>
                <w:sz w:val="18"/>
                <w:szCs w:val="18"/>
                <w:lang w:val="en-GB"/>
              </w:rPr>
              <w:t>(</w:t>
            </w:r>
            <w:r w:rsidR="00161EBF" w:rsidRPr="009766D5">
              <w:rPr>
                <w:sz w:val="18"/>
                <w:szCs w:val="18"/>
                <w:lang w:val="en-GB"/>
              </w:rPr>
              <w:t>c</w:t>
            </w:r>
            <w:r w:rsidRPr="009766D5">
              <w:rPr>
                <w:sz w:val="18"/>
                <w:szCs w:val="18"/>
                <w:lang w:val="en-GB"/>
              </w:rPr>
              <w:t xml:space="preserve">) </w:t>
            </w:r>
            <w:r w:rsidR="00161EBF" w:rsidRPr="009766D5">
              <w:rPr>
                <w:sz w:val="18"/>
                <w:szCs w:val="18"/>
                <w:lang w:val="en-GB"/>
              </w:rPr>
              <w:t>New data sources (e.g.</w:t>
            </w:r>
            <w:r w:rsidR="00F76825" w:rsidRPr="009766D5">
              <w:rPr>
                <w:sz w:val="18"/>
                <w:szCs w:val="18"/>
                <w:lang w:val="en-GB"/>
              </w:rPr>
              <w:t>,</w:t>
            </w:r>
            <w:r w:rsidR="00161EBF" w:rsidRPr="009766D5">
              <w:rPr>
                <w:sz w:val="18"/>
                <w:szCs w:val="18"/>
                <w:lang w:val="en-GB"/>
              </w:rPr>
              <w:t xml:space="preserve"> big data)</w:t>
            </w:r>
          </w:p>
          <w:p w14:paraId="2322827A" w14:textId="77777777" w:rsidR="00161EBF" w:rsidRPr="009766D5" w:rsidRDefault="00161EBF" w:rsidP="00644699">
            <w:pPr>
              <w:rPr>
                <w:sz w:val="18"/>
                <w:szCs w:val="18"/>
                <w:lang w:val="en-GB"/>
              </w:rPr>
            </w:pPr>
            <w:r w:rsidRPr="009766D5">
              <w:rPr>
                <w:sz w:val="18"/>
                <w:szCs w:val="18"/>
                <w:lang w:val="en-GB"/>
              </w:rPr>
              <w:t>Baseline (2022): a-2; b-3; c-1</w:t>
            </w:r>
          </w:p>
          <w:p w14:paraId="7DF43BC9" w14:textId="77777777" w:rsidR="00161EBF" w:rsidRPr="009766D5" w:rsidRDefault="00161EBF" w:rsidP="001751ED">
            <w:pPr>
              <w:rPr>
                <w:sz w:val="18"/>
                <w:szCs w:val="18"/>
                <w:lang w:val="en-GB"/>
              </w:rPr>
            </w:pPr>
            <w:r w:rsidRPr="009766D5">
              <w:rPr>
                <w:sz w:val="18"/>
                <w:szCs w:val="18"/>
                <w:lang w:val="en-GB"/>
              </w:rPr>
              <w:t>Target (2026): a-4; b-4; c-4</w:t>
            </w:r>
          </w:p>
          <w:p w14:paraId="1DA69A70" w14:textId="77777777" w:rsidR="00161EBF" w:rsidRPr="009766D5" w:rsidRDefault="00161EBF" w:rsidP="001751ED">
            <w:pPr>
              <w:rPr>
                <w:sz w:val="18"/>
                <w:szCs w:val="18"/>
                <w:lang w:val="en-GB"/>
              </w:rPr>
            </w:pPr>
            <w:r w:rsidRPr="009766D5">
              <w:rPr>
                <w:sz w:val="18"/>
                <w:szCs w:val="18"/>
                <w:lang w:val="en-GB"/>
              </w:rPr>
              <w:t>Source: National Institute of Statistics and demography</w:t>
            </w:r>
          </w:p>
          <w:p w14:paraId="1B7F7D73" w14:textId="2232CAE5" w:rsidR="00161EBF" w:rsidRPr="009766D5" w:rsidRDefault="00161EBF" w:rsidP="00654147">
            <w:pPr>
              <w:rPr>
                <w:sz w:val="18"/>
                <w:szCs w:val="18"/>
                <w:lang w:val="en-GB"/>
              </w:rPr>
            </w:pPr>
            <w:r w:rsidRPr="009766D5">
              <w:rPr>
                <w:sz w:val="18"/>
                <w:szCs w:val="18"/>
                <w:lang w:val="en-GB"/>
              </w:rPr>
              <w:t xml:space="preserve">Frequency: </w:t>
            </w:r>
            <w:r w:rsidR="00F76825" w:rsidRPr="009766D5">
              <w:rPr>
                <w:sz w:val="18"/>
                <w:szCs w:val="18"/>
                <w:lang w:val="en-GB"/>
              </w:rPr>
              <w:t>A</w:t>
            </w:r>
            <w:r w:rsidRPr="009766D5">
              <w:rPr>
                <w:sz w:val="18"/>
                <w:szCs w:val="18"/>
                <w:lang w:val="en-GB"/>
              </w:rPr>
              <w:t xml:space="preserve">nnual </w:t>
            </w:r>
          </w:p>
          <w:p w14:paraId="04FC788D" w14:textId="77777777" w:rsidR="00161EBF" w:rsidRPr="009766D5" w:rsidRDefault="00161EBF" w:rsidP="00654147">
            <w:pPr>
              <w:rPr>
                <w:sz w:val="18"/>
                <w:szCs w:val="18"/>
                <w:lang w:val="en-GB"/>
              </w:rPr>
            </w:pPr>
          </w:p>
          <w:p w14:paraId="64A96F8B" w14:textId="7764143D" w:rsidR="00161EBF" w:rsidRPr="009766D5" w:rsidRDefault="00161EBF" w:rsidP="00654147">
            <w:pPr>
              <w:rPr>
                <w:sz w:val="18"/>
                <w:szCs w:val="18"/>
                <w:lang w:val="en-GB"/>
              </w:rPr>
            </w:pPr>
            <w:r w:rsidRPr="009766D5">
              <w:rPr>
                <w:b/>
                <w:bCs/>
                <w:sz w:val="18"/>
                <w:szCs w:val="18"/>
                <w:lang w:val="en-GB"/>
              </w:rPr>
              <w:t>Indicator 2.6.3</w:t>
            </w:r>
            <w:r w:rsidR="00F76825" w:rsidRPr="009766D5">
              <w:rPr>
                <w:b/>
                <w:bCs/>
                <w:sz w:val="18"/>
                <w:szCs w:val="18"/>
                <w:lang w:val="en-GB"/>
              </w:rPr>
              <w:t>.</w:t>
            </w:r>
            <w:r w:rsidRPr="009766D5">
              <w:rPr>
                <w:sz w:val="18"/>
                <w:szCs w:val="18"/>
                <w:lang w:val="en-GB"/>
              </w:rPr>
              <w:t xml:space="preserve"> Extent to which the country has a strengthened and operational planning framework (0=not set up 1=started, 2=in progress, 3=almost completed, 4=set up) </w:t>
            </w:r>
          </w:p>
          <w:p w14:paraId="53291BC9" w14:textId="5195A71B" w:rsidR="00161EBF" w:rsidRPr="009766D5" w:rsidRDefault="001853CC" w:rsidP="00654147">
            <w:pPr>
              <w:pStyle w:val="ListParagraph"/>
              <w:ind w:left="245"/>
              <w:rPr>
                <w:rStyle w:val="rynqvb"/>
                <w:sz w:val="18"/>
                <w:szCs w:val="18"/>
                <w:lang w:val="en-GB"/>
              </w:rPr>
            </w:pPr>
            <w:r w:rsidRPr="009766D5">
              <w:rPr>
                <w:rStyle w:val="rynqvb"/>
                <w:sz w:val="18"/>
                <w:szCs w:val="18"/>
                <w:lang w:val="en-GB"/>
              </w:rPr>
              <w:t>(</w:t>
            </w:r>
            <w:r w:rsidR="00161EBF" w:rsidRPr="009766D5">
              <w:rPr>
                <w:rStyle w:val="rynqvb"/>
                <w:sz w:val="18"/>
                <w:szCs w:val="18"/>
                <w:lang w:val="en-GB"/>
              </w:rPr>
              <w:t>a</w:t>
            </w:r>
            <w:r w:rsidRPr="009766D5">
              <w:rPr>
                <w:rStyle w:val="rynqvb"/>
                <w:sz w:val="18"/>
                <w:szCs w:val="18"/>
                <w:lang w:val="en-GB"/>
              </w:rPr>
              <w:t xml:space="preserve">) </w:t>
            </w:r>
            <w:r w:rsidR="00161EBF" w:rsidRPr="009766D5">
              <w:rPr>
                <w:rStyle w:val="rynqvb"/>
                <w:sz w:val="18"/>
                <w:szCs w:val="18"/>
                <w:lang w:val="en-GB"/>
              </w:rPr>
              <w:t>Existence of the prospective long-term development vision (Vision</w:t>
            </w:r>
            <w:r w:rsidRPr="009766D5">
              <w:rPr>
                <w:rStyle w:val="rynqvb"/>
                <w:sz w:val="18"/>
                <w:szCs w:val="18"/>
                <w:lang w:val="en-GB"/>
              </w:rPr>
              <w:t xml:space="preserve"> 2060</w:t>
            </w:r>
            <w:r w:rsidR="00161EBF" w:rsidRPr="009766D5">
              <w:rPr>
                <w:rStyle w:val="rynqvb"/>
                <w:sz w:val="18"/>
                <w:szCs w:val="18"/>
                <w:lang w:val="en-GB"/>
              </w:rPr>
              <w:t>)</w:t>
            </w:r>
          </w:p>
          <w:p w14:paraId="6B1BC442" w14:textId="192113A3" w:rsidR="00161EBF" w:rsidRPr="009766D5" w:rsidRDefault="001853CC" w:rsidP="00654147">
            <w:pPr>
              <w:pStyle w:val="ListParagraph"/>
              <w:ind w:left="245"/>
              <w:rPr>
                <w:sz w:val="18"/>
                <w:szCs w:val="18"/>
                <w:lang w:val="en-GB"/>
              </w:rPr>
            </w:pPr>
            <w:r w:rsidRPr="009766D5">
              <w:rPr>
                <w:rStyle w:val="rynqvb"/>
                <w:sz w:val="18"/>
                <w:szCs w:val="18"/>
                <w:lang w:val="en-GB"/>
              </w:rPr>
              <w:t>(</w:t>
            </w:r>
            <w:r w:rsidR="00161EBF" w:rsidRPr="009766D5">
              <w:rPr>
                <w:rStyle w:val="rynqvb"/>
                <w:sz w:val="18"/>
                <w:szCs w:val="18"/>
                <w:lang w:val="en-GB"/>
              </w:rPr>
              <w:t>b</w:t>
            </w:r>
            <w:r w:rsidRPr="009766D5">
              <w:rPr>
                <w:rStyle w:val="rynqvb"/>
                <w:sz w:val="18"/>
                <w:szCs w:val="18"/>
                <w:lang w:val="en-GB"/>
              </w:rPr>
              <w:t xml:space="preserve">) </w:t>
            </w:r>
            <w:r w:rsidR="00161EBF" w:rsidRPr="009766D5">
              <w:rPr>
                <w:rStyle w:val="rynqvb"/>
                <w:sz w:val="18"/>
                <w:szCs w:val="18"/>
                <w:lang w:val="en-GB"/>
              </w:rPr>
              <w:t xml:space="preserve">Vision </w:t>
            </w:r>
            <w:r w:rsidRPr="009766D5">
              <w:rPr>
                <w:rStyle w:val="rynqvb"/>
                <w:sz w:val="18"/>
                <w:szCs w:val="18"/>
                <w:lang w:val="en-GB"/>
              </w:rPr>
              <w:t xml:space="preserve">2060 </w:t>
            </w:r>
            <w:r w:rsidR="00161EBF" w:rsidRPr="009766D5">
              <w:rPr>
                <w:rStyle w:val="rynqvb"/>
                <w:sz w:val="18"/>
                <w:szCs w:val="18"/>
                <w:lang w:val="en-GB"/>
              </w:rPr>
              <w:t>evaluated periodically.</w:t>
            </w:r>
          </w:p>
          <w:p w14:paraId="23451ACE" w14:textId="77777777" w:rsidR="00161EBF" w:rsidRPr="009766D5" w:rsidRDefault="00161EBF" w:rsidP="00654147">
            <w:pPr>
              <w:jc w:val="both"/>
              <w:rPr>
                <w:sz w:val="18"/>
                <w:szCs w:val="18"/>
                <w:lang w:val="en-GB"/>
              </w:rPr>
            </w:pPr>
            <w:r w:rsidRPr="009766D5">
              <w:rPr>
                <w:sz w:val="18"/>
                <w:szCs w:val="18"/>
                <w:lang w:val="en-GB"/>
              </w:rPr>
              <w:t>Baseline (2022): a-1; b-0</w:t>
            </w:r>
          </w:p>
          <w:p w14:paraId="2D220A02" w14:textId="77777777" w:rsidR="00161EBF" w:rsidRPr="009766D5" w:rsidRDefault="00161EBF" w:rsidP="00654147">
            <w:pPr>
              <w:rPr>
                <w:sz w:val="18"/>
                <w:szCs w:val="18"/>
                <w:lang w:val="en-GB"/>
              </w:rPr>
            </w:pPr>
            <w:r w:rsidRPr="009766D5">
              <w:rPr>
                <w:sz w:val="18"/>
                <w:szCs w:val="18"/>
                <w:lang w:val="en-GB"/>
              </w:rPr>
              <w:t>Target (2026): a-4; b-3</w:t>
            </w:r>
          </w:p>
          <w:p w14:paraId="0DE6B8E9" w14:textId="37046D81" w:rsidR="00161EBF" w:rsidRPr="009766D5" w:rsidRDefault="00161EBF" w:rsidP="00654147">
            <w:pPr>
              <w:rPr>
                <w:sz w:val="18"/>
                <w:szCs w:val="18"/>
                <w:lang w:val="en-GB"/>
              </w:rPr>
            </w:pPr>
            <w:r w:rsidRPr="009766D5">
              <w:rPr>
                <w:sz w:val="18"/>
                <w:szCs w:val="18"/>
                <w:lang w:val="en-GB"/>
              </w:rPr>
              <w:t>Source: Ministry of Finance</w:t>
            </w:r>
            <w:r w:rsidR="00644699" w:rsidRPr="009766D5">
              <w:rPr>
                <w:sz w:val="18"/>
                <w:szCs w:val="18"/>
                <w:lang w:val="en-GB"/>
              </w:rPr>
              <w:t xml:space="preserve">; </w:t>
            </w:r>
            <w:r w:rsidRPr="009766D5">
              <w:rPr>
                <w:sz w:val="18"/>
                <w:szCs w:val="18"/>
                <w:lang w:val="en-GB"/>
              </w:rPr>
              <w:t xml:space="preserve">Ministry of </w:t>
            </w:r>
            <w:r w:rsidR="00644699" w:rsidRPr="009766D5">
              <w:rPr>
                <w:sz w:val="18"/>
                <w:szCs w:val="18"/>
                <w:lang w:val="en-GB"/>
              </w:rPr>
              <w:t>D</w:t>
            </w:r>
            <w:r w:rsidRPr="009766D5">
              <w:rPr>
                <w:sz w:val="18"/>
                <w:szCs w:val="18"/>
                <w:lang w:val="en-GB"/>
              </w:rPr>
              <w:t xml:space="preserve">evelopment and </w:t>
            </w:r>
            <w:r w:rsidR="00644699" w:rsidRPr="009766D5">
              <w:rPr>
                <w:sz w:val="18"/>
                <w:szCs w:val="18"/>
                <w:lang w:val="en-GB"/>
              </w:rPr>
              <w:t>P</w:t>
            </w:r>
            <w:r w:rsidRPr="009766D5">
              <w:rPr>
                <w:sz w:val="18"/>
                <w:szCs w:val="18"/>
                <w:lang w:val="en-GB"/>
              </w:rPr>
              <w:t>lanning</w:t>
            </w:r>
          </w:p>
          <w:p w14:paraId="67506F60" w14:textId="0D68582D" w:rsidR="00161EBF" w:rsidRPr="009766D5" w:rsidRDefault="00161EBF" w:rsidP="00654147">
            <w:pPr>
              <w:rPr>
                <w:sz w:val="18"/>
                <w:szCs w:val="18"/>
                <w:lang w:val="en-GB"/>
              </w:rPr>
            </w:pPr>
            <w:r w:rsidRPr="009766D5">
              <w:rPr>
                <w:sz w:val="18"/>
                <w:szCs w:val="18"/>
                <w:lang w:val="en-GB"/>
              </w:rPr>
              <w:t xml:space="preserve">Frequency: </w:t>
            </w:r>
            <w:r w:rsidR="00644699" w:rsidRPr="009766D5">
              <w:rPr>
                <w:sz w:val="18"/>
                <w:szCs w:val="18"/>
                <w:lang w:val="en-GB"/>
              </w:rPr>
              <w:t>A</w:t>
            </w:r>
            <w:r w:rsidRPr="009766D5">
              <w:rPr>
                <w:sz w:val="18"/>
                <w:szCs w:val="18"/>
                <w:lang w:val="en-GB"/>
              </w:rPr>
              <w:t xml:space="preserve">nnual </w:t>
            </w:r>
          </w:p>
          <w:p w14:paraId="13CDA093" w14:textId="77777777" w:rsidR="00161EBF" w:rsidRPr="009766D5" w:rsidRDefault="00161EBF" w:rsidP="00654147">
            <w:pPr>
              <w:rPr>
                <w:sz w:val="18"/>
                <w:szCs w:val="18"/>
                <w:lang w:val="en-GB"/>
              </w:rPr>
            </w:pPr>
          </w:p>
          <w:p w14:paraId="5295F40E" w14:textId="75236501" w:rsidR="00161EBF" w:rsidRPr="009766D5" w:rsidRDefault="00161EBF" w:rsidP="001C30CE">
            <w:pPr>
              <w:rPr>
                <w:sz w:val="18"/>
                <w:szCs w:val="18"/>
                <w:lang w:val="en-GB"/>
              </w:rPr>
            </w:pPr>
            <w:r w:rsidRPr="009766D5">
              <w:rPr>
                <w:b/>
                <w:bCs/>
                <w:sz w:val="18"/>
                <w:szCs w:val="18"/>
                <w:lang w:val="en-GB"/>
              </w:rPr>
              <w:t>Indicator 2.6.4</w:t>
            </w:r>
            <w:r w:rsidR="001853CC" w:rsidRPr="009766D5">
              <w:rPr>
                <w:b/>
                <w:bCs/>
                <w:sz w:val="18"/>
                <w:szCs w:val="18"/>
                <w:lang w:val="en-GB"/>
              </w:rPr>
              <w:t>.</w:t>
            </w:r>
            <w:r w:rsidRPr="009766D5">
              <w:rPr>
                <w:sz w:val="18"/>
                <w:szCs w:val="18"/>
                <w:lang w:val="en-GB"/>
              </w:rPr>
              <w:t xml:space="preserve"> Number of gender</w:t>
            </w:r>
            <w:r w:rsidR="00F76825" w:rsidRPr="009766D5">
              <w:rPr>
                <w:sz w:val="18"/>
                <w:szCs w:val="18"/>
                <w:lang w:val="en-GB"/>
              </w:rPr>
              <w:t>-</w:t>
            </w:r>
            <w:r w:rsidRPr="009766D5">
              <w:rPr>
                <w:sz w:val="18"/>
                <w:szCs w:val="18"/>
                <w:lang w:val="en-GB"/>
              </w:rPr>
              <w:t xml:space="preserve">sensitive reports available to measure national accountability for socio-economic progress – National Human Development Report, </w:t>
            </w:r>
            <w:r w:rsidR="001853CC" w:rsidRPr="009766D5">
              <w:rPr>
                <w:sz w:val="18"/>
                <w:szCs w:val="18"/>
                <w:lang w:val="en-GB"/>
              </w:rPr>
              <w:t>s</w:t>
            </w:r>
            <w:r w:rsidRPr="009766D5">
              <w:rPr>
                <w:sz w:val="18"/>
                <w:szCs w:val="18"/>
                <w:lang w:val="en-GB"/>
              </w:rPr>
              <w:t xml:space="preserve">ituation </w:t>
            </w:r>
            <w:r w:rsidR="001853CC" w:rsidRPr="009766D5">
              <w:rPr>
                <w:sz w:val="18"/>
                <w:szCs w:val="18"/>
                <w:lang w:val="en-GB"/>
              </w:rPr>
              <w:t>a</w:t>
            </w:r>
            <w:r w:rsidRPr="009766D5">
              <w:rPr>
                <w:sz w:val="18"/>
                <w:szCs w:val="18"/>
                <w:lang w:val="en-GB"/>
              </w:rPr>
              <w:t>nalysis</w:t>
            </w:r>
            <w:r w:rsidR="00F76825" w:rsidRPr="009766D5">
              <w:rPr>
                <w:sz w:val="18"/>
                <w:szCs w:val="18"/>
                <w:lang w:val="en-GB"/>
              </w:rPr>
              <w:t>,</w:t>
            </w:r>
            <w:r w:rsidRPr="009766D5">
              <w:rPr>
                <w:sz w:val="18"/>
                <w:szCs w:val="18"/>
                <w:lang w:val="en-GB"/>
              </w:rPr>
              <w:t xml:space="preserve"> </w:t>
            </w:r>
            <w:r w:rsidR="001853CC" w:rsidRPr="009766D5">
              <w:rPr>
                <w:sz w:val="18"/>
                <w:szCs w:val="18"/>
                <w:lang w:val="en-GB"/>
              </w:rPr>
              <w:t>v</w:t>
            </w:r>
            <w:r w:rsidRPr="009766D5">
              <w:rPr>
                <w:sz w:val="18"/>
                <w:szCs w:val="18"/>
                <w:lang w:val="en-GB"/>
              </w:rPr>
              <w:t xml:space="preserve">oluntary </w:t>
            </w:r>
            <w:r w:rsidR="00F76825" w:rsidRPr="009766D5">
              <w:rPr>
                <w:sz w:val="18"/>
                <w:szCs w:val="18"/>
                <w:lang w:val="en-GB"/>
              </w:rPr>
              <w:t>n</w:t>
            </w:r>
            <w:r w:rsidRPr="009766D5">
              <w:rPr>
                <w:sz w:val="18"/>
                <w:szCs w:val="18"/>
                <w:lang w:val="en-GB"/>
              </w:rPr>
              <w:t xml:space="preserve">ational </w:t>
            </w:r>
            <w:r w:rsidR="00F76825" w:rsidRPr="009766D5">
              <w:rPr>
                <w:sz w:val="18"/>
                <w:szCs w:val="18"/>
                <w:lang w:val="en-GB"/>
              </w:rPr>
              <w:t>r</w:t>
            </w:r>
            <w:r w:rsidRPr="009766D5">
              <w:rPr>
                <w:sz w:val="18"/>
                <w:szCs w:val="18"/>
                <w:lang w:val="en-GB"/>
              </w:rPr>
              <w:t>eport</w:t>
            </w:r>
          </w:p>
          <w:p w14:paraId="5DC08FF5" w14:textId="77777777" w:rsidR="00161EBF" w:rsidRPr="009766D5" w:rsidRDefault="00161EBF" w:rsidP="00644699">
            <w:pPr>
              <w:rPr>
                <w:sz w:val="18"/>
                <w:szCs w:val="18"/>
                <w:lang w:val="en-GB"/>
              </w:rPr>
            </w:pPr>
            <w:r w:rsidRPr="009766D5">
              <w:rPr>
                <w:sz w:val="18"/>
                <w:szCs w:val="18"/>
                <w:lang w:val="en-GB"/>
              </w:rPr>
              <w:t>Baseline (2022): 14</w:t>
            </w:r>
          </w:p>
          <w:p w14:paraId="3F5F7FCC" w14:textId="77777777" w:rsidR="00161EBF" w:rsidRPr="009766D5" w:rsidRDefault="00161EBF" w:rsidP="001751ED">
            <w:pPr>
              <w:rPr>
                <w:sz w:val="18"/>
                <w:szCs w:val="18"/>
                <w:lang w:val="en-GB"/>
              </w:rPr>
            </w:pPr>
            <w:r w:rsidRPr="009766D5">
              <w:rPr>
                <w:sz w:val="18"/>
                <w:szCs w:val="18"/>
                <w:lang w:val="en-GB"/>
              </w:rPr>
              <w:t>Target (2026): 22</w:t>
            </w:r>
          </w:p>
          <w:p w14:paraId="4DB68E20" w14:textId="4748E983" w:rsidR="00161EBF" w:rsidRPr="009766D5" w:rsidRDefault="00161EBF" w:rsidP="001751ED">
            <w:pPr>
              <w:rPr>
                <w:sz w:val="18"/>
                <w:szCs w:val="18"/>
                <w:lang w:val="en-GB"/>
              </w:rPr>
            </w:pPr>
            <w:r w:rsidRPr="009766D5">
              <w:rPr>
                <w:sz w:val="18"/>
                <w:szCs w:val="18"/>
                <w:lang w:val="en-GB"/>
              </w:rPr>
              <w:t>Source: Ministry of Finance</w:t>
            </w:r>
            <w:r w:rsidR="00F76825" w:rsidRPr="009766D5">
              <w:rPr>
                <w:sz w:val="18"/>
                <w:szCs w:val="18"/>
                <w:lang w:val="en-GB"/>
              </w:rPr>
              <w:t xml:space="preserve">, </w:t>
            </w:r>
            <w:r w:rsidR="00644699" w:rsidRPr="009766D5">
              <w:rPr>
                <w:sz w:val="18"/>
                <w:szCs w:val="18"/>
                <w:lang w:val="en-GB"/>
              </w:rPr>
              <w:t>M</w:t>
            </w:r>
            <w:r w:rsidRPr="009766D5">
              <w:rPr>
                <w:sz w:val="18"/>
                <w:szCs w:val="18"/>
                <w:lang w:val="en-GB"/>
              </w:rPr>
              <w:t xml:space="preserve">inistry of </w:t>
            </w:r>
            <w:r w:rsidR="00644699" w:rsidRPr="009766D5">
              <w:rPr>
                <w:sz w:val="18"/>
                <w:szCs w:val="18"/>
                <w:lang w:val="en-GB"/>
              </w:rPr>
              <w:t>D</w:t>
            </w:r>
            <w:r w:rsidRPr="009766D5">
              <w:rPr>
                <w:sz w:val="18"/>
                <w:szCs w:val="18"/>
                <w:lang w:val="en-GB"/>
              </w:rPr>
              <w:t xml:space="preserve">evelopment and </w:t>
            </w:r>
            <w:r w:rsidR="00644699" w:rsidRPr="009766D5">
              <w:rPr>
                <w:sz w:val="18"/>
                <w:szCs w:val="18"/>
                <w:lang w:val="en-GB"/>
              </w:rPr>
              <w:t>P</w:t>
            </w:r>
            <w:r w:rsidRPr="009766D5">
              <w:rPr>
                <w:sz w:val="18"/>
                <w:szCs w:val="18"/>
                <w:lang w:val="en-GB"/>
              </w:rPr>
              <w:t>lanning</w:t>
            </w:r>
          </w:p>
          <w:p w14:paraId="6F77335F" w14:textId="28D069D1" w:rsidR="00161EBF" w:rsidRPr="009766D5" w:rsidRDefault="00161EBF" w:rsidP="001751ED">
            <w:pPr>
              <w:rPr>
                <w:sz w:val="18"/>
                <w:szCs w:val="18"/>
                <w:lang w:val="en-GB"/>
              </w:rPr>
            </w:pPr>
            <w:r w:rsidRPr="009766D5">
              <w:rPr>
                <w:sz w:val="18"/>
                <w:szCs w:val="18"/>
                <w:lang w:val="en-GB"/>
              </w:rPr>
              <w:t xml:space="preserve">Frequency: </w:t>
            </w:r>
            <w:r w:rsidR="00644699" w:rsidRPr="009766D5">
              <w:rPr>
                <w:sz w:val="18"/>
                <w:szCs w:val="18"/>
                <w:lang w:val="en-GB"/>
              </w:rPr>
              <w:t>A</w:t>
            </w:r>
            <w:r w:rsidRPr="009766D5">
              <w:rPr>
                <w:sz w:val="18"/>
                <w:szCs w:val="18"/>
                <w:lang w:val="en-GB"/>
              </w:rPr>
              <w:t>nnual</w:t>
            </w:r>
          </w:p>
          <w:p w14:paraId="4AFAA3DF" w14:textId="77777777" w:rsidR="00161EBF" w:rsidRPr="009766D5" w:rsidRDefault="00161EBF" w:rsidP="001751ED">
            <w:pPr>
              <w:rPr>
                <w:sz w:val="18"/>
                <w:szCs w:val="18"/>
                <w:lang w:val="en-GB"/>
              </w:rPr>
            </w:pPr>
          </w:p>
          <w:p w14:paraId="0C6D6C45" w14:textId="3778A730" w:rsidR="00161EBF" w:rsidRPr="009766D5" w:rsidRDefault="00161EBF" w:rsidP="00EF6329">
            <w:pPr>
              <w:pStyle w:val="pf0"/>
              <w:spacing w:before="0" w:beforeAutospacing="0" w:after="0" w:afterAutospacing="0"/>
              <w:rPr>
                <w:sz w:val="18"/>
                <w:szCs w:val="18"/>
                <w:lang w:val="en-GB"/>
              </w:rPr>
            </w:pPr>
            <w:r w:rsidRPr="009766D5">
              <w:rPr>
                <w:b/>
                <w:bCs/>
                <w:sz w:val="18"/>
                <w:szCs w:val="18"/>
                <w:lang w:val="en-GB"/>
              </w:rPr>
              <w:t>Indicator 2.6.5</w:t>
            </w:r>
            <w:r w:rsidR="001853CC" w:rsidRPr="009766D5">
              <w:rPr>
                <w:b/>
                <w:bCs/>
                <w:sz w:val="18"/>
                <w:szCs w:val="18"/>
                <w:lang w:val="en-GB"/>
              </w:rPr>
              <w:t>.</w:t>
            </w:r>
            <w:r w:rsidRPr="009766D5">
              <w:rPr>
                <w:sz w:val="18"/>
                <w:szCs w:val="18"/>
                <w:lang w:val="en-GB"/>
              </w:rPr>
              <w:t xml:space="preserve"> Number of financing instruments put in place</w:t>
            </w:r>
          </w:p>
          <w:p w14:paraId="5CDF46C4" w14:textId="099E1447" w:rsidR="00161EBF" w:rsidRPr="009766D5" w:rsidRDefault="00161EBF" w:rsidP="00654147">
            <w:pPr>
              <w:pStyle w:val="pf0"/>
              <w:spacing w:before="0" w:beforeAutospacing="0" w:after="0" w:afterAutospacing="0"/>
              <w:rPr>
                <w:sz w:val="18"/>
                <w:szCs w:val="18"/>
                <w:lang w:val="en-GB"/>
              </w:rPr>
            </w:pPr>
            <w:r w:rsidRPr="009766D5">
              <w:rPr>
                <w:sz w:val="18"/>
                <w:szCs w:val="18"/>
                <w:lang w:val="en-GB"/>
              </w:rPr>
              <w:t>Baseline (2022):</w:t>
            </w:r>
            <w:r w:rsidR="00F76825" w:rsidRPr="009766D5">
              <w:rPr>
                <w:sz w:val="18"/>
                <w:szCs w:val="18"/>
                <w:lang w:val="en-GB"/>
              </w:rPr>
              <w:t xml:space="preserve"> </w:t>
            </w:r>
            <w:r w:rsidRPr="009766D5">
              <w:rPr>
                <w:sz w:val="18"/>
                <w:szCs w:val="18"/>
                <w:lang w:val="en-GB"/>
              </w:rPr>
              <w:t>0</w:t>
            </w:r>
          </w:p>
          <w:p w14:paraId="7CAAB3C7" w14:textId="42E2911C" w:rsidR="00161EBF" w:rsidRPr="009766D5" w:rsidRDefault="00161EBF" w:rsidP="00654147">
            <w:pPr>
              <w:pStyle w:val="pf0"/>
              <w:spacing w:before="0" w:beforeAutospacing="0" w:after="0" w:afterAutospacing="0"/>
              <w:rPr>
                <w:sz w:val="18"/>
                <w:szCs w:val="18"/>
                <w:lang w:val="en-GB"/>
              </w:rPr>
            </w:pPr>
            <w:r w:rsidRPr="009766D5">
              <w:rPr>
                <w:sz w:val="18"/>
                <w:szCs w:val="18"/>
                <w:lang w:val="en-GB"/>
              </w:rPr>
              <w:t>Target (2026):</w:t>
            </w:r>
            <w:r w:rsidR="00F76825" w:rsidRPr="009766D5">
              <w:rPr>
                <w:sz w:val="18"/>
                <w:szCs w:val="18"/>
                <w:lang w:val="en-GB"/>
              </w:rPr>
              <w:t xml:space="preserve"> </w:t>
            </w:r>
            <w:r w:rsidRPr="009766D5">
              <w:rPr>
                <w:sz w:val="18"/>
                <w:szCs w:val="18"/>
                <w:lang w:val="en-GB"/>
              </w:rPr>
              <w:t>3</w:t>
            </w:r>
          </w:p>
          <w:p w14:paraId="3BBFCCAF" w14:textId="77777777" w:rsidR="00161EBF" w:rsidRPr="009766D5" w:rsidRDefault="00161EBF" w:rsidP="00654147">
            <w:pPr>
              <w:rPr>
                <w:sz w:val="18"/>
                <w:szCs w:val="18"/>
                <w:lang w:val="en-GB"/>
              </w:rPr>
            </w:pPr>
            <w:r w:rsidRPr="009766D5">
              <w:rPr>
                <w:sz w:val="18"/>
                <w:szCs w:val="18"/>
                <w:lang w:val="en-GB"/>
              </w:rPr>
              <w:t>Source: MEF</w:t>
            </w:r>
          </w:p>
          <w:p w14:paraId="481C24EC" w14:textId="77777777" w:rsidR="00161EBF" w:rsidRPr="009766D5" w:rsidRDefault="00161EBF" w:rsidP="00654147">
            <w:pPr>
              <w:rPr>
                <w:i/>
                <w:iCs/>
                <w:sz w:val="18"/>
                <w:szCs w:val="18"/>
                <w:lang w:val="en-GB"/>
              </w:rPr>
            </w:pPr>
            <w:r w:rsidRPr="009766D5">
              <w:rPr>
                <w:sz w:val="18"/>
                <w:szCs w:val="18"/>
                <w:lang w:val="en-GB"/>
              </w:rPr>
              <w:t>Frequency: Annual</w:t>
            </w:r>
          </w:p>
        </w:tc>
        <w:tc>
          <w:tcPr>
            <w:tcW w:w="3536" w:type="dxa"/>
          </w:tcPr>
          <w:p w14:paraId="7AC15948" w14:textId="0550339D" w:rsidR="00161EBF" w:rsidRPr="009766D5" w:rsidRDefault="00161EBF" w:rsidP="00654147">
            <w:pPr>
              <w:rPr>
                <w:b/>
                <w:bCs/>
                <w:sz w:val="18"/>
                <w:szCs w:val="18"/>
                <w:lang w:val="en-GB"/>
              </w:rPr>
            </w:pPr>
            <w:r w:rsidRPr="009766D5">
              <w:rPr>
                <w:b/>
                <w:bCs/>
                <w:sz w:val="18"/>
                <w:szCs w:val="18"/>
                <w:lang w:val="en-GB"/>
              </w:rPr>
              <w:lastRenderedPageBreak/>
              <w:t>Government partners:</w:t>
            </w:r>
          </w:p>
          <w:p w14:paraId="668B2068" w14:textId="77777777" w:rsidR="00161EBF" w:rsidRPr="009766D5" w:rsidRDefault="00161EBF" w:rsidP="00654147">
            <w:pPr>
              <w:rPr>
                <w:i/>
                <w:iCs/>
                <w:sz w:val="18"/>
                <w:szCs w:val="18"/>
                <w:lang w:val="en-GB"/>
              </w:rPr>
            </w:pPr>
          </w:p>
          <w:p w14:paraId="02671C5D" w14:textId="77777777" w:rsidR="00161EBF" w:rsidRPr="009766D5" w:rsidRDefault="00161EBF" w:rsidP="00654147">
            <w:pPr>
              <w:jc w:val="both"/>
              <w:rPr>
                <w:sz w:val="18"/>
                <w:szCs w:val="18"/>
                <w:lang w:val="en-GB"/>
              </w:rPr>
            </w:pPr>
            <w:r w:rsidRPr="009766D5">
              <w:rPr>
                <w:sz w:val="18"/>
                <w:szCs w:val="18"/>
                <w:lang w:val="en-GB"/>
              </w:rPr>
              <w:t xml:space="preserve">Ministries of </w:t>
            </w:r>
          </w:p>
          <w:p w14:paraId="48B7C273" w14:textId="17B34BAD" w:rsidR="00161EBF" w:rsidRPr="009766D5" w:rsidRDefault="00161EBF" w:rsidP="0052044C">
            <w:pPr>
              <w:pStyle w:val="ListParagraph"/>
              <w:jc w:val="both"/>
              <w:rPr>
                <w:sz w:val="18"/>
                <w:szCs w:val="18"/>
                <w:lang w:val="en-GB"/>
              </w:rPr>
            </w:pPr>
            <w:r w:rsidRPr="009766D5">
              <w:rPr>
                <w:sz w:val="18"/>
                <w:szCs w:val="18"/>
                <w:lang w:val="en-GB"/>
              </w:rPr>
              <w:t xml:space="preserve">Labour and Public Service </w:t>
            </w:r>
          </w:p>
          <w:p w14:paraId="4CAB8521" w14:textId="626C5B2F" w:rsidR="00161EBF" w:rsidRPr="009766D5" w:rsidRDefault="00161EBF" w:rsidP="0052044C">
            <w:pPr>
              <w:pStyle w:val="ListParagraph"/>
              <w:jc w:val="both"/>
              <w:rPr>
                <w:sz w:val="18"/>
                <w:szCs w:val="18"/>
                <w:lang w:val="en-GB"/>
              </w:rPr>
            </w:pPr>
            <w:r w:rsidRPr="009766D5">
              <w:rPr>
                <w:sz w:val="18"/>
                <w:szCs w:val="18"/>
                <w:lang w:val="en-GB"/>
              </w:rPr>
              <w:t xml:space="preserve">Justice and Legislation </w:t>
            </w:r>
          </w:p>
          <w:p w14:paraId="6B1F1B2D" w14:textId="40CF5EAB" w:rsidR="00161EBF" w:rsidRPr="009766D5" w:rsidRDefault="00161EBF" w:rsidP="0052044C">
            <w:pPr>
              <w:pStyle w:val="ListParagraph"/>
              <w:jc w:val="both"/>
              <w:rPr>
                <w:sz w:val="18"/>
                <w:szCs w:val="18"/>
                <w:lang w:val="en-GB"/>
              </w:rPr>
            </w:pPr>
            <w:r w:rsidRPr="009766D5">
              <w:rPr>
                <w:sz w:val="18"/>
                <w:szCs w:val="18"/>
                <w:lang w:val="en-GB"/>
              </w:rPr>
              <w:t>Interior and Public Security</w:t>
            </w:r>
          </w:p>
          <w:p w14:paraId="23628589" w14:textId="3470D3AB" w:rsidR="00161EBF" w:rsidRPr="009766D5" w:rsidRDefault="00161EBF" w:rsidP="0052044C">
            <w:pPr>
              <w:pStyle w:val="ListParagraph"/>
              <w:jc w:val="both"/>
              <w:rPr>
                <w:sz w:val="18"/>
                <w:szCs w:val="18"/>
                <w:lang w:val="en-GB"/>
              </w:rPr>
            </w:pPr>
            <w:r w:rsidRPr="009766D5">
              <w:rPr>
                <w:sz w:val="18"/>
                <w:szCs w:val="18"/>
                <w:lang w:val="en-GB"/>
              </w:rPr>
              <w:t>Social Affairs and Microfinance</w:t>
            </w:r>
          </w:p>
          <w:p w14:paraId="513FBAFE" w14:textId="77777777" w:rsidR="00154BB0" w:rsidRPr="009766D5" w:rsidRDefault="00161EBF" w:rsidP="003D165B">
            <w:pPr>
              <w:pStyle w:val="ListParagraph"/>
              <w:rPr>
                <w:sz w:val="18"/>
                <w:szCs w:val="18"/>
                <w:lang w:val="en-GB"/>
              </w:rPr>
            </w:pPr>
            <w:r w:rsidRPr="009766D5">
              <w:rPr>
                <w:sz w:val="18"/>
                <w:szCs w:val="18"/>
                <w:lang w:val="en-GB"/>
              </w:rPr>
              <w:t>Development and Coordination of</w:t>
            </w:r>
          </w:p>
          <w:p w14:paraId="15A999BC" w14:textId="6F056643" w:rsidR="00161EBF" w:rsidRPr="009766D5" w:rsidRDefault="00154BB0" w:rsidP="003D165B">
            <w:pPr>
              <w:pStyle w:val="ListParagraph"/>
              <w:rPr>
                <w:sz w:val="18"/>
                <w:szCs w:val="18"/>
                <w:lang w:val="en-GB"/>
              </w:rPr>
            </w:pPr>
            <w:r w:rsidRPr="009766D5">
              <w:rPr>
                <w:sz w:val="18"/>
                <w:szCs w:val="18"/>
                <w:lang w:val="en-GB"/>
              </w:rPr>
              <w:t xml:space="preserve">  </w:t>
            </w:r>
            <w:r w:rsidR="00161EBF" w:rsidRPr="009766D5">
              <w:rPr>
                <w:sz w:val="18"/>
                <w:szCs w:val="18"/>
                <w:lang w:val="en-GB"/>
              </w:rPr>
              <w:t>Governmental Action.</w:t>
            </w:r>
          </w:p>
          <w:p w14:paraId="267B8748" w14:textId="77777777" w:rsidR="00161EBF" w:rsidRPr="009766D5" w:rsidRDefault="00161EBF" w:rsidP="001C30CE">
            <w:pPr>
              <w:pStyle w:val="ListParagraph"/>
              <w:jc w:val="both"/>
              <w:rPr>
                <w:sz w:val="18"/>
                <w:szCs w:val="18"/>
                <w:lang w:val="en-GB"/>
              </w:rPr>
            </w:pPr>
            <w:r w:rsidRPr="009766D5">
              <w:rPr>
                <w:sz w:val="18"/>
                <w:szCs w:val="18"/>
                <w:lang w:val="en-GB"/>
              </w:rPr>
              <w:t>Economy and Finance</w:t>
            </w:r>
          </w:p>
          <w:p w14:paraId="6C01A1A8" w14:textId="77777777" w:rsidR="00161EBF" w:rsidRPr="009766D5" w:rsidRDefault="00161EBF" w:rsidP="00654147">
            <w:pPr>
              <w:jc w:val="both"/>
              <w:rPr>
                <w:sz w:val="18"/>
                <w:szCs w:val="18"/>
                <w:lang w:val="en-GB"/>
              </w:rPr>
            </w:pPr>
          </w:p>
          <w:p w14:paraId="15A39555" w14:textId="331FA48A" w:rsidR="00161EBF" w:rsidRPr="009766D5" w:rsidRDefault="00161EBF" w:rsidP="00654147">
            <w:pPr>
              <w:jc w:val="both"/>
              <w:rPr>
                <w:sz w:val="18"/>
                <w:szCs w:val="18"/>
                <w:lang w:val="en-GB"/>
              </w:rPr>
            </w:pPr>
            <w:r w:rsidRPr="009766D5">
              <w:rPr>
                <w:sz w:val="18"/>
                <w:szCs w:val="18"/>
                <w:lang w:val="en-GB"/>
              </w:rPr>
              <w:t>Women</w:t>
            </w:r>
            <w:r w:rsidR="00154BB0" w:rsidRPr="009766D5">
              <w:rPr>
                <w:sz w:val="18"/>
                <w:szCs w:val="18"/>
                <w:lang w:val="en-GB"/>
              </w:rPr>
              <w:t>’s</w:t>
            </w:r>
            <w:r w:rsidRPr="009766D5">
              <w:rPr>
                <w:sz w:val="18"/>
                <w:szCs w:val="18"/>
                <w:lang w:val="en-GB"/>
              </w:rPr>
              <w:t xml:space="preserve"> National Institute </w:t>
            </w:r>
          </w:p>
          <w:p w14:paraId="3FA4958D" w14:textId="77777777" w:rsidR="00161EBF" w:rsidRPr="009766D5" w:rsidRDefault="00161EBF" w:rsidP="00654147">
            <w:pPr>
              <w:rPr>
                <w:sz w:val="18"/>
                <w:szCs w:val="18"/>
                <w:lang w:val="en-GB"/>
              </w:rPr>
            </w:pPr>
          </w:p>
          <w:p w14:paraId="280A1A7D" w14:textId="77777777" w:rsidR="00161EBF" w:rsidRPr="009766D5" w:rsidRDefault="00161EBF" w:rsidP="00654147">
            <w:pPr>
              <w:rPr>
                <w:b/>
                <w:bCs/>
                <w:sz w:val="18"/>
                <w:szCs w:val="18"/>
                <w:lang w:val="en-GB"/>
              </w:rPr>
            </w:pPr>
            <w:r w:rsidRPr="009766D5">
              <w:rPr>
                <w:b/>
                <w:bCs/>
                <w:sz w:val="18"/>
                <w:szCs w:val="18"/>
                <w:lang w:val="en-GB"/>
              </w:rPr>
              <w:lastRenderedPageBreak/>
              <w:t>United Nations system partners:</w:t>
            </w:r>
          </w:p>
          <w:p w14:paraId="70A5B5BB" w14:textId="084FD71A" w:rsidR="00161EBF" w:rsidRPr="009766D5" w:rsidRDefault="00154BB0" w:rsidP="00654147">
            <w:pPr>
              <w:rPr>
                <w:sz w:val="18"/>
                <w:szCs w:val="18"/>
                <w:lang w:val="en-GB"/>
              </w:rPr>
            </w:pPr>
            <w:r w:rsidRPr="009766D5">
              <w:rPr>
                <w:sz w:val="18"/>
                <w:szCs w:val="18"/>
                <w:lang w:val="en-GB"/>
              </w:rPr>
              <w:t>UNFPA</w:t>
            </w:r>
          </w:p>
          <w:p w14:paraId="2213F6CA" w14:textId="77777777" w:rsidR="001A4D0B" w:rsidRPr="009766D5" w:rsidRDefault="001A4D0B" w:rsidP="001A4D0B">
            <w:pPr>
              <w:rPr>
                <w:sz w:val="18"/>
                <w:szCs w:val="18"/>
                <w:lang w:val="en-GB"/>
              </w:rPr>
            </w:pPr>
            <w:r w:rsidRPr="009766D5">
              <w:rPr>
                <w:sz w:val="18"/>
                <w:szCs w:val="18"/>
                <w:lang w:val="en-GB"/>
              </w:rPr>
              <w:t>UNICEF</w:t>
            </w:r>
          </w:p>
          <w:p w14:paraId="2039B3A8" w14:textId="571B02B8" w:rsidR="00161EBF" w:rsidRPr="009766D5" w:rsidRDefault="00161EBF" w:rsidP="00654147">
            <w:pPr>
              <w:rPr>
                <w:sz w:val="18"/>
                <w:szCs w:val="18"/>
                <w:lang w:val="en-GB"/>
              </w:rPr>
            </w:pPr>
            <w:r w:rsidRPr="009766D5">
              <w:rPr>
                <w:sz w:val="18"/>
                <w:szCs w:val="18"/>
                <w:lang w:val="en-GB"/>
              </w:rPr>
              <w:t>UN</w:t>
            </w:r>
            <w:r w:rsidR="00575B4C" w:rsidRPr="009766D5">
              <w:rPr>
                <w:sz w:val="18"/>
                <w:szCs w:val="18"/>
                <w:lang w:val="en-GB"/>
              </w:rPr>
              <w:t>-</w:t>
            </w:r>
            <w:r w:rsidRPr="009766D5">
              <w:rPr>
                <w:sz w:val="18"/>
                <w:szCs w:val="18"/>
                <w:lang w:val="en-GB"/>
              </w:rPr>
              <w:t>Women</w:t>
            </w:r>
          </w:p>
          <w:p w14:paraId="60ADFD16" w14:textId="127E60D6" w:rsidR="00161EBF" w:rsidRPr="009766D5" w:rsidRDefault="00161EBF" w:rsidP="00654147">
            <w:pPr>
              <w:rPr>
                <w:sz w:val="18"/>
                <w:szCs w:val="18"/>
                <w:lang w:val="en-GB"/>
              </w:rPr>
            </w:pPr>
            <w:r w:rsidRPr="009766D5">
              <w:rPr>
                <w:sz w:val="18"/>
                <w:szCs w:val="18"/>
                <w:lang w:val="en-GB"/>
              </w:rPr>
              <w:t>UNV</w:t>
            </w:r>
            <w:r w:rsidR="00154BB0" w:rsidRPr="009766D5">
              <w:rPr>
                <w:sz w:val="18"/>
                <w:szCs w:val="18"/>
                <w:lang w:val="en-GB"/>
              </w:rPr>
              <w:t xml:space="preserve"> programme</w:t>
            </w:r>
          </w:p>
          <w:p w14:paraId="0DD312A8" w14:textId="77777777" w:rsidR="00161EBF" w:rsidRPr="009766D5" w:rsidRDefault="00161EBF" w:rsidP="00654147">
            <w:pPr>
              <w:rPr>
                <w:b/>
                <w:bCs/>
                <w:sz w:val="18"/>
                <w:szCs w:val="18"/>
                <w:lang w:val="en-GB"/>
              </w:rPr>
            </w:pPr>
          </w:p>
          <w:p w14:paraId="757F6C74" w14:textId="77777777" w:rsidR="00161EBF" w:rsidRPr="009766D5" w:rsidRDefault="00161EBF" w:rsidP="00654147">
            <w:pPr>
              <w:rPr>
                <w:b/>
                <w:bCs/>
                <w:sz w:val="18"/>
                <w:szCs w:val="18"/>
                <w:lang w:val="en-GB"/>
              </w:rPr>
            </w:pPr>
            <w:r w:rsidRPr="009766D5">
              <w:rPr>
                <w:b/>
                <w:bCs/>
                <w:sz w:val="18"/>
                <w:szCs w:val="18"/>
                <w:lang w:val="en-GB"/>
              </w:rPr>
              <w:t>Civil society:</w:t>
            </w:r>
          </w:p>
          <w:p w14:paraId="34708B89" w14:textId="77777777" w:rsidR="00161EBF" w:rsidRPr="009766D5" w:rsidRDefault="00161EBF" w:rsidP="00654147">
            <w:pPr>
              <w:rPr>
                <w:sz w:val="18"/>
                <w:szCs w:val="18"/>
                <w:lang w:val="en-GB"/>
              </w:rPr>
            </w:pPr>
            <w:r w:rsidRPr="009766D5">
              <w:rPr>
                <w:sz w:val="18"/>
                <w:szCs w:val="18"/>
                <w:lang w:val="en-GB"/>
              </w:rPr>
              <w:t>Social Watch</w:t>
            </w:r>
          </w:p>
          <w:p w14:paraId="2CEBE6B4" w14:textId="77777777" w:rsidR="00CD7F4B" w:rsidRPr="009766D5" w:rsidRDefault="00161EBF" w:rsidP="00654147">
            <w:pPr>
              <w:rPr>
                <w:sz w:val="18"/>
                <w:szCs w:val="18"/>
                <w:lang w:val="en-GB"/>
              </w:rPr>
            </w:pPr>
            <w:r w:rsidRPr="009766D5">
              <w:rPr>
                <w:sz w:val="18"/>
                <w:szCs w:val="18"/>
                <w:lang w:val="en-GB"/>
              </w:rPr>
              <w:t>NGO</w:t>
            </w:r>
            <w:r w:rsidR="00CD7F4B" w:rsidRPr="009766D5">
              <w:rPr>
                <w:sz w:val="18"/>
                <w:szCs w:val="18"/>
                <w:lang w:val="en-GB"/>
              </w:rPr>
              <w:t>s</w:t>
            </w:r>
            <w:r w:rsidRPr="009766D5">
              <w:rPr>
                <w:sz w:val="18"/>
                <w:szCs w:val="18"/>
                <w:lang w:val="en-GB"/>
              </w:rPr>
              <w:t> </w:t>
            </w:r>
          </w:p>
          <w:p w14:paraId="615804F9" w14:textId="58277021" w:rsidR="0035108B" w:rsidRPr="009766D5" w:rsidRDefault="00161EBF" w:rsidP="00654147">
            <w:pPr>
              <w:rPr>
                <w:sz w:val="18"/>
                <w:szCs w:val="18"/>
                <w:lang w:val="en-GB"/>
              </w:rPr>
            </w:pPr>
            <w:r w:rsidRPr="009766D5">
              <w:rPr>
                <w:sz w:val="18"/>
                <w:szCs w:val="18"/>
                <w:lang w:val="en-GB"/>
              </w:rPr>
              <w:t>Network for Sustainable Development Objectives</w:t>
            </w:r>
          </w:p>
          <w:p w14:paraId="5CA5E81A" w14:textId="0BCBE356" w:rsidR="00161EBF" w:rsidRPr="009766D5" w:rsidRDefault="00161EBF" w:rsidP="00654147">
            <w:pPr>
              <w:rPr>
                <w:sz w:val="18"/>
                <w:szCs w:val="18"/>
                <w:lang w:val="en-GB"/>
              </w:rPr>
            </w:pPr>
            <w:r w:rsidRPr="009766D5">
              <w:rPr>
                <w:sz w:val="18"/>
                <w:szCs w:val="18"/>
                <w:lang w:val="en-GB"/>
              </w:rPr>
              <w:t>West African Network for Peacebuilding</w:t>
            </w:r>
          </w:p>
          <w:p w14:paraId="63C60569" w14:textId="77777777" w:rsidR="00161EBF" w:rsidRPr="009766D5" w:rsidRDefault="00161EBF" w:rsidP="00654147">
            <w:pPr>
              <w:rPr>
                <w:sz w:val="18"/>
                <w:szCs w:val="18"/>
                <w:lang w:val="en-GB"/>
              </w:rPr>
            </w:pPr>
            <w:r w:rsidRPr="009766D5">
              <w:rPr>
                <w:sz w:val="18"/>
                <w:szCs w:val="18"/>
                <w:lang w:val="en-GB"/>
              </w:rPr>
              <w:t>Platform of Civil Society Actors in Benin </w:t>
            </w:r>
          </w:p>
          <w:p w14:paraId="3ECA706D" w14:textId="77777777" w:rsidR="00161EBF" w:rsidRPr="009766D5" w:rsidRDefault="00161EBF" w:rsidP="00654147">
            <w:pPr>
              <w:rPr>
                <w:sz w:val="18"/>
                <w:szCs w:val="18"/>
                <w:lang w:val="en-GB"/>
              </w:rPr>
            </w:pPr>
          </w:p>
          <w:p w14:paraId="7747D2EC" w14:textId="4E3EA9CD" w:rsidR="00161EBF" w:rsidRPr="009766D5" w:rsidRDefault="0035108B" w:rsidP="00654147">
            <w:pPr>
              <w:rPr>
                <w:b/>
                <w:bCs/>
                <w:sz w:val="18"/>
                <w:szCs w:val="18"/>
                <w:lang w:val="en-GB"/>
              </w:rPr>
            </w:pPr>
            <w:r w:rsidRPr="009766D5">
              <w:rPr>
                <w:b/>
                <w:bCs/>
                <w:sz w:val="18"/>
                <w:szCs w:val="18"/>
                <w:lang w:val="en-GB"/>
              </w:rPr>
              <w:t>P</w:t>
            </w:r>
            <w:r w:rsidR="00161EBF" w:rsidRPr="009766D5">
              <w:rPr>
                <w:b/>
                <w:bCs/>
                <w:sz w:val="18"/>
                <w:szCs w:val="18"/>
                <w:lang w:val="en-GB"/>
              </w:rPr>
              <w:t>rivate sector:</w:t>
            </w:r>
          </w:p>
          <w:p w14:paraId="197392F6" w14:textId="77777777" w:rsidR="00161EBF" w:rsidRPr="009766D5" w:rsidRDefault="00161EBF" w:rsidP="00654147">
            <w:pPr>
              <w:rPr>
                <w:sz w:val="18"/>
                <w:szCs w:val="18"/>
                <w:lang w:val="en-GB"/>
              </w:rPr>
            </w:pPr>
            <w:r w:rsidRPr="009766D5">
              <w:rPr>
                <w:sz w:val="18"/>
                <w:szCs w:val="18"/>
                <w:lang w:val="en-GB"/>
              </w:rPr>
              <w:t>National Council of Employers</w:t>
            </w:r>
          </w:p>
          <w:p w14:paraId="01D99826" w14:textId="77777777" w:rsidR="00161EBF" w:rsidRPr="009766D5" w:rsidRDefault="00161EBF" w:rsidP="00654147">
            <w:pPr>
              <w:rPr>
                <w:b/>
                <w:bCs/>
                <w:sz w:val="18"/>
                <w:szCs w:val="18"/>
                <w:lang w:val="en-GB"/>
              </w:rPr>
            </w:pPr>
          </w:p>
          <w:p w14:paraId="13AEA6CD" w14:textId="77777777" w:rsidR="00161EBF" w:rsidRPr="009766D5" w:rsidRDefault="00161EBF" w:rsidP="00654147">
            <w:pPr>
              <w:rPr>
                <w:b/>
                <w:bCs/>
                <w:sz w:val="18"/>
                <w:szCs w:val="18"/>
                <w:lang w:val="en-GB"/>
              </w:rPr>
            </w:pPr>
            <w:r w:rsidRPr="009766D5">
              <w:rPr>
                <w:b/>
                <w:bCs/>
                <w:sz w:val="18"/>
                <w:szCs w:val="18"/>
                <w:lang w:val="en-GB"/>
              </w:rPr>
              <w:t xml:space="preserve">Donors: </w:t>
            </w:r>
          </w:p>
          <w:p w14:paraId="2E41B468" w14:textId="02DDFD29" w:rsidR="00161EBF" w:rsidRPr="009766D5" w:rsidRDefault="00161EBF" w:rsidP="00654147">
            <w:pPr>
              <w:rPr>
                <w:b/>
                <w:bCs/>
                <w:sz w:val="18"/>
                <w:szCs w:val="18"/>
                <w:lang w:val="en-GB"/>
              </w:rPr>
            </w:pPr>
            <w:r w:rsidRPr="009766D5">
              <w:rPr>
                <w:sz w:val="18"/>
                <w:szCs w:val="18"/>
                <w:lang w:val="en-GB"/>
              </w:rPr>
              <w:t>World Bank, Swiss Cooperation, European Union</w:t>
            </w:r>
            <w:r w:rsidRPr="009766D5">
              <w:rPr>
                <w:b/>
                <w:bCs/>
                <w:sz w:val="18"/>
                <w:szCs w:val="18"/>
                <w:lang w:val="en-GB"/>
              </w:rPr>
              <w:t xml:space="preserve">, </w:t>
            </w:r>
            <w:r w:rsidR="00575B4C" w:rsidRPr="009766D5">
              <w:rPr>
                <w:sz w:val="18"/>
                <w:szCs w:val="18"/>
                <w:lang w:val="en-GB"/>
              </w:rPr>
              <w:t>German Agency for International Cooperation</w:t>
            </w:r>
          </w:p>
          <w:p w14:paraId="29B2D186" w14:textId="2171D4BC" w:rsidR="00161EBF" w:rsidRPr="009766D5" w:rsidRDefault="00161EBF" w:rsidP="00654147">
            <w:pPr>
              <w:rPr>
                <w:sz w:val="18"/>
                <w:szCs w:val="18"/>
                <w:lang w:val="en-GB"/>
              </w:rPr>
            </w:pPr>
            <w:r w:rsidRPr="009766D5">
              <w:rPr>
                <w:b/>
                <w:bCs/>
                <w:sz w:val="18"/>
                <w:szCs w:val="18"/>
                <w:lang w:val="en-GB"/>
              </w:rPr>
              <w:t xml:space="preserve">Embassies of </w:t>
            </w:r>
            <w:r w:rsidR="0079467F" w:rsidRPr="009766D5">
              <w:rPr>
                <w:sz w:val="18"/>
                <w:szCs w:val="18"/>
                <w:lang w:val="en-GB"/>
              </w:rPr>
              <w:t xml:space="preserve">Germany, </w:t>
            </w:r>
            <w:r w:rsidRPr="009766D5">
              <w:rPr>
                <w:bCs/>
                <w:sz w:val="18"/>
                <w:szCs w:val="18"/>
                <w:lang w:val="en-GB"/>
              </w:rPr>
              <w:t xml:space="preserve">Japan, </w:t>
            </w:r>
            <w:r w:rsidR="00CD7F4B" w:rsidRPr="009766D5">
              <w:rPr>
                <w:bCs/>
                <w:sz w:val="18"/>
                <w:szCs w:val="18"/>
                <w:lang w:val="en-GB"/>
              </w:rPr>
              <w:t xml:space="preserve">Netherlands, </w:t>
            </w:r>
            <w:r w:rsidRPr="009766D5">
              <w:rPr>
                <w:bCs/>
                <w:sz w:val="18"/>
                <w:szCs w:val="18"/>
                <w:lang w:val="en-GB"/>
              </w:rPr>
              <w:t>T</w:t>
            </w:r>
            <w:r w:rsidR="00C05F19" w:rsidRPr="009766D5">
              <w:rPr>
                <w:bCs/>
                <w:sz w:val="18"/>
                <w:szCs w:val="18"/>
                <w:lang w:val="en-GB"/>
              </w:rPr>
              <w:t>ü</w:t>
            </w:r>
            <w:r w:rsidRPr="009766D5">
              <w:rPr>
                <w:bCs/>
                <w:sz w:val="18"/>
                <w:szCs w:val="18"/>
                <w:lang w:val="en-GB"/>
              </w:rPr>
              <w:t>rk</w:t>
            </w:r>
            <w:r w:rsidR="00CD7F4B" w:rsidRPr="009766D5">
              <w:rPr>
                <w:bCs/>
                <w:sz w:val="18"/>
                <w:szCs w:val="18"/>
                <w:lang w:val="en-GB"/>
              </w:rPr>
              <w:t>i</w:t>
            </w:r>
            <w:r w:rsidRPr="009766D5">
              <w:rPr>
                <w:bCs/>
                <w:sz w:val="18"/>
                <w:szCs w:val="18"/>
                <w:lang w:val="en-GB"/>
              </w:rPr>
              <w:t>y</w:t>
            </w:r>
            <w:r w:rsidR="00CD7F4B" w:rsidRPr="009766D5">
              <w:rPr>
                <w:bCs/>
                <w:sz w:val="18"/>
                <w:szCs w:val="18"/>
                <w:lang w:val="en-GB"/>
              </w:rPr>
              <w:t>e</w:t>
            </w:r>
            <w:r w:rsidRPr="009766D5">
              <w:rPr>
                <w:sz w:val="18"/>
                <w:szCs w:val="18"/>
                <w:lang w:val="en-GB"/>
              </w:rPr>
              <w:t xml:space="preserve">, </w:t>
            </w:r>
            <w:r w:rsidR="0079467F" w:rsidRPr="009766D5">
              <w:rPr>
                <w:sz w:val="18"/>
                <w:szCs w:val="18"/>
                <w:lang w:val="en-GB"/>
              </w:rPr>
              <w:t xml:space="preserve">and the </w:t>
            </w:r>
            <w:r w:rsidRPr="009766D5">
              <w:rPr>
                <w:sz w:val="18"/>
                <w:szCs w:val="18"/>
                <w:lang w:val="en-GB"/>
              </w:rPr>
              <w:t>U</w:t>
            </w:r>
            <w:r w:rsidR="00575B4C" w:rsidRPr="009766D5">
              <w:rPr>
                <w:sz w:val="18"/>
                <w:szCs w:val="18"/>
                <w:lang w:val="en-GB"/>
              </w:rPr>
              <w:t xml:space="preserve">nited </w:t>
            </w:r>
            <w:r w:rsidRPr="009766D5">
              <w:rPr>
                <w:sz w:val="18"/>
                <w:szCs w:val="18"/>
                <w:lang w:val="en-GB"/>
              </w:rPr>
              <w:t>S</w:t>
            </w:r>
            <w:r w:rsidR="00575B4C" w:rsidRPr="009766D5">
              <w:rPr>
                <w:sz w:val="18"/>
                <w:szCs w:val="18"/>
                <w:lang w:val="en-GB"/>
              </w:rPr>
              <w:t>tates</w:t>
            </w:r>
            <w:r w:rsidRPr="009766D5">
              <w:rPr>
                <w:sz w:val="18"/>
                <w:szCs w:val="18"/>
                <w:lang w:val="en-GB"/>
              </w:rPr>
              <w:t xml:space="preserve">, </w:t>
            </w:r>
            <w:r w:rsidR="00CD7F4B" w:rsidRPr="009766D5">
              <w:rPr>
                <w:sz w:val="18"/>
                <w:szCs w:val="18"/>
                <w:lang w:val="en-GB"/>
              </w:rPr>
              <w:t>inter alia</w:t>
            </w:r>
          </w:p>
          <w:p w14:paraId="4C1CD00E" w14:textId="77777777" w:rsidR="00161EBF" w:rsidRPr="009766D5" w:rsidRDefault="00161EBF" w:rsidP="00654147">
            <w:pPr>
              <w:rPr>
                <w:i/>
                <w:iCs/>
                <w:sz w:val="18"/>
                <w:szCs w:val="18"/>
                <w:lang w:val="en-GB"/>
              </w:rPr>
            </w:pPr>
          </w:p>
        </w:tc>
        <w:tc>
          <w:tcPr>
            <w:tcW w:w="1838" w:type="dxa"/>
            <w:tcMar>
              <w:top w:w="15" w:type="dxa"/>
              <w:left w:w="108" w:type="dxa"/>
              <w:bottom w:w="0" w:type="dxa"/>
              <w:right w:w="108" w:type="dxa"/>
            </w:tcMar>
          </w:tcPr>
          <w:p w14:paraId="086682C7" w14:textId="1C41815A" w:rsidR="00161EBF" w:rsidRPr="009766D5" w:rsidRDefault="00161EBF" w:rsidP="00654147">
            <w:pPr>
              <w:rPr>
                <w:b/>
                <w:bCs/>
                <w:sz w:val="18"/>
                <w:szCs w:val="18"/>
                <w:lang w:val="en-GB"/>
              </w:rPr>
            </w:pPr>
            <w:r w:rsidRPr="009766D5">
              <w:rPr>
                <w:b/>
                <w:bCs/>
                <w:sz w:val="18"/>
                <w:szCs w:val="18"/>
                <w:lang w:val="en-GB"/>
              </w:rPr>
              <w:lastRenderedPageBreak/>
              <w:t>Regular:</w:t>
            </w:r>
            <w:r w:rsidRPr="009766D5">
              <w:rPr>
                <w:sz w:val="18"/>
                <w:szCs w:val="18"/>
                <w:lang w:val="en-GB"/>
              </w:rPr>
              <w:t xml:space="preserve"> 6,014</w:t>
            </w:r>
          </w:p>
          <w:p w14:paraId="5FB3D007" w14:textId="59DE85C7" w:rsidR="00161EBF" w:rsidRPr="009766D5" w:rsidRDefault="00161EBF" w:rsidP="005771F3">
            <w:pPr>
              <w:rPr>
                <w:b/>
                <w:bCs/>
                <w:sz w:val="18"/>
                <w:szCs w:val="18"/>
                <w:lang w:val="en-GB"/>
              </w:rPr>
            </w:pPr>
            <w:r w:rsidRPr="009766D5">
              <w:rPr>
                <w:b/>
                <w:bCs/>
                <w:sz w:val="18"/>
                <w:szCs w:val="18"/>
                <w:lang w:val="en-GB"/>
              </w:rPr>
              <w:t xml:space="preserve">Other: </w:t>
            </w:r>
            <w:r w:rsidRPr="009766D5">
              <w:rPr>
                <w:sz w:val="18"/>
                <w:szCs w:val="18"/>
                <w:lang w:val="en-GB"/>
              </w:rPr>
              <w:t>27,540</w:t>
            </w:r>
            <w:r w:rsidR="005771F3" w:rsidRPr="009766D5">
              <w:rPr>
                <w:sz w:val="18"/>
                <w:szCs w:val="18"/>
                <w:lang w:val="en-GB"/>
              </w:rPr>
              <w:t>.</w:t>
            </w:r>
            <w:r w:rsidRPr="009766D5">
              <w:rPr>
                <w:sz w:val="18"/>
                <w:szCs w:val="18"/>
                <w:lang w:val="en-GB"/>
              </w:rPr>
              <w:t>444</w:t>
            </w:r>
          </w:p>
        </w:tc>
      </w:tr>
    </w:tbl>
    <w:p w14:paraId="2440D4A0" w14:textId="77777777" w:rsidR="00125010" w:rsidRPr="009766D5" w:rsidRDefault="00125010" w:rsidP="00125010">
      <w:pPr>
        <w:rPr>
          <w:color w:val="000000"/>
          <w:lang w:val="en-GB"/>
        </w:rPr>
      </w:pPr>
    </w:p>
    <w:p w14:paraId="585DC799" w14:textId="77777777" w:rsidR="00161EBF" w:rsidRPr="009766D5" w:rsidRDefault="00161EBF" w:rsidP="00125010">
      <w:pPr>
        <w:rPr>
          <w:color w:val="000000"/>
          <w:lang w:val="en-GB"/>
        </w:rPr>
      </w:pPr>
    </w:p>
    <w:p w14:paraId="0BFCE2E5" w14:textId="36FA172D" w:rsidR="00D6679C" w:rsidRPr="009766D5" w:rsidRDefault="00D63630" w:rsidP="00D63630">
      <w:pPr>
        <w:jc w:val="center"/>
        <w:rPr>
          <w:color w:val="000000"/>
          <w:lang w:val="en-GB"/>
        </w:rPr>
      </w:pPr>
      <w:r w:rsidRPr="009766D5">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9766D5" w:rsidSect="0036139C">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CCBF" w14:textId="77777777" w:rsidR="00C9025A" w:rsidRDefault="00C9025A" w:rsidP="00441061">
      <w:r>
        <w:separator/>
      </w:r>
    </w:p>
  </w:endnote>
  <w:endnote w:type="continuationSeparator" w:id="0">
    <w:p w14:paraId="26E752D2" w14:textId="77777777" w:rsidR="00C9025A" w:rsidRDefault="00C9025A" w:rsidP="00441061">
      <w:r>
        <w:continuationSeparator/>
      </w:r>
    </w:p>
  </w:endnote>
  <w:endnote w:type="continuationNotice" w:id="1">
    <w:p w14:paraId="0A456BEE" w14:textId="77777777" w:rsidR="00C9025A" w:rsidRDefault="00C9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Roboto Cn">
    <w:altName w:val="Arial"/>
    <w:panose1 w:val="020B0604020202020204"/>
    <w:charset w:val="00"/>
    <w:family w:val="swiss"/>
    <w:notTrueType/>
    <w:pitch w:val="default"/>
    <w:sig w:usb0="00000003" w:usb1="00000000" w:usb2="00000000" w:usb3="00000000" w:csb0="00000001"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633"/>
      <w:docPartObj>
        <w:docPartGallery w:val="Page Numbers (Bottom of Page)"/>
        <w:docPartUnique/>
      </w:docPartObj>
    </w:sdtPr>
    <w:sdtEndPr>
      <w:rPr>
        <w:b/>
        <w:bCs/>
        <w:noProof/>
        <w:sz w:val="17"/>
        <w:szCs w:val="17"/>
      </w:rPr>
    </w:sdtEndPr>
    <w:sdtContent>
      <w:p w14:paraId="2440D567" w14:textId="1C94CE79" w:rsidR="00290ED4" w:rsidRPr="00BC69D9" w:rsidRDefault="00290ED4"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D81D07">
          <w:rPr>
            <w:b/>
            <w:bCs/>
            <w:noProof/>
            <w:sz w:val="17"/>
            <w:szCs w:val="17"/>
          </w:rPr>
          <w:t>6</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290ED4" w:rsidRPr="00CE2A86" w:rsidRDefault="00290ED4"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D81D07">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290ED4" w:rsidRPr="00BC69D9" w:rsidRDefault="00290ED4"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D81D07">
          <w:rPr>
            <w:b/>
            <w:bCs/>
            <w:noProof/>
            <w:sz w:val="17"/>
            <w:szCs w:val="17"/>
          </w:rPr>
          <w:t>16</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290ED4" w:rsidRPr="00CE2A86" w:rsidRDefault="00290ED4"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D81D07">
          <w:rPr>
            <w:b/>
            <w:bCs/>
            <w:noProof/>
            <w:sz w:val="17"/>
            <w:szCs w:val="17"/>
          </w:rPr>
          <w:t>15</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7FB3" w14:textId="77777777" w:rsidR="00C9025A" w:rsidRDefault="00C9025A" w:rsidP="00441061">
      <w:r>
        <w:separator/>
      </w:r>
    </w:p>
  </w:footnote>
  <w:footnote w:type="continuationSeparator" w:id="0">
    <w:p w14:paraId="509C4369" w14:textId="77777777" w:rsidR="00C9025A" w:rsidRDefault="00C9025A" w:rsidP="00441061">
      <w:r>
        <w:continuationSeparator/>
      </w:r>
    </w:p>
  </w:footnote>
  <w:footnote w:type="continuationNotice" w:id="1">
    <w:p w14:paraId="58C046DF" w14:textId="77777777" w:rsidR="00C9025A" w:rsidRDefault="00C9025A"/>
  </w:footnote>
  <w:footnote w:id="2">
    <w:p w14:paraId="7EF92B1B" w14:textId="77777777" w:rsidR="00290ED4" w:rsidRPr="002203EE" w:rsidRDefault="00290ED4" w:rsidP="002203EE">
      <w:pPr>
        <w:pStyle w:val="FootnoteText"/>
        <w:rPr>
          <w:rFonts w:ascii="Times New Roman" w:hAnsi="Times New Roman"/>
          <w:sz w:val="16"/>
          <w:szCs w:val="16"/>
          <w:lang w:val="en-GB"/>
        </w:rPr>
      </w:pPr>
      <w:r w:rsidRPr="002203EE">
        <w:rPr>
          <w:rStyle w:val="FootnoteReference"/>
          <w:rFonts w:ascii="Times New Roman" w:hAnsi="Times New Roman"/>
          <w:sz w:val="16"/>
          <w:szCs w:val="16"/>
          <w:lang w:val="en-GB"/>
        </w:rPr>
        <w:footnoteRef/>
      </w:r>
      <w:r w:rsidRPr="002203EE">
        <w:rPr>
          <w:rFonts w:ascii="Times New Roman" w:hAnsi="Times New Roman"/>
          <w:sz w:val="16"/>
          <w:szCs w:val="16"/>
          <w:lang w:val="en-GB"/>
        </w:rPr>
        <w:t xml:space="preserve"> </w:t>
      </w:r>
      <w:r w:rsidRPr="002203EE">
        <w:rPr>
          <w:rFonts w:ascii="Times New Roman" w:hAnsi="Times New Roman"/>
          <w:color w:val="000000"/>
          <w:sz w:val="16"/>
          <w:szCs w:val="16"/>
          <w:lang w:val="en-GB"/>
        </w:rPr>
        <w:t>General Survey on Population and Housing IV projection</w:t>
      </w:r>
    </w:p>
  </w:footnote>
  <w:footnote w:id="3">
    <w:p w14:paraId="37F7AB03" w14:textId="77777777" w:rsidR="00290ED4" w:rsidRPr="002203EE" w:rsidRDefault="00290ED4" w:rsidP="002203EE">
      <w:pPr>
        <w:pStyle w:val="FootnoteText"/>
        <w:ind w:right="1061"/>
        <w:rPr>
          <w:rFonts w:ascii="Times New Roman" w:hAnsi="Times New Roman"/>
          <w:sz w:val="16"/>
          <w:szCs w:val="16"/>
          <w:lang w:val="en-GB"/>
        </w:rPr>
      </w:pPr>
      <w:r w:rsidRPr="002203EE">
        <w:rPr>
          <w:rStyle w:val="FootnoteReference"/>
          <w:rFonts w:ascii="Times New Roman" w:hAnsi="Times New Roman"/>
          <w:sz w:val="16"/>
          <w:szCs w:val="16"/>
          <w:lang w:val="en-GB"/>
        </w:rPr>
        <w:footnoteRef/>
      </w:r>
      <w:r w:rsidRPr="002203EE">
        <w:rPr>
          <w:rFonts w:ascii="Times New Roman" w:hAnsi="Times New Roman"/>
          <w:sz w:val="16"/>
          <w:szCs w:val="16"/>
          <w:lang w:val="en-GB"/>
        </w:rPr>
        <w:t xml:space="preserve"> IMF 2023, </w:t>
      </w:r>
      <w:hyperlink r:id="rId1" w:history="1">
        <w:r w:rsidRPr="002203EE">
          <w:rPr>
            <w:rStyle w:val="Hyperlink"/>
            <w:rFonts w:ascii="Times New Roman" w:hAnsi="Times New Roman"/>
            <w:color w:val="0070C0"/>
            <w:sz w:val="16"/>
            <w:szCs w:val="16"/>
            <w:lang w:val="en-GB"/>
          </w:rPr>
          <w:t>https://www.imf.org/fr/News/Articles/2023/04/05/pr23107-benin-imf-reaches-staff-level-agreement-with-benin-on-eff-and-ecf</w:t>
        </w:r>
      </w:hyperlink>
    </w:p>
  </w:footnote>
  <w:footnote w:id="4">
    <w:p w14:paraId="336863D6" w14:textId="77777777" w:rsidR="00290ED4" w:rsidRPr="00664998" w:rsidRDefault="00290ED4" w:rsidP="002203EE">
      <w:pPr>
        <w:pStyle w:val="FootnoteText"/>
        <w:rPr>
          <w:rFonts w:ascii="Times New Roman" w:hAnsi="Times New Roman"/>
          <w:sz w:val="16"/>
          <w:szCs w:val="16"/>
          <w:lang w:val="fr-FR"/>
        </w:rPr>
      </w:pPr>
      <w:r w:rsidRPr="002203EE">
        <w:rPr>
          <w:rStyle w:val="FootnoteReference"/>
          <w:rFonts w:ascii="Times New Roman" w:hAnsi="Times New Roman"/>
          <w:sz w:val="16"/>
          <w:szCs w:val="16"/>
          <w:lang w:val="en-GB"/>
        </w:rPr>
        <w:footnoteRef/>
      </w:r>
      <w:r w:rsidRPr="00664998">
        <w:rPr>
          <w:rFonts w:ascii="Times New Roman" w:hAnsi="Times New Roman"/>
          <w:sz w:val="16"/>
          <w:szCs w:val="16"/>
          <w:lang w:val="fr-FR"/>
        </w:rPr>
        <w:t xml:space="preserve"> World Bank, 2022. </w:t>
      </w:r>
    </w:p>
  </w:footnote>
  <w:footnote w:id="5">
    <w:p w14:paraId="67086E18" w14:textId="77777777" w:rsidR="00290ED4" w:rsidRPr="00C7497D" w:rsidRDefault="00290ED4" w:rsidP="00290ED4">
      <w:pPr>
        <w:pStyle w:val="FootnoteText"/>
        <w:rPr>
          <w:rFonts w:ascii="Times New Roman" w:hAnsi="Times New Roman"/>
          <w:sz w:val="16"/>
          <w:szCs w:val="16"/>
          <w:lang w:val="fr-FR"/>
        </w:rPr>
      </w:pPr>
      <w:r w:rsidRPr="002203EE">
        <w:rPr>
          <w:rStyle w:val="FootnoteReference"/>
          <w:rFonts w:ascii="Times New Roman" w:hAnsi="Times New Roman"/>
          <w:sz w:val="16"/>
          <w:szCs w:val="16"/>
          <w:lang w:val="en-GB"/>
        </w:rPr>
        <w:footnoteRef/>
      </w:r>
      <w:r w:rsidRPr="00C7497D">
        <w:rPr>
          <w:rFonts w:ascii="Times New Roman" w:hAnsi="Times New Roman"/>
          <w:sz w:val="16"/>
          <w:szCs w:val="16"/>
          <w:lang w:val="fr-FR"/>
        </w:rPr>
        <w:t xml:space="preserve"> Ibid.</w:t>
      </w:r>
    </w:p>
  </w:footnote>
  <w:footnote w:id="6">
    <w:p w14:paraId="615A517F" w14:textId="77777777" w:rsidR="00290ED4" w:rsidRPr="00654147" w:rsidRDefault="00290ED4" w:rsidP="00290ED4">
      <w:pPr>
        <w:pStyle w:val="FootnoteText"/>
        <w:rPr>
          <w:rFonts w:ascii="Times New Roman" w:hAnsi="Times New Roman"/>
          <w:sz w:val="16"/>
          <w:szCs w:val="16"/>
          <w:lang w:val="fr-FR"/>
        </w:rPr>
      </w:pPr>
      <w:r w:rsidRPr="002203EE">
        <w:rPr>
          <w:rStyle w:val="FootnoteReference"/>
          <w:rFonts w:ascii="Times New Roman" w:hAnsi="Times New Roman"/>
          <w:sz w:val="16"/>
          <w:szCs w:val="16"/>
          <w:lang w:val="en-GB"/>
        </w:rPr>
        <w:footnoteRef/>
      </w:r>
      <w:r w:rsidRPr="00654147">
        <w:rPr>
          <w:rFonts w:ascii="Times New Roman" w:hAnsi="Times New Roman"/>
          <w:sz w:val="16"/>
          <w:szCs w:val="16"/>
          <w:lang w:val="fr-FR"/>
        </w:rPr>
        <w:t xml:space="preserve"> </w:t>
      </w:r>
      <w:r w:rsidRPr="00C7497D">
        <w:rPr>
          <w:rFonts w:ascii="Times New Roman" w:hAnsi="Times New Roman"/>
          <w:color w:val="000000" w:themeColor="text1"/>
          <w:sz w:val="16"/>
          <w:szCs w:val="16"/>
          <w:lang w:val="fr-FR"/>
        </w:rPr>
        <w:t>Institut National de la Statistique et de la Démographie</w:t>
      </w:r>
      <w:r w:rsidRPr="00CA4DE0">
        <w:rPr>
          <w:rFonts w:ascii="Times New Roman" w:hAnsi="Times New Roman"/>
          <w:color w:val="000000" w:themeColor="text1"/>
          <w:sz w:val="16"/>
          <w:szCs w:val="16"/>
          <w:lang w:val="fr-FR"/>
        </w:rPr>
        <w:t xml:space="preserve"> </w:t>
      </w:r>
      <w:r>
        <w:rPr>
          <w:rFonts w:ascii="Times New Roman" w:hAnsi="Times New Roman"/>
          <w:color w:val="000000" w:themeColor="text1"/>
          <w:sz w:val="16"/>
          <w:szCs w:val="16"/>
          <w:lang w:val="fr-FR"/>
        </w:rPr>
        <w:t>(‘</w:t>
      </w:r>
      <w:r w:rsidRPr="00654147">
        <w:rPr>
          <w:rFonts w:ascii="Times New Roman" w:hAnsi="Times New Roman"/>
          <w:color w:val="000000" w:themeColor="text1"/>
          <w:sz w:val="16"/>
          <w:szCs w:val="16"/>
          <w:lang w:val="fr-FR"/>
        </w:rPr>
        <w:t>INStaD</w:t>
      </w:r>
      <w:r>
        <w:rPr>
          <w:rFonts w:ascii="Times New Roman" w:hAnsi="Times New Roman"/>
          <w:color w:val="000000" w:themeColor="text1"/>
          <w:sz w:val="16"/>
          <w:szCs w:val="16"/>
          <w:lang w:val="fr-FR"/>
        </w:rPr>
        <w:t>’)</w:t>
      </w:r>
    </w:p>
  </w:footnote>
  <w:footnote w:id="7">
    <w:p w14:paraId="2481715A" w14:textId="77777777" w:rsidR="00290ED4" w:rsidRPr="00654147" w:rsidRDefault="00290ED4" w:rsidP="002203EE">
      <w:pPr>
        <w:pStyle w:val="FootnoteText"/>
        <w:rPr>
          <w:rFonts w:ascii="Times New Roman" w:hAnsi="Times New Roman"/>
          <w:sz w:val="16"/>
          <w:szCs w:val="16"/>
          <w:lang w:val="fr-FR"/>
        </w:rPr>
      </w:pPr>
      <w:r w:rsidRPr="002203EE">
        <w:rPr>
          <w:rStyle w:val="FootnoteReference"/>
          <w:rFonts w:ascii="Times New Roman" w:hAnsi="Times New Roman"/>
          <w:sz w:val="16"/>
          <w:szCs w:val="16"/>
          <w:lang w:val="en-GB"/>
        </w:rPr>
        <w:footnoteRef/>
      </w:r>
      <w:r w:rsidRPr="00654147">
        <w:rPr>
          <w:rFonts w:ascii="Times New Roman" w:hAnsi="Times New Roman"/>
          <w:sz w:val="16"/>
          <w:szCs w:val="16"/>
          <w:lang w:val="fr-FR"/>
        </w:rPr>
        <w:t xml:space="preserve"> Plan national d’adaptation aux changements climatiques du Bénin (2022).</w:t>
      </w:r>
    </w:p>
  </w:footnote>
  <w:footnote w:id="8">
    <w:p w14:paraId="14E65227" w14:textId="2BEF3011" w:rsidR="00290ED4" w:rsidRPr="00654147" w:rsidRDefault="00290ED4" w:rsidP="002203EE">
      <w:pPr>
        <w:pStyle w:val="FootnoteText"/>
        <w:rPr>
          <w:rFonts w:ascii="Times New Roman" w:hAnsi="Times New Roman"/>
          <w:sz w:val="16"/>
          <w:szCs w:val="16"/>
          <w:lang w:val="fr-FR"/>
        </w:rPr>
      </w:pPr>
      <w:r w:rsidRPr="002203EE">
        <w:rPr>
          <w:rStyle w:val="FootnoteReference"/>
          <w:rFonts w:ascii="Times New Roman" w:hAnsi="Times New Roman"/>
          <w:sz w:val="16"/>
          <w:szCs w:val="16"/>
          <w:lang w:val="en-GB"/>
        </w:rPr>
        <w:footnoteRef/>
      </w:r>
      <w:r w:rsidRPr="00654147">
        <w:rPr>
          <w:rFonts w:ascii="Times New Roman" w:hAnsi="Times New Roman"/>
          <w:sz w:val="16"/>
          <w:szCs w:val="16"/>
          <w:lang w:val="fr-FR"/>
        </w:rPr>
        <w:t xml:space="preserve"> Contribution déterminée au niveau national actualisée du Bénin au titre de l’accord de </w:t>
      </w:r>
      <w:r>
        <w:rPr>
          <w:rFonts w:ascii="Times New Roman" w:hAnsi="Times New Roman"/>
          <w:sz w:val="16"/>
          <w:szCs w:val="16"/>
          <w:lang w:val="fr-FR"/>
        </w:rPr>
        <w:t>P</w:t>
      </w:r>
      <w:r w:rsidRPr="00654147">
        <w:rPr>
          <w:rFonts w:ascii="Times New Roman" w:hAnsi="Times New Roman"/>
          <w:sz w:val="16"/>
          <w:szCs w:val="16"/>
          <w:lang w:val="fr-FR"/>
        </w:rPr>
        <w:t>aris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290ED4" w:rsidRPr="00657A41" w14:paraId="6C8F084B" w14:textId="77777777" w:rsidTr="00CE2A86">
      <w:trPr>
        <w:trHeight w:hRule="exact" w:val="864"/>
      </w:trPr>
      <w:tc>
        <w:tcPr>
          <w:tcW w:w="4668" w:type="dxa"/>
          <w:shd w:val="clear" w:color="auto" w:fill="auto"/>
          <w:vAlign w:val="bottom"/>
        </w:tcPr>
        <w:p w14:paraId="51B1F22D" w14:textId="023F6C2A" w:rsidR="00290ED4" w:rsidRPr="00657A41" w:rsidRDefault="00290ED4" w:rsidP="00BC69D9">
          <w:pPr>
            <w:tabs>
              <w:tab w:val="center" w:pos="4320"/>
              <w:tab w:val="right" w:pos="8640"/>
            </w:tabs>
            <w:spacing w:after="80"/>
            <w:rPr>
              <w:b/>
              <w:noProof/>
              <w:sz w:val="17"/>
            </w:rPr>
          </w:pPr>
          <w:bookmarkStart w:id="2" w:name="_Hlk72161445"/>
          <w:r w:rsidRPr="00657A41">
            <w:rPr>
              <w:b/>
              <w:noProof/>
              <w:sz w:val="17"/>
            </w:rPr>
            <w:t>DP/DCP/</w:t>
          </w:r>
          <w:r>
            <w:rPr>
              <w:b/>
              <w:noProof/>
              <w:sz w:val="17"/>
            </w:rPr>
            <w:t>BEN</w:t>
          </w:r>
          <w:r w:rsidRPr="00657A41">
            <w:rPr>
              <w:b/>
              <w:noProof/>
              <w:sz w:val="17"/>
            </w:rPr>
            <w:t>/4</w:t>
          </w:r>
        </w:p>
      </w:tc>
      <w:tc>
        <w:tcPr>
          <w:tcW w:w="4872" w:type="dxa"/>
          <w:shd w:val="clear" w:color="auto" w:fill="auto"/>
          <w:vAlign w:val="bottom"/>
        </w:tcPr>
        <w:p w14:paraId="32A484FF" w14:textId="77777777" w:rsidR="00290ED4" w:rsidRPr="00657A41" w:rsidRDefault="00290ED4" w:rsidP="00BC69D9">
          <w:pPr>
            <w:tabs>
              <w:tab w:val="center" w:pos="4320"/>
              <w:tab w:val="right" w:pos="8640"/>
            </w:tabs>
            <w:jc w:val="right"/>
            <w:rPr>
              <w:b/>
              <w:noProof/>
              <w:sz w:val="17"/>
            </w:rPr>
          </w:pPr>
        </w:p>
      </w:tc>
    </w:tr>
    <w:bookmarkEnd w:id="2"/>
  </w:tbl>
  <w:p w14:paraId="00066E83" w14:textId="77777777" w:rsidR="00290ED4" w:rsidRPr="00BC69D9" w:rsidRDefault="00290ED4">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290ED4" w:rsidRPr="00657A41" w14:paraId="0B6927BD" w14:textId="77777777" w:rsidTr="00BC69D9">
      <w:trPr>
        <w:trHeight w:hRule="exact" w:val="864"/>
      </w:trPr>
      <w:tc>
        <w:tcPr>
          <w:tcW w:w="4838" w:type="dxa"/>
          <w:shd w:val="clear" w:color="auto" w:fill="auto"/>
          <w:vAlign w:val="bottom"/>
        </w:tcPr>
        <w:p w14:paraId="05BAF8E6" w14:textId="77777777" w:rsidR="00290ED4" w:rsidRPr="00657A41" w:rsidRDefault="00290ED4" w:rsidP="00BC69D9">
          <w:pPr>
            <w:tabs>
              <w:tab w:val="center" w:pos="4320"/>
              <w:tab w:val="right" w:pos="8640"/>
            </w:tabs>
            <w:spacing w:after="80"/>
            <w:rPr>
              <w:b/>
              <w:noProof/>
              <w:sz w:val="17"/>
            </w:rPr>
          </w:pPr>
        </w:p>
      </w:tc>
      <w:tc>
        <w:tcPr>
          <w:tcW w:w="4764" w:type="dxa"/>
          <w:shd w:val="clear" w:color="auto" w:fill="auto"/>
          <w:vAlign w:val="bottom"/>
        </w:tcPr>
        <w:p w14:paraId="70EB3BFC" w14:textId="581577F0" w:rsidR="00290ED4" w:rsidRPr="00657A41" w:rsidRDefault="00290ED4" w:rsidP="00BC69D9">
          <w:pPr>
            <w:tabs>
              <w:tab w:val="center" w:pos="4320"/>
              <w:tab w:val="right" w:pos="8640"/>
            </w:tabs>
            <w:jc w:val="right"/>
            <w:rPr>
              <w:b/>
              <w:noProof/>
              <w:sz w:val="17"/>
            </w:rPr>
          </w:pPr>
          <w:r w:rsidRPr="00657A41">
            <w:rPr>
              <w:b/>
              <w:noProof/>
              <w:sz w:val="17"/>
            </w:rPr>
            <w:t>DP/DCP/</w:t>
          </w:r>
          <w:r>
            <w:rPr>
              <w:b/>
              <w:noProof/>
              <w:sz w:val="17"/>
            </w:rPr>
            <w:t>BEN</w:t>
          </w:r>
          <w:r w:rsidRPr="00657A41">
            <w:rPr>
              <w:b/>
              <w:noProof/>
              <w:sz w:val="17"/>
            </w:rPr>
            <w:t>/4</w:t>
          </w:r>
        </w:p>
      </w:tc>
    </w:tr>
  </w:tbl>
  <w:p w14:paraId="1A102CF2" w14:textId="77777777" w:rsidR="00290ED4" w:rsidRPr="00BC69D9" w:rsidRDefault="00290ED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90ED4" w:rsidRPr="00657A41" w14:paraId="001207A7" w14:textId="77777777" w:rsidTr="00654147">
      <w:trPr>
        <w:trHeight w:hRule="exact" w:val="864"/>
      </w:trPr>
      <w:tc>
        <w:tcPr>
          <w:tcW w:w="1267" w:type="dxa"/>
          <w:tcBorders>
            <w:bottom w:val="single" w:sz="4" w:space="0" w:color="auto"/>
          </w:tcBorders>
          <w:shd w:val="clear" w:color="auto" w:fill="auto"/>
          <w:vAlign w:val="bottom"/>
        </w:tcPr>
        <w:p w14:paraId="3F188231" w14:textId="77777777" w:rsidR="00290ED4" w:rsidRPr="00657A41" w:rsidRDefault="00290ED4"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290ED4" w:rsidRPr="00657A41" w:rsidRDefault="00290ED4"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290ED4" w:rsidRPr="00657A41" w:rsidRDefault="00290ED4"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060254BC" w:rsidR="00290ED4" w:rsidRPr="00657A41" w:rsidRDefault="00290ED4"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BEN</w:t>
          </w:r>
          <w:r w:rsidRPr="00657A41">
            <w:rPr>
              <w:spacing w:val="4"/>
              <w:w w:val="103"/>
              <w:kern w:val="14"/>
              <w:position w:val="-4"/>
            </w:rPr>
            <w:t>/4</w:t>
          </w:r>
        </w:p>
      </w:tc>
    </w:tr>
    <w:tr w:rsidR="00290ED4" w:rsidRPr="00657A41" w14:paraId="46C5DFD1" w14:textId="77777777" w:rsidTr="006A2270">
      <w:trPr>
        <w:gridAfter w:val="1"/>
        <w:wAfter w:w="28" w:type="dxa"/>
        <w:trHeight w:hRule="exact" w:val="2566"/>
      </w:trPr>
      <w:tc>
        <w:tcPr>
          <w:tcW w:w="1267" w:type="dxa"/>
          <w:tcBorders>
            <w:top w:val="single" w:sz="4" w:space="0" w:color="auto"/>
            <w:bottom w:val="single" w:sz="12" w:space="0" w:color="auto"/>
          </w:tcBorders>
          <w:shd w:val="clear" w:color="auto" w:fill="auto"/>
        </w:tcPr>
        <w:p w14:paraId="4EBC340F" w14:textId="77777777" w:rsidR="00290ED4" w:rsidRPr="00657A41" w:rsidRDefault="00290ED4" w:rsidP="00BC69D9">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02832E3" wp14:editId="1134FFC4">
                <wp:extent cx="702945" cy="592455"/>
                <wp:effectExtent l="0" t="0" r="1905"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290ED4" w:rsidRPr="00657A41" w:rsidRDefault="00290ED4"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6E62F1B5" w:rsidR="00290ED4" w:rsidRPr="00F8489E" w:rsidRDefault="009766D5"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F8489E">
            <w:rPr>
              <w:b/>
              <w:bCs/>
              <w:sz w:val="34"/>
            </w:rPr>
            <w:t>Executive Board of the</w:t>
          </w:r>
          <w:r w:rsidRPr="00F8489E">
            <w:rPr>
              <w:b/>
              <w:bCs/>
              <w:sz w:val="34"/>
            </w:rPr>
            <w:br/>
            <w:t>United Nations Development</w:t>
          </w:r>
          <w:r w:rsidRPr="00F8489E">
            <w:rPr>
              <w:b/>
              <w:bCs/>
              <w:sz w:val="34"/>
            </w:rPr>
            <w:br/>
            <w:t xml:space="preserve">Programme, the United Nations Population </w:t>
          </w:r>
          <w:proofErr w:type="gramStart"/>
          <w:r w:rsidRPr="00F8489E">
            <w:rPr>
              <w:b/>
              <w:bCs/>
              <w:sz w:val="34"/>
            </w:rPr>
            <w:t>Fund</w:t>
          </w:r>
          <w:proofErr w:type="gramEnd"/>
          <w:r w:rsidRPr="00F8489E">
            <w:rPr>
              <w:b/>
              <w:bCs/>
              <w:sz w:val="34"/>
            </w:rPr>
            <w:t xml:space="preserve">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290ED4" w:rsidRPr="00657A41" w:rsidRDefault="00290ED4"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290ED4" w:rsidRPr="00657A41" w:rsidRDefault="00290ED4" w:rsidP="00BC69D9">
          <w:pPr>
            <w:suppressAutoHyphens/>
            <w:spacing w:before="240" w:line="240" w:lineRule="exact"/>
            <w:rPr>
              <w:spacing w:val="4"/>
              <w:w w:val="103"/>
              <w:kern w:val="14"/>
            </w:rPr>
          </w:pPr>
          <w:r w:rsidRPr="00657A41">
            <w:rPr>
              <w:spacing w:val="4"/>
              <w:w w:val="103"/>
              <w:kern w:val="14"/>
            </w:rPr>
            <w:t>Distr.: General</w:t>
          </w:r>
        </w:p>
        <w:p w14:paraId="06F5D2F3" w14:textId="1B22A31D" w:rsidR="00290ED4" w:rsidRPr="00657A41" w:rsidRDefault="009766D5" w:rsidP="00BC69D9">
          <w:pPr>
            <w:suppressAutoHyphens/>
            <w:spacing w:line="240" w:lineRule="exact"/>
            <w:rPr>
              <w:spacing w:val="4"/>
              <w:w w:val="103"/>
              <w:kern w:val="14"/>
            </w:rPr>
          </w:pPr>
          <w:r>
            <w:rPr>
              <w:spacing w:val="4"/>
              <w:w w:val="103"/>
              <w:kern w:val="14"/>
            </w:rPr>
            <w:t xml:space="preserve">29 June </w:t>
          </w:r>
          <w:r w:rsidR="00290ED4">
            <w:rPr>
              <w:spacing w:val="4"/>
              <w:w w:val="103"/>
              <w:kern w:val="14"/>
            </w:rPr>
            <w:t>2023</w:t>
          </w:r>
        </w:p>
        <w:p w14:paraId="1FAA6AE7" w14:textId="77777777" w:rsidR="00290ED4" w:rsidRPr="00657A41" w:rsidRDefault="00290ED4" w:rsidP="00BC69D9">
          <w:pPr>
            <w:suppressAutoHyphens/>
            <w:spacing w:line="240" w:lineRule="exact"/>
            <w:rPr>
              <w:spacing w:val="4"/>
              <w:w w:val="103"/>
              <w:kern w:val="14"/>
            </w:rPr>
          </w:pPr>
        </w:p>
        <w:p w14:paraId="67D3E35A" w14:textId="77777777" w:rsidR="00290ED4" w:rsidRPr="00657A41" w:rsidRDefault="00290ED4"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290ED4" w:rsidRPr="00597CD2" w:rsidRDefault="00290ED4">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290ED4" w:rsidRDefault="00290ED4">
    <w:pPr>
      <w:pStyle w:val="Header"/>
    </w:pPr>
    <w:r>
      <w:rPr>
        <w:noProof/>
        <w:lang w:val="en-US" w:eastAsia="en-US"/>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90ED4" w:rsidRPr="005841A3" w14:paraId="2440D571" w14:textId="77777777">
                            <w:trPr>
                              <w:trHeight w:hRule="exact" w:val="864"/>
                            </w:trPr>
                            <w:tc>
                              <w:tcPr>
                                <w:tcW w:w="4838" w:type="dxa"/>
                                <w:tcBorders>
                                  <w:bottom w:val="single" w:sz="4" w:space="0" w:color="auto"/>
                                </w:tcBorders>
                                <w:vAlign w:val="bottom"/>
                              </w:tcPr>
                              <w:p w14:paraId="2440D56F" w14:textId="6E076BD7" w:rsidR="00290ED4" w:rsidRPr="007C6F85" w:rsidRDefault="00290ED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BEN/4</w:t>
                                </w:r>
                              </w:p>
                            </w:tc>
                            <w:tc>
                              <w:tcPr>
                                <w:tcW w:w="8276" w:type="dxa"/>
                                <w:tcBorders>
                                  <w:bottom w:val="single" w:sz="4" w:space="0" w:color="auto"/>
                                </w:tcBorders>
                                <w:vAlign w:val="bottom"/>
                              </w:tcPr>
                              <w:p w14:paraId="2440D570" w14:textId="77777777" w:rsidR="00290ED4" w:rsidRPr="007C6F85" w:rsidRDefault="00290ED4">
                                <w:pPr>
                                  <w:pStyle w:val="Header"/>
                                  <w:rPr>
                                    <w:rFonts w:ascii="Times New Roman" w:hAnsi="Times New Roman"/>
                                    <w:sz w:val="17"/>
                                    <w:szCs w:val="17"/>
                                    <w:lang w:val="en-US" w:eastAsia="en-US"/>
                                  </w:rPr>
                                </w:pPr>
                              </w:p>
                            </w:tc>
                          </w:tr>
                        </w:tbl>
                        <w:p w14:paraId="2440D572" w14:textId="77777777" w:rsidR="00290ED4" w:rsidRDefault="00290ED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90ED4" w:rsidRPr="005841A3" w14:paraId="2440D571" w14:textId="77777777">
                      <w:trPr>
                        <w:trHeight w:hRule="exact" w:val="864"/>
                      </w:trPr>
                      <w:tc>
                        <w:tcPr>
                          <w:tcW w:w="4838" w:type="dxa"/>
                          <w:tcBorders>
                            <w:bottom w:val="single" w:sz="4" w:space="0" w:color="auto"/>
                          </w:tcBorders>
                          <w:vAlign w:val="bottom"/>
                        </w:tcPr>
                        <w:p w14:paraId="2440D56F" w14:textId="6E076BD7" w:rsidR="00290ED4" w:rsidRPr="007C6F85" w:rsidRDefault="00290ED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BEN/4</w:t>
                          </w:r>
                        </w:p>
                      </w:tc>
                      <w:tc>
                        <w:tcPr>
                          <w:tcW w:w="8276" w:type="dxa"/>
                          <w:tcBorders>
                            <w:bottom w:val="single" w:sz="4" w:space="0" w:color="auto"/>
                          </w:tcBorders>
                          <w:vAlign w:val="bottom"/>
                        </w:tcPr>
                        <w:p w14:paraId="2440D570" w14:textId="77777777" w:rsidR="00290ED4" w:rsidRPr="007C6F85" w:rsidRDefault="00290ED4">
                          <w:pPr>
                            <w:pStyle w:val="Header"/>
                            <w:rPr>
                              <w:rFonts w:ascii="Times New Roman" w:hAnsi="Times New Roman"/>
                              <w:sz w:val="17"/>
                              <w:szCs w:val="17"/>
                              <w:lang w:val="en-US" w:eastAsia="en-US"/>
                            </w:rPr>
                          </w:pPr>
                        </w:p>
                      </w:tc>
                    </w:tr>
                  </w:tbl>
                  <w:p w14:paraId="2440D572" w14:textId="77777777" w:rsidR="00290ED4" w:rsidRDefault="00290ED4"/>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290ED4" w:rsidRPr="00657A41" w14:paraId="0755F833" w14:textId="77777777" w:rsidTr="00E022B9">
      <w:trPr>
        <w:trHeight w:hRule="exact" w:val="864"/>
      </w:trPr>
      <w:tc>
        <w:tcPr>
          <w:tcW w:w="4668" w:type="dxa"/>
          <w:shd w:val="clear" w:color="auto" w:fill="auto"/>
          <w:vAlign w:val="bottom"/>
        </w:tcPr>
        <w:p w14:paraId="74A7251A" w14:textId="77777777" w:rsidR="00290ED4" w:rsidRPr="00657A41" w:rsidRDefault="00290ED4" w:rsidP="00BC69D9">
          <w:pPr>
            <w:tabs>
              <w:tab w:val="center" w:pos="4320"/>
              <w:tab w:val="right" w:pos="8640"/>
            </w:tabs>
            <w:spacing w:after="80"/>
            <w:rPr>
              <w:b/>
              <w:noProof/>
              <w:sz w:val="17"/>
            </w:rPr>
          </w:pPr>
        </w:p>
      </w:tc>
      <w:tc>
        <w:tcPr>
          <w:tcW w:w="8382" w:type="dxa"/>
          <w:shd w:val="clear" w:color="auto" w:fill="auto"/>
          <w:vAlign w:val="bottom"/>
        </w:tcPr>
        <w:p w14:paraId="4B473F58" w14:textId="4E2ECFC5" w:rsidR="00290ED4" w:rsidRPr="00657A41" w:rsidRDefault="00290ED4" w:rsidP="00BC69D9">
          <w:pPr>
            <w:tabs>
              <w:tab w:val="center" w:pos="4320"/>
              <w:tab w:val="right" w:pos="8640"/>
            </w:tabs>
            <w:jc w:val="right"/>
            <w:rPr>
              <w:b/>
              <w:noProof/>
              <w:sz w:val="17"/>
            </w:rPr>
          </w:pPr>
          <w:r w:rsidRPr="00657A41">
            <w:rPr>
              <w:b/>
              <w:noProof/>
              <w:sz w:val="17"/>
            </w:rPr>
            <w:t>DP/DCP/</w:t>
          </w:r>
          <w:r>
            <w:rPr>
              <w:b/>
              <w:noProof/>
              <w:sz w:val="17"/>
            </w:rPr>
            <w:t>BEN</w:t>
          </w:r>
          <w:r w:rsidRPr="00657A41">
            <w:rPr>
              <w:b/>
              <w:noProof/>
              <w:sz w:val="17"/>
            </w:rPr>
            <w:t>/4</w:t>
          </w:r>
        </w:p>
      </w:tc>
    </w:tr>
  </w:tbl>
  <w:p w14:paraId="081F7F38" w14:textId="77777777" w:rsidR="00290ED4" w:rsidRPr="00BC69D9" w:rsidRDefault="00290ED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C80AE2B6"/>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5E4AB7"/>
    <w:multiLevelType w:val="hybridMultilevel"/>
    <w:tmpl w:val="59B622D2"/>
    <w:lvl w:ilvl="0" w:tplc="21DA194A">
      <w:start w:val="1"/>
      <w:numFmt w:val="decimal"/>
      <w:pStyle w:val="CPD"/>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522009A"/>
    <w:multiLevelType w:val="hybridMultilevel"/>
    <w:tmpl w:val="8026BC44"/>
    <w:lvl w:ilvl="0" w:tplc="CE80833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561E8F"/>
    <w:multiLevelType w:val="hybridMultilevel"/>
    <w:tmpl w:val="1D0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2"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266A6F84"/>
    <w:multiLevelType w:val="hybridMultilevel"/>
    <w:tmpl w:val="FA1EDD9E"/>
    <w:lvl w:ilvl="0" w:tplc="A92EF7B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8"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37626662"/>
    <w:multiLevelType w:val="hybridMultilevel"/>
    <w:tmpl w:val="387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5"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42160598"/>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1" w15:restartNumberingAfterBreak="0">
    <w:nsid w:val="620E7A4F"/>
    <w:multiLevelType w:val="hybridMultilevel"/>
    <w:tmpl w:val="80665A54"/>
    <w:lvl w:ilvl="0" w:tplc="1A9E85CC">
      <w:start w:val="1"/>
      <w:numFmt w:val="upperRoman"/>
      <w:lvlText w:val="%1."/>
      <w:lvlJc w:val="left"/>
      <w:pPr>
        <w:ind w:left="1620" w:hanging="720"/>
      </w:pPr>
      <w:rPr>
        <w:rFonts w:hint="default"/>
        <w:b/>
        <w:color w:val="00000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1"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294488"/>
    <w:multiLevelType w:val="hybridMultilevel"/>
    <w:tmpl w:val="8D5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7E5E298B"/>
    <w:multiLevelType w:val="hybridMultilevel"/>
    <w:tmpl w:val="0BD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144466">
    <w:abstractNumId w:val="25"/>
  </w:num>
  <w:num w:numId="2" w16cid:durableId="1038628124">
    <w:abstractNumId w:val="42"/>
  </w:num>
  <w:num w:numId="3" w16cid:durableId="609706725">
    <w:abstractNumId w:val="34"/>
  </w:num>
  <w:num w:numId="4" w16cid:durableId="1677153029">
    <w:abstractNumId w:val="47"/>
  </w:num>
  <w:num w:numId="5" w16cid:durableId="421729926">
    <w:abstractNumId w:val="36"/>
  </w:num>
  <w:num w:numId="6" w16cid:durableId="1562710830">
    <w:abstractNumId w:val="1"/>
  </w:num>
  <w:num w:numId="7" w16cid:durableId="239140975">
    <w:abstractNumId w:val="22"/>
  </w:num>
  <w:num w:numId="8" w16cid:durableId="1988511150">
    <w:abstractNumId w:val="43"/>
  </w:num>
  <w:num w:numId="9" w16cid:durableId="133835668">
    <w:abstractNumId w:val="56"/>
  </w:num>
  <w:num w:numId="10" w16cid:durableId="254632015">
    <w:abstractNumId w:val="46"/>
  </w:num>
  <w:num w:numId="11" w16cid:durableId="1009719648">
    <w:abstractNumId w:val="55"/>
  </w:num>
  <w:num w:numId="12" w16cid:durableId="800423093">
    <w:abstractNumId w:val="31"/>
  </w:num>
  <w:num w:numId="13" w16cid:durableId="1344549777">
    <w:abstractNumId w:val="11"/>
  </w:num>
  <w:num w:numId="14" w16cid:durableId="2142452813">
    <w:abstractNumId w:val="21"/>
  </w:num>
  <w:num w:numId="15" w16cid:durableId="1547059605">
    <w:abstractNumId w:val="50"/>
  </w:num>
  <w:num w:numId="16" w16cid:durableId="1012338572">
    <w:abstractNumId w:val="14"/>
  </w:num>
  <w:num w:numId="17" w16cid:durableId="1426849913">
    <w:abstractNumId w:val="18"/>
  </w:num>
  <w:num w:numId="18" w16cid:durableId="1403912947">
    <w:abstractNumId w:val="24"/>
  </w:num>
  <w:num w:numId="19" w16cid:durableId="191459169">
    <w:abstractNumId w:val="53"/>
  </w:num>
  <w:num w:numId="20" w16cid:durableId="1503667168">
    <w:abstractNumId w:val="13"/>
  </w:num>
  <w:num w:numId="21" w16cid:durableId="781919150">
    <w:abstractNumId w:val="12"/>
  </w:num>
  <w:num w:numId="22" w16cid:durableId="1894467530">
    <w:abstractNumId w:val="51"/>
  </w:num>
  <w:num w:numId="23" w16cid:durableId="787161975">
    <w:abstractNumId w:val="20"/>
  </w:num>
  <w:num w:numId="24" w16cid:durableId="1600062141">
    <w:abstractNumId w:val="5"/>
  </w:num>
  <w:num w:numId="25" w16cid:durableId="906720977">
    <w:abstractNumId w:val="48"/>
  </w:num>
  <w:num w:numId="26" w16cid:durableId="392850910">
    <w:abstractNumId w:val="45"/>
  </w:num>
  <w:num w:numId="27" w16cid:durableId="7148231">
    <w:abstractNumId w:val="39"/>
  </w:num>
  <w:num w:numId="28" w16cid:durableId="904610562">
    <w:abstractNumId w:val="3"/>
  </w:num>
  <w:num w:numId="29" w16cid:durableId="1175222328">
    <w:abstractNumId w:val="32"/>
  </w:num>
  <w:num w:numId="30" w16cid:durableId="1933732634">
    <w:abstractNumId w:val="38"/>
  </w:num>
  <w:num w:numId="31" w16cid:durableId="256408862">
    <w:abstractNumId w:val="17"/>
  </w:num>
  <w:num w:numId="32" w16cid:durableId="33385700">
    <w:abstractNumId w:val="6"/>
  </w:num>
  <w:num w:numId="33" w16cid:durableId="230048601">
    <w:abstractNumId w:val="30"/>
  </w:num>
  <w:num w:numId="34" w16cid:durableId="58426679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6048737">
    <w:abstractNumId w:val="28"/>
  </w:num>
  <w:num w:numId="36" w16cid:durableId="741874372">
    <w:abstractNumId w:val="9"/>
  </w:num>
  <w:num w:numId="37" w16cid:durableId="600643555">
    <w:abstractNumId w:val="37"/>
  </w:num>
  <w:num w:numId="38" w16cid:durableId="257368215">
    <w:abstractNumId w:val="16"/>
  </w:num>
  <w:num w:numId="39" w16cid:durableId="1503087241">
    <w:abstractNumId w:val="4"/>
  </w:num>
  <w:num w:numId="40" w16cid:durableId="317466394">
    <w:abstractNumId w:val="27"/>
  </w:num>
  <w:num w:numId="41" w16cid:durableId="1386367752">
    <w:abstractNumId w:val="7"/>
  </w:num>
  <w:num w:numId="42" w16cid:durableId="743599776">
    <w:abstractNumId w:val="23"/>
  </w:num>
  <w:num w:numId="43" w16cid:durableId="463011865">
    <w:abstractNumId w:val="49"/>
  </w:num>
  <w:num w:numId="44" w16cid:durableId="1273823771">
    <w:abstractNumId w:val="44"/>
  </w:num>
  <w:num w:numId="45" w16cid:durableId="422606039">
    <w:abstractNumId w:val="33"/>
  </w:num>
  <w:num w:numId="46" w16cid:durableId="1623613623">
    <w:abstractNumId w:val="52"/>
  </w:num>
  <w:num w:numId="47" w16cid:durableId="1590115407">
    <w:abstractNumId w:val="54"/>
  </w:num>
  <w:num w:numId="48" w16cid:durableId="906183193">
    <w:abstractNumId w:val="57"/>
  </w:num>
  <w:num w:numId="49" w16cid:durableId="596137175">
    <w:abstractNumId w:val="10"/>
  </w:num>
  <w:num w:numId="50" w16cid:durableId="1058363269">
    <w:abstractNumId w:val="0"/>
  </w:num>
  <w:num w:numId="51" w16cid:durableId="1114859805">
    <w:abstractNumId w:val="26"/>
  </w:num>
  <w:num w:numId="52" w16cid:durableId="1562793462">
    <w:abstractNumId w:val="19"/>
  </w:num>
  <w:num w:numId="53" w16cid:durableId="1315333748">
    <w:abstractNumId w:val="35"/>
  </w:num>
  <w:num w:numId="54" w16cid:durableId="1592354060">
    <w:abstractNumId w:val="15"/>
  </w:num>
  <w:num w:numId="55" w16cid:durableId="1838764052">
    <w:abstractNumId w:val="41"/>
  </w:num>
  <w:num w:numId="56" w16cid:durableId="1774477290">
    <w:abstractNumId w:val="29"/>
  </w:num>
  <w:num w:numId="57" w16cid:durableId="137184871">
    <w:abstractNumId w:val="2"/>
  </w:num>
  <w:num w:numId="58" w16cid:durableId="105299780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4B8"/>
    <w:rsid w:val="000010B5"/>
    <w:rsid w:val="0000185A"/>
    <w:rsid w:val="000027D2"/>
    <w:rsid w:val="0000312F"/>
    <w:rsid w:val="00003B30"/>
    <w:rsid w:val="00003E8B"/>
    <w:rsid w:val="00005E26"/>
    <w:rsid w:val="00006E59"/>
    <w:rsid w:val="00012E88"/>
    <w:rsid w:val="0001309E"/>
    <w:rsid w:val="00013410"/>
    <w:rsid w:val="00013BF7"/>
    <w:rsid w:val="00013F42"/>
    <w:rsid w:val="00014370"/>
    <w:rsid w:val="000153EB"/>
    <w:rsid w:val="00015875"/>
    <w:rsid w:val="00015FDE"/>
    <w:rsid w:val="00016217"/>
    <w:rsid w:val="00016861"/>
    <w:rsid w:val="00017D05"/>
    <w:rsid w:val="000200CF"/>
    <w:rsid w:val="000205F1"/>
    <w:rsid w:val="00022047"/>
    <w:rsid w:val="00023A8F"/>
    <w:rsid w:val="00023AEE"/>
    <w:rsid w:val="000253DC"/>
    <w:rsid w:val="000274B9"/>
    <w:rsid w:val="0002758B"/>
    <w:rsid w:val="000276A0"/>
    <w:rsid w:val="00031B92"/>
    <w:rsid w:val="00031E57"/>
    <w:rsid w:val="0003257C"/>
    <w:rsid w:val="000330DB"/>
    <w:rsid w:val="0003429F"/>
    <w:rsid w:val="00034740"/>
    <w:rsid w:val="0003562A"/>
    <w:rsid w:val="00036095"/>
    <w:rsid w:val="000367E0"/>
    <w:rsid w:val="00036AF4"/>
    <w:rsid w:val="000372D6"/>
    <w:rsid w:val="0004168A"/>
    <w:rsid w:val="00041C10"/>
    <w:rsid w:val="0004202A"/>
    <w:rsid w:val="00043804"/>
    <w:rsid w:val="000441A1"/>
    <w:rsid w:val="00044448"/>
    <w:rsid w:val="000449B5"/>
    <w:rsid w:val="00050869"/>
    <w:rsid w:val="00051E3C"/>
    <w:rsid w:val="00055596"/>
    <w:rsid w:val="00056014"/>
    <w:rsid w:val="000561C1"/>
    <w:rsid w:val="00056204"/>
    <w:rsid w:val="00056D08"/>
    <w:rsid w:val="000570D1"/>
    <w:rsid w:val="000571A9"/>
    <w:rsid w:val="00060243"/>
    <w:rsid w:val="00060290"/>
    <w:rsid w:val="000611AB"/>
    <w:rsid w:val="00061229"/>
    <w:rsid w:val="00063E24"/>
    <w:rsid w:val="000652EB"/>
    <w:rsid w:val="000657A1"/>
    <w:rsid w:val="00067466"/>
    <w:rsid w:val="00072229"/>
    <w:rsid w:val="000728F8"/>
    <w:rsid w:val="00073CF1"/>
    <w:rsid w:val="00074BD0"/>
    <w:rsid w:val="00074D9A"/>
    <w:rsid w:val="00074DB9"/>
    <w:rsid w:val="000753C4"/>
    <w:rsid w:val="00075DF0"/>
    <w:rsid w:val="000762CA"/>
    <w:rsid w:val="000800C0"/>
    <w:rsid w:val="000803A4"/>
    <w:rsid w:val="000805AE"/>
    <w:rsid w:val="000806E3"/>
    <w:rsid w:val="00080805"/>
    <w:rsid w:val="00080E1B"/>
    <w:rsid w:val="00081604"/>
    <w:rsid w:val="00081E9F"/>
    <w:rsid w:val="0008339E"/>
    <w:rsid w:val="000905D9"/>
    <w:rsid w:val="00090AD1"/>
    <w:rsid w:val="00090F4F"/>
    <w:rsid w:val="0009132A"/>
    <w:rsid w:val="00091476"/>
    <w:rsid w:val="00091984"/>
    <w:rsid w:val="00092879"/>
    <w:rsid w:val="00094E87"/>
    <w:rsid w:val="00095ACB"/>
    <w:rsid w:val="00095C8E"/>
    <w:rsid w:val="00097B45"/>
    <w:rsid w:val="00097FB2"/>
    <w:rsid w:val="000A0A05"/>
    <w:rsid w:val="000A151D"/>
    <w:rsid w:val="000A1612"/>
    <w:rsid w:val="000A1CA0"/>
    <w:rsid w:val="000A24C5"/>
    <w:rsid w:val="000A2967"/>
    <w:rsid w:val="000A2ABD"/>
    <w:rsid w:val="000A30A1"/>
    <w:rsid w:val="000A3683"/>
    <w:rsid w:val="000A3A38"/>
    <w:rsid w:val="000A3F7F"/>
    <w:rsid w:val="000A47FD"/>
    <w:rsid w:val="000A5DFF"/>
    <w:rsid w:val="000A7192"/>
    <w:rsid w:val="000B0228"/>
    <w:rsid w:val="000B083D"/>
    <w:rsid w:val="000B2E16"/>
    <w:rsid w:val="000B3A13"/>
    <w:rsid w:val="000B4BB2"/>
    <w:rsid w:val="000B6379"/>
    <w:rsid w:val="000B739B"/>
    <w:rsid w:val="000C1E8D"/>
    <w:rsid w:val="000C2E44"/>
    <w:rsid w:val="000C4E54"/>
    <w:rsid w:val="000C58E0"/>
    <w:rsid w:val="000C76B0"/>
    <w:rsid w:val="000C7BBE"/>
    <w:rsid w:val="000D0A55"/>
    <w:rsid w:val="000D2475"/>
    <w:rsid w:val="000D442C"/>
    <w:rsid w:val="000D4DC4"/>
    <w:rsid w:val="000D7680"/>
    <w:rsid w:val="000E204A"/>
    <w:rsid w:val="000E55D6"/>
    <w:rsid w:val="000E5DE5"/>
    <w:rsid w:val="000E612D"/>
    <w:rsid w:val="000E6AB1"/>
    <w:rsid w:val="000E6CED"/>
    <w:rsid w:val="000E737D"/>
    <w:rsid w:val="000E745A"/>
    <w:rsid w:val="000E7E9E"/>
    <w:rsid w:val="000F0044"/>
    <w:rsid w:val="000F093A"/>
    <w:rsid w:val="000F0EFD"/>
    <w:rsid w:val="000F42D9"/>
    <w:rsid w:val="000F5541"/>
    <w:rsid w:val="000F703B"/>
    <w:rsid w:val="000F72ED"/>
    <w:rsid w:val="000F7A4C"/>
    <w:rsid w:val="00103698"/>
    <w:rsid w:val="00103EA9"/>
    <w:rsid w:val="00106EF8"/>
    <w:rsid w:val="001079BC"/>
    <w:rsid w:val="001079CD"/>
    <w:rsid w:val="001101A2"/>
    <w:rsid w:val="00110B74"/>
    <w:rsid w:val="00111489"/>
    <w:rsid w:val="00111792"/>
    <w:rsid w:val="00111797"/>
    <w:rsid w:val="00111B19"/>
    <w:rsid w:val="00114A64"/>
    <w:rsid w:val="00115F59"/>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D93"/>
    <w:rsid w:val="001334D3"/>
    <w:rsid w:val="00135E6E"/>
    <w:rsid w:val="00136ABC"/>
    <w:rsid w:val="0013761A"/>
    <w:rsid w:val="001379F1"/>
    <w:rsid w:val="0014350A"/>
    <w:rsid w:val="0014423A"/>
    <w:rsid w:val="00144E72"/>
    <w:rsid w:val="00145CB0"/>
    <w:rsid w:val="00147042"/>
    <w:rsid w:val="001471A7"/>
    <w:rsid w:val="001506F6"/>
    <w:rsid w:val="001508E6"/>
    <w:rsid w:val="00154032"/>
    <w:rsid w:val="001547D3"/>
    <w:rsid w:val="00154BB0"/>
    <w:rsid w:val="0015573A"/>
    <w:rsid w:val="001557A9"/>
    <w:rsid w:val="001557F6"/>
    <w:rsid w:val="001559BD"/>
    <w:rsid w:val="00157F09"/>
    <w:rsid w:val="00157F79"/>
    <w:rsid w:val="00161EBF"/>
    <w:rsid w:val="00163240"/>
    <w:rsid w:val="00163E84"/>
    <w:rsid w:val="00165A12"/>
    <w:rsid w:val="001668AA"/>
    <w:rsid w:val="001675B1"/>
    <w:rsid w:val="0016789D"/>
    <w:rsid w:val="00167C87"/>
    <w:rsid w:val="00171F01"/>
    <w:rsid w:val="0017218A"/>
    <w:rsid w:val="00172EE3"/>
    <w:rsid w:val="0017349A"/>
    <w:rsid w:val="00174F19"/>
    <w:rsid w:val="001751ED"/>
    <w:rsid w:val="00175746"/>
    <w:rsid w:val="00176CE5"/>
    <w:rsid w:val="00177804"/>
    <w:rsid w:val="00177E7E"/>
    <w:rsid w:val="00180BB5"/>
    <w:rsid w:val="00181544"/>
    <w:rsid w:val="0018356F"/>
    <w:rsid w:val="001845F1"/>
    <w:rsid w:val="00184CBF"/>
    <w:rsid w:val="001853CC"/>
    <w:rsid w:val="0018605A"/>
    <w:rsid w:val="001874A7"/>
    <w:rsid w:val="001876C5"/>
    <w:rsid w:val="00187BA9"/>
    <w:rsid w:val="00187D68"/>
    <w:rsid w:val="00190155"/>
    <w:rsid w:val="001906B5"/>
    <w:rsid w:val="001913A7"/>
    <w:rsid w:val="00192198"/>
    <w:rsid w:val="00194163"/>
    <w:rsid w:val="00194359"/>
    <w:rsid w:val="00194881"/>
    <w:rsid w:val="00194FEB"/>
    <w:rsid w:val="001970A4"/>
    <w:rsid w:val="00197AD1"/>
    <w:rsid w:val="001A17DA"/>
    <w:rsid w:val="001A24AE"/>
    <w:rsid w:val="001A2BAE"/>
    <w:rsid w:val="001A31ED"/>
    <w:rsid w:val="001A4D0B"/>
    <w:rsid w:val="001B0020"/>
    <w:rsid w:val="001B3F87"/>
    <w:rsid w:val="001B4026"/>
    <w:rsid w:val="001B56AD"/>
    <w:rsid w:val="001B598C"/>
    <w:rsid w:val="001B6419"/>
    <w:rsid w:val="001B6A8B"/>
    <w:rsid w:val="001B6E76"/>
    <w:rsid w:val="001B76A6"/>
    <w:rsid w:val="001C07F8"/>
    <w:rsid w:val="001C1147"/>
    <w:rsid w:val="001C1BBD"/>
    <w:rsid w:val="001C2D7D"/>
    <w:rsid w:val="001C2F59"/>
    <w:rsid w:val="001C30CE"/>
    <w:rsid w:val="001C4F27"/>
    <w:rsid w:val="001C6C08"/>
    <w:rsid w:val="001D0646"/>
    <w:rsid w:val="001D1B55"/>
    <w:rsid w:val="001D2056"/>
    <w:rsid w:val="001D220F"/>
    <w:rsid w:val="001D42D1"/>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871"/>
    <w:rsid w:val="001F4C5A"/>
    <w:rsid w:val="001F4EA9"/>
    <w:rsid w:val="001F4F73"/>
    <w:rsid w:val="001F6425"/>
    <w:rsid w:val="001F6772"/>
    <w:rsid w:val="001F7421"/>
    <w:rsid w:val="00200195"/>
    <w:rsid w:val="00200709"/>
    <w:rsid w:val="00200B5F"/>
    <w:rsid w:val="00201EEF"/>
    <w:rsid w:val="00202476"/>
    <w:rsid w:val="00202B58"/>
    <w:rsid w:val="002032DC"/>
    <w:rsid w:val="002047C8"/>
    <w:rsid w:val="002052B3"/>
    <w:rsid w:val="00205453"/>
    <w:rsid w:val="002058F9"/>
    <w:rsid w:val="0020650A"/>
    <w:rsid w:val="00206D15"/>
    <w:rsid w:val="0020799B"/>
    <w:rsid w:val="00207F32"/>
    <w:rsid w:val="00212B1F"/>
    <w:rsid w:val="00213340"/>
    <w:rsid w:val="00213D7C"/>
    <w:rsid w:val="00214513"/>
    <w:rsid w:val="00214EC6"/>
    <w:rsid w:val="002155B7"/>
    <w:rsid w:val="002156BB"/>
    <w:rsid w:val="0021647B"/>
    <w:rsid w:val="0021766A"/>
    <w:rsid w:val="002203EE"/>
    <w:rsid w:val="00220C88"/>
    <w:rsid w:val="002225D3"/>
    <w:rsid w:val="00222A35"/>
    <w:rsid w:val="0022301D"/>
    <w:rsid w:val="00223320"/>
    <w:rsid w:val="002236F0"/>
    <w:rsid w:val="00223F49"/>
    <w:rsid w:val="00224B2C"/>
    <w:rsid w:val="00226052"/>
    <w:rsid w:val="00226E3A"/>
    <w:rsid w:val="00226F3A"/>
    <w:rsid w:val="002272E2"/>
    <w:rsid w:val="00227E55"/>
    <w:rsid w:val="00232AA0"/>
    <w:rsid w:val="00232C75"/>
    <w:rsid w:val="00234CDF"/>
    <w:rsid w:val="00236B91"/>
    <w:rsid w:val="00236BF6"/>
    <w:rsid w:val="002413D3"/>
    <w:rsid w:val="00241D6B"/>
    <w:rsid w:val="002424C0"/>
    <w:rsid w:val="00242617"/>
    <w:rsid w:val="00242CAA"/>
    <w:rsid w:val="0024503B"/>
    <w:rsid w:val="0024573D"/>
    <w:rsid w:val="00245D74"/>
    <w:rsid w:val="00246D03"/>
    <w:rsid w:val="00246DDF"/>
    <w:rsid w:val="002470FF"/>
    <w:rsid w:val="00247854"/>
    <w:rsid w:val="00254256"/>
    <w:rsid w:val="00255D8F"/>
    <w:rsid w:val="002573CC"/>
    <w:rsid w:val="00260FAA"/>
    <w:rsid w:val="00262338"/>
    <w:rsid w:val="00263694"/>
    <w:rsid w:val="00263938"/>
    <w:rsid w:val="002646D7"/>
    <w:rsid w:val="00264990"/>
    <w:rsid w:val="0026538D"/>
    <w:rsid w:val="00265743"/>
    <w:rsid w:val="002671D7"/>
    <w:rsid w:val="00271D49"/>
    <w:rsid w:val="0027259C"/>
    <w:rsid w:val="0027268F"/>
    <w:rsid w:val="00273122"/>
    <w:rsid w:val="00273543"/>
    <w:rsid w:val="00274C82"/>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0ED4"/>
    <w:rsid w:val="00292846"/>
    <w:rsid w:val="00292A90"/>
    <w:rsid w:val="00292DA9"/>
    <w:rsid w:val="0029458F"/>
    <w:rsid w:val="00294E89"/>
    <w:rsid w:val="002971D6"/>
    <w:rsid w:val="002A256A"/>
    <w:rsid w:val="002A26D9"/>
    <w:rsid w:val="002A2F08"/>
    <w:rsid w:val="002A3641"/>
    <w:rsid w:val="002A455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33E"/>
    <w:rsid w:val="002C36C8"/>
    <w:rsid w:val="002C42E9"/>
    <w:rsid w:val="002C51A0"/>
    <w:rsid w:val="002C57E0"/>
    <w:rsid w:val="002C641D"/>
    <w:rsid w:val="002C78BA"/>
    <w:rsid w:val="002C7971"/>
    <w:rsid w:val="002D0584"/>
    <w:rsid w:val="002D11D4"/>
    <w:rsid w:val="002D2A07"/>
    <w:rsid w:val="002D2E2A"/>
    <w:rsid w:val="002D304B"/>
    <w:rsid w:val="002D3865"/>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7A79"/>
    <w:rsid w:val="002F0758"/>
    <w:rsid w:val="002F1D9E"/>
    <w:rsid w:val="002F2C6E"/>
    <w:rsid w:val="002F38EC"/>
    <w:rsid w:val="002F3C88"/>
    <w:rsid w:val="002F4067"/>
    <w:rsid w:val="002F47EB"/>
    <w:rsid w:val="002F71E8"/>
    <w:rsid w:val="002F7339"/>
    <w:rsid w:val="002F7461"/>
    <w:rsid w:val="003025E2"/>
    <w:rsid w:val="00303CB0"/>
    <w:rsid w:val="00304430"/>
    <w:rsid w:val="00306D24"/>
    <w:rsid w:val="00307712"/>
    <w:rsid w:val="00307B8C"/>
    <w:rsid w:val="0031404A"/>
    <w:rsid w:val="003143A4"/>
    <w:rsid w:val="00314B7C"/>
    <w:rsid w:val="00314E49"/>
    <w:rsid w:val="00315445"/>
    <w:rsid w:val="00316BCF"/>
    <w:rsid w:val="00317183"/>
    <w:rsid w:val="003204AE"/>
    <w:rsid w:val="003208EF"/>
    <w:rsid w:val="00321213"/>
    <w:rsid w:val="00321EB7"/>
    <w:rsid w:val="00323747"/>
    <w:rsid w:val="00323D35"/>
    <w:rsid w:val="00324846"/>
    <w:rsid w:val="00324ABD"/>
    <w:rsid w:val="00324D9B"/>
    <w:rsid w:val="003272A6"/>
    <w:rsid w:val="003273CB"/>
    <w:rsid w:val="0033125E"/>
    <w:rsid w:val="003323CE"/>
    <w:rsid w:val="00332ED2"/>
    <w:rsid w:val="0033325E"/>
    <w:rsid w:val="00335C99"/>
    <w:rsid w:val="00336913"/>
    <w:rsid w:val="0033718C"/>
    <w:rsid w:val="00337407"/>
    <w:rsid w:val="00337BB8"/>
    <w:rsid w:val="00340A68"/>
    <w:rsid w:val="00340E02"/>
    <w:rsid w:val="00341EC6"/>
    <w:rsid w:val="00341F33"/>
    <w:rsid w:val="00342E94"/>
    <w:rsid w:val="00343E6E"/>
    <w:rsid w:val="00343E9A"/>
    <w:rsid w:val="00344F07"/>
    <w:rsid w:val="003450C8"/>
    <w:rsid w:val="003453BF"/>
    <w:rsid w:val="00345BA7"/>
    <w:rsid w:val="0034647A"/>
    <w:rsid w:val="0034782B"/>
    <w:rsid w:val="00347D23"/>
    <w:rsid w:val="0035108B"/>
    <w:rsid w:val="00351B53"/>
    <w:rsid w:val="00351E5C"/>
    <w:rsid w:val="00351F5A"/>
    <w:rsid w:val="003538F7"/>
    <w:rsid w:val="0035580F"/>
    <w:rsid w:val="00357B24"/>
    <w:rsid w:val="00357CB4"/>
    <w:rsid w:val="003604EE"/>
    <w:rsid w:val="0036139C"/>
    <w:rsid w:val="00361842"/>
    <w:rsid w:val="00361CEE"/>
    <w:rsid w:val="003624D0"/>
    <w:rsid w:val="0036286B"/>
    <w:rsid w:val="00363371"/>
    <w:rsid w:val="00364989"/>
    <w:rsid w:val="0036601B"/>
    <w:rsid w:val="003664C0"/>
    <w:rsid w:val="00366769"/>
    <w:rsid w:val="00367A28"/>
    <w:rsid w:val="00367E04"/>
    <w:rsid w:val="00370210"/>
    <w:rsid w:val="00370F9A"/>
    <w:rsid w:val="00372F12"/>
    <w:rsid w:val="00375B64"/>
    <w:rsid w:val="00375ED2"/>
    <w:rsid w:val="003761F2"/>
    <w:rsid w:val="00376A05"/>
    <w:rsid w:val="003774FE"/>
    <w:rsid w:val="00377DA4"/>
    <w:rsid w:val="003815EB"/>
    <w:rsid w:val="003819A7"/>
    <w:rsid w:val="00384E41"/>
    <w:rsid w:val="0038525F"/>
    <w:rsid w:val="00390E30"/>
    <w:rsid w:val="00392823"/>
    <w:rsid w:val="003938AC"/>
    <w:rsid w:val="00393ABE"/>
    <w:rsid w:val="00393DCA"/>
    <w:rsid w:val="00393EB3"/>
    <w:rsid w:val="0039458D"/>
    <w:rsid w:val="00394D61"/>
    <w:rsid w:val="00395201"/>
    <w:rsid w:val="00395B45"/>
    <w:rsid w:val="00395B84"/>
    <w:rsid w:val="00395BDC"/>
    <w:rsid w:val="0039607A"/>
    <w:rsid w:val="003967E5"/>
    <w:rsid w:val="003A05FC"/>
    <w:rsid w:val="003A1F5A"/>
    <w:rsid w:val="003A20C4"/>
    <w:rsid w:val="003A2ECE"/>
    <w:rsid w:val="003A3606"/>
    <w:rsid w:val="003A3C53"/>
    <w:rsid w:val="003A4252"/>
    <w:rsid w:val="003A42A7"/>
    <w:rsid w:val="003A539A"/>
    <w:rsid w:val="003A62A4"/>
    <w:rsid w:val="003A7476"/>
    <w:rsid w:val="003A7D82"/>
    <w:rsid w:val="003A7D86"/>
    <w:rsid w:val="003B0AA1"/>
    <w:rsid w:val="003B13F0"/>
    <w:rsid w:val="003B243D"/>
    <w:rsid w:val="003B271D"/>
    <w:rsid w:val="003B304F"/>
    <w:rsid w:val="003B40C5"/>
    <w:rsid w:val="003B5D18"/>
    <w:rsid w:val="003B6928"/>
    <w:rsid w:val="003B795D"/>
    <w:rsid w:val="003C26A6"/>
    <w:rsid w:val="003C26C1"/>
    <w:rsid w:val="003C592D"/>
    <w:rsid w:val="003C5C11"/>
    <w:rsid w:val="003C6A5A"/>
    <w:rsid w:val="003C6AAD"/>
    <w:rsid w:val="003C76E4"/>
    <w:rsid w:val="003D06DE"/>
    <w:rsid w:val="003D165B"/>
    <w:rsid w:val="003D1D4D"/>
    <w:rsid w:val="003D2D68"/>
    <w:rsid w:val="003D3682"/>
    <w:rsid w:val="003D37DD"/>
    <w:rsid w:val="003D45DF"/>
    <w:rsid w:val="003D47C6"/>
    <w:rsid w:val="003D4ED8"/>
    <w:rsid w:val="003D7E38"/>
    <w:rsid w:val="003D7EAC"/>
    <w:rsid w:val="003E0A71"/>
    <w:rsid w:val="003E1AFA"/>
    <w:rsid w:val="003E2D1D"/>
    <w:rsid w:val="003E375F"/>
    <w:rsid w:val="003E379A"/>
    <w:rsid w:val="003E52B0"/>
    <w:rsid w:val="003E64DC"/>
    <w:rsid w:val="003E7A43"/>
    <w:rsid w:val="003F0B58"/>
    <w:rsid w:val="003F0D40"/>
    <w:rsid w:val="003F0EFA"/>
    <w:rsid w:val="003F2236"/>
    <w:rsid w:val="003F27B7"/>
    <w:rsid w:val="003F39B2"/>
    <w:rsid w:val="003F4051"/>
    <w:rsid w:val="003F5812"/>
    <w:rsid w:val="003F5F57"/>
    <w:rsid w:val="003F625A"/>
    <w:rsid w:val="003F6AA4"/>
    <w:rsid w:val="003F6EA1"/>
    <w:rsid w:val="00400E4A"/>
    <w:rsid w:val="0040263C"/>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1825"/>
    <w:rsid w:val="00421C78"/>
    <w:rsid w:val="004224CE"/>
    <w:rsid w:val="00423D5E"/>
    <w:rsid w:val="00424A78"/>
    <w:rsid w:val="004254DB"/>
    <w:rsid w:val="00427EEA"/>
    <w:rsid w:val="00431836"/>
    <w:rsid w:val="004321E6"/>
    <w:rsid w:val="004323A9"/>
    <w:rsid w:val="0043278E"/>
    <w:rsid w:val="004327FB"/>
    <w:rsid w:val="004332A4"/>
    <w:rsid w:val="004360AC"/>
    <w:rsid w:val="004367E0"/>
    <w:rsid w:val="004369FE"/>
    <w:rsid w:val="00436B83"/>
    <w:rsid w:val="00437C10"/>
    <w:rsid w:val="00437DC3"/>
    <w:rsid w:val="00441061"/>
    <w:rsid w:val="004411A3"/>
    <w:rsid w:val="00442D56"/>
    <w:rsid w:val="00443AB3"/>
    <w:rsid w:val="0044560C"/>
    <w:rsid w:val="004501C9"/>
    <w:rsid w:val="0045086C"/>
    <w:rsid w:val="00450C70"/>
    <w:rsid w:val="00452612"/>
    <w:rsid w:val="00453344"/>
    <w:rsid w:val="00453F32"/>
    <w:rsid w:val="00454E76"/>
    <w:rsid w:val="00455E48"/>
    <w:rsid w:val="00456297"/>
    <w:rsid w:val="00457080"/>
    <w:rsid w:val="00457EC5"/>
    <w:rsid w:val="00460891"/>
    <w:rsid w:val="00461411"/>
    <w:rsid w:val="0046245F"/>
    <w:rsid w:val="00463969"/>
    <w:rsid w:val="004649C3"/>
    <w:rsid w:val="00464FB2"/>
    <w:rsid w:val="00465356"/>
    <w:rsid w:val="004660A4"/>
    <w:rsid w:val="004662A8"/>
    <w:rsid w:val="00466CDC"/>
    <w:rsid w:val="0046745E"/>
    <w:rsid w:val="004725ED"/>
    <w:rsid w:val="004736BE"/>
    <w:rsid w:val="0047556D"/>
    <w:rsid w:val="00475789"/>
    <w:rsid w:val="00475B5A"/>
    <w:rsid w:val="00476170"/>
    <w:rsid w:val="00477243"/>
    <w:rsid w:val="004801D4"/>
    <w:rsid w:val="00480284"/>
    <w:rsid w:val="004820B0"/>
    <w:rsid w:val="00482117"/>
    <w:rsid w:val="00482E2F"/>
    <w:rsid w:val="00484BE0"/>
    <w:rsid w:val="004859B4"/>
    <w:rsid w:val="00486ACD"/>
    <w:rsid w:val="00487210"/>
    <w:rsid w:val="004876A1"/>
    <w:rsid w:val="0049082C"/>
    <w:rsid w:val="00490B8D"/>
    <w:rsid w:val="00490DD9"/>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14D"/>
    <w:rsid w:val="004A455D"/>
    <w:rsid w:val="004A4FBD"/>
    <w:rsid w:val="004A76FF"/>
    <w:rsid w:val="004A7810"/>
    <w:rsid w:val="004A7E93"/>
    <w:rsid w:val="004B021E"/>
    <w:rsid w:val="004B140F"/>
    <w:rsid w:val="004B2A28"/>
    <w:rsid w:val="004B3171"/>
    <w:rsid w:val="004B3CFB"/>
    <w:rsid w:val="004B5105"/>
    <w:rsid w:val="004B5D6B"/>
    <w:rsid w:val="004B76F8"/>
    <w:rsid w:val="004C1327"/>
    <w:rsid w:val="004C1FA6"/>
    <w:rsid w:val="004C2869"/>
    <w:rsid w:val="004C3C88"/>
    <w:rsid w:val="004C45FF"/>
    <w:rsid w:val="004C4A0F"/>
    <w:rsid w:val="004C4C45"/>
    <w:rsid w:val="004C5CFD"/>
    <w:rsid w:val="004C7777"/>
    <w:rsid w:val="004C7973"/>
    <w:rsid w:val="004D12C0"/>
    <w:rsid w:val="004D18EA"/>
    <w:rsid w:val="004D2B29"/>
    <w:rsid w:val="004D30EE"/>
    <w:rsid w:val="004D31E6"/>
    <w:rsid w:val="004D3713"/>
    <w:rsid w:val="004D44AA"/>
    <w:rsid w:val="004D59D7"/>
    <w:rsid w:val="004D6254"/>
    <w:rsid w:val="004D70FD"/>
    <w:rsid w:val="004D7E99"/>
    <w:rsid w:val="004E00CE"/>
    <w:rsid w:val="004E13C8"/>
    <w:rsid w:val="004E2BDB"/>
    <w:rsid w:val="004E307B"/>
    <w:rsid w:val="004E78B0"/>
    <w:rsid w:val="004F02E0"/>
    <w:rsid w:val="004F0966"/>
    <w:rsid w:val="004F3B24"/>
    <w:rsid w:val="004F435F"/>
    <w:rsid w:val="004F50AF"/>
    <w:rsid w:val="004F590C"/>
    <w:rsid w:val="004F681D"/>
    <w:rsid w:val="004F6E14"/>
    <w:rsid w:val="005002F7"/>
    <w:rsid w:val="005020A1"/>
    <w:rsid w:val="0050228C"/>
    <w:rsid w:val="00502857"/>
    <w:rsid w:val="005044A9"/>
    <w:rsid w:val="00504A5F"/>
    <w:rsid w:val="00504F68"/>
    <w:rsid w:val="00505097"/>
    <w:rsid w:val="005054DC"/>
    <w:rsid w:val="00505994"/>
    <w:rsid w:val="00505FD4"/>
    <w:rsid w:val="005062F0"/>
    <w:rsid w:val="00506E25"/>
    <w:rsid w:val="005077AC"/>
    <w:rsid w:val="0051132C"/>
    <w:rsid w:val="005119D0"/>
    <w:rsid w:val="00513483"/>
    <w:rsid w:val="00513A5C"/>
    <w:rsid w:val="00514A55"/>
    <w:rsid w:val="00514EF5"/>
    <w:rsid w:val="00516AEC"/>
    <w:rsid w:val="0051782D"/>
    <w:rsid w:val="0052044C"/>
    <w:rsid w:val="0052087E"/>
    <w:rsid w:val="00521BC4"/>
    <w:rsid w:val="0052315E"/>
    <w:rsid w:val="005238AE"/>
    <w:rsid w:val="00523B73"/>
    <w:rsid w:val="00526D7B"/>
    <w:rsid w:val="00530ED3"/>
    <w:rsid w:val="00532D58"/>
    <w:rsid w:val="00533D2D"/>
    <w:rsid w:val="00534013"/>
    <w:rsid w:val="0053438E"/>
    <w:rsid w:val="005343E5"/>
    <w:rsid w:val="005346B7"/>
    <w:rsid w:val="005355EE"/>
    <w:rsid w:val="00535B16"/>
    <w:rsid w:val="005366D0"/>
    <w:rsid w:val="00537E27"/>
    <w:rsid w:val="00540B4D"/>
    <w:rsid w:val="00540FFA"/>
    <w:rsid w:val="00541A96"/>
    <w:rsid w:val="00542930"/>
    <w:rsid w:val="005435B3"/>
    <w:rsid w:val="00545568"/>
    <w:rsid w:val="005467ED"/>
    <w:rsid w:val="00550849"/>
    <w:rsid w:val="00550866"/>
    <w:rsid w:val="00554BF3"/>
    <w:rsid w:val="0055509B"/>
    <w:rsid w:val="0055655F"/>
    <w:rsid w:val="0055657D"/>
    <w:rsid w:val="005568CE"/>
    <w:rsid w:val="005579B9"/>
    <w:rsid w:val="00560D0D"/>
    <w:rsid w:val="005632F1"/>
    <w:rsid w:val="00564418"/>
    <w:rsid w:val="005644AD"/>
    <w:rsid w:val="00565FB1"/>
    <w:rsid w:val="005662FB"/>
    <w:rsid w:val="00567781"/>
    <w:rsid w:val="00567ECC"/>
    <w:rsid w:val="0057019C"/>
    <w:rsid w:val="005713B1"/>
    <w:rsid w:val="0057363E"/>
    <w:rsid w:val="00575904"/>
    <w:rsid w:val="00575B4C"/>
    <w:rsid w:val="0057624B"/>
    <w:rsid w:val="0057644D"/>
    <w:rsid w:val="0057649A"/>
    <w:rsid w:val="005771F3"/>
    <w:rsid w:val="00583090"/>
    <w:rsid w:val="005835F4"/>
    <w:rsid w:val="00583EFE"/>
    <w:rsid w:val="00584076"/>
    <w:rsid w:val="005841A3"/>
    <w:rsid w:val="00585D54"/>
    <w:rsid w:val="00586D9A"/>
    <w:rsid w:val="00587C3A"/>
    <w:rsid w:val="00590EAE"/>
    <w:rsid w:val="0059112A"/>
    <w:rsid w:val="0059116B"/>
    <w:rsid w:val="005914FD"/>
    <w:rsid w:val="00591B65"/>
    <w:rsid w:val="00592A14"/>
    <w:rsid w:val="00593216"/>
    <w:rsid w:val="005933D3"/>
    <w:rsid w:val="00594BC3"/>
    <w:rsid w:val="00594DD8"/>
    <w:rsid w:val="00596CA7"/>
    <w:rsid w:val="00596DC8"/>
    <w:rsid w:val="00596E16"/>
    <w:rsid w:val="00597A78"/>
    <w:rsid w:val="00597CD2"/>
    <w:rsid w:val="00597DC7"/>
    <w:rsid w:val="005A16A3"/>
    <w:rsid w:val="005A1C48"/>
    <w:rsid w:val="005A253A"/>
    <w:rsid w:val="005A2AD8"/>
    <w:rsid w:val="005A2DDF"/>
    <w:rsid w:val="005A3152"/>
    <w:rsid w:val="005A40AF"/>
    <w:rsid w:val="005A6064"/>
    <w:rsid w:val="005A64BF"/>
    <w:rsid w:val="005A72CC"/>
    <w:rsid w:val="005B0565"/>
    <w:rsid w:val="005B15A4"/>
    <w:rsid w:val="005B4421"/>
    <w:rsid w:val="005B513F"/>
    <w:rsid w:val="005B7483"/>
    <w:rsid w:val="005B7929"/>
    <w:rsid w:val="005C0643"/>
    <w:rsid w:val="005C23AF"/>
    <w:rsid w:val="005C25D1"/>
    <w:rsid w:val="005C35A9"/>
    <w:rsid w:val="005C464B"/>
    <w:rsid w:val="005C4E5F"/>
    <w:rsid w:val="005C650A"/>
    <w:rsid w:val="005C74A0"/>
    <w:rsid w:val="005D052C"/>
    <w:rsid w:val="005D08AE"/>
    <w:rsid w:val="005D16FE"/>
    <w:rsid w:val="005D4084"/>
    <w:rsid w:val="005D4777"/>
    <w:rsid w:val="005D4C2B"/>
    <w:rsid w:val="005D5784"/>
    <w:rsid w:val="005D6B2B"/>
    <w:rsid w:val="005D6E0A"/>
    <w:rsid w:val="005E22CD"/>
    <w:rsid w:val="005E37AB"/>
    <w:rsid w:val="005E384D"/>
    <w:rsid w:val="005E4A4D"/>
    <w:rsid w:val="005E51FB"/>
    <w:rsid w:val="005E6B93"/>
    <w:rsid w:val="005E6F30"/>
    <w:rsid w:val="005E7953"/>
    <w:rsid w:val="005E7E82"/>
    <w:rsid w:val="005F2C42"/>
    <w:rsid w:val="005F5039"/>
    <w:rsid w:val="005F6BAB"/>
    <w:rsid w:val="005F6C28"/>
    <w:rsid w:val="005F717D"/>
    <w:rsid w:val="005F7AB6"/>
    <w:rsid w:val="005F7E3C"/>
    <w:rsid w:val="00600FA8"/>
    <w:rsid w:val="0060111D"/>
    <w:rsid w:val="006039A6"/>
    <w:rsid w:val="00604A08"/>
    <w:rsid w:val="00604DF7"/>
    <w:rsid w:val="006063DA"/>
    <w:rsid w:val="00606CD0"/>
    <w:rsid w:val="00606CE3"/>
    <w:rsid w:val="00607251"/>
    <w:rsid w:val="006119F8"/>
    <w:rsid w:val="00611DD3"/>
    <w:rsid w:val="00611EF0"/>
    <w:rsid w:val="00612219"/>
    <w:rsid w:val="00612E04"/>
    <w:rsid w:val="0061629E"/>
    <w:rsid w:val="006173A4"/>
    <w:rsid w:val="00617C44"/>
    <w:rsid w:val="00620086"/>
    <w:rsid w:val="00620906"/>
    <w:rsid w:val="006209D7"/>
    <w:rsid w:val="00621639"/>
    <w:rsid w:val="00622074"/>
    <w:rsid w:val="00622CE4"/>
    <w:rsid w:val="006234A7"/>
    <w:rsid w:val="00623F8E"/>
    <w:rsid w:val="00625917"/>
    <w:rsid w:val="0062789F"/>
    <w:rsid w:val="006278BD"/>
    <w:rsid w:val="00627AB5"/>
    <w:rsid w:val="006301BE"/>
    <w:rsid w:val="0063096E"/>
    <w:rsid w:val="00632DB2"/>
    <w:rsid w:val="00633349"/>
    <w:rsid w:val="006337AF"/>
    <w:rsid w:val="00633D61"/>
    <w:rsid w:val="0063402B"/>
    <w:rsid w:val="00634E8B"/>
    <w:rsid w:val="006364A9"/>
    <w:rsid w:val="00636570"/>
    <w:rsid w:val="00636F40"/>
    <w:rsid w:val="00637859"/>
    <w:rsid w:val="00637901"/>
    <w:rsid w:val="00637E1B"/>
    <w:rsid w:val="006402DF"/>
    <w:rsid w:val="0064164B"/>
    <w:rsid w:val="0064416A"/>
    <w:rsid w:val="00644468"/>
    <w:rsid w:val="00644699"/>
    <w:rsid w:val="00645F5E"/>
    <w:rsid w:val="00647B1E"/>
    <w:rsid w:val="00647C55"/>
    <w:rsid w:val="0065008B"/>
    <w:rsid w:val="00651443"/>
    <w:rsid w:val="00653721"/>
    <w:rsid w:val="00653A3B"/>
    <w:rsid w:val="00653FD9"/>
    <w:rsid w:val="00654147"/>
    <w:rsid w:val="006543A2"/>
    <w:rsid w:val="00654D42"/>
    <w:rsid w:val="006556BB"/>
    <w:rsid w:val="00656226"/>
    <w:rsid w:val="00656328"/>
    <w:rsid w:val="00656606"/>
    <w:rsid w:val="006569B6"/>
    <w:rsid w:val="00656D0E"/>
    <w:rsid w:val="006601FA"/>
    <w:rsid w:val="00660279"/>
    <w:rsid w:val="00660A94"/>
    <w:rsid w:val="00660D13"/>
    <w:rsid w:val="006610B7"/>
    <w:rsid w:val="006622B9"/>
    <w:rsid w:val="00662E1E"/>
    <w:rsid w:val="0066371E"/>
    <w:rsid w:val="0066455B"/>
    <w:rsid w:val="006647BE"/>
    <w:rsid w:val="00664998"/>
    <w:rsid w:val="00665111"/>
    <w:rsid w:val="00666744"/>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0B21"/>
    <w:rsid w:val="006821E3"/>
    <w:rsid w:val="00683AD6"/>
    <w:rsid w:val="006842AE"/>
    <w:rsid w:val="00684BC8"/>
    <w:rsid w:val="006866C9"/>
    <w:rsid w:val="006869C1"/>
    <w:rsid w:val="006875BA"/>
    <w:rsid w:val="0069097D"/>
    <w:rsid w:val="00693FEA"/>
    <w:rsid w:val="006945EC"/>
    <w:rsid w:val="00694C68"/>
    <w:rsid w:val="00694E8A"/>
    <w:rsid w:val="00695BC7"/>
    <w:rsid w:val="006A0952"/>
    <w:rsid w:val="006A2270"/>
    <w:rsid w:val="006A511D"/>
    <w:rsid w:val="006A5773"/>
    <w:rsid w:val="006A5804"/>
    <w:rsid w:val="006A58F0"/>
    <w:rsid w:val="006A6262"/>
    <w:rsid w:val="006A7CE7"/>
    <w:rsid w:val="006B0372"/>
    <w:rsid w:val="006B0764"/>
    <w:rsid w:val="006B081C"/>
    <w:rsid w:val="006B1B50"/>
    <w:rsid w:val="006B4467"/>
    <w:rsid w:val="006B6C46"/>
    <w:rsid w:val="006B6E78"/>
    <w:rsid w:val="006B76AB"/>
    <w:rsid w:val="006B7970"/>
    <w:rsid w:val="006C0039"/>
    <w:rsid w:val="006C1927"/>
    <w:rsid w:val="006C2585"/>
    <w:rsid w:val="006C4008"/>
    <w:rsid w:val="006C4AE3"/>
    <w:rsid w:val="006C4E2C"/>
    <w:rsid w:val="006C5931"/>
    <w:rsid w:val="006C73EF"/>
    <w:rsid w:val="006D1723"/>
    <w:rsid w:val="006D3B21"/>
    <w:rsid w:val="006D5D3F"/>
    <w:rsid w:val="006D5D99"/>
    <w:rsid w:val="006D60ED"/>
    <w:rsid w:val="006E1166"/>
    <w:rsid w:val="006E1465"/>
    <w:rsid w:val="006E24D9"/>
    <w:rsid w:val="006E25BA"/>
    <w:rsid w:val="006E27C6"/>
    <w:rsid w:val="006E4834"/>
    <w:rsid w:val="006E596E"/>
    <w:rsid w:val="006E65E0"/>
    <w:rsid w:val="006E7A5B"/>
    <w:rsid w:val="006F033F"/>
    <w:rsid w:val="006F24D8"/>
    <w:rsid w:val="006F33B8"/>
    <w:rsid w:val="006F4C9C"/>
    <w:rsid w:val="006F640F"/>
    <w:rsid w:val="006F64B8"/>
    <w:rsid w:val="006F6ECF"/>
    <w:rsid w:val="006F762A"/>
    <w:rsid w:val="00700A96"/>
    <w:rsid w:val="00701B6B"/>
    <w:rsid w:val="007026CB"/>
    <w:rsid w:val="00702D07"/>
    <w:rsid w:val="0070384F"/>
    <w:rsid w:val="00703A9E"/>
    <w:rsid w:val="00703D6D"/>
    <w:rsid w:val="00704095"/>
    <w:rsid w:val="00704152"/>
    <w:rsid w:val="00704284"/>
    <w:rsid w:val="00704FB5"/>
    <w:rsid w:val="0070644B"/>
    <w:rsid w:val="00706B71"/>
    <w:rsid w:val="0071022A"/>
    <w:rsid w:val="00711062"/>
    <w:rsid w:val="00711D06"/>
    <w:rsid w:val="00711F79"/>
    <w:rsid w:val="0071229D"/>
    <w:rsid w:val="0071277A"/>
    <w:rsid w:val="00712EE5"/>
    <w:rsid w:val="00713493"/>
    <w:rsid w:val="00713494"/>
    <w:rsid w:val="00713EA7"/>
    <w:rsid w:val="00714031"/>
    <w:rsid w:val="0071466E"/>
    <w:rsid w:val="00714843"/>
    <w:rsid w:val="00714A6C"/>
    <w:rsid w:val="00714CD3"/>
    <w:rsid w:val="0071582C"/>
    <w:rsid w:val="00716174"/>
    <w:rsid w:val="007203D8"/>
    <w:rsid w:val="007206A8"/>
    <w:rsid w:val="0072070F"/>
    <w:rsid w:val="0072116D"/>
    <w:rsid w:val="00721F8F"/>
    <w:rsid w:val="0072226F"/>
    <w:rsid w:val="00722B3F"/>
    <w:rsid w:val="0072318D"/>
    <w:rsid w:val="00725618"/>
    <w:rsid w:val="00725B78"/>
    <w:rsid w:val="00727082"/>
    <w:rsid w:val="00730962"/>
    <w:rsid w:val="00731936"/>
    <w:rsid w:val="0073233C"/>
    <w:rsid w:val="00732D0C"/>
    <w:rsid w:val="00733EAD"/>
    <w:rsid w:val="00734A93"/>
    <w:rsid w:val="00734F54"/>
    <w:rsid w:val="007358C1"/>
    <w:rsid w:val="00736D93"/>
    <w:rsid w:val="00737BAD"/>
    <w:rsid w:val="00737C04"/>
    <w:rsid w:val="00737F64"/>
    <w:rsid w:val="007422C9"/>
    <w:rsid w:val="00742553"/>
    <w:rsid w:val="00743EC6"/>
    <w:rsid w:val="00744110"/>
    <w:rsid w:val="00744595"/>
    <w:rsid w:val="00744C3C"/>
    <w:rsid w:val="0074695A"/>
    <w:rsid w:val="00747A52"/>
    <w:rsid w:val="00750F1E"/>
    <w:rsid w:val="00751AE4"/>
    <w:rsid w:val="00751C12"/>
    <w:rsid w:val="00752411"/>
    <w:rsid w:val="00752691"/>
    <w:rsid w:val="007528F2"/>
    <w:rsid w:val="007543C1"/>
    <w:rsid w:val="007575C4"/>
    <w:rsid w:val="00757D63"/>
    <w:rsid w:val="00760699"/>
    <w:rsid w:val="00760987"/>
    <w:rsid w:val="00760C36"/>
    <w:rsid w:val="007610D4"/>
    <w:rsid w:val="00762A1B"/>
    <w:rsid w:val="00762D6D"/>
    <w:rsid w:val="00763700"/>
    <w:rsid w:val="0076427C"/>
    <w:rsid w:val="00765217"/>
    <w:rsid w:val="007655C0"/>
    <w:rsid w:val="007659AA"/>
    <w:rsid w:val="00766334"/>
    <w:rsid w:val="007670F2"/>
    <w:rsid w:val="00767F22"/>
    <w:rsid w:val="00770F0D"/>
    <w:rsid w:val="00771A6A"/>
    <w:rsid w:val="00772071"/>
    <w:rsid w:val="0077266C"/>
    <w:rsid w:val="00772802"/>
    <w:rsid w:val="00772DE3"/>
    <w:rsid w:val="00775066"/>
    <w:rsid w:val="00776406"/>
    <w:rsid w:val="007770EE"/>
    <w:rsid w:val="00777986"/>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385A"/>
    <w:rsid w:val="0079421C"/>
    <w:rsid w:val="0079467F"/>
    <w:rsid w:val="0079526D"/>
    <w:rsid w:val="00795A2C"/>
    <w:rsid w:val="00797309"/>
    <w:rsid w:val="00797390"/>
    <w:rsid w:val="007A0015"/>
    <w:rsid w:val="007A05B6"/>
    <w:rsid w:val="007A1C0A"/>
    <w:rsid w:val="007A1C59"/>
    <w:rsid w:val="007A1D4E"/>
    <w:rsid w:val="007A4187"/>
    <w:rsid w:val="007A4397"/>
    <w:rsid w:val="007A4860"/>
    <w:rsid w:val="007A5B41"/>
    <w:rsid w:val="007B15B4"/>
    <w:rsid w:val="007B3372"/>
    <w:rsid w:val="007B3A76"/>
    <w:rsid w:val="007B5792"/>
    <w:rsid w:val="007B6AAE"/>
    <w:rsid w:val="007C1032"/>
    <w:rsid w:val="007C2934"/>
    <w:rsid w:val="007C31E2"/>
    <w:rsid w:val="007C3402"/>
    <w:rsid w:val="007C45DC"/>
    <w:rsid w:val="007C5CE1"/>
    <w:rsid w:val="007C5F8D"/>
    <w:rsid w:val="007C6F85"/>
    <w:rsid w:val="007D0569"/>
    <w:rsid w:val="007D16B1"/>
    <w:rsid w:val="007D19E4"/>
    <w:rsid w:val="007D2001"/>
    <w:rsid w:val="007D2552"/>
    <w:rsid w:val="007D2C1F"/>
    <w:rsid w:val="007D3A64"/>
    <w:rsid w:val="007D5591"/>
    <w:rsid w:val="007D7400"/>
    <w:rsid w:val="007D7761"/>
    <w:rsid w:val="007D79FF"/>
    <w:rsid w:val="007E02A7"/>
    <w:rsid w:val="007E283B"/>
    <w:rsid w:val="007E468A"/>
    <w:rsid w:val="007E4CA1"/>
    <w:rsid w:val="007E51A5"/>
    <w:rsid w:val="007E557A"/>
    <w:rsid w:val="007E5629"/>
    <w:rsid w:val="007E5E62"/>
    <w:rsid w:val="007E69E6"/>
    <w:rsid w:val="007E7F4C"/>
    <w:rsid w:val="007F067D"/>
    <w:rsid w:val="007F2EC6"/>
    <w:rsid w:val="007F3018"/>
    <w:rsid w:val="007F3BD5"/>
    <w:rsid w:val="007F3D70"/>
    <w:rsid w:val="007F5E06"/>
    <w:rsid w:val="007F6862"/>
    <w:rsid w:val="008013FC"/>
    <w:rsid w:val="00805103"/>
    <w:rsid w:val="008060C3"/>
    <w:rsid w:val="008063A1"/>
    <w:rsid w:val="008079CD"/>
    <w:rsid w:val="00807F00"/>
    <w:rsid w:val="00812095"/>
    <w:rsid w:val="008134BD"/>
    <w:rsid w:val="008139A5"/>
    <w:rsid w:val="00814656"/>
    <w:rsid w:val="008169A8"/>
    <w:rsid w:val="00816DA8"/>
    <w:rsid w:val="00820E45"/>
    <w:rsid w:val="00821E2C"/>
    <w:rsid w:val="00822835"/>
    <w:rsid w:val="00823836"/>
    <w:rsid w:val="0082459B"/>
    <w:rsid w:val="00824902"/>
    <w:rsid w:val="00826758"/>
    <w:rsid w:val="00826A13"/>
    <w:rsid w:val="00827DAF"/>
    <w:rsid w:val="00830CF1"/>
    <w:rsid w:val="008313D1"/>
    <w:rsid w:val="00833045"/>
    <w:rsid w:val="00833261"/>
    <w:rsid w:val="008344AE"/>
    <w:rsid w:val="00834A7F"/>
    <w:rsid w:val="00834CEC"/>
    <w:rsid w:val="008353E0"/>
    <w:rsid w:val="008365F0"/>
    <w:rsid w:val="00836AF0"/>
    <w:rsid w:val="00836B6F"/>
    <w:rsid w:val="00841534"/>
    <w:rsid w:val="008423C3"/>
    <w:rsid w:val="00843F2E"/>
    <w:rsid w:val="008462C7"/>
    <w:rsid w:val="008462F1"/>
    <w:rsid w:val="00846930"/>
    <w:rsid w:val="0085066C"/>
    <w:rsid w:val="00850FDE"/>
    <w:rsid w:val="00852876"/>
    <w:rsid w:val="008543F5"/>
    <w:rsid w:val="00855004"/>
    <w:rsid w:val="00855994"/>
    <w:rsid w:val="00855CD1"/>
    <w:rsid w:val="008572C4"/>
    <w:rsid w:val="0085733E"/>
    <w:rsid w:val="0085765A"/>
    <w:rsid w:val="008604A8"/>
    <w:rsid w:val="00860E64"/>
    <w:rsid w:val="008613CE"/>
    <w:rsid w:val="008616F7"/>
    <w:rsid w:val="00861AFA"/>
    <w:rsid w:val="008628ED"/>
    <w:rsid w:val="00863C61"/>
    <w:rsid w:val="00865522"/>
    <w:rsid w:val="008658B6"/>
    <w:rsid w:val="00865ADF"/>
    <w:rsid w:val="0086644C"/>
    <w:rsid w:val="008666B5"/>
    <w:rsid w:val="008703B3"/>
    <w:rsid w:val="00871F13"/>
    <w:rsid w:val="0087202F"/>
    <w:rsid w:val="00872B72"/>
    <w:rsid w:val="008749AE"/>
    <w:rsid w:val="00875665"/>
    <w:rsid w:val="00876985"/>
    <w:rsid w:val="008771AF"/>
    <w:rsid w:val="008808E6"/>
    <w:rsid w:val="00883780"/>
    <w:rsid w:val="00883856"/>
    <w:rsid w:val="00883B99"/>
    <w:rsid w:val="00885066"/>
    <w:rsid w:val="00885AAD"/>
    <w:rsid w:val="00885F85"/>
    <w:rsid w:val="0088665E"/>
    <w:rsid w:val="008876DF"/>
    <w:rsid w:val="00887F48"/>
    <w:rsid w:val="00891DA4"/>
    <w:rsid w:val="008923C8"/>
    <w:rsid w:val="008924B5"/>
    <w:rsid w:val="00893260"/>
    <w:rsid w:val="008932A8"/>
    <w:rsid w:val="00893756"/>
    <w:rsid w:val="00893E9A"/>
    <w:rsid w:val="00894A9E"/>
    <w:rsid w:val="008950F6"/>
    <w:rsid w:val="00895175"/>
    <w:rsid w:val="008961E1"/>
    <w:rsid w:val="00896815"/>
    <w:rsid w:val="008A0744"/>
    <w:rsid w:val="008A0A6E"/>
    <w:rsid w:val="008A0D0F"/>
    <w:rsid w:val="008A2F49"/>
    <w:rsid w:val="008A2FB3"/>
    <w:rsid w:val="008A398B"/>
    <w:rsid w:val="008A39AD"/>
    <w:rsid w:val="008A4A79"/>
    <w:rsid w:val="008A4C49"/>
    <w:rsid w:val="008A5601"/>
    <w:rsid w:val="008A58EB"/>
    <w:rsid w:val="008A59AD"/>
    <w:rsid w:val="008B0EEB"/>
    <w:rsid w:val="008B13D4"/>
    <w:rsid w:val="008B431D"/>
    <w:rsid w:val="008B4504"/>
    <w:rsid w:val="008B4DD0"/>
    <w:rsid w:val="008B51FD"/>
    <w:rsid w:val="008B6269"/>
    <w:rsid w:val="008B6766"/>
    <w:rsid w:val="008B70F5"/>
    <w:rsid w:val="008B7186"/>
    <w:rsid w:val="008B7192"/>
    <w:rsid w:val="008B7D40"/>
    <w:rsid w:val="008C1939"/>
    <w:rsid w:val="008C2130"/>
    <w:rsid w:val="008C3396"/>
    <w:rsid w:val="008C621C"/>
    <w:rsid w:val="008C697C"/>
    <w:rsid w:val="008C7448"/>
    <w:rsid w:val="008C75ED"/>
    <w:rsid w:val="008C7649"/>
    <w:rsid w:val="008C7AC7"/>
    <w:rsid w:val="008E01B3"/>
    <w:rsid w:val="008E03B0"/>
    <w:rsid w:val="008E0991"/>
    <w:rsid w:val="008E1FCD"/>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900CC2"/>
    <w:rsid w:val="00901770"/>
    <w:rsid w:val="009019FB"/>
    <w:rsid w:val="00902AA5"/>
    <w:rsid w:val="009052B7"/>
    <w:rsid w:val="00905B05"/>
    <w:rsid w:val="0090753C"/>
    <w:rsid w:val="00907579"/>
    <w:rsid w:val="0090759D"/>
    <w:rsid w:val="0091156F"/>
    <w:rsid w:val="00911B66"/>
    <w:rsid w:val="009122D4"/>
    <w:rsid w:val="00912A7E"/>
    <w:rsid w:val="00915330"/>
    <w:rsid w:val="00916E69"/>
    <w:rsid w:val="00917525"/>
    <w:rsid w:val="0091777D"/>
    <w:rsid w:val="00917C39"/>
    <w:rsid w:val="0092057D"/>
    <w:rsid w:val="00920E6D"/>
    <w:rsid w:val="0092113B"/>
    <w:rsid w:val="009218DE"/>
    <w:rsid w:val="00922D00"/>
    <w:rsid w:val="009233CC"/>
    <w:rsid w:val="00923F17"/>
    <w:rsid w:val="009266DA"/>
    <w:rsid w:val="00927F35"/>
    <w:rsid w:val="00930097"/>
    <w:rsid w:val="00930DE8"/>
    <w:rsid w:val="009318DD"/>
    <w:rsid w:val="0093246B"/>
    <w:rsid w:val="009352C3"/>
    <w:rsid w:val="00935413"/>
    <w:rsid w:val="009355C2"/>
    <w:rsid w:val="00935F5D"/>
    <w:rsid w:val="0093669F"/>
    <w:rsid w:val="009368E0"/>
    <w:rsid w:val="00936EF3"/>
    <w:rsid w:val="0094260B"/>
    <w:rsid w:val="00942661"/>
    <w:rsid w:val="00945307"/>
    <w:rsid w:val="0094558D"/>
    <w:rsid w:val="0094697C"/>
    <w:rsid w:val="00946FCE"/>
    <w:rsid w:val="00950334"/>
    <w:rsid w:val="009515BC"/>
    <w:rsid w:val="0095349A"/>
    <w:rsid w:val="00953B5B"/>
    <w:rsid w:val="00953ED0"/>
    <w:rsid w:val="0095492E"/>
    <w:rsid w:val="00955F7D"/>
    <w:rsid w:val="00960FDF"/>
    <w:rsid w:val="00962394"/>
    <w:rsid w:val="0096242F"/>
    <w:rsid w:val="00962E3B"/>
    <w:rsid w:val="00962FF5"/>
    <w:rsid w:val="0096341C"/>
    <w:rsid w:val="00964A4E"/>
    <w:rsid w:val="00965B02"/>
    <w:rsid w:val="00965C07"/>
    <w:rsid w:val="00965D2D"/>
    <w:rsid w:val="009661B6"/>
    <w:rsid w:val="00967C86"/>
    <w:rsid w:val="00970A16"/>
    <w:rsid w:val="00971847"/>
    <w:rsid w:val="00972964"/>
    <w:rsid w:val="009766D5"/>
    <w:rsid w:val="0097762F"/>
    <w:rsid w:val="00977B11"/>
    <w:rsid w:val="00977C0A"/>
    <w:rsid w:val="009806D2"/>
    <w:rsid w:val="009816B8"/>
    <w:rsid w:val="0098174F"/>
    <w:rsid w:val="00982654"/>
    <w:rsid w:val="00983B45"/>
    <w:rsid w:val="00983B5C"/>
    <w:rsid w:val="00985E6B"/>
    <w:rsid w:val="00986177"/>
    <w:rsid w:val="0098709A"/>
    <w:rsid w:val="0098766F"/>
    <w:rsid w:val="00991AD6"/>
    <w:rsid w:val="00993912"/>
    <w:rsid w:val="00993ABC"/>
    <w:rsid w:val="00994050"/>
    <w:rsid w:val="0099556F"/>
    <w:rsid w:val="009962CF"/>
    <w:rsid w:val="009969D6"/>
    <w:rsid w:val="009A0CF2"/>
    <w:rsid w:val="009A12D7"/>
    <w:rsid w:val="009A4268"/>
    <w:rsid w:val="009A4543"/>
    <w:rsid w:val="009A5DB1"/>
    <w:rsid w:val="009A7C5A"/>
    <w:rsid w:val="009A7E51"/>
    <w:rsid w:val="009B2040"/>
    <w:rsid w:val="009B21B9"/>
    <w:rsid w:val="009B2FAD"/>
    <w:rsid w:val="009B3494"/>
    <w:rsid w:val="009B4CD0"/>
    <w:rsid w:val="009B4DA7"/>
    <w:rsid w:val="009C1DB6"/>
    <w:rsid w:val="009C21C6"/>
    <w:rsid w:val="009C383B"/>
    <w:rsid w:val="009C3A80"/>
    <w:rsid w:val="009C41EC"/>
    <w:rsid w:val="009C45B8"/>
    <w:rsid w:val="009C5238"/>
    <w:rsid w:val="009C5D8F"/>
    <w:rsid w:val="009C79C9"/>
    <w:rsid w:val="009D12B4"/>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783C"/>
    <w:rsid w:val="009F7FF4"/>
    <w:rsid w:val="00A00057"/>
    <w:rsid w:val="00A00485"/>
    <w:rsid w:val="00A00EBA"/>
    <w:rsid w:val="00A01432"/>
    <w:rsid w:val="00A01690"/>
    <w:rsid w:val="00A01A5F"/>
    <w:rsid w:val="00A025AC"/>
    <w:rsid w:val="00A026B2"/>
    <w:rsid w:val="00A028A9"/>
    <w:rsid w:val="00A02C96"/>
    <w:rsid w:val="00A02E65"/>
    <w:rsid w:val="00A0340A"/>
    <w:rsid w:val="00A0440C"/>
    <w:rsid w:val="00A047AE"/>
    <w:rsid w:val="00A04C82"/>
    <w:rsid w:val="00A0585F"/>
    <w:rsid w:val="00A0694A"/>
    <w:rsid w:val="00A06A0B"/>
    <w:rsid w:val="00A075C0"/>
    <w:rsid w:val="00A077AC"/>
    <w:rsid w:val="00A07A33"/>
    <w:rsid w:val="00A106D9"/>
    <w:rsid w:val="00A10A30"/>
    <w:rsid w:val="00A110DE"/>
    <w:rsid w:val="00A1137C"/>
    <w:rsid w:val="00A113D7"/>
    <w:rsid w:val="00A11F0F"/>
    <w:rsid w:val="00A1485B"/>
    <w:rsid w:val="00A149C2"/>
    <w:rsid w:val="00A1575C"/>
    <w:rsid w:val="00A16126"/>
    <w:rsid w:val="00A165DB"/>
    <w:rsid w:val="00A20043"/>
    <w:rsid w:val="00A2083D"/>
    <w:rsid w:val="00A21C6C"/>
    <w:rsid w:val="00A2365A"/>
    <w:rsid w:val="00A24133"/>
    <w:rsid w:val="00A24B81"/>
    <w:rsid w:val="00A262BF"/>
    <w:rsid w:val="00A26A6B"/>
    <w:rsid w:val="00A2739C"/>
    <w:rsid w:val="00A27809"/>
    <w:rsid w:val="00A30533"/>
    <w:rsid w:val="00A3087F"/>
    <w:rsid w:val="00A3122E"/>
    <w:rsid w:val="00A317B0"/>
    <w:rsid w:val="00A31BF6"/>
    <w:rsid w:val="00A333D3"/>
    <w:rsid w:val="00A34591"/>
    <w:rsid w:val="00A34E44"/>
    <w:rsid w:val="00A35B8F"/>
    <w:rsid w:val="00A363DB"/>
    <w:rsid w:val="00A3640F"/>
    <w:rsid w:val="00A37ECF"/>
    <w:rsid w:val="00A40CE2"/>
    <w:rsid w:val="00A41F05"/>
    <w:rsid w:val="00A42FAE"/>
    <w:rsid w:val="00A43175"/>
    <w:rsid w:val="00A43553"/>
    <w:rsid w:val="00A438C1"/>
    <w:rsid w:val="00A47176"/>
    <w:rsid w:val="00A475C5"/>
    <w:rsid w:val="00A4768C"/>
    <w:rsid w:val="00A47E50"/>
    <w:rsid w:val="00A50A68"/>
    <w:rsid w:val="00A50D3B"/>
    <w:rsid w:val="00A50E38"/>
    <w:rsid w:val="00A510C6"/>
    <w:rsid w:val="00A518AA"/>
    <w:rsid w:val="00A525E7"/>
    <w:rsid w:val="00A52C60"/>
    <w:rsid w:val="00A52F9E"/>
    <w:rsid w:val="00A539ED"/>
    <w:rsid w:val="00A54658"/>
    <w:rsid w:val="00A56348"/>
    <w:rsid w:val="00A5703F"/>
    <w:rsid w:val="00A57D39"/>
    <w:rsid w:val="00A60B95"/>
    <w:rsid w:val="00A61825"/>
    <w:rsid w:val="00A61E2D"/>
    <w:rsid w:val="00A6316B"/>
    <w:rsid w:val="00A633C6"/>
    <w:rsid w:val="00A650E9"/>
    <w:rsid w:val="00A65316"/>
    <w:rsid w:val="00A674FF"/>
    <w:rsid w:val="00A70F69"/>
    <w:rsid w:val="00A72113"/>
    <w:rsid w:val="00A72611"/>
    <w:rsid w:val="00A7312E"/>
    <w:rsid w:val="00A73ABB"/>
    <w:rsid w:val="00A751A1"/>
    <w:rsid w:val="00A76D2C"/>
    <w:rsid w:val="00A77746"/>
    <w:rsid w:val="00A806AA"/>
    <w:rsid w:val="00A8224E"/>
    <w:rsid w:val="00A83594"/>
    <w:rsid w:val="00A83BF6"/>
    <w:rsid w:val="00A84BAC"/>
    <w:rsid w:val="00A84CBA"/>
    <w:rsid w:val="00A85BA3"/>
    <w:rsid w:val="00A87B4F"/>
    <w:rsid w:val="00A87F31"/>
    <w:rsid w:val="00A90D27"/>
    <w:rsid w:val="00A9103B"/>
    <w:rsid w:val="00A91284"/>
    <w:rsid w:val="00A918A7"/>
    <w:rsid w:val="00A92871"/>
    <w:rsid w:val="00A950DA"/>
    <w:rsid w:val="00A955EB"/>
    <w:rsid w:val="00A9591E"/>
    <w:rsid w:val="00A96865"/>
    <w:rsid w:val="00AA1F49"/>
    <w:rsid w:val="00AA3A2E"/>
    <w:rsid w:val="00AA4099"/>
    <w:rsid w:val="00AA4619"/>
    <w:rsid w:val="00AA4D5A"/>
    <w:rsid w:val="00AA6835"/>
    <w:rsid w:val="00AA688A"/>
    <w:rsid w:val="00AA6913"/>
    <w:rsid w:val="00AB00F3"/>
    <w:rsid w:val="00AB0650"/>
    <w:rsid w:val="00AB1D9C"/>
    <w:rsid w:val="00AB2190"/>
    <w:rsid w:val="00AB2CA0"/>
    <w:rsid w:val="00AB39EB"/>
    <w:rsid w:val="00AB3F27"/>
    <w:rsid w:val="00AB3FD9"/>
    <w:rsid w:val="00AB7DE7"/>
    <w:rsid w:val="00AC01D4"/>
    <w:rsid w:val="00AC03AB"/>
    <w:rsid w:val="00AC0650"/>
    <w:rsid w:val="00AC07E0"/>
    <w:rsid w:val="00AC0BFB"/>
    <w:rsid w:val="00AC1BE7"/>
    <w:rsid w:val="00AC1F02"/>
    <w:rsid w:val="00AC275F"/>
    <w:rsid w:val="00AC3ADE"/>
    <w:rsid w:val="00AC3EE4"/>
    <w:rsid w:val="00AC4D72"/>
    <w:rsid w:val="00AC50A4"/>
    <w:rsid w:val="00AC5647"/>
    <w:rsid w:val="00AC5A95"/>
    <w:rsid w:val="00AC6074"/>
    <w:rsid w:val="00AC6471"/>
    <w:rsid w:val="00AD1751"/>
    <w:rsid w:val="00AD2B6E"/>
    <w:rsid w:val="00AD340D"/>
    <w:rsid w:val="00AD3443"/>
    <w:rsid w:val="00AD34F6"/>
    <w:rsid w:val="00AD3E9B"/>
    <w:rsid w:val="00AD4B3C"/>
    <w:rsid w:val="00AD5047"/>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7D4F"/>
    <w:rsid w:val="00AE7FE4"/>
    <w:rsid w:val="00AF0117"/>
    <w:rsid w:val="00AF1182"/>
    <w:rsid w:val="00AF17D3"/>
    <w:rsid w:val="00AF1D77"/>
    <w:rsid w:val="00AF1E50"/>
    <w:rsid w:val="00AF286A"/>
    <w:rsid w:val="00AF38BA"/>
    <w:rsid w:val="00AF4808"/>
    <w:rsid w:val="00AF4F67"/>
    <w:rsid w:val="00AF5811"/>
    <w:rsid w:val="00AF6509"/>
    <w:rsid w:val="00B00BBE"/>
    <w:rsid w:val="00B016C9"/>
    <w:rsid w:val="00B02F19"/>
    <w:rsid w:val="00B04449"/>
    <w:rsid w:val="00B0456E"/>
    <w:rsid w:val="00B06A05"/>
    <w:rsid w:val="00B06BF6"/>
    <w:rsid w:val="00B06F7F"/>
    <w:rsid w:val="00B100F0"/>
    <w:rsid w:val="00B13078"/>
    <w:rsid w:val="00B1402E"/>
    <w:rsid w:val="00B142FD"/>
    <w:rsid w:val="00B14865"/>
    <w:rsid w:val="00B1561B"/>
    <w:rsid w:val="00B206A5"/>
    <w:rsid w:val="00B20B93"/>
    <w:rsid w:val="00B21D50"/>
    <w:rsid w:val="00B229BE"/>
    <w:rsid w:val="00B22F9B"/>
    <w:rsid w:val="00B23747"/>
    <w:rsid w:val="00B23E0A"/>
    <w:rsid w:val="00B24090"/>
    <w:rsid w:val="00B257E3"/>
    <w:rsid w:val="00B260C7"/>
    <w:rsid w:val="00B27494"/>
    <w:rsid w:val="00B279B9"/>
    <w:rsid w:val="00B27BFD"/>
    <w:rsid w:val="00B304BF"/>
    <w:rsid w:val="00B307CA"/>
    <w:rsid w:val="00B30FD0"/>
    <w:rsid w:val="00B34F48"/>
    <w:rsid w:val="00B37F84"/>
    <w:rsid w:val="00B4117C"/>
    <w:rsid w:val="00B4151A"/>
    <w:rsid w:val="00B44A7E"/>
    <w:rsid w:val="00B45DF2"/>
    <w:rsid w:val="00B47780"/>
    <w:rsid w:val="00B51BA0"/>
    <w:rsid w:val="00B535BD"/>
    <w:rsid w:val="00B53701"/>
    <w:rsid w:val="00B53910"/>
    <w:rsid w:val="00B539F7"/>
    <w:rsid w:val="00B5509D"/>
    <w:rsid w:val="00B56A26"/>
    <w:rsid w:val="00B56C5F"/>
    <w:rsid w:val="00B573E6"/>
    <w:rsid w:val="00B6110A"/>
    <w:rsid w:val="00B6176A"/>
    <w:rsid w:val="00B6301A"/>
    <w:rsid w:val="00B642FB"/>
    <w:rsid w:val="00B64799"/>
    <w:rsid w:val="00B64845"/>
    <w:rsid w:val="00B64CAD"/>
    <w:rsid w:val="00B651FA"/>
    <w:rsid w:val="00B66751"/>
    <w:rsid w:val="00B66B7C"/>
    <w:rsid w:val="00B66CD7"/>
    <w:rsid w:val="00B67AA6"/>
    <w:rsid w:val="00B7066C"/>
    <w:rsid w:val="00B71306"/>
    <w:rsid w:val="00B717D8"/>
    <w:rsid w:val="00B718E0"/>
    <w:rsid w:val="00B72DF3"/>
    <w:rsid w:val="00B74146"/>
    <w:rsid w:val="00B747A3"/>
    <w:rsid w:val="00B753D3"/>
    <w:rsid w:val="00B75A27"/>
    <w:rsid w:val="00B75E52"/>
    <w:rsid w:val="00B76F6C"/>
    <w:rsid w:val="00B8080B"/>
    <w:rsid w:val="00B811EF"/>
    <w:rsid w:val="00B81568"/>
    <w:rsid w:val="00B82740"/>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7059"/>
    <w:rsid w:val="00BB0051"/>
    <w:rsid w:val="00BB02C6"/>
    <w:rsid w:val="00BB0EB7"/>
    <w:rsid w:val="00BB1082"/>
    <w:rsid w:val="00BB2127"/>
    <w:rsid w:val="00BB2BE4"/>
    <w:rsid w:val="00BB3805"/>
    <w:rsid w:val="00BB4109"/>
    <w:rsid w:val="00BB4589"/>
    <w:rsid w:val="00BB52A5"/>
    <w:rsid w:val="00BB5893"/>
    <w:rsid w:val="00BB6740"/>
    <w:rsid w:val="00BB7EA1"/>
    <w:rsid w:val="00BB7EDA"/>
    <w:rsid w:val="00BB7F81"/>
    <w:rsid w:val="00BC045B"/>
    <w:rsid w:val="00BC1352"/>
    <w:rsid w:val="00BC2059"/>
    <w:rsid w:val="00BC261E"/>
    <w:rsid w:val="00BC269B"/>
    <w:rsid w:val="00BC27D2"/>
    <w:rsid w:val="00BC299D"/>
    <w:rsid w:val="00BC44BA"/>
    <w:rsid w:val="00BC4D71"/>
    <w:rsid w:val="00BC5C65"/>
    <w:rsid w:val="00BC69D9"/>
    <w:rsid w:val="00BC6D0F"/>
    <w:rsid w:val="00BD085F"/>
    <w:rsid w:val="00BD1D27"/>
    <w:rsid w:val="00BD35E1"/>
    <w:rsid w:val="00BD3A56"/>
    <w:rsid w:val="00BD54FC"/>
    <w:rsid w:val="00BD63C3"/>
    <w:rsid w:val="00BD67CE"/>
    <w:rsid w:val="00BD6B07"/>
    <w:rsid w:val="00BD76A4"/>
    <w:rsid w:val="00BE0186"/>
    <w:rsid w:val="00BE1C8A"/>
    <w:rsid w:val="00BE2069"/>
    <w:rsid w:val="00BE4857"/>
    <w:rsid w:val="00BE5847"/>
    <w:rsid w:val="00BE5BE0"/>
    <w:rsid w:val="00BE5D1D"/>
    <w:rsid w:val="00BE697B"/>
    <w:rsid w:val="00BE70E8"/>
    <w:rsid w:val="00BF0833"/>
    <w:rsid w:val="00BF0E76"/>
    <w:rsid w:val="00BF19DC"/>
    <w:rsid w:val="00BF2B3E"/>
    <w:rsid w:val="00BF2DAF"/>
    <w:rsid w:val="00BF2F39"/>
    <w:rsid w:val="00BF4E1B"/>
    <w:rsid w:val="00BF5AB9"/>
    <w:rsid w:val="00BF79A3"/>
    <w:rsid w:val="00BF7A36"/>
    <w:rsid w:val="00C01083"/>
    <w:rsid w:val="00C0295B"/>
    <w:rsid w:val="00C041D5"/>
    <w:rsid w:val="00C044F7"/>
    <w:rsid w:val="00C0480F"/>
    <w:rsid w:val="00C04C9A"/>
    <w:rsid w:val="00C05E12"/>
    <w:rsid w:val="00C05F19"/>
    <w:rsid w:val="00C06A2F"/>
    <w:rsid w:val="00C1043C"/>
    <w:rsid w:val="00C10D90"/>
    <w:rsid w:val="00C1265B"/>
    <w:rsid w:val="00C12A51"/>
    <w:rsid w:val="00C12C65"/>
    <w:rsid w:val="00C12CD1"/>
    <w:rsid w:val="00C1591E"/>
    <w:rsid w:val="00C15EDD"/>
    <w:rsid w:val="00C173EE"/>
    <w:rsid w:val="00C20D36"/>
    <w:rsid w:val="00C21038"/>
    <w:rsid w:val="00C2286B"/>
    <w:rsid w:val="00C2396B"/>
    <w:rsid w:val="00C26688"/>
    <w:rsid w:val="00C26865"/>
    <w:rsid w:val="00C26E4B"/>
    <w:rsid w:val="00C2785F"/>
    <w:rsid w:val="00C30BA6"/>
    <w:rsid w:val="00C31467"/>
    <w:rsid w:val="00C32E6D"/>
    <w:rsid w:val="00C33B06"/>
    <w:rsid w:val="00C33CB1"/>
    <w:rsid w:val="00C33F0C"/>
    <w:rsid w:val="00C34CCB"/>
    <w:rsid w:val="00C34D57"/>
    <w:rsid w:val="00C35515"/>
    <w:rsid w:val="00C35807"/>
    <w:rsid w:val="00C35A4B"/>
    <w:rsid w:val="00C36696"/>
    <w:rsid w:val="00C36720"/>
    <w:rsid w:val="00C36777"/>
    <w:rsid w:val="00C36FA8"/>
    <w:rsid w:val="00C37518"/>
    <w:rsid w:val="00C37F00"/>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323"/>
    <w:rsid w:val="00C53F9A"/>
    <w:rsid w:val="00C5400B"/>
    <w:rsid w:val="00C54D8C"/>
    <w:rsid w:val="00C55296"/>
    <w:rsid w:val="00C55398"/>
    <w:rsid w:val="00C56828"/>
    <w:rsid w:val="00C56AF6"/>
    <w:rsid w:val="00C56F43"/>
    <w:rsid w:val="00C56F74"/>
    <w:rsid w:val="00C57493"/>
    <w:rsid w:val="00C605E6"/>
    <w:rsid w:val="00C64533"/>
    <w:rsid w:val="00C64693"/>
    <w:rsid w:val="00C64D07"/>
    <w:rsid w:val="00C66CEF"/>
    <w:rsid w:val="00C670FE"/>
    <w:rsid w:val="00C6758A"/>
    <w:rsid w:val="00C70DE0"/>
    <w:rsid w:val="00C71087"/>
    <w:rsid w:val="00C71E3C"/>
    <w:rsid w:val="00C73C17"/>
    <w:rsid w:val="00C75492"/>
    <w:rsid w:val="00C76F93"/>
    <w:rsid w:val="00C77037"/>
    <w:rsid w:val="00C77C78"/>
    <w:rsid w:val="00C813AE"/>
    <w:rsid w:val="00C8146C"/>
    <w:rsid w:val="00C8231E"/>
    <w:rsid w:val="00C82A84"/>
    <w:rsid w:val="00C846DD"/>
    <w:rsid w:val="00C85CA6"/>
    <w:rsid w:val="00C85E3F"/>
    <w:rsid w:val="00C8658F"/>
    <w:rsid w:val="00C873DA"/>
    <w:rsid w:val="00C9025A"/>
    <w:rsid w:val="00C90A7F"/>
    <w:rsid w:val="00C9147E"/>
    <w:rsid w:val="00C915FA"/>
    <w:rsid w:val="00C925ED"/>
    <w:rsid w:val="00C9339F"/>
    <w:rsid w:val="00C95976"/>
    <w:rsid w:val="00C96618"/>
    <w:rsid w:val="00C96A10"/>
    <w:rsid w:val="00C9753B"/>
    <w:rsid w:val="00CA0C87"/>
    <w:rsid w:val="00CA19CD"/>
    <w:rsid w:val="00CA1F28"/>
    <w:rsid w:val="00CA20F3"/>
    <w:rsid w:val="00CA2747"/>
    <w:rsid w:val="00CA2BE4"/>
    <w:rsid w:val="00CA4A62"/>
    <w:rsid w:val="00CA4DE0"/>
    <w:rsid w:val="00CA561E"/>
    <w:rsid w:val="00CA5B58"/>
    <w:rsid w:val="00CA659E"/>
    <w:rsid w:val="00CA6A39"/>
    <w:rsid w:val="00CA7DAD"/>
    <w:rsid w:val="00CB0A24"/>
    <w:rsid w:val="00CB0E83"/>
    <w:rsid w:val="00CB23DD"/>
    <w:rsid w:val="00CB2757"/>
    <w:rsid w:val="00CB2FE7"/>
    <w:rsid w:val="00CB3B57"/>
    <w:rsid w:val="00CB42AE"/>
    <w:rsid w:val="00CB5100"/>
    <w:rsid w:val="00CB6768"/>
    <w:rsid w:val="00CB768F"/>
    <w:rsid w:val="00CC0848"/>
    <w:rsid w:val="00CC17DB"/>
    <w:rsid w:val="00CC20D5"/>
    <w:rsid w:val="00CC2CF9"/>
    <w:rsid w:val="00CC2F01"/>
    <w:rsid w:val="00CC5661"/>
    <w:rsid w:val="00CC586C"/>
    <w:rsid w:val="00CC5BCB"/>
    <w:rsid w:val="00CC6453"/>
    <w:rsid w:val="00CD2D8A"/>
    <w:rsid w:val="00CD31EA"/>
    <w:rsid w:val="00CD4B6F"/>
    <w:rsid w:val="00CD5817"/>
    <w:rsid w:val="00CD692F"/>
    <w:rsid w:val="00CD7F4B"/>
    <w:rsid w:val="00CE0392"/>
    <w:rsid w:val="00CE184D"/>
    <w:rsid w:val="00CE2303"/>
    <w:rsid w:val="00CE2604"/>
    <w:rsid w:val="00CE2A86"/>
    <w:rsid w:val="00CE34B8"/>
    <w:rsid w:val="00CE392B"/>
    <w:rsid w:val="00CE46E3"/>
    <w:rsid w:val="00CE5481"/>
    <w:rsid w:val="00CE5866"/>
    <w:rsid w:val="00CE5973"/>
    <w:rsid w:val="00CF003F"/>
    <w:rsid w:val="00CF0045"/>
    <w:rsid w:val="00CF019D"/>
    <w:rsid w:val="00CF7194"/>
    <w:rsid w:val="00CF744B"/>
    <w:rsid w:val="00CF74AE"/>
    <w:rsid w:val="00CF75E6"/>
    <w:rsid w:val="00CF7C90"/>
    <w:rsid w:val="00CF7EA0"/>
    <w:rsid w:val="00D00393"/>
    <w:rsid w:val="00D00600"/>
    <w:rsid w:val="00D00A29"/>
    <w:rsid w:val="00D02612"/>
    <w:rsid w:val="00D0329F"/>
    <w:rsid w:val="00D041D1"/>
    <w:rsid w:val="00D04372"/>
    <w:rsid w:val="00D04A7F"/>
    <w:rsid w:val="00D04F9C"/>
    <w:rsid w:val="00D05DB1"/>
    <w:rsid w:val="00D06299"/>
    <w:rsid w:val="00D07781"/>
    <w:rsid w:val="00D1045D"/>
    <w:rsid w:val="00D133AA"/>
    <w:rsid w:val="00D13B0B"/>
    <w:rsid w:val="00D13CCF"/>
    <w:rsid w:val="00D13E81"/>
    <w:rsid w:val="00D14CF7"/>
    <w:rsid w:val="00D1576E"/>
    <w:rsid w:val="00D15943"/>
    <w:rsid w:val="00D15BBC"/>
    <w:rsid w:val="00D15E67"/>
    <w:rsid w:val="00D170C5"/>
    <w:rsid w:val="00D17767"/>
    <w:rsid w:val="00D17F09"/>
    <w:rsid w:val="00D2057B"/>
    <w:rsid w:val="00D20ABB"/>
    <w:rsid w:val="00D22E04"/>
    <w:rsid w:val="00D24AEE"/>
    <w:rsid w:val="00D25315"/>
    <w:rsid w:val="00D26A33"/>
    <w:rsid w:val="00D27CA4"/>
    <w:rsid w:val="00D3073E"/>
    <w:rsid w:val="00D30EC2"/>
    <w:rsid w:val="00D31676"/>
    <w:rsid w:val="00D316C8"/>
    <w:rsid w:val="00D337D5"/>
    <w:rsid w:val="00D33FB9"/>
    <w:rsid w:val="00D34817"/>
    <w:rsid w:val="00D3504E"/>
    <w:rsid w:val="00D365BB"/>
    <w:rsid w:val="00D36F8C"/>
    <w:rsid w:val="00D3795A"/>
    <w:rsid w:val="00D37AB5"/>
    <w:rsid w:val="00D404D9"/>
    <w:rsid w:val="00D40C74"/>
    <w:rsid w:val="00D43282"/>
    <w:rsid w:val="00D43EA4"/>
    <w:rsid w:val="00D44508"/>
    <w:rsid w:val="00D44776"/>
    <w:rsid w:val="00D44F3E"/>
    <w:rsid w:val="00D476E4"/>
    <w:rsid w:val="00D47810"/>
    <w:rsid w:val="00D50FB8"/>
    <w:rsid w:val="00D5128E"/>
    <w:rsid w:val="00D52FD0"/>
    <w:rsid w:val="00D535E4"/>
    <w:rsid w:val="00D53C9E"/>
    <w:rsid w:val="00D53D9D"/>
    <w:rsid w:val="00D54385"/>
    <w:rsid w:val="00D606D9"/>
    <w:rsid w:val="00D61591"/>
    <w:rsid w:val="00D6259C"/>
    <w:rsid w:val="00D63630"/>
    <w:rsid w:val="00D63B91"/>
    <w:rsid w:val="00D64A4A"/>
    <w:rsid w:val="00D657C5"/>
    <w:rsid w:val="00D659F7"/>
    <w:rsid w:val="00D6679C"/>
    <w:rsid w:val="00D66B09"/>
    <w:rsid w:val="00D67C3D"/>
    <w:rsid w:val="00D72F5D"/>
    <w:rsid w:val="00D7309F"/>
    <w:rsid w:val="00D7370C"/>
    <w:rsid w:val="00D73EE6"/>
    <w:rsid w:val="00D742D2"/>
    <w:rsid w:val="00D744DC"/>
    <w:rsid w:val="00D74556"/>
    <w:rsid w:val="00D7552E"/>
    <w:rsid w:val="00D75CF7"/>
    <w:rsid w:val="00D75F59"/>
    <w:rsid w:val="00D776C3"/>
    <w:rsid w:val="00D80153"/>
    <w:rsid w:val="00D814BC"/>
    <w:rsid w:val="00D81AC7"/>
    <w:rsid w:val="00D81D07"/>
    <w:rsid w:val="00D83E45"/>
    <w:rsid w:val="00D842C5"/>
    <w:rsid w:val="00D842CD"/>
    <w:rsid w:val="00D8495C"/>
    <w:rsid w:val="00D86737"/>
    <w:rsid w:val="00D8696A"/>
    <w:rsid w:val="00D90419"/>
    <w:rsid w:val="00D90551"/>
    <w:rsid w:val="00D90F5A"/>
    <w:rsid w:val="00D9130A"/>
    <w:rsid w:val="00D9153B"/>
    <w:rsid w:val="00D9160A"/>
    <w:rsid w:val="00D9193A"/>
    <w:rsid w:val="00D95903"/>
    <w:rsid w:val="00D959FD"/>
    <w:rsid w:val="00D95D78"/>
    <w:rsid w:val="00DA0810"/>
    <w:rsid w:val="00DA12D6"/>
    <w:rsid w:val="00DA37B7"/>
    <w:rsid w:val="00DA3FCE"/>
    <w:rsid w:val="00DA4B42"/>
    <w:rsid w:val="00DA57DA"/>
    <w:rsid w:val="00DA58EF"/>
    <w:rsid w:val="00DA60BA"/>
    <w:rsid w:val="00DA7865"/>
    <w:rsid w:val="00DB0673"/>
    <w:rsid w:val="00DB2BE7"/>
    <w:rsid w:val="00DB40EF"/>
    <w:rsid w:val="00DB4203"/>
    <w:rsid w:val="00DB428C"/>
    <w:rsid w:val="00DB6B88"/>
    <w:rsid w:val="00DB6CCB"/>
    <w:rsid w:val="00DB7CA1"/>
    <w:rsid w:val="00DC094F"/>
    <w:rsid w:val="00DC24B5"/>
    <w:rsid w:val="00DC25DA"/>
    <w:rsid w:val="00DC410C"/>
    <w:rsid w:val="00DC4325"/>
    <w:rsid w:val="00DC4915"/>
    <w:rsid w:val="00DC4C59"/>
    <w:rsid w:val="00DC5149"/>
    <w:rsid w:val="00DC5B77"/>
    <w:rsid w:val="00DC5D9A"/>
    <w:rsid w:val="00DC68E1"/>
    <w:rsid w:val="00DC7FCE"/>
    <w:rsid w:val="00DD0452"/>
    <w:rsid w:val="00DD1663"/>
    <w:rsid w:val="00DD1B88"/>
    <w:rsid w:val="00DD334C"/>
    <w:rsid w:val="00DD34F8"/>
    <w:rsid w:val="00DD3C08"/>
    <w:rsid w:val="00DD4BAF"/>
    <w:rsid w:val="00DD60B2"/>
    <w:rsid w:val="00DE0476"/>
    <w:rsid w:val="00DE1189"/>
    <w:rsid w:val="00DE1B2F"/>
    <w:rsid w:val="00DE1C5A"/>
    <w:rsid w:val="00DE2AAC"/>
    <w:rsid w:val="00DE3889"/>
    <w:rsid w:val="00DE5E04"/>
    <w:rsid w:val="00DE6280"/>
    <w:rsid w:val="00DE6634"/>
    <w:rsid w:val="00DE7872"/>
    <w:rsid w:val="00DF1125"/>
    <w:rsid w:val="00DF2088"/>
    <w:rsid w:val="00DF22E5"/>
    <w:rsid w:val="00DF27AC"/>
    <w:rsid w:val="00DF28E7"/>
    <w:rsid w:val="00DF2FD1"/>
    <w:rsid w:val="00DF3441"/>
    <w:rsid w:val="00DF399A"/>
    <w:rsid w:val="00DF39FB"/>
    <w:rsid w:val="00DF447B"/>
    <w:rsid w:val="00DF4DCA"/>
    <w:rsid w:val="00DF6280"/>
    <w:rsid w:val="00DF7B14"/>
    <w:rsid w:val="00DF7B16"/>
    <w:rsid w:val="00E00009"/>
    <w:rsid w:val="00E01065"/>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347F"/>
    <w:rsid w:val="00E1621B"/>
    <w:rsid w:val="00E16BC4"/>
    <w:rsid w:val="00E21114"/>
    <w:rsid w:val="00E22B84"/>
    <w:rsid w:val="00E25363"/>
    <w:rsid w:val="00E25E8A"/>
    <w:rsid w:val="00E26045"/>
    <w:rsid w:val="00E26BDB"/>
    <w:rsid w:val="00E26DF9"/>
    <w:rsid w:val="00E27298"/>
    <w:rsid w:val="00E27304"/>
    <w:rsid w:val="00E27D36"/>
    <w:rsid w:val="00E304D5"/>
    <w:rsid w:val="00E30CC7"/>
    <w:rsid w:val="00E33084"/>
    <w:rsid w:val="00E337A5"/>
    <w:rsid w:val="00E337F5"/>
    <w:rsid w:val="00E339E4"/>
    <w:rsid w:val="00E34EBC"/>
    <w:rsid w:val="00E3529F"/>
    <w:rsid w:val="00E352D0"/>
    <w:rsid w:val="00E37211"/>
    <w:rsid w:val="00E37848"/>
    <w:rsid w:val="00E4034D"/>
    <w:rsid w:val="00E404B3"/>
    <w:rsid w:val="00E41EE7"/>
    <w:rsid w:val="00E42084"/>
    <w:rsid w:val="00E44854"/>
    <w:rsid w:val="00E4540D"/>
    <w:rsid w:val="00E4630A"/>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56E4D"/>
    <w:rsid w:val="00E6161C"/>
    <w:rsid w:val="00E62DEC"/>
    <w:rsid w:val="00E63233"/>
    <w:rsid w:val="00E63FE6"/>
    <w:rsid w:val="00E65960"/>
    <w:rsid w:val="00E65F8A"/>
    <w:rsid w:val="00E66ECB"/>
    <w:rsid w:val="00E67486"/>
    <w:rsid w:val="00E7055E"/>
    <w:rsid w:val="00E71139"/>
    <w:rsid w:val="00E727CE"/>
    <w:rsid w:val="00E735DF"/>
    <w:rsid w:val="00E73B73"/>
    <w:rsid w:val="00E73D84"/>
    <w:rsid w:val="00E74312"/>
    <w:rsid w:val="00E749E1"/>
    <w:rsid w:val="00E8007A"/>
    <w:rsid w:val="00E803C0"/>
    <w:rsid w:val="00E80578"/>
    <w:rsid w:val="00E80B43"/>
    <w:rsid w:val="00E82872"/>
    <w:rsid w:val="00E833CB"/>
    <w:rsid w:val="00E83995"/>
    <w:rsid w:val="00E83CBA"/>
    <w:rsid w:val="00E83D2E"/>
    <w:rsid w:val="00E83FB2"/>
    <w:rsid w:val="00E844D4"/>
    <w:rsid w:val="00E85FEA"/>
    <w:rsid w:val="00E86D0C"/>
    <w:rsid w:val="00E90615"/>
    <w:rsid w:val="00E916E6"/>
    <w:rsid w:val="00E91FE0"/>
    <w:rsid w:val="00E95AC2"/>
    <w:rsid w:val="00E97167"/>
    <w:rsid w:val="00E97787"/>
    <w:rsid w:val="00E97DBB"/>
    <w:rsid w:val="00EA0105"/>
    <w:rsid w:val="00EA0169"/>
    <w:rsid w:val="00EA093A"/>
    <w:rsid w:val="00EA3781"/>
    <w:rsid w:val="00EA4040"/>
    <w:rsid w:val="00EA5017"/>
    <w:rsid w:val="00EA5023"/>
    <w:rsid w:val="00EA7061"/>
    <w:rsid w:val="00EA74ED"/>
    <w:rsid w:val="00EA7C5B"/>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1518"/>
    <w:rsid w:val="00EC2011"/>
    <w:rsid w:val="00ED024E"/>
    <w:rsid w:val="00ED0615"/>
    <w:rsid w:val="00ED194C"/>
    <w:rsid w:val="00ED2C26"/>
    <w:rsid w:val="00ED3898"/>
    <w:rsid w:val="00ED38BF"/>
    <w:rsid w:val="00ED5DB2"/>
    <w:rsid w:val="00ED5EC2"/>
    <w:rsid w:val="00EE009D"/>
    <w:rsid w:val="00EE0A9C"/>
    <w:rsid w:val="00EE0DF2"/>
    <w:rsid w:val="00EE1124"/>
    <w:rsid w:val="00EE21DD"/>
    <w:rsid w:val="00EE2E39"/>
    <w:rsid w:val="00EE4131"/>
    <w:rsid w:val="00EE56DF"/>
    <w:rsid w:val="00EE587F"/>
    <w:rsid w:val="00EE5ED7"/>
    <w:rsid w:val="00EE64CC"/>
    <w:rsid w:val="00EE6D6B"/>
    <w:rsid w:val="00EE70C7"/>
    <w:rsid w:val="00EF1A24"/>
    <w:rsid w:val="00EF1BF1"/>
    <w:rsid w:val="00EF35FC"/>
    <w:rsid w:val="00EF5716"/>
    <w:rsid w:val="00EF6329"/>
    <w:rsid w:val="00EF6994"/>
    <w:rsid w:val="00EF71E1"/>
    <w:rsid w:val="00F003B9"/>
    <w:rsid w:val="00F01BD5"/>
    <w:rsid w:val="00F024E3"/>
    <w:rsid w:val="00F0264E"/>
    <w:rsid w:val="00F02815"/>
    <w:rsid w:val="00F041B2"/>
    <w:rsid w:val="00F0505F"/>
    <w:rsid w:val="00F05EAF"/>
    <w:rsid w:val="00F0656F"/>
    <w:rsid w:val="00F069F3"/>
    <w:rsid w:val="00F06D7C"/>
    <w:rsid w:val="00F079F3"/>
    <w:rsid w:val="00F1049D"/>
    <w:rsid w:val="00F119F0"/>
    <w:rsid w:val="00F1371F"/>
    <w:rsid w:val="00F147FD"/>
    <w:rsid w:val="00F1559F"/>
    <w:rsid w:val="00F15C8C"/>
    <w:rsid w:val="00F15FC1"/>
    <w:rsid w:val="00F166CE"/>
    <w:rsid w:val="00F16D07"/>
    <w:rsid w:val="00F17762"/>
    <w:rsid w:val="00F23C5A"/>
    <w:rsid w:val="00F23E91"/>
    <w:rsid w:val="00F24F77"/>
    <w:rsid w:val="00F252E6"/>
    <w:rsid w:val="00F261BC"/>
    <w:rsid w:val="00F26C6C"/>
    <w:rsid w:val="00F277D4"/>
    <w:rsid w:val="00F30466"/>
    <w:rsid w:val="00F30A70"/>
    <w:rsid w:val="00F31104"/>
    <w:rsid w:val="00F31662"/>
    <w:rsid w:val="00F31D17"/>
    <w:rsid w:val="00F33668"/>
    <w:rsid w:val="00F33E65"/>
    <w:rsid w:val="00F34E93"/>
    <w:rsid w:val="00F35499"/>
    <w:rsid w:val="00F358F0"/>
    <w:rsid w:val="00F367CC"/>
    <w:rsid w:val="00F37158"/>
    <w:rsid w:val="00F43F5A"/>
    <w:rsid w:val="00F44104"/>
    <w:rsid w:val="00F44511"/>
    <w:rsid w:val="00F4474B"/>
    <w:rsid w:val="00F44FCF"/>
    <w:rsid w:val="00F45197"/>
    <w:rsid w:val="00F45708"/>
    <w:rsid w:val="00F475FD"/>
    <w:rsid w:val="00F5097D"/>
    <w:rsid w:val="00F50E3C"/>
    <w:rsid w:val="00F50FD5"/>
    <w:rsid w:val="00F513E5"/>
    <w:rsid w:val="00F5219B"/>
    <w:rsid w:val="00F527A6"/>
    <w:rsid w:val="00F53138"/>
    <w:rsid w:val="00F534C0"/>
    <w:rsid w:val="00F54930"/>
    <w:rsid w:val="00F5523B"/>
    <w:rsid w:val="00F561ED"/>
    <w:rsid w:val="00F57FBE"/>
    <w:rsid w:val="00F60A82"/>
    <w:rsid w:val="00F623B6"/>
    <w:rsid w:val="00F6280F"/>
    <w:rsid w:val="00F62819"/>
    <w:rsid w:val="00F6394B"/>
    <w:rsid w:val="00F642FE"/>
    <w:rsid w:val="00F6481F"/>
    <w:rsid w:val="00F65BD0"/>
    <w:rsid w:val="00F660D6"/>
    <w:rsid w:val="00F6653B"/>
    <w:rsid w:val="00F67170"/>
    <w:rsid w:val="00F67B1D"/>
    <w:rsid w:val="00F708D9"/>
    <w:rsid w:val="00F70F76"/>
    <w:rsid w:val="00F720FB"/>
    <w:rsid w:val="00F721C2"/>
    <w:rsid w:val="00F72E6B"/>
    <w:rsid w:val="00F73DFB"/>
    <w:rsid w:val="00F7520B"/>
    <w:rsid w:val="00F757BC"/>
    <w:rsid w:val="00F76825"/>
    <w:rsid w:val="00F80602"/>
    <w:rsid w:val="00F81376"/>
    <w:rsid w:val="00F814DF"/>
    <w:rsid w:val="00F81E48"/>
    <w:rsid w:val="00F83AF1"/>
    <w:rsid w:val="00F8489E"/>
    <w:rsid w:val="00F84C20"/>
    <w:rsid w:val="00F84FF2"/>
    <w:rsid w:val="00F85D2B"/>
    <w:rsid w:val="00F87614"/>
    <w:rsid w:val="00F87F8F"/>
    <w:rsid w:val="00F91FFB"/>
    <w:rsid w:val="00F92112"/>
    <w:rsid w:val="00F9230A"/>
    <w:rsid w:val="00F92366"/>
    <w:rsid w:val="00F92753"/>
    <w:rsid w:val="00F93BBB"/>
    <w:rsid w:val="00F9598E"/>
    <w:rsid w:val="00F96B32"/>
    <w:rsid w:val="00F9735A"/>
    <w:rsid w:val="00FA0D41"/>
    <w:rsid w:val="00FA3FF0"/>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11D6"/>
    <w:rsid w:val="00FC124A"/>
    <w:rsid w:val="00FC48DD"/>
    <w:rsid w:val="00FC569E"/>
    <w:rsid w:val="00FC67E5"/>
    <w:rsid w:val="00FC6BFF"/>
    <w:rsid w:val="00FC7B5F"/>
    <w:rsid w:val="00FD04EB"/>
    <w:rsid w:val="00FD1036"/>
    <w:rsid w:val="00FD1062"/>
    <w:rsid w:val="00FD131D"/>
    <w:rsid w:val="00FD1865"/>
    <w:rsid w:val="00FD1BE6"/>
    <w:rsid w:val="00FD3049"/>
    <w:rsid w:val="00FD3151"/>
    <w:rsid w:val="00FD5177"/>
    <w:rsid w:val="00FD5398"/>
    <w:rsid w:val="00FD6A47"/>
    <w:rsid w:val="00FE0E12"/>
    <w:rsid w:val="00FE35E1"/>
    <w:rsid w:val="00FE3AFC"/>
    <w:rsid w:val="00FE4D5E"/>
    <w:rsid w:val="00FE6D86"/>
    <w:rsid w:val="00FE7385"/>
    <w:rsid w:val="00FE7FB0"/>
    <w:rsid w:val="00FF0BB7"/>
    <w:rsid w:val="00FF0DA7"/>
    <w:rsid w:val="00FF252B"/>
    <w:rsid w:val="00FF290C"/>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CPD">
    <w:name w:val="CPD"/>
    <w:basedOn w:val="ListParagraph"/>
    <w:link w:val="CPDCar"/>
    <w:qFormat/>
    <w:rsid w:val="002203EE"/>
    <w:pPr>
      <w:numPr>
        <w:numId w:val="57"/>
      </w:numPr>
      <w:tabs>
        <w:tab w:val="left" w:pos="1134"/>
      </w:tabs>
      <w:spacing w:after="120"/>
      <w:ind w:right="1196" w:hanging="11"/>
      <w:jc w:val="both"/>
    </w:pPr>
  </w:style>
  <w:style w:type="character" w:customStyle="1" w:styleId="CPDCar">
    <w:name w:val="CPD Car"/>
    <w:basedOn w:val="DefaultParagraphFont"/>
    <w:link w:val="CPD"/>
    <w:rsid w:val="002203EE"/>
    <w:rPr>
      <w:lang w:val="en-US" w:eastAsia="en-US"/>
    </w:rPr>
  </w:style>
  <w:style w:type="character" w:customStyle="1" w:styleId="contentpasted2">
    <w:name w:val="contentpasted2"/>
    <w:basedOn w:val="DefaultParagraphFont"/>
    <w:rsid w:val="002203EE"/>
  </w:style>
  <w:style w:type="paragraph" w:customStyle="1" w:styleId="Default">
    <w:name w:val="Default"/>
    <w:rsid w:val="00161EBF"/>
    <w:pPr>
      <w:autoSpaceDE w:val="0"/>
      <w:autoSpaceDN w:val="0"/>
      <w:adjustRightInd w:val="0"/>
    </w:pPr>
    <w:rPr>
      <w:rFonts w:ascii="Roboto Cn" w:eastAsiaTheme="minorHAnsi" w:hAnsi="Roboto Cn" w:cs="Roboto Cn"/>
      <w:color w:val="000000"/>
      <w:sz w:val="24"/>
      <w:szCs w:val="24"/>
      <w:lang w:eastAsia="en-US"/>
    </w:rPr>
  </w:style>
  <w:style w:type="paragraph" w:customStyle="1" w:styleId="pf0">
    <w:name w:val="pf0"/>
    <w:basedOn w:val="Normal"/>
    <w:rsid w:val="00161EBF"/>
    <w:pPr>
      <w:spacing w:before="100" w:beforeAutospacing="1" w:after="100" w:afterAutospacing="1"/>
    </w:pPr>
    <w:rPr>
      <w:sz w:val="24"/>
      <w:szCs w:val="24"/>
      <w:lang w:val="fr-FR" w:eastAsia="fr-FR"/>
    </w:rPr>
  </w:style>
  <w:style w:type="paragraph" w:styleId="HTMLPreformatted">
    <w:name w:val="HTML Preformatted"/>
    <w:basedOn w:val="Normal"/>
    <w:link w:val="HTMLPreformattedChar"/>
    <w:uiPriority w:val="99"/>
    <w:semiHidden/>
    <w:unhideWhenUsed/>
    <w:rsid w:val="0016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61EBF"/>
    <w:rPr>
      <w:rFonts w:ascii="Courier New" w:hAnsi="Courier New" w:cs="Courier New"/>
      <w:lang w:val="en-US" w:eastAsia="en-US"/>
    </w:rPr>
  </w:style>
  <w:style w:type="character" w:customStyle="1" w:styleId="rynqvb">
    <w:name w:val="rynqvb"/>
    <w:basedOn w:val="DefaultParagraphFont"/>
    <w:rsid w:val="00161EBF"/>
  </w:style>
  <w:style w:type="character" w:styleId="Emphasis">
    <w:name w:val="Emphasis"/>
    <w:basedOn w:val="DefaultParagraphFont"/>
    <w:uiPriority w:val="20"/>
    <w:qFormat/>
    <w:locked/>
    <w:rsid w:val="00575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41318676">
      <w:bodyDiv w:val="1"/>
      <w:marLeft w:val="0"/>
      <w:marRight w:val="0"/>
      <w:marTop w:val="0"/>
      <w:marBottom w:val="0"/>
      <w:divBdr>
        <w:top w:val="none" w:sz="0" w:space="0" w:color="auto"/>
        <w:left w:val="none" w:sz="0" w:space="0" w:color="auto"/>
        <w:bottom w:val="none" w:sz="0" w:space="0" w:color="auto"/>
        <w:right w:val="none" w:sz="0" w:space="0" w:color="auto"/>
      </w:divBdr>
      <w:divsChild>
        <w:div w:id="1294368574">
          <w:marLeft w:val="0"/>
          <w:marRight w:val="0"/>
          <w:marTop w:val="60"/>
          <w:marBottom w:val="0"/>
          <w:divBdr>
            <w:top w:val="none" w:sz="0" w:space="0" w:color="auto"/>
            <w:left w:val="none" w:sz="0" w:space="0" w:color="auto"/>
            <w:bottom w:val="none" w:sz="0" w:space="0" w:color="auto"/>
            <w:right w:val="none" w:sz="0" w:space="0" w:color="auto"/>
          </w:divBdr>
        </w:div>
        <w:div w:id="147980368">
          <w:marLeft w:val="0"/>
          <w:marRight w:val="0"/>
          <w:marTop w:val="60"/>
          <w:marBottom w:val="0"/>
          <w:divBdr>
            <w:top w:val="none" w:sz="0" w:space="0" w:color="auto"/>
            <w:left w:val="none" w:sz="0" w:space="0" w:color="auto"/>
            <w:bottom w:val="none" w:sz="0" w:space="0" w:color="auto"/>
            <w:right w:val="none" w:sz="0" w:space="0" w:color="auto"/>
          </w:divBdr>
        </w:div>
      </w:divsChild>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9C497E5D-CCB5-457E-8A2E-6623B22FB154}">
  <ds:schemaRefs>
    <ds:schemaRef ds:uri="http://schemas.openxmlformats.org/officeDocument/2006/bibliography"/>
  </ds:schemaRefs>
</ds:datastoreItem>
</file>

<file path=customXml/itemProps5.xml><?xml version="1.0" encoding="utf-8"?>
<ds:datastoreItem xmlns:ds="http://schemas.openxmlformats.org/officeDocument/2006/customXml" ds:itemID="{15225299-70F4-444F-B236-44270C4DFC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6541</Words>
  <Characters>37288</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5</cp:revision>
  <cp:lastPrinted>2023-05-20T22:00:00Z</cp:lastPrinted>
  <dcterms:created xsi:type="dcterms:W3CDTF">2023-06-01T21:17:00Z</dcterms:created>
  <dcterms:modified xsi:type="dcterms:W3CDTF">2023-06-29T17:07:00Z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