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572DD386" w:rsidR="00461411" w:rsidRPr="0070536A" w:rsidRDefault="00461411" w:rsidP="00091D10">
      <w:pPr>
        <w:tabs>
          <w:tab w:val="left" w:pos="8789"/>
        </w:tabs>
        <w:spacing w:before="60"/>
        <w:ind w:left="-426" w:right="288"/>
        <w:rPr>
          <w:b/>
          <w:color w:val="000000"/>
          <w:lang w:val="en-GB"/>
        </w:rPr>
      </w:pPr>
      <w:r w:rsidRPr="0070536A">
        <w:rPr>
          <w:b/>
          <w:color w:val="000000"/>
          <w:lang w:val="en-GB"/>
        </w:rPr>
        <w:t>Second regular session 202</w:t>
      </w:r>
      <w:r w:rsidR="00091D10" w:rsidRPr="0070536A">
        <w:rPr>
          <w:b/>
          <w:color w:val="000000"/>
          <w:lang w:val="en-GB"/>
        </w:rPr>
        <w:t>3</w:t>
      </w:r>
    </w:p>
    <w:p w14:paraId="3C138055" w14:textId="2C763D46" w:rsidR="00461411" w:rsidRPr="0070536A" w:rsidRDefault="00B1561B" w:rsidP="0070536A">
      <w:pPr>
        <w:tabs>
          <w:tab w:val="right" w:pos="1022"/>
          <w:tab w:val="left" w:pos="1267"/>
          <w:tab w:val="left" w:pos="1742"/>
          <w:tab w:val="left" w:pos="2218"/>
          <w:tab w:val="center" w:pos="3837"/>
        </w:tabs>
        <w:ind w:left="-426" w:right="1260"/>
        <w:rPr>
          <w:color w:val="000000"/>
          <w:lang w:val="en-GB"/>
        </w:rPr>
      </w:pPr>
      <w:r w:rsidRPr="0070536A">
        <w:rPr>
          <w:color w:val="000000"/>
          <w:lang w:val="en-GB"/>
        </w:rPr>
        <w:t xml:space="preserve">29 to </w:t>
      </w:r>
      <w:r w:rsidR="00091D10" w:rsidRPr="0070536A">
        <w:rPr>
          <w:color w:val="000000"/>
          <w:lang w:val="en-GB"/>
        </w:rPr>
        <w:t>3</w:t>
      </w:r>
      <w:r w:rsidR="00145CB0" w:rsidRPr="0070536A">
        <w:rPr>
          <w:color w:val="000000"/>
          <w:lang w:val="en-GB"/>
        </w:rPr>
        <w:t>1</w:t>
      </w:r>
      <w:r w:rsidRPr="0070536A">
        <w:rPr>
          <w:color w:val="000000"/>
          <w:lang w:val="en-GB"/>
        </w:rPr>
        <w:t xml:space="preserve"> </w:t>
      </w:r>
      <w:r w:rsidR="00091D10" w:rsidRPr="0070536A">
        <w:rPr>
          <w:color w:val="000000"/>
          <w:lang w:val="en-GB"/>
        </w:rPr>
        <w:t xml:space="preserve">August </w:t>
      </w:r>
      <w:r w:rsidR="00461411" w:rsidRPr="0070536A">
        <w:rPr>
          <w:color w:val="000000"/>
          <w:lang w:val="en-GB"/>
        </w:rPr>
        <w:t>202</w:t>
      </w:r>
      <w:r w:rsidR="00091D10" w:rsidRPr="0070536A">
        <w:rPr>
          <w:color w:val="000000"/>
          <w:lang w:val="en-GB"/>
        </w:rPr>
        <w:t>3</w:t>
      </w:r>
      <w:r w:rsidR="00461411" w:rsidRPr="0070536A">
        <w:rPr>
          <w:color w:val="000000"/>
          <w:lang w:val="en-GB"/>
        </w:rPr>
        <w:t>, New York</w:t>
      </w:r>
      <w:r w:rsidR="0070536A">
        <w:rPr>
          <w:color w:val="000000"/>
          <w:lang w:val="en-GB"/>
        </w:rPr>
        <w:tab/>
      </w:r>
    </w:p>
    <w:p w14:paraId="532F0A5B" w14:textId="1A5E8B18" w:rsidR="00461411" w:rsidRPr="0070536A" w:rsidRDefault="00461411" w:rsidP="00091D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70536A">
        <w:rPr>
          <w:color w:val="000000"/>
          <w:lang w:val="en-GB"/>
        </w:rPr>
        <w:t xml:space="preserve">Item </w:t>
      </w:r>
      <w:r w:rsidR="00145CB0" w:rsidRPr="0070536A">
        <w:rPr>
          <w:color w:val="000000"/>
          <w:lang w:val="en-GB"/>
        </w:rPr>
        <w:t>3</w:t>
      </w:r>
      <w:r w:rsidRPr="0070536A">
        <w:rPr>
          <w:color w:val="000000"/>
          <w:lang w:val="en-GB"/>
        </w:rPr>
        <w:t xml:space="preserve"> of the provisional agenda</w:t>
      </w:r>
    </w:p>
    <w:p w14:paraId="4EAD17DB" w14:textId="4CC48FC4" w:rsidR="00461411" w:rsidRPr="0070536A" w:rsidRDefault="00461411" w:rsidP="00091D10">
      <w:pPr>
        <w:ind w:left="-426" w:right="1260"/>
        <w:rPr>
          <w:b/>
          <w:color w:val="000000"/>
          <w:lang w:val="en-GB"/>
        </w:rPr>
      </w:pPr>
      <w:r w:rsidRPr="0070536A">
        <w:rPr>
          <w:b/>
          <w:color w:val="000000"/>
          <w:lang w:val="en-GB"/>
        </w:rPr>
        <w:t>Country programmes and related matters</w:t>
      </w:r>
      <w:r w:rsidR="00B15BBE" w:rsidRPr="0070536A">
        <w:rPr>
          <w:b/>
          <w:color w:val="000000"/>
          <w:lang w:val="en-GB"/>
        </w:rPr>
        <w:t xml:space="preserve"> </w:t>
      </w:r>
    </w:p>
    <w:p w14:paraId="6178FB62" w14:textId="77777777" w:rsidR="00461411" w:rsidRPr="0070536A" w:rsidRDefault="00461411" w:rsidP="00461411">
      <w:pPr>
        <w:jc w:val="both"/>
        <w:rPr>
          <w:b/>
          <w:lang w:val="en-GB"/>
        </w:rPr>
      </w:pPr>
    </w:p>
    <w:p w14:paraId="7950BBBC" w14:textId="77777777" w:rsidR="00461411" w:rsidRPr="0070536A"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61EECEAD" w:rsidR="00461411" w:rsidRPr="0070536A"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70536A">
        <w:rPr>
          <w:b/>
          <w:sz w:val="28"/>
          <w:szCs w:val="28"/>
          <w:lang w:val="en-GB"/>
        </w:rPr>
        <w:t xml:space="preserve">Draft country programme document for </w:t>
      </w:r>
      <w:r w:rsidR="00091D10" w:rsidRPr="0070536A">
        <w:rPr>
          <w:b/>
          <w:sz w:val="28"/>
          <w:szCs w:val="28"/>
          <w:lang w:val="en-GB"/>
        </w:rPr>
        <w:t xml:space="preserve">Equatorial Guinea </w:t>
      </w:r>
      <w:r w:rsidRPr="0070536A">
        <w:rPr>
          <w:b/>
          <w:sz w:val="28"/>
          <w:szCs w:val="28"/>
          <w:lang w:val="en-GB"/>
        </w:rPr>
        <w:t>(202</w:t>
      </w:r>
      <w:r w:rsidR="00091D10" w:rsidRPr="0070536A">
        <w:rPr>
          <w:b/>
          <w:sz w:val="28"/>
          <w:szCs w:val="28"/>
          <w:lang w:val="en-GB"/>
        </w:rPr>
        <w:t>4</w:t>
      </w:r>
      <w:r w:rsidRPr="0070536A">
        <w:rPr>
          <w:b/>
          <w:sz w:val="28"/>
          <w:szCs w:val="28"/>
          <w:lang w:val="en-GB"/>
        </w:rPr>
        <w:t>-202</w:t>
      </w:r>
      <w:r w:rsidR="00091D10" w:rsidRPr="0070536A">
        <w:rPr>
          <w:b/>
          <w:sz w:val="28"/>
          <w:szCs w:val="28"/>
          <w:lang w:val="en-GB"/>
        </w:rPr>
        <w:t>8</w:t>
      </w:r>
      <w:r w:rsidRPr="0070536A">
        <w:rPr>
          <w:b/>
          <w:sz w:val="28"/>
          <w:szCs w:val="28"/>
          <w:lang w:val="en-GB"/>
        </w:rPr>
        <w:t>)</w:t>
      </w:r>
      <w:r w:rsidRPr="0070536A">
        <w:rPr>
          <w:b/>
          <w:sz w:val="28"/>
          <w:szCs w:val="28"/>
          <w:lang w:val="en-GB"/>
        </w:rPr>
        <w:br/>
      </w:r>
    </w:p>
    <w:p w14:paraId="73C9FDEF" w14:textId="77777777" w:rsidR="00461411" w:rsidRPr="0070536A"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70536A"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70536A">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70536A" w14:paraId="06110C97" w14:textId="77777777" w:rsidTr="00B9471B">
        <w:tc>
          <w:tcPr>
            <w:tcW w:w="1260" w:type="dxa"/>
            <w:shd w:val="clear" w:color="auto" w:fill="auto"/>
          </w:tcPr>
          <w:p w14:paraId="0442321F" w14:textId="77777777" w:rsidR="00461411" w:rsidRPr="0070536A" w:rsidRDefault="00461411" w:rsidP="00B9471B">
            <w:pPr>
              <w:tabs>
                <w:tab w:val="left" w:pos="1620"/>
              </w:tabs>
              <w:suppressAutoHyphens/>
              <w:spacing w:after="120"/>
              <w:jc w:val="right"/>
              <w:rPr>
                <w:i/>
                <w:color w:val="000000"/>
                <w:spacing w:val="4"/>
                <w:w w:val="103"/>
                <w:kern w:val="14"/>
                <w:sz w:val="14"/>
                <w:lang w:val="en-GB" w:eastAsia="fr-FR"/>
              </w:rPr>
            </w:pPr>
            <w:r w:rsidRPr="0070536A">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70536A" w:rsidRDefault="00461411" w:rsidP="00B9471B">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70536A" w:rsidRDefault="00461411" w:rsidP="00B9471B">
            <w:pPr>
              <w:tabs>
                <w:tab w:val="left" w:pos="1620"/>
              </w:tabs>
              <w:suppressAutoHyphens/>
              <w:spacing w:after="120"/>
              <w:jc w:val="right"/>
              <w:rPr>
                <w:i/>
                <w:color w:val="000000"/>
                <w:spacing w:val="4"/>
                <w:w w:val="103"/>
                <w:kern w:val="14"/>
                <w:sz w:val="14"/>
                <w:lang w:val="en-GB" w:eastAsia="fr-FR"/>
              </w:rPr>
            </w:pPr>
            <w:r w:rsidRPr="0070536A">
              <w:rPr>
                <w:i/>
                <w:iCs/>
                <w:color w:val="000000"/>
                <w:kern w:val="14"/>
                <w:sz w:val="14"/>
                <w:lang w:val="en-GB" w:eastAsia="fr-FR"/>
              </w:rPr>
              <w:t>Page</w:t>
            </w:r>
          </w:p>
        </w:tc>
      </w:tr>
      <w:tr w:rsidR="00461411" w:rsidRPr="0070536A" w14:paraId="196D92D0" w14:textId="77777777" w:rsidTr="00B9471B">
        <w:tc>
          <w:tcPr>
            <w:tcW w:w="9540" w:type="dxa"/>
            <w:gridSpan w:val="3"/>
            <w:shd w:val="clear" w:color="auto" w:fill="auto"/>
          </w:tcPr>
          <w:p w14:paraId="571CA983" w14:textId="77777777" w:rsidR="00461411" w:rsidRPr="0070536A" w:rsidRDefault="00461411" w:rsidP="00461411">
            <w:pPr>
              <w:numPr>
                <w:ilvl w:val="0"/>
                <w:numId w:val="5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0536A">
              <w:rPr>
                <w:color w:val="000000"/>
                <w:kern w:val="14"/>
                <w:lang w:val="en-GB" w:eastAsia="fr-FR"/>
              </w:rPr>
              <w:tab/>
              <w:t xml:space="preserve">UNDP within the </w:t>
            </w:r>
            <w:bookmarkStart w:id="0" w:name="_Hlk102471570"/>
            <w:r w:rsidRPr="0070536A">
              <w:rPr>
                <w:color w:val="000000"/>
                <w:kern w:val="14"/>
                <w:lang w:val="en-GB" w:eastAsia="fr-FR"/>
              </w:rPr>
              <w:t>United Nations Sustainable Development Cooperation Framework</w:t>
            </w:r>
            <w:bookmarkEnd w:id="0"/>
            <w:r w:rsidRPr="0070536A">
              <w:rPr>
                <w:color w:val="000000"/>
                <w:sz w:val="24"/>
                <w:szCs w:val="24"/>
                <w:lang w:val="en-GB" w:eastAsia="fr-FR"/>
              </w:rPr>
              <w:tab/>
            </w:r>
          </w:p>
        </w:tc>
        <w:tc>
          <w:tcPr>
            <w:tcW w:w="362" w:type="dxa"/>
            <w:vMerge w:val="restart"/>
            <w:shd w:val="clear" w:color="auto" w:fill="auto"/>
            <w:vAlign w:val="bottom"/>
          </w:tcPr>
          <w:p w14:paraId="019FEA53" w14:textId="77777777" w:rsidR="00461411" w:rsidRPr="0070536A" w:rsidRDefault="00461411" w:rsidP="00B9471B">
            <w:pPr>
              <w:tabs>
                <w:tab w:val="left" w:pos="1620"/>
              </w:tabs>
              <w:suppressAutoHyphens/>
              <w:spacing w:after="120" w:line="240" w:lineRule="exact"/>
              <w:jc w:val="right"/>
              <w:rPr>
                <w:color w:val="000000"/>
                <w:spacing w:val="4"/>
                <w:w w:val="103"/>
                <w:kern w:val="14"/>
                <w:lang w:val="en-GB" w:eastAsia="fr-FR"/>
              </w:rPr>
            </w:pPr>
            <w:r w:rsidRPr="0070536A">
              <w:rPr>
                <w:color w:val="000000"/>
                <w:kern w:val="14"/>
                <w:lang w:val="en-GB" w:eastAsia="fr-FR"/>
              </w:rPr>
              <w:t>2</w:t>
            </w:r>
          </w:p>
          <w:p w14:paraId="6EED1C8F" w14:textId="2FC484DF" w:rsidR="00461411" w:rsidRPr="0070536A" w:rsidRDefault="00187BA9" w:rsidP="00B9471B">
            <w:pPr>
              <w:tabs>
                <w:tab w:val="left" w:pos="1620"/>
              </w:tabs>
              <w:suppressAutoHyphens/>
              <w:spacing w:after="120" w:line="240" w:lineRule="exact"/>
              <w:jc w:val="right"/>
              <w:rPr>
                <w:color w:val="000000"/>
                <w:spacing w:val="4"/>
                <w:w w:val="103"/>
                <w:kern w:val="14"/>
                <w:lang w:val="en-GB" w:eastAsia="fr-FR"/>
              </w:rPr>
            </w:pPr>
            <w:r w:rsidRPr="0070536A">
              <w:rPr>
                <w:color w:val="000000"/>
                <w:spacing w:val="4"/>
                <w:w w:val="103"/>
                <w:kern w:val="14"/>
                <w:lang w:val="en-GB" w:eastAsia="fr-FR"/>
              </w:rPr>
              <w:t>3</w:t>
            </w:r>
          </w:p>
        </w:tc>
      </w:tr>
      <w:tr w:rsidR="00461411" w:rsidRPr="0070536A" w14:paraId="59501F8B" w14:textId="77777777" w:rsidTr="00B9471B">
        <w:tc>
          <w:tcPr>
            <w:tcW w:w="9540" w:type="dxa"/>
            <w:gridSpan w:val="3"/>
            <w:shd w:val="clear" w:color="auto" w:fill="auto"/>
          </w:tcPr>
          <w:p w14:paraId="1BA5F421" w14:textId="77777777" w:rsidR="00461411" w:rsidRPr="0070536A" w:rsidRDefault="00461411" w:rsidP="00461411">
            <w:pPr>
              <w:numPr>
                <w:ilvl w:val="0"/>
                <w:numId w:val="5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0536A">
              <w:rPr>
                <w:color w:val="000000"/>
                <w:kern w:val="14"/>
                <w:lang w:val="en-GB" w:eastAsia="fr-FR"/>
              </w:rPr>
              <w:tab/>
              <w:t>Programme priorities and partnerships</w:t>
            </w:r>
            <w:r w:rsidRPr="0070536A">
              <w:rPr>
                <w:color w:val="000000"/>
                <w:lang w:val="en-GB" w:eastAsia="fr-FR"/>
              </w:rPr>
              <w:t>………………………………………………….</w:t>
            </w:r>
            <w:r w:rsidRPr="0070536A">
              <w:rPr>
                <w:color w:val="000000"/>
                <w:lang w:val="en-GB" w:eastAsia="fr-FR"/>
              </w:rPr>
              <w:tab/>
              <w:t>……….…</w:t>
            </w:r>
          </w:p>
        </w:tc>
        <w:tc>
          <w:tcPr>
            <w:tcW w:w="362" w:type="dxa"/>
            <w:vMerge/>
            <w:shd w:val="clear" w:color="auto" w:fill="auto"/>
            <w:vAlign w:val="bottom"/>
          </w:tcPr>
          <w:p w14:paraId="4893632A" w14:textId="77777777" w:rsidR="00461411" w:rsidRPr="0070536A"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70536A" w14:paraId="5E92E0F3" w14:textId="77777777" w:rsidTr="00B9471B">
        <w:tc>
          <w:tcPr>
            <w:tcW w:w="9540" w:type="dxa"/>
            <w:gridSpan w:val="3"/>
            <w:shd w:val="clear" w:color="auto" w:fill="auto"/>
          </w:tcPr>
          <w:p w14:paraId="71D6F6CD" w14:textId="77777777" w:rsidR="00461411" w:rsidRPr="0070536A" w:rsidRDefault="00461411" w:rsidP="00461411">
            <w:pPr>
              <w:numPr>
                <w:ilvl w:val="0"/>
                <w:numId w:val="5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0536A">
              <w:rPr>
                <w:color w:val="000000"/>
                <w:kern w:val="14"/>
                <w:lang w:val="en-GB" w:eastAsia="fr-FR"/>
              </w:rPr>
              <w:tab/>
              <w:t xml:space="preserve">Programme and risk management </w:t>
            </w:r>
            <w:r w:rsidRPr="0070536A">
              <w:rPr>
                <w:color w:val="000000"/>
                <w:lang w:val="en-GB" w:eastAsia="fr-FR"/>
              </w:rPr>
              <w:t>……………………………………………….…………………</w:t>
            </w:r>
          </w:p>
        </w:tc>
        <w:tc>
          <w:tcPr>
            <w:tcW w:w="362" w:type="dxa"/>
            <w:vMerge w:val="restart"/>
            <w:shd w:val="clear" w:color="auto" w:fill="auto"/>
            <w:vAlign w:val="bottom"/>
          </w:tcPr>
          <w:p w14:paraId="5EC71879" w14:textId="6B413B76" w:rsidR="00461411" w:rsidRPr="0070536A" w:rsidRDefault="00187BA9" w:rsidP="00B9471B">
            <w:pPr>
              <w:tabs>
                <w:tab w:val="left" w:pos="1620"/>
              </w:tabs>
              <w:suppressAutoHyphens/>
              <w:spacing w:after="120" w:line="240" w:lineRule="exact"/>
              <w:jc w:val="right"/>
              <w:rPr>
                <w:color w:val="000000"/>
                <w:spacing w:val="4"/>
                <w:w w:val="103"/>
                <w:kern w:val="14"/>
                <w:lang w:val="en-GB" w:eastAsia="fr-FR"/>
              </w:rPr>
            </w:pPr>
            <w:r w:rsidRPr="0070536A">
              <w:rPr>
                <w:color w:val="000000"/>
                <w:spacing w:val="4"/>
                <w:w w:val="103"/>
                <w:kern w:val="14"/>
                <w:lang w:val="en-GB" w:eastAsia="fr-FR"/>
              </w:rPr>
              <w:t>7</w:t>
            </w:r>
          </w:p>
          <w:p w14:paraId="1702B97E" w14:textId="5599115E" w:rsidR="00461411" w:rsidRPr="0070536A" w:rsidRDefault="00187BA9" w:rsidP="00B9471B">
            <w:pPr>
              <w:tabs>
                <w:tab w:val="left" w:pos="1620"/>
              </w:tabs>
              <w:suppressAutoHyphens/>
              <w:spacing w:after="120" w:line="240" w:lineRule="exact"/>
              <w:jc w:val="right"/>
              <w:rPr>
                <w:color w:val="000000"/>
                <w:spacing w:val="4"/>
                <w:w w:val="103"/>
                <w:kern w:val="14"/>
                <w:lang w:val="en-GB" w:eastAsia="fr-FR"/>
              </w:rPr>
            </w:pPr>
            <w:r w:rsidRPr="0070536A">
              <w:rPr>
                <w:color w:val="000000"/>
                <w:spacing w:val="4"/>
                <w:w w:val="103"/>
                <w:kern w:val="14"/>
                <w:lang w:val="en-GB" w:eastAsia="fr-FR"/>
              </w:rPr>
              <w:t>7</w:t>
            </w:r>
          </w:p>
        </w:tc>
      </w:tr>
      <w:tr w:rsidR="00461411" w:rsidRPr="0070536A" w14:paraId="77201C49" w14:textId="77777777" w:rsidTr="00B9471B">
        <w:tc>
          <w:tcPr>
            <w:tcW w:w="9540" w:type="dxa"/>
            <w:gridSpan w:val="3"/>
            <w:shd w:val="clear" w:color="auto" w:fill="auto"/>
          </w:tcPr>
          <w:p w14:paraId="43CCC3BC" w14:textId="77777777" w:rsidR="00461411" w:rsidRPr="0070536A" w:rsidRDefault="00461411" w:rsidP="00461411">
            <w:pPr>
              <w:numPr>
                <w:ilvl w:val="0"/>
                <w:numId w:val="5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0536A">
              <w:rPr>
                <w:color w:val="000000"/>
                <w:kern w:val="14"/>
                <w:lang w:val="en-GB" w:eastAsia="fr-FR"/>
              </w:rPr>
              <w:tab/>
              <w:t>Monitoring and evaluation</w:t>
            </w:r>
            <w:r w:rsidRPr="0070536A">
              <w:rPr>
                <w:color w:val="000000"/>
                <w:sz w:val="24"/>
                <w:szCs w:val="24"/>
                <w:lang w:val="en-GB" w:eastAsia="fr-FR"/>
              </w:rPr>
              <w:tab/>
            </w:r>
            <w:r w:rsidRPr="0070536A">
              <w:rPr>
                <w:color w:val="000000"/>
                <w:lang w:val="en-GB" w:eastAsia="fr-FR"/>
              </w:rPr>
              <w:t>…………………………………………………….……………………</w:t>
            </w:r>
          </w:p>
        </w:tc>
        <w:tc>
          <w:tcPr>
            <w:tcW w:w="362" w:type="dxa"/>
            <w:vMerge/>
            <w:shd w:val="clear" w:color="auto" w:fill="auto"/>
            <w:vAlign w:val="bottom"/>
          </w:tcPr>
          <w:p w14:paraId="217DEDFF" w14:textId="77777777" w:rsidR="00461411" w:rsidRPr="0070536A"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70536A" w14:paraId="6D51F709" w14:textId="77777777" w:rsidTr="00B9471B">
        <w:tc>
          <w:tcPr>
            <w:tcW w:w="9369" w:type="dxa"/>
            <w:gridSpan w:val="2"/>
            <w:shd w:val="clear" w:color="auto" w:fill="auto"/>
          </w:tcPr>
          <w:p w14:paraId="25EA15C1" w14:textId="77777777" w:rsidR="00461411" w:rsidRPr="0070536A" w:rsidRDefault="00461411" w:rsidP="00B947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0536A">
              <w:rPr>
                <w:color w:val="000000"/>
                <w:kern w:val="14"/>
                <w:lang w:val="en-GB" w:eastAsia="fr-FR"/>
              </w:rPr>
              <w:t>Annex</w:t>
            </w:r>
          </w:p>
        </w:tc>
        <w:tc>
          <w:tcPr>
            <w:tcW w:w="533" w:type="dxa"/>
            <w:gridSpan w:val="2"/>
            <w:shd w:val="clear" w:color="auto" w:fill="auto"/>
            <w:vAlign w:val="bottom"/>
          </w:tcPr>
          <w:p w14:paraId="2051630F" w14:textId="77777777" w:rsidR="00461411" w:rsidRPr="0070536A" w:rsidRDefault="00461411" w:rsidP="00B9471B">
            <w:pPr>
              <w:tabs>
                <w:tab w:val="left" w:pos="1620"/>
              </w:tabs>
              <w:suppressAutoHyphens/>
              <w:spacing w:after="120" w:line="240" w:lineRule="exact"/>
              <w:jc w:val="right"/>
              <w:rPr>
                <w:color w:val="000000"/>
                <w:spacing w:val="4"/>
                <w:w w:val="103"/>
                <w:kern w:val="14"/>
                <w:lang w:val="en-GB" w:eastAsia="fr-FR"/>
              </w:rPr>
            </w:pPr>
          </w:p>
        </w:tc>
      </w:tr>
      <w:tr w:rsidR="00461411" w:rsidRPr="0070536A" w14:paraId="230CA8A9" w14:textId="77777777" w:rsidTr="00B9471B">
        <w:tc>
          <w:tcPr>
            <w:tcW w:w="9369" w:type="dxa"/>
            <w:gridSpan w:val="2"/>
            <w:shd w:val="clear" w:color="auto" w:fill="auto"/>
          </w:tcPr>
          <w:p w14:paraId="7C7F0422" w14:textId="24A3AF11" w:rsidR="00461411" w:rsidRPr="0070536A" w:rsidRDefault="00461411" w:rsidP="00B947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70536A">
              <w:rPr>
                <w:color w:val="000000"/>
                <w:kern w:val="14"/>
                <w:lang w:val="en-GB" w:eastAsia="fr-FR"/>
              </w:rPr>
              <w:t xml:space="preserve">Results and resources framework for </w:t>
            </w:r>
            <w:r w:rsidR="00091D10" w:rsidRPr="0070536A">
              <w:rPr>
                <w:color w:val="000000"/>
                <w:kern w:val="14"/>
                <w:lang w:val="en-GB" w:eastAsia="fr-FR"/>
              </w:rPr>
              <w:t>Equatorial Guinea</w:t>
            </w:r>
            <w:r w:rsidRPr="0070536A">
              <w:rPr>
                <w:color w:val="000000"/>
                <w:kern w:val="14"/>
                <w:lang w:val="en-GB" w:eastAsia="fr-FR"/>
              </w:rPr>
              <w:t xml:space="preserve"> (202</w:t>
            </w:r>
            <w:r w:rsidR="00091D10" w:rsidRPr="0070536A">
              <w:rPr>
                <w:color w:val="000000"/>
                <w:kern w:val="14"/>
                <w:lang w:val="en-GB" w:eastAsia="fr-FR"/>
              </w:rPr>
              <w:t>4</w:t>
            </w:r>
            <w:r w:rsidRPr="0070536A">
              <w:rPr>
                <w:color w:val="000000"/>
                <w:kern w:val="14"/>
                <w:lang w:val="en-GB" w:eastAsia="fr-FR"/>
              </w:rPr>
              <w:t>-202</w:t>
            </w:r>
            <w:r w:rsidR="00091D10" w:rsidRPr="0070536A">
              <w:rPr>
                <w:color w:val="000000"/>
                <w:kern w:val="14"/>
                <w:lang w:val="en-GB" w:eastAsia="fr-FR"/>
              </w:rPr>
              <w:t>8</w:t>
            </w:r>
            <w:r w:rsidRPr="0070536A">
              <w:rPr>
                <w:color w:val="000000"/>
                <w:kern w:val="14"/>
                <w:lang w:val="en-GB" w:eastAsia="fr-FR"/>
              </w:rPr>
              <w:t>)</w:t>
            </w:r>
            <w:r w:rsidRPr="0070536A">
              <w:rPr>
                <w:color w:val="000000"/>
                <w:sz w:val="24"/>
                <w:szCs w:val="24"/>
                <w:lang w:val="en-GB" w:eastAsia="fr-FR"/>
              </w:rPr>
              <w:tab/>
            </w:r>
          </w:p>
        </w:tc>
        <w:tc>
          <w:tcPr>
            <w:tcW w:w="533" w:type="dxa"/>
            <w:gridSpan w:val="2"/>
            <w:shd w:val="clear" w:color="auto" w:fill="auto"/>
            <w:vAlign w:val="bottom"/>
          </w:tcPr>
          <w:p w14:paraId="2FCE93E6" w14:textId="0C62C390" w:rsidR="00461411" w:rsidRPr="0070536A" w:rsidRDefault="00187BA9" w:rsidP="00B9471B">
            <w:pPr>
              <w:tabs>
                <w:tab w:val="left" w:pos="1620"/>
              </w:tabs>
              <w:suppressAutoHyphens/>
              <w:spacing w:after="120" w:line="240" w:lineRule="exact"/>
              <w:jc w:val="right"/>
              <w:rPr>
                <w:color w:val="000000"/>
                <w:spacing w:val="4"/>
                <w:w w:val="103"/>
                <w:kern w:val="14"/>
                <w:lang w:val="en-GB" w:eastAsia="fr-FR"/>
              </w:rPr>
            </w:pPr>
            <w:r w:rsidRPr="0070536A">
              <w:rPr>
                <w:color w:val="000000"/>
                <w:spacing w:val="4"/>
                <w:w w:val="103"/>
                <w:kern w:val="14"/>
                <w:lang w:val="en-GB" w:eastAsia="fr-FR"/>
              </w:rPr>
              <w:t>9</w:t>
            </w:r>
          </w:p>
        </w:tc>
      </w:tr>
    </w:tbl>
    <w:p w14:paraId="2440D3D7" w14:textId="79211DF9" w:rsidR="00A918A7" w:rsidRPr="0070536A" w:rsidRDefault="00785474" w:rsidP="00091D10">
      <w:pPr>
        <w:pStyle w:val="Heading2"/>
        <w:numPr>
          <w:ilvl w:val="0"/>
          <w:numId w:val="55"/>
        </w:numPr>
        <w:tabs>
          <w:tab w:val="left" w:pos="1260"/>
        </w:tabs>
        <w:spacing w:after="200" w:line="276" w:lineRule="auto"/>
        <w:ind w:left="900" w:right="720" w:hanging="360"/>
        <w:jc w:val="both"/>
        <w:rPr>
          <w:rFonts w:ascii="Times New Roman" w:hAnsi="Times New Roman"/>
          <w:b w:val="0"/>
          <w:szCs w:val="28"/>
          <w:lang w:val="en-GB"/>
        </w:rPr>
      </w:pPr>
      <w:r w:rsidRPr="0070536A">
        <w:rPr>
          <w:lang w:val="en-GB"/>
        </w:rPr>
        <w:br w:type="page"/>
      </w:r>
      <w:r w:rsidR="007C2934" w:rsidRPr="0070536A">
        <w:rPr>
          <w:rFonts w:ascii="Times New Roman" w:hAnsi="Times New Roman"/>
          <w:bCs/>
          <w:color w:val="000000"/>
          <w:szCs w:val="28"/>
          <w:lang w:val="en-GB"/>
        </w:rPr>
        <w:lastRenderedPageBreak/>
        <w:t>UNDP</w:t>
      </w:r>
      <w:r w:rsidR="0072070F" w:rsidRPr="0070536A">
        <w:rPr>
          <w:rFonts w:ascii="Times New Roman" w:hAnsi="Times New Roman"/>
          <w:bCs/>
          <w:color w:val="000000"/>
          <w:szCs w:val="28"/>
          <w:lang w:val="en-GB"/>
        </w:rPr>
        <w:t xml:space="preserve"> within</w:t>
      </w:r>
      <w:r w:rsidR="007C2934" w:rsidRPr="0070536A">
        <w:rPr>
          <w:rFonts w:ascii="Times New Roman" w:hAnsi="Times New Roman"/>
          <w:bCs/>
          <w:color w:val="000000"/>
          <w:szCs w:val="28"/>
          <w:lang w:val="en-GB"/>
        </w:rPr>
        <w:t xml:space="preserve"> the </w:t>
      </w:r>
      <w:r w:rsidR="00015875" w:rsidRPr="0070536A">
        <w:rPr>
          <w:rFonts w:ascii="Times New Roman" w:hAnsi="Times New Roman"/>
          <w:bCs/>
          <w:color w:val="000000"/>
          <w:szCs w:val="28"/>
          <w:lang w:val="en-GB"/>
        </w:rPr>
        <w:t>United Nations Sustainable Development Cooperation Framework</w:t>
      </w:r>
    </w:p>
    <w:p w14:paraId="08312E60" w14:textId="50A777B2" w:rsidR="00091D10" w:rsidRPr="0070536A" w:rsidRDefault="00091D10" w:rsidP="00091D10">
      <w:pPr>
        <w:pStyle w:val="ListParagraph"/>
        <w:numPr>
          <w:ilvl w:val="0"/>
          <w:numId w:val="59"/>
        </w:numPr>
        <w:tabs>
          <w:tab w:val="left" w:pos="1276"/>
        </w:tabs>
        <w:autoSpaceDE w:val="0"/>
        <w:autoSpaceDN w:val="0"/>
        <w:adjustRightInd w:val="0"/>
        <w:spacing w:after="120"/>
        <w:ind w:left="851" w:right="713" w:firstLine="0"/>
        <w:jc w:val="both"/>
        <w:rPr>
          <w:shd w:val="clear" w:color="auto" w:fill="FFFFFF"/>
          <w:lang w:val="en-GB"/>
        </w:rPr>
      </w:pPr>
      <w:bookmarkStart w:id="1" w:name="_Hlk102056365"/>
      <w:r w:rsidRPr="0070536A">
        <w:rPr>
          <w:shd w:val="clear" w:color="auto" w:fill="FFFFFF"/>
          <w:lang w:val="en-GB"/>
        </w:rPr>
        <w:t>Situated on the west coast of Central Africa, Equatorial Guinea comprises the mainland region of Rio Muni and small islands of Bioko</w:t>
      </w:r>
      <w:r w:rsidR="00680B66" w:rsidRPr="0070536A">
        <w:rPr>
          <w:shd w:val="clear" w:color="auto" w:fill="FFFFFF"/>
          <w:lang w:val="en-GB"/>
        </w:rPr>
        <w:t xml:space="preserve"> (home to the </w:t>
      </w:r>
      <w:r w:rsidRPr="0070536A">
        <w:rPr>
          <w:shd w:val="clear" w:color="auto" w:fill="FFFFFF"/>
          <w:lang w:val="en-GB"/>
        </w:rPr>
        <w:t>capital Malabo</w:t>
      </w:r>
      <w:r w:rsidR="00680B66" w:rsidRPr="0070536A">
        <w:rPr>
          <w:shd w:val="clear" w:color="auto" w:fill="FFFFFF"/>
          <w:lang w:val="en-GB"/>
        </w:rPr>
        <w:t>)</w:t>
      </w:r>
      <w:r w:rsidRPr="0070536A">
        <w:rPr>
          <w:shd w:val="clear" w:color="auto" w:fill="FFFFFF"/>
          <w:lang w:val="en-GB"/>
        </w:rPr>
        <w:t xml:space="preserve">, Annobon, Corisco, and Elobey. Although </w:t>
      </w:r>
      <w:r w:rsidR="00680B66" w:rsidRPr="0070536A">
        <w:rPr>
          <w:shd w:val="clear" w:color="auto" w:fill="FFFFFF"/>
          <w:lang w:val="en-GB"/>
        </w:rPr>
        <w:t>only</w:t>
      </w:r>
      <w:r w:rsidRPr="0070536A">
        <w:rPr>
          <w:shd w:val="clear" w:color="auto" w:fill="FFFFFF"/>
          <w:lang w:val="en-GB"/>
        </w:rPr>
        <w:t xml:space="preserve"> 28,000 square kilometres, </w:t>
      </w:r>
      <w:r w:rsidR="00680B66" w:rsidRPr="0070536A">
        <w:rPr>
          <w:shd w:val="clear" w:color="auto" w:fill="FFFFFF"/>
          <w:lang w:val="en-GB"/>
        </w:rPr>
        <w:t xml:space="preserve">the </w:t>
      </w:r>
      <w:r w:rsidRPr="0070536A">
        <w:rPr>
          <w:shd w:val="clear" w:color="auto" w:fill="FFFFFF"/>
          <w:lang w:val="en-GB"/>
        </w:rPr>
        <w:t>economic exclusion zone</w:t>
      </w:r>
      <w:r w:rsidR="00680B66" w:rsidRPr="0070536A">
        <w:rPr>
          <w:shd w:val="clear" w:color="auto" w:fill="FFFFFF"/>
          <w:lang w:val="en-GB"/>
        </w:rPr>
        <w:t xml:space="preserve"> of Equatorial Guinea is</w:t>
      </w:r>
      <w:r w:rsidRPr="0070536A">
        <w:rPr>
          <w:shd w:val="clear" w:color="auto" w:fill="FFFFFF"/>
          <w:lang w:val="en-GB"/>
        </w:rPr>
        <w:t xml:space="preserve"> 11 times the size of its landmass</w:t>
      </w:r>
      <w:r w:rsidR="00680B66" w:rsidRPr="0070536A">
        <w:rPr>
          <w:shd w:val="clear" w:color="auto" w:fill="FFFFFF"/>
          <w:lang w:val="en-GB"/>
        </w:rPr>
        <w:t xml:space="preserve"> with great </w:t>
      </w:r>
      <w:r w:rsidRPr="0070536A">
        <w:rPr>
          <w:shd w:val="clear" w:color="auto" w:fill="FFFFFF"/>
          <w:lang w:val="en-GB"/>
        </w:rPr>
        <w:t xml:space="preserve">blue economy potential. With a population </w:t>
      </w:r>
      <w:r w:rsidR="00680B66" w:rsidRPr="0070536A">
        <w:rPr>
          <w:shd w:val="clear" w:color="auto" w:fill="FFFFFF"/>
          <w:lang w:val="en-GB"/>
        </w:rPr>
        <w:t>of</w:t>
      </w:r>
      <w:r w:rsidRPr="0070536A">
        <w:rPr>
          <w:shd w:val="clear" w:color="auto" w:fill="FFFFFF"/>
          <w:lang w:val="en-GB"/>
        </w:rPr>
        <w:t xml:space="preserve"> 1.5 million in 2021</w:t>
      </w:r>
      <w:r w:rsidR="00680B66" w:rsidRPr="0070536A">
        <w:rPr>
          <w:shd w:val="clear" w:color="auto" w:fill="FFFFFF"/>
          <w:lang w:val="en-GB"/>
        </w:rPr>
        <w:t>,</w:t>
      </w:r>
      <w:r w:rsidRPr="0070536A">
        <w:rPr>
          <w:rStyle w:val="FootnoteReference"/>
          <w:shd w:val="clear" w:color="auto" w:fill="FFFFFF"/>
          <w:lang w:val="en-GB"/>
        </w:rPr>
        <w:footnoteReference w:id="2"/>
      </w:r>
      <w:r w:rsidR="00680B66" w:rsidRPr="0070536A">
        <w:rPr>
          <w:shd w:val="clear" w:color="auto" w:fill="FFFFFF"/>
          <w:lang w:val="en-GB"/>
        </w:rPr>
        <w:t xml:space="preserve"> </w:t>
      </w:r>
      <w:r w:rsidRPr="0070536A">
        <w:rPr>
          <w:shd w:val="clear" w:color="auto" w:fill="FFFFFF"/>
          <w:lang w:val="en-GB"/>
        </w:rPr>
        <w:t>47.6 per</w:t>
      </w:r>
      <w:r w:rsidR="00680B66" w:rsidRPr="0070536A">
        <w:rPr>
          <w:shd w:val="clear" w:color="auto" w:fill="FFFFFF"/>
          <w:lang w:val="en-GB"/>
        </w:rPr>
        <w:t xml:space="preserve"> </w:t>
      </w:r>
      <w:r w:rsidRPr="0070536A">
        <w:rPr>
          <w:shd w:val="clear" w:color="auto" w:fill="FFFFFF"/>
          <w:lang w:val="en-GB"/>
        </w:rPr>
        <w:t>cent is female</w:t>
      </w:r>
      <w:r w:rsidR="00680B66" w:rsidRPr="0070536A">
        <w:rPr>
          <w:shd w:val="clear" w:color="auto" w:fill="FFFFFF"/>
          <w:lang w:val="en-GB"/>
        </w:rPr>
        <w:t xml:space="preserve"> and youth represent 55 per cent of residents—which suggests</w:t>
      </w:r>
      <w:r w:rsidRPr="0070536A">
        <w:rPr>
          <w:shd w:val="clear" w:color="auto" w:fill="FFFFFF"/>
          <w:lang w:val="en-GB"/>
        </w:rPr>
        <w:t xml:space="preserve"> </w:t>
      </w:r>
      <w:r w:rsidR="00680B66" w:rsidRPr="0070536A">
        <w:rPr>
          <w:shd w:val="clear" w:color="auto" w:fill="FFFFFF"/>
          <w:lang w:val="en-GB"/>
        </w:rPr>
        <w:t>youth offer</w:t>
      </w:r>
      <w:r w:rsidRPr="0070536A">
        <w:rPr>
          <w:shd w:val="clear" w:color="auto" w:fill="FFFFFF"/>
          <w:lang w:val="en-GB"/>
        </w:rPr>
        <w:t xml:space="preserve"> </w:t>
      </w:r>
      <w:r w:rsidR="00680B66" w:rsidRPr="0070536A">
        <w:rPr>
          <w:shd w:val="clear" w:color="auto" w:fill="FFFFFF"/>
          <w:lang w:val="en-GB"/>
        </w:rPr>
        <w:t xml:space="preserve">a significant </w:t>
      </w:r>
      <w:r w:rsidRPr="0070536A">
        <w:rPr>
          <w:shd w:val="clear" w:color="auto" w:fill="FFFFFF"/>
          <w:lang w:val="en-GB"/>
        </w:rPr>
        <w:t xml:space="preserve">opportunity for </w:t>
      </w:r>
      <w:r w:rsidR="00680B66" w:rsidRPr="0070536A">
        <w:rPr>
          <w:shd w:val="clear" w:color="auto" w:fill="FFFFFF"/>
          <w:lang w:val="en-GB"/>
        </w:rPr>
        <w:t xml:space="preserve">generating </w:t>
      </w:r>
      <w:r w:rsidRPr="0070536A">
        <w:rPr>
          <w:shd w:val="clear" w:color="auto" w:fill="FFFFFF"/>
          <w:lang w:val="en-GB"/>
        </w:rPr>
        <w:t>demographic dividend</w:t>
      </w:r>
      <w:r w:rsidR="00680B66" w:rsidRPr="0070536A">
        <w:rPr>
          <w:shd w:val="clear" w:color="auto" w:fill="FFFFFF"/>
          <w:lang w:val="en-GB"/>
        </w:rPr>
        <w:t>s</w:t>
      </w:r>
      <w:r w:rsidRPr="0070536A">
        <w:rPr>
          <w:lang w:val="en-GB"/>
        </w:rPr>
        <w:t>.</w:t>
      </w:r>
      <w:r w:rsidRPr="0070536A">
        <w:rPr>
          <w:rStyle w:val="FootnoteReference"/>
          <w:shd w:val="clear" w:color="auto" w:fill="FFFFFF"/>
          <w:lang w:val="en-GB"/>
        </w:rPr>
        <w:footnoteReference w:id="3"/>
      </w:r>
    </w:p>
    <w:p w14:paraId="61CCD0B2" w14:textId="68314107" w:rsidR="00091D10" w:rsidRPr="0070536A" w:rsidRDefault="00091D10" w:rsidP="00091D10">
      <w:pPr>
        <w:pStyle w:val="ListParagraph"/>
        <w:numPr>
          <w:ilvl w:val="0"/>
          <w:numId w:val="59"/>
        </w:numPr>
        <w:tabs>
          <w:tab w:val="left" w:pos="1276"/>
        </w:tabs>
        <w:spacing w:after="120"/>
        <w:ind w:left="851" w:right="713" w:firstLine="0"/>
        <w:jc w:val="both"/>
        <w:rPr>
          <w:shd w:val="clear" w:color="auto" w:fill="FFFFFF"/>
          <w:lang w:val="en-GB"/>
        </w:rPr>
      </w:pPr>
      <w:r w:rsidRPr="0070536A">
        <w:rPr>
          <w:shd w:val="clear" w:color="auto" w:fill="FFFFFF"/>
          <w:lang w:val="en-GB"/>
        </w:rPr>
        <w:t xml:space="preserve">This </w:t>
      </w:r>
      <w:r w:rsidR="00680B66" w:rsidRPr="0070536A">
        <w:rPr>
          <w:shd w:val="clear" w:color="auto" w:fill="FFFFFF"/>
          <w:lang w:val="en-GB"/>
        </w:rPr>
        <w:t>c</w:t>
      </w:r>
      <w:r w:rsidRPr="0070536A">
        <w:rPr>
          <w:shd w:val="clear" w:color="auto" w:fill="FFFFFF"/>
          <w:lang w:val="en-GB"/>
        </w:rPr>
        <w:t xml:space="preserve">ountry </w:t>
      </w:r>
      <w:r w:rsidR="00680B66" w:rsidRPr="0070536A">
        <w:rPr>
          <w:shd w:val="clear" w:color="auto" w:fill="FFFFFF"/>
          <w:lang w:val="en-GB"/>
        </w:rPr>
        <w:t>p</w:t>
      </w:r>
      <w:r w:rsidRPr="0070536A">
        <w:rPr>
          <w:shd w:val="clear" w:color="auto" w:fill="FFFFFF"/>
          <w:lang w:val="en-GB"/>
        </w:rPr>
        <w:t>rogramme was developed with, and endorsed by</w:t>
      </w:r>
      <w:r w:rsidR="00680B66" w:rsidRPr="0070536A">
        <w:rPr>
          <w:shd w:val="clear" w:color="auto" w:fill="FFFFFF"/>
          <w:lang w:val="en-GB"/>
        </w:rPr>
        <w:t>,</w:t>
      </w:r>
      <w:r w:rsidRPr="0070536A">
        <w:rPr>
          <w:shd w:val="clear" w:color="auto" w:fill="FFFFFF"/>
          <w:lang w:val="en-GB"/>
        </w:rPr>
        <w:t xml:space="preserve"> the Government of Equatorial Guinea through a series of technical meetings and </w:t>
      </w:r>
      <w:r w:rsidR="00D24756" w:rsidRPr="0070536A">
        <w:rPr>
          <w:shd w:val="clear" w:color="auto" w:fill="FFFFFF"/>
          <w:lang w:val="en-GB"/>
        </w:rPr>
        <w:t>high-level</w:t>
      </w:r>
      <w:r w:rsidRPr="0070536A">
        <w:rPr>
          <w:shd w:val="clear" w:color="auto" w:fill="FFFFFF"/>
          <w:lang w:val="en-GB"/>
        </w:rPr>
        <w:t xml:space="preserve"> consultation exercise in March 2023. Close collaboration with the United Nations </w:t>
      </w:r>
      <w:r w:rsidR="00680B66" w:rsidRPr="0070536A">
        <w:rPr>
          <w:shd w:val="clear" w:color="auto" w:fill="FFFFFF"/>
          <w:lang w:val="en-GB"/>
        </w:rPr>
        <w:t xml:space="preserve">Office of the </w:t>
      </w:r>
      <w:r w:rsidRPr="0070536A">
        <w:rPr>
          <w:shd w:val="clear" w:color="auto" w:fill="FFFFFF"/>
          <w:lang w:val="en-GB"/>
        </w:rPr>
        <w:t>Resident Coordinator</w:t>
      </w:r>
      <w:r w:rsidR="00680B66" w:rsidRPr="0070536A">
        <w:rPr>
          <w:shd w:val="clear" w:color="auto" w:fill="FFFFFF"/>
          <w:lang w:val="en-GB"/>
        </w:rPr>
        <w:t xml:space="preserve"> </w:t>
      </w:r>
      <w:r w:rsidRPr="0070536A">
        <w:rPr>
          <w:shd w:val="clear" w:color="auto" w:fill="FFFFFF"/>
          <w:lang w:val="en-GB"/>
        </w:rPr>
        <w:t>and the U</w:t>
      </w:r>
      <w:r w:rsidR="00680B66" w:rsidRPr="0070536A">
        <w:rPr>
          <w:shd w:val="clear" w:color="auto" w:fill="FFFFFF"/>
          <w:lang w:val="en-GB"/>
        </w:rPr>
        <w:t xml:space="preserve">nited </w:t>
      </w:r>
      <w:r w:rsidRPr="0070536A">
        <w:rPr>
          <w:shd w:val="clear" w:color="auto" w:fill="FFFFFF"/>
          <w:lang w:val="en-GB"/>
        </w:rPr>
        <w:t>N</w:t>
      </w:r>
      <w:r w:rsidR="00680B66" w:rsidRPr="0070536A">
        <w:rPr>
          <w:shd w:val="clear" w:color="auto" w:fill="FFFFFF"/>
          <w:lang w:val="en-GB"/>
        </w:rPr>
        <w:t xml:space="preserve">ations country team </w:t>
      </w:r>
      <w:r w:rsidRPr="0070536A">
        <w:rPr>
          <w:shd w:val="clear" w:color="auto" w:fill="FFFFFF"/>
          <w:lang w:val="en-GB"/>
        </w:rPr>
        <w:t xml:space="preserve">closely aligned the </w:t>
      </w:r>
      <w:r w:rsidR="00680B66" w:rsidRPr="0070536A">
        <w:rPr>
          <w:shd w:val="clear" w:color="auto" w:fill="FFFFFF"/>
          <w:lang w:val="en-GB"/>
        </w:rPr>
        <w:t>c</w:t>
      </w:r>
      <w:r w:rsidRPr="0070536A">
        <w:rPr>
          <w:shd w:val="clear" w:color="auto" w:fill="FFFFFF"/>
          <w:lang w:val="en-GB"/>
        </w:rPr>
        <w:t xml:space="preserve">ountry </w:t>
      </w:r>
      <w:r w:rsidR="00680B66" w:rsidRPr="0070536A">
        <w:rPr>
          <w:shd w:val="clear" w:color="auto" w:fill="FFFFFF"/>
          <w:lang w:val="en-GB"/>
        </w:rPr>
        <w:t>p</w:t>
      </w:r>
      <w:r w:rsidRPr="0070536A">
        <w:rPr>
          <w:shd w:val="clear" w:color="auto" w:fill="FFFFFF"/>
          <w:lang w:val="en-GB"/>
        </w:rPr>
        <w:t xml:space="preserve">rogramme with the United Nations </w:t>
      </w:r>
      <w:r w:rsidR="00707102" w:rsidRPr="0070536A">
        <w:rPr>
          <w:shd w:val="clear" w:color="auto" w:fill="FFFFFF"/>
          <w:lang w:val="en-GB"/>
        </w:rPr>
        <w:t xml:space="preserve">Sustainable Development </w:t>
      </w:r>
      <w:r w:rsidRPr="0070536A">
        <w:rPr>
          <w:shd w:val="clear" w:color="auto" w:fill="FFFFFF"/>
          <w:lang w:val="en-GB"/>
        </w:rPr>
        <w:t>Cooperation Framework (UN</w:t>
      </w:r>
      <w:r w:rsidR="0003326D" w:rsidRPr="0070536A">
        <w:rPr>
          <w:shd w:val="clear" w:color="auto" w:fill="FFFFFF"/>
          <w:lang w:val="en-GB"/>
        </w:rPr>
        <w:t>SD</w:t>
      </w:r>
      <w:r w:rsidRPr="0070536A">
        <w:rPr>
          <w:shd w:val="clear" w:color="auto" w:fill="FFFFFF"/>
          <w:lang w:val="en-GB"/>
        </w:rPr>
        <w:t xml:space="preserve">CF) </w:t>
      </w:r>
      <w:r w:rsidR="006A286C" w:rsidRPr="0070536A">
        <w:rPr>
          <w:shd w:val="clear" w:color="auto" w:fill="FFFFFF"/>
          <w:lang w:val="en-GB"/>
        </w:rPr>
        <w:t xml:space="preserve">2024-2028 </w:t>
      </w:r>
      <w:r w:rsidRPr="0070536A">
        <w:rPr>
          <w:shd w:val="clear" w:color="auto" w:fill="FFFFFF"/>
          <w:lang w:val="en-GB"/>
        </w:rPr>
        <w:t xml:space="preserve">attributing a lead role to UNDP </w:t>
      </w:r>
      <w:r w:rsidR="00680B66" w:rsidRPr="0070536A">
        <w:rPr>
          <w:shd w:val="clear" w:color="auto" w:fill="FFFFFF"/>
          <w:lang w:val="en-GB"/>
        </w:rPr>
        <w:t xml:space="preserve">across </w:t>
      </w:r>
      <w:r w:rsidRPr="0070536A">
        <w:rPr>
          <w:shd w:val="clear" w:color="auto" w:fill="FFFFFF"/>
          <w:lang w:val="en-GB"/>
        </w:rPr>
        <w:t>all strategic priority areas. Leveraging its experience and comparative advantages as a convenor, integrator, thought leader and innovator, and capitalizing on its global networks and trust capital, UNDP contribute</w:t>
      </w:r>
      <w:r w:rsidR="00680B66" w:rsidRPr="0070536A">
        <w:rPr>
          <w:shd w:val="clear" w:color="auto" w:fill="FFFFFF"/>
          <w:lang w:val="en-GB"/>
        </w:rPr>
        <w:t>s</w:t>
      </w:r>
      <w:r w:rsidRPr="0070536A">
        <w:rPr>
          <w:shd w:val="clear" w:color="auto" w:fill="FFFFFF"/>
          <w:lang w:val="en-GB"/>
        </w:rPr>
        <w:t xml:space="preserve"> to the UN</w:t>
      </w:r>
      <w:r w:rsidR="00FD0D03" w:rsidRPr="0070536A">
        <w:rPr>
          <w:shd w:val="clear" w:color="auto" w:fill="FFFFFF"/>
          <w:lang w:val="en-GB"/>
        </w:rPr>
        <w:t>SD</w:t>
      </w:r>
      <w:r w:rsidRPr="0070536A">
        <w:rPr>
          <w:shd w:val="clear" w:color="auto" w:fill="FFFFFF"/>
          <w:lang w:val="en-GB"/>
        </w:rPr>
        <w:t xml:space="preserve">CF </w:t>
      </w:r>
      <w:r w:rsidR="00680B66" w:rsidRPr="0070536A">
        <w:rPr>
          <w:shd w:val="clear" w:color="auto" w:fill="FFFFFF"/>
          <w:lang w:val="en-GB"/>
        </w:rPr>
        <w:t xml:space="preserve">by </w:t>
      </w:r>
      <w:r w:rsidRPr="0070536A">
        <w:rPr>
          <w:shd w:val="clear" w:color="auto" w:fill="FFFFFF"/>
          <w:lang w:val="en-GB"/>
        </w:rPr>
        <w:t>scaling-up and accelerating support for economic diversification, resilience</w:t>
      </w:r>
      <w:r w:rsidR="00680B66" w:rsidRPr="0070536A">
        <w:rPr>
          <w:shd w:val="clear" w:color="auto" w:fill="FFFFFF"/>
          <w:lang w:val="en-GB"/>
        </w:rPr>
        <w:t xml:space="preserve">, </w:t>
      </w:r>
      <w:r w:rsidRPr="0070536A">
        <w:rPr>
          <w:shd w:val="clear" w:color="auto" w:fill="FFFFFF"/>
          <w:lang w:val="en-GB"/>
        </w:rPr>
        <w:t xml:space="preserve">environmental sustainability, and </w:t>
      </w:r>
      <w:r w:rsidR="00680B66" w:rsidRPr="0070536A">
        <w:rPr>
          <w:shd w:val="clear" w:color="auto" w:fill="FFFFFF"/>
          <w:lang w:val="en-GB"/>
        </w:rPr>
        <w:t xml:space="preserve">provision of </w:t>
      </w:r>
      <w:r w:rsidRPr="0070536A">
        <w:rPr>
          <w:shd w:val="clear" w:color="auto" w:fill="FFFFFF"/>
          <w:lang w:val="en-GB"/>
        </w:rPr>
        <w:t xml:space="preserve">digital solutions </w:t>
      </w:r>
      <w:r w:rsidR="00680B66" w:rsidRPr="0070536A">
        <w:rPr>
          <w:shd w:val="clear" w:color="auto" w:fill="FFFFFF"/>
          <w:lang w:val="en-GB"/>
        </w:rPr>
        <w:t xml:space="preserve">that </w:t>
      </w:r>
      <w:r w:rsidRPr="0070536A">
        <w:rPr>
          <w:shd w:val="clear" w:color="auto" w:fill="FFFFFF"/>
          <w:lang w:val="en-GB"/>
        </w:rPr>
        <w:t>improve transparency, evidenced-based decision-making, equitable service delivery, and empower</w:t>
      </w:r>
      <w:r w:rsidR="00680B66" w:rsidRPr="0070536A">
        <w:rPr>
          <w:shd w:val="clear" w:color="auto" w:fill="FFFFFF"/>
          <w:lang w:val="en-GB"/>
        </w:rPr>
        <w:t>ment of</w:t>
      </w:r>
      <w:r w:rsidRPr="0070536A">
        <w:rPr>
          <w:shd w:val="clear" w:color="auto" w:fill="FFFFFF"/>
          <w:lang w:val="en-GB"/>
        </w:rPr>
        <w:t xml:space="preserve"> women and youth. Its capacity to scale-up recovery efforts, proven during the COVID-19 pandemic, demonstrates </w:t>
      </w:r>
      <w:r w:rsidR="00680B66" w:rsidRPr="0070536A">
        <w:rPr>
          <w:shd w:val="clear" w:color="auto" w:fill="FFFFFF"/>
          <w:lang w:val="en-GB"/>
        </w:rPr>
        <w:t xml:space="preserve">UNDP </w:t>
      </w:r>
      <w:r w:rsidRPr="0070536A">
        <w:rPr>
          <w:shd w:val="clear" w:color="auto" w:fill="FFFFFF"/>
          <w:lang w:val="en-GB"/>
        </w:rPr>
        <w:t xml:space="preserve">agility and ability to integrate sustainable programming. UNDP will develop multi-stakeholder partnerships to accelerate progress on the 2030 Agenda with </w:t>
      </w:r>
      <w:r w:rsidR="00680B66" w:rsidRPr="0070536A">
        <w:rPr>
          <w:shd w:val="clear" w:color="auto" w:fill="FFFFFF"/>
          <w:lang w:val="en-GB"/>
        </w:rPr>
        <w:t xml:space="preserve">the </w:t>
      </w:r>
      <w:r w:rsidR="00E54CCA" w:rsidRPr="0070536A">
        <w:rPr>
          <w:shd w:val="clear" w:color="auto" w:fill="FFFFFF"/>
          <w:lang w:val="en-GB"/>
        </w:rPr>
        <w:t>United Nations country team</w:t>
      </w:r>
      <w:r w:rsidRPr="0070536A">
        <w:rPr>
          <w:shd w:val="clear" w:color="auto" w:fill="FFFFFF"/>
          <w:lang w:val="en-GB"/>
        </w:rPr>
        <w:t xml:space="preserve">, World Bank and International Finance Institutions, and through </w:t>
      </w:r>
      <w:r w:rsidR="00680B66" w:rsidRPr="0070536A">
        <w:rPr>
          <w:shd w:val="clear" w:color="auto" w:fill="FFFFFF"/>
          <w:lang w:val="en-GB"/>
        </w:rPr>
        <w:t>S</w:t>
      </w:r>
      <w:r w:rsidRPr="0070536A">
        <w:rPr>
          <w:shd w:val="clear" w:color="auto" w:fill="FFFFFF"/>
          <w:lang w:val="en-GB"/>
        </w:rPr>
        <w:t>outh-</w:t>
      </w:r>
      <w:r w:rsidR="00680B66" w:rsidRPr="0070536A">
        <w:rPr>
          <w:shd w:val="clear" w:color="auto" w:fill="FFFFFF"/>
          <w:lang w:val="en-GB"/>
        </w:rPr>
        <w:t>S</w:t>
      </w:r>
      <w:r w:rsidRPr="0070536A">
        <w:rPr>
          <w:shd w:val="clear" w:color="auto" w:fill="FFFFFF"/>
          <w:lang w:val="en-GB"/>
        </w:rPr>
        <w:t>outh cooperation</w:t>
      </w:r>
      <w:r w:rsidR="00680B66" w:rsidRPr="0070536A">
        <w:rPr>
          <w:shd w:val="clear" w:color="auto" w:fill="FFFFFF"/>
          <w:lang w:val="en-GB"/>
        </w:rPr>
        <w:t>,</w:t>
      </w:r>
      <w:r w:rsidRPr="0070536A">
        <w:rPr>
          <w:shd w:val="clear" w:color="auto" w:fill="FFFFFF"/>
          <w:lang w:val="en-GB"/>
        </w:rPr>
        <w:t xml:space="preserve"> particularly with neighbouring countries.</w:t>
      </w:r>
    </w:p>
    <w:p w14:paraId="096F22DF" w14:textId="460E3A6F" w:rsidR="00091D10" w:rsidRPr="0070536A" w:rsidRDefault="00091D10" w:rsidP="00091D10">
      <w:pPr>
        <w:pStyle w:val="ListParagraph"/>
        <w:numPr>
          <w:ilvl w:val="0"/>
          <w:numId w:val="59"/>
        </w:numPr>
        <w:tabs>
          <w:tab w:val="left" w:pos="1276"/>
        </w:tabs>
        <w:autoSpaceDE w:val="0"/>
        <w:autoSpaceDN w:val="0"/>
        <w:adjustRightInd w:val="0"/>
        <w:spacing w:after="120"/>
        <w:ind w:left="851" w:right="713" w:firstLine="0"/>
        <w:jc w:val="both"/>
        <w:rPr>
          <w:color w:val="000000"/>
          <w:lang w:val="en-GB" w:eastAsia="en-GB"/>
        </w:rPr>
      </w:pPr>
      <w:r w:rsidRPr="0070536A">
        <w:rPr>
          <w:shd w:val="clear" w:color="auto" w:fill="FFFFFF"/>
          <w:lang w:val="en-GB"/>
        </w:rPr>
        <w:t>The Independent Country Programme Evaluation</w:t>
      </w:r>
      <w:r w:rsidR="00680B66" w:rsidRPr="0070536A">
        <w:rPr>
          <w:shd w:val="clear" w:color="auto" w:fill="FFFFFF"/>
          <w:lang w:val="en-GB"/>
        </w:rPr>
        <w:t xml:space="preserve"> (IPCE)</w:t>
      </w:r>
      <w:r w:rsidRPr="0070536A">
        <w:rPr>
          <w:shd w:val="clear" w:color="auto" w:fill="FFFFFF"/>
          <w:lang w:val="en-GB"/>
        </w:rPr>
        <w:t xml:space="preserve"> 2019-2023</w:t>
      </w:r>
      <w:r w:rsidR="00D44C2B" w:rsidRPr="0070536A">
        <w:rPr>
          <w:shd w:val="clear" w:color="auto" w:fill="FFFFFF"/>
          <w:lang w:val="en-GB"/>
        </w:rPr>
        <w:t xml:space="preserve"> </w:t>
      </w:r>
      <w:r w:rsidRPr="0070536A">
        <w:rPr>
          <w:shd w:val="clear" w:color="auto" w:fill="FFFFFF"/>
          <w:lang w:val="en-GB"/>
        </w:rPr>
        <w:t xml:space="preserve">acknowledges </w:t>
      </w:r>
      <w:r w:rsidR="00D44C2B" w:rsidRPr="0070536A">
        <w:rPr>
          <w:shd w:val="clear" w:color="auto" w:fill="FFFFFF"/>
          <w:lang w:val="en-GB"/>
        </w:rPr>
        <w:t xml:space="preserve">a </w:t>
      </w:r>
      <w:r w:rsidRPr="0070536A">
        <w:rPr>
          <w:shd w:val="clear" w:color="auto" w:fill="FFFFFF"/>
          <w:lang w:val="en-GB"/>
        </w:rPr>
        <w:t xml:space="preserve">complex operational environment but found development challenges remain </w:t>
      </w:r>
      <w:r w:rsidR="0003326D" w:rsidRPr="0070536A">
        <w:rPr>
          <w:shd w:val="clear" w:color="auto" w:fill="FFFFFF"/>
          <w:lang w:val="en-GB"/>
        </w:rPr>
        <w:t>valid and</w:t>
      </w:r>
      <w:r w:rsidRPr="0070536A">
        <w:rPr>
          <w:shd w:val="clear" w:color="auto" w:fill="FFFFFF"/>
          <w:lang w:val="en-GB"/>
        </w:rPr>
        <w:t xml:space="preserve"> </w:t>
      </w:r>
      <w:r w:rsidR="00D44C2B" w:rsidRPr="0070536A">
        <w:rPr>
          <w:shd w:val="clear" w:color="auto" w:fill="FFFFFF"/>
          <w:lang w:val="en-GB"/>
        </w:rPr>
        <w:t xml:space="preserve">should </w:t>
      </w:r>
      <w:r w:rsidRPr="0070536A">
        <w:rPr>
          <w:shd w:val="clear" w:color="auto" w:fill="FFFFFF"/>
          <w:lang w:val="en-GB"/>
        </w:rPr>
        <w:t xml:space="preserve">inform UNDP priorities. </w:t>
      </w:r>
      <w:r w:rsidR="00D44C2B" w:rsidRPr="0070536A">
        <w:rPr>
          <w:shd w:val="clear" w:color="auto" w:fill="FFFFFF"/>
          <w:lang w:val="en-GB"/>
        </w:rPr>
        <w:t xml:space="preserve">Although </w:t>
      </w:r>
      <w:r w:rsidRPr="0070536A">
        <w:rPr>
          <w:shd w:val="clear" w:color="auto" w:fill="FFFFFF"/>
          <w:lang w:val="en-GB"/>
        </w:rPr>
        <w:t xml:space="preserve">hydrocarbon exploration facilitated investment in infrastructure and a transition to middle-income status, a sharp decline in oil-related revenue since 2014 resulted in </w:t>
      </w:r>
      <w:r w:rsidR="00D44C2B" w:rsidRPr="0070536A">
        <w:rPr>
          <w:shd w:val="clear" w:color="auto" w:fill="FFFFFF"/>
          <w:lang w:val="en-GB"/>
        </w:rPr>
        <w:t xml:space="preserve">a decline in gross domestic product (GDP) </w:t>
      </w:r>
      <w:r w:rsidRPr="0070536A">
        <w:rPr>
          <w:shd w:val="clear" w:color="auto" w:fill="FFFFFF"/>
          <w:lang w:val="en-GB"/>
        </w:rPr>
        <w:t>between</w:t>
      </w:r>
      <w:r w:rsidRPr="0070536A">
        <w:rPr>
          <w:lang w:val="en-GB"/>
        </w:rPr>
        <w:t xml:space="preserve"> </w:t>
      </w:r>
      <w:r w:rsidRPr="0070536A">
        <w:rPr>
          <w:shd w:val="clear" w:color="auto" w:fill="FFFFFF"/>
          <w:lang w:val="en-GB"/>
        </w:rPr>
        <w:t>2017 and 2020</w:t>
      </w:r>
      <w:r w:rsidR="00D44C2B" w:rsidRPr="0070536A">
        <w:rPr>
          <w:shd w:val="clear" w:color="auto" w:fill="FFFFFF"/>
          <w:lang w:val="en-GB"/>
        </w:rPr>
        <w:t>.</w:t>
      </w:r>
      <w:r w:rsidRPr="0070536A">
        <w:rPr>
          <w:rStyle w:val="FootnoteReference"/>
          <w:shd w:val="clear" w:color="auto" w:fill="FFFFFF"/>
          <w:lang w:val="en-GB"/>
        </w:rPr>
        <w:footnoteReference w:id="4"/>
      </w:r>
      <w:r w:rsidRPr="0070536A">
        <w:rPr>
          <w:shd w:val="clear" w:color="auto" w:fill="FFFFFF"/>
          <w:lang w:val="en-GB"/>
        </w:rPr>
        <w:t xml:space="preserve"> </w:t>
      </w:r>
      <w:r w:rsidR="00D44C2B" w:rsidRPr="0070536A">
        <w:rPr>
          <w:shd w:val="clear" w:color="auto" w:fill="FFFFFF"/>
          <w:lang w:val="en-GB"/>
        </w:rPr>
        <w:t xml:space="preserve">While </w:t>
      </w:r>
      <w:r w:rsidRPr="0070536A">
        <w:rPr>
          <w:shd w:val="clear" w:color="auto" w:fill="FFFFFF"/>
          <w:lang w:val="en-GB"/>
        </w:rPr>
        <w:t xml:space="preserve">growth returned in 2022, </w:t>
      </w:r>
      <w:r w:rsidR="00D44C2B" w:rsidRPr="0070536A">
        <w:rPr>
          <w:color w:val="000000"/>
          <w:lang w:val="en-GB" w:eastAsia="en-GB"/>
        </w:rPr>
        <w:t xml:space="preserve">additional </w:t>
      </w:r>
      <w:r w:rsidRPr="0070536A">
        <w:rPr>
          <w:color w:val="000000"/>
          <w:lang w:val="en-GB" w:eastAsia="en-GB"/>
        </w:rPr>
        <w:t xml:space="preserve">economic reforms are </w:t>
      </w:r>
      <w:r w:rsidR="00D44C2B" w:rsidRPr="0070536A">
        <w:rPr>
          <w:color w:val="000000"/>
          <w:lang w:val="en-GB" w:eastAsia="en-GB"/>
        </w:rPr>
        <w:t xml:space="preserve">needed </w:t>
      </w:r>
      <w:r w:rsidRPr="0070536A">
        <w:rPr>
          <w:color w:val="000000"/>
          <w:lang w:val="en-GB" w:eastAsia="en-GB"/>
        </w:rPr>
        <w:t xml:space="preserve">to create a business environment conducive </w:t>
      </w:r>
      <w:r w:rsidR="00D44C2B" w:rsidRPr="0070536A">
        <w:rPr>
          <w:color w:val="000000"/>
          <w:lang w:val="en-GB" w:eastAsia="en-GB"/>
        </w:rPr>
        <w:t xml:space="preserve">to </w:t>
      </w:r>
      <w:r w:rsidRPr="0070536A">
        <w:rPr>
          <w:color w:val="000000"/>
          <w:lang w:val="en-GB" w:eastAsia="en-GB"/>
        </w:rPr>
        <w:t xml:space="preserve">economic diversification and inclusive growth. Unemployment has </w:t>
      </w:r>
      <w:r w:rsidR="00814A38" w:rsidRPr="0070536A">
        <w:rPr>
          <w:color w:val="000000"/>
          <w:lang w:val="en-GB" w:eastAsia="en-GB"/>
        </w:rPr>
        <w:t xml:space="preserve">risen </w:t>
      </w:r>
      <w:r w:rsidRPr="0070536A">
        <w:rPr>
          <w:color w:val="000000"/>
          <w:lang w:val="en-GB" w:eastAsia="en-GB"/>
        </w:rPr>
        <w:t>since 2014, peaking at 9.9 per</w:t>
      </w:r>
      <w:r w:rsidR="00D44C2B" w:rsidRPr="0070536A">
        <w:rPr>
          <w:color w:val="000000"/>
          <w:lang w:val="en-GB" w:eastAsia="en-GB"/>
        </w:rPr>
        <w:t xml:space="preserve"> </w:t>
      </w:r>
      <w:r w:rsidRPr="0070536A">
        <w:rPr>
          <w:color w:val="000000"/>
          <w:lang w:val="en-GB" w:eastAsia="en-GB"/>
        </w:rPr>
        <w:t xml:space="preserve">cent in 2020, </w:t>
      </w:r>
      <w:r w:rsidR="00814A38" w:rsidRPr="0070536A">
        <w:rPr>
          <w:color w:val="000000"/>
          <w:lang w:val="en-GB" w:eastAsia="en-GB"/>
        </w:rPr>
        <w:t xml:space="preserve">as </w:t>
      </w:r>
      <w:r w:rsidRPr="0070536A">
        <w:rPr>
          <w:color w:val="000000"/>
          <w:lang w:val="en-GB" w:eastAsia="en-GB"/>
        </w:rPr>
        <w:t xml:space="preserve">youth economic participation </w:t>
      </w:r>
      <w:r w:rsidR="00814A38" w:rsidRPr="0070536A">
        <w:rPr>
          <w:color w:val="000000"/>
          <w:lang w:val="en-GB" w:eastAsia="en-GB"/>
        </w:rPr>
        <w:t>dropped</w:t>
      </w:r>
      <w:r w:rsidRPr="0070536A">
        <w:rPr>
          <w:color w:val="000000"/>
          <w:lang w:val="en-GB" w:eastAsia="en-GB"/>
        </w:rPr>
        <w:t xml:space="preserve"> (27.4 per</w:t>
      </w:r>
      <w:r w:rsidR="00814A38" w:rsidRPr="0070536A">
        <w:rPr>
          <w:color w:val="000000"/>
          <w:lang w:val="en-GB" w:eastAsia="en-GB"/>
        </w:rPr>
        <w:t xml:space="preserve"> </w:t>
      </w:r>
      <w:r w:rsidRPr="0070536A">
        <w:rPr>
          <w:color w:val="000000"/>
          <w:lang w:val="en-GB" w:eastAsia="en-GB"/>
        </w:rPr>
        <w:t>cent in 2021). Women account</w:t>
      </w:r>
      <w:r w:rsidR="00814A38" w:rsidRPr="0070536A">
        <w:rPr>
          <w:color w:val="000000"/>
          <w:lang w:val="en-GB" w:eastAsia="en-GB"/>
        </w:rPr>
        <w:t>ed</w:t>
      </w:r>
      <w:r w:rsidRPr="0070536A">
        <w:rPr>
          <w:color w:val="000000"/>
          <w:lang w:val="en-GB" w:eastAsia="en-GB"/>
        </w:rPr>
        <w:t xml:space="preserve"> for only 37.7 per</w:t>
      </w:r>
      <w:r w:rsidR="00814A38" w:rsidRPr="0070536A">
        <w:rPr>
          <w:color w:val="000000"/>
          <w:lang w:val="en-GB" w:eastAsia="en-GB"/>
        </w:rPr>
        <w:t xml:space="preserve"> </w:t>
      </w:r>
      <w:r w:rsidRPr="0070536A">
        <w:rPr>
          <w:color w:val="000000"/>
          <w:lang w:val="en-GB" w:eastAsia="en-GB"/>
        </w:rPr>
        <w:t xml:space="preserve">cent of the workforce </w:t>
      </w:r>
      <w:r w:rsidR="00814A38" w:rsidRPr="0070536A">
        <w:rPr>
          <w:color w:val="000000"/>
          <w:lang w:val="en-GB" w:eastAsia="en-GB"/>
        </w:rPr>
        <w:t xml:space="preserve">while </w:t>
      </w:r>
      <w:r w:rsidRPr="0070536A">
        <w:rPr>
          <w:color w:val="000000"/>
          <w:lang w:val="en-GB" w:eastAsia="en-GB"/>
        </w:rPr>
        <w:t>77 per</w:t>
      </w:r>
      <w:r w:rsidR="00814A38" w:rsidRPr="0070536A">
        <w:rPr>
          <w:color w:val="000000"/>
          <w:lang w:val="en-GB" w:eastAsia="en-GB"/>
        </w:rPr>
        <w:t xml:space="preserve"> </w:t>
      </w:r>
      <w:r w:rsidRPr="0070536A">
        <w:rPr>
          <w:color w:val="000000"/>
          <w:lang w:val="en-GB" w:eastAsia="en-GB"/>
        </w:rPr>
        <w:t>cent of jobs</w:t>
      </w:r>
      <w:r w:rsidR="00814A38" w:rsidRPr="0070536A">
        <w:rPr>
          <w:color w:val="000000"/>
          <w:lang w:val="en-GB" w:eastAsia="en-GB"/>
        </w:rPr>
        <w:t xml:space="preserve"> in 2018</w:t>
      </w:r>
      <w:r w:rsidRPr="0070536A">
        <w:rPr>
          <w:color w:val="000000"/>
          <w:lang w:val="en-GB" w:eastAsia="en-GB"/>
        </w:rPr>
        <w:t xml:space="preserve"> were in the informal sector and vulnerable to shocks. </w:t>
      </w:r>
      <w:r w:rsidR="00814A38" w:rsidRPr="0070536A">
        <w:rPr>
          <w:color w:val="000000"/>
          <w:lang w:val="en-GB" w:eastAsia="en-GB"/>
        </w:rPr>
        <w:t>S</w:t>
      </w:r>
      <w:r w:rsidRPr="0070536A">
        <w:rPr>
          <w:color w:val="000000"/>
          <w:lang w:val="en-GB" w:eastAsia="en-GB"/>
        </w:rPr>
        <w:t>ignificant</w:t>
      </w:r>
      <w:r w:rsidR="00814A38" w:rsidRPr="0070536A">
        <w:rPr>
          <w:color w:val="000000"/>
          <w:lang w:val="en-GB" w:eastAsia="en-GB"/>
        </w:rPr>
        <w:t xml:space="preserve"> potential </w:t>
      </w:r>
      <w:r w:rsidR="00204C3A" w:rsidRPr="0070536A">
        <w:rPr>
          <w:color w:val="000000"/>
          <w:lang w:val="en-GB" w:eastAsia="en-GB"/>
        </w:rPr>
        <w:t>in</w:t>
      </w:r>
      <w:r w:rsidRPr="0070536A">
        <w:rPr>
          <w:color w:val="000000"/>
          <w:lang w:val="en-GB" w:eastAsia="en-GB"/>
        </w:rPr>
        <w:t xml:space="preserve"> biodiversity, particularly in the green and blue economy, </w:t>
      </w:r>
      <w:r w:rsidR="00814A38" w:rsidRPr="0070536A">
        <w:rPr>
          <w:color w:val="000000"/>
          <w:lang w:val="en-GB" w:eastAsia="en-GB"/>
        </w:rPr>
        <w:t xml:space="preserve">is clouded by </w:t>
      </w:r>
      <w:r w:rsidRPr="0070536A">
        <w:rPr>
          <w:color w:val="000000"/>
          <w:lang w:val="en-GB" w:eastAsia="en-GB"/>
        </w:rPr>
        <w:t>deforestation and impacts of climate change</w:t>
      </w:r>
      <w:r w:rsidR="00814A38" w:rsidRPr="0070536A">
        <w:rPr>
          <w:color w:val="000000"/>
          <w:lang w:val="en-GB" w:eastAsia="en-GB"/>
        </w:rPr>
        <w:t>.</w:t>
      </w:r>
      <w:r w:rsidRPr="0070536A">
        <w:rPr>
          <w:rStyle w:val="FootnoteReference"/>
          <w:color w:val="000000"/>
          <w:lang w:val="en-GB" w:eastAsia="en-GB"/>
        </w:rPr>
        <w:footnoteReference w:id="5"/>
      </w:r>
      <w:r w:rsidRPr="0070536A">
        <w:rPr>
          <w:color w:val="000000"/>
          <w:lang w:val="en-GB" w:eastAsia="en-GB"/>
        </w:rPr>
        <w:t xml:space="preserve"> The country lacks the financing, management, technical and systems capacity to achieve goals set out in </w:t>
      </w:r>
      <w:r w:rsidR="00814A38" w:rsidRPr="0070536A">
        <w:rPr>
          <w:color w:val="000000"/>
          <w:lang w:val="en-GB" w:eastAsia="en-GB"/>
        </w:rPr>
        <w:t xml:space="preserve">the 2022 </w:t>
      </w:r>
      <w:r w:rsidR="00E54CCA" w:rsidRPr="0070536A">
        <w:rPr>
          <w:color w:val="000000"/>
          <w:lang w:val="en-GB" w:eastAsia="en-GB"/>
        </w:rPr>
        <w:t>i</w:t>
      </w:r>
      <w:r w:rsidRPr="0070536A">
        <w:rPr>
          <w:color w:val="000000"/>
          <w:lang w:val="en-GB" w:eastAsia="en-GB"/>
        </w:rPr>
        <w:t>ntended</w:t>
      </w:r>
      <w:r w:rsidR="00E54CCA" w:rsidRPr="0070536A">
        <w:rPr>
          <w:color w:val="000000"/>
          <w:lang w:val="en-GB" w:eastAsia="en-GB"/>
        </w:rPr>
        <w:t xml:space="preserve"> n</w:t>
      </w:r>
      <w:r w:rsidRPr="0070536A">
        <w:rPr>
          <w:color w:val="000000"/>
          <w:lang w:val="en-GB" w:eastAsia="en-GB"/>
        </w:rPr>
        <w:t xml:space="preserve">ationally </w:t>
      </w:r>
      <w:r w:rsidR="00E54CCA" w:rsidRPr="0070536A">
        <w:rPr>
          <w:color w:val="000000"/>
          <w:lang w:val="en-GB" w:eastAsia="en-GB"/>
        </w:rPr>
        <w:t>d</w:t>
      </w:r>
      <w:r w:rsidRPr="0070536A">
        <w:rPr>
          <w:color w:val="000000"/>
          <w:lang w:val="en-GB" w:eastAsia="en-GB"/>
        </w:rPr>
        <w:t xml:space="preserve">etermined </w:t>
      </w:r>
      <w:r w:rsidR="00E54CCA" w:rsidRPr="0070536A">
        <w:rPr>
          <w:color w:val="000000"/>
          <w:lang w:val="en-GB" w:eastAsia="en-GB"/>
        </w:rPr>
        <w:t>c</w:t>
      </w:r>
      <w:r w:rsidRPr="0070536A">
        <w:rPr>
          <w:color w:val="000000"/>
          <w:lang w:val="en-GB" w:eastAsia="en-GB"/>
        </w:rPr>
        <w:t xml:space="preserve">ontribution. </w:t>
      </w:r>
    </w:p>
    <w:p w14:paraId="07996F33" w14:textId="03872F7E" w:rsidR="00091D10" w:rsidRPr="0070536A" w:rsidRDefault="00814A38" w:rsidP="00091D10">
      <w:pPr>
        <w:pStyle w:val="ListParagraph"/>
        <w:numPr>
          <w:ilvl w:val="0"/>
          <w:numId w:val="59"/>
        </w:numPr>
        <w:tabs>
          <w:tab w:val="left" w:pos="1276"/>
        </w:tabs>
        <w:autoSpaceDE w:val="0"/>
        <w:autoSpaceDN w:val="0"/>
        <w:adjustRightInd w:val="0"/>
        <w:spacing w:after="120"/>
        <w:ind w:left="851" w:right="713" w:firstLine="0"/>
        <w:jc w:val="both"/>
        <w:rPr>
          <w:lang w:val="en-GB"/>
        </w:rPr>
      </w:pPr>
      <w:r w:rsidRPr="0070536A">
        <w:rPr>
          <w:color w:val="000000"/>
          <w:lang w:val="en-GB" w:eastAsia="en-GB"/>
        </w:rPr>
        <w:t xml:space="preserve">The </w:t>
      </w:r>
      <w:r w:rsidR="00091D10" w:rsidRPr="0070536A">
        <w:rPr>
          <w:color w:val="000000"/>
          <w:lang w:val="en-GB" w:eastAsia="en-GB"/>
        </w:rPr>
        <w:t xml:space="preserve">Human Development Index (HDI) value </w:t>
      </w:r>
      <w:r w:rsidRPr="0070536A">
        <w:rPr>
          <w:color w:val="000000"/>
          <w:lang w:val="en-GB" w:eastAsia="en-GB"/>
        </w:rPr>
        <w:t xml:space="preserve">of Equatorial Guinea </w:t>
      </w:r>
      <w:r w:rsidR="00091D10" w:rsidRPr="0070536A">
        <w:rPr>
          <w:color w:val="000000"/>
          <w:lang w:val="en-GB" w:eastAsia="en-GB"/>
        </w:rPr>
        <w:t>grew from 0.512 to 0.596 (16.4 per</w:t>
      </w:r>
      <w:r w:rsidRPr="0070536A">
        <w:rPr>
          <w:color w:val="000000"/>
          <w:lang w:val="en-GB" w:eastAsia="en-GB"/>
        </w:rPr>
        <w:t xml:space="preserve"> </w:t>
      </w:r>
      <w:r w:rsidR="00091D10" w:rsidRPr="0070536A">
        <w:rPr>
          <w:color w:val="000000"/>
          <w:lang w:val="en-GB" w:eastAsia="en-GB"/>
        </w:rPr>
        <w:t xml:space="preserve">cent) between 2000 </w:t>
      </w:r>
      <w:r w:rsidRPr="0070536A">
        <w:rPr>
          <w:color w:val="000000"/>
          <w:lang w:val="en-GB" w:eastAsia="en-GB"/>
        </w:rPr>
        <w:t xml:space="preserve">and </w:t>
      </w:r>
      <w:r w:rsidR="00091D10" w:rsidRPr="0070536A">
        <w:rPr>
          <w:color w:val="000000"/>
          <w:lang w:val="en-GB" w:eastAsia="en-GB"/>
        </w:rPr>
        <w:t xml:space="preserve">2021. </w:t>
      </w:r>
      <w:r w:rsidRPr="0070536A">
        <w:rPr>
          <w:color w:val="000000"/>
          <w:lang w:val="en-GB" w:eastAsia="en-GB"/>
        </w:rPr>
        <w:t xml:space="preserve">The </w:t>
      </w:r>
      <w:r w:rsidR="00091D10" w:rsidRPr="0070536A">
        <w:rPr>
          <w:color w:val="000000"/>
          <w:lang w:val="en-GB" w:eastAsia="en-GB"/>
        </w:rPr>
        <w:t>2021 HDI ranking of 145 (of 191) place</w:t>
      </w:r>
      <w:r w:rsidRPr="0070536A">
        <w:rPr>
          <w:color w:val="000000"/>
          <w:lang w:val="en-GB" w:eastAsia="en-GB"/>
        </w:rPr>
        <w:t>d</w:t>
      </w:r>
      <w:r w:rsidR="00091D10" w:rsidRPr="0070536A">
        <w:rPr>
          <w:color w:val="000000"/>
          <w:lang w:val="en-GB" w:eastAsia="en-GB"/>
        </w:rPr>
        <w:t xml:space="preserve"> </w:t>
      </w:r>
      <w:r w:rsidRPr="0070536A">
        <w:rPr>
          <w:color w:val="000000"/>
          <w:lang w:val="en-GB" w:eastAsia="en-GB"/>
        </w:rPr>
        <w:t xml:space="preserve">the country </w:t>
      </w:r>
      <w:r w:rsidR="00091D10" w:rsidRPr="0070536A">
        <w:rPr>
          <w:color w:val="000000"/>
          <w:lang w:val="en-GB" w:eastAsia="en-GB"/>
        </w:rPr>
        <w:t>in the medium human development category</w:t>
      </w:r>
      <w:r w:rsidRPr="0070536A">
        <w:rPr>
          <w:color w:val="000000"/>
          <w:lang w:val="en-GB" w:eastAsia="en-GB"/>
        </w:rPr>
        <w:t>,</w:t>
      </w:r>
      <w:r w:rsidR="00091D10" w:rsidRPr="0070536A">
        <w:rPr>
          <w:rStyle w:val="FootnoteReference"/>
          <w:color w:val="000000"/>
          <w:lang w:val="en-GB" w:eastAsia="en-GB"/>
        </w:rPr>
        <w:footnoteReference w:id="6"/>
      </w:r>
      <w:r w:rsidR="00091D10" w:rsidRPr="0070536A">
        <w:rPr>
          <w:color w:val="000000"/>
          <w:lang w:val="en-GB" w:eastAsia="en-GB"/>
        </w:rPr>
        <w:t xml:space="preserve"> but hydrocarbon-based growth has not led to shared prosperity. </w:t>
      </w:r>
      <w:r w:rsidR="00091D10" w:rsidRPr="0070536A">
        <w:rPr>
          <w:lang w:val="en-GB"/>
        </w:rPr>
        <w:t xml:space="preserve">Data gaps make it difficult to quantify the precise </w:t>
      </w:r>
      <w:r w:rsidRPr="0070536A">
        <w:rPr>
          <w:lang w:val="en-GB"/>
        </w:rPr>
        <w:t xml:space="preserve">number </w:t>
      </w:r>
      <w:r w:rsidR="00091D10" w:rsidRPr="0070536A">
        <w:rPr>
          <w:lang w:val="en-GB"/>
        </w:rPr>
        <w:t xml:space="preserve">of people </w:t>
      </w:r>
      <w:r w:rsidRPr="0070536A">
        <w:rPr>
          <w:lang w:val="en-GB"/>
        </w:rPr>
        <w:t xml:space="preserve">living </w:t>
      </w:r>
      <w:r w:rsidR="00091D10" w:rsidRPr="0070536A">
        <w:rPr>
          <w:lang w:val="en-GB"/>
        </w:rPr>
        <w:t>in extreme poverty, but it is believed to be considerable</w:t>
      </w:r>
      <w:r w:rsidRPr="0070536A">
        <w:rPr>
          <w:lang w:val="en-GB"/>
        </w:rPr>
        <w:t>.</w:t>
      </w:r>
      <w:r w:rsidR="00091D10" w:rsidRPr="0070536A">
        <w:rPr>
          <w:rStyle w:val="FootnoteReference"/>
          <w:color w:val="000000"/>
          <w:lang w:val="en-GB" w:eastAsia="en-GB"/>
        </w:rPr>
        <w:footnoteReference w:id="7"/>
      </w:r>
      <w:r w:rsidR="00091D10" w:rsidRPr="0070536A">
        <w:rPr>
          <w:color w:val="000000"/>
          <w:lang w:val="en-GB" w:eastAsia="en-GB"/>
        </w:rPr>
        <w:t xml:space="preserve"> Insufficient social investment</w:t>
      </w:r>
      <w:r w:rsidRPr="0070536A">
        <w:rPr>
          <w:color w:val="000000"/>
          <w:lang w:val="en-GB" w:eastAsia="en-GB"/>
        </w:rPr>
        <w:t>s</w:t>
      </w:r>
      <w:r w:rsidR="00091D10" w:rsidRPr="0070536A">
        <w:rPr>
          <w:color w:val="000000"/>
          <w:lang w:val="en-GB" w:eastAsia="en-GB"/>
        </w:rPr>
        <w:t xml:space="preserve"> and poor public service delivery</w:t>
      </w:r>
      <w:r w:rsidR="00091D10" w:rsidRPr="0070536A">
        <w:rPr>
          <w:lang w:val="en-GB"/>
        </w:rPr>
        <w:t xml:space="preserve"> </w:t>
      </w:r>
      <w:r w:rsidR="00091D10" w:rsidRPr="0070536A">
        <w:rPr>
          <w:color w:val="000000"/>
          <w:lang w:val="en-GB" w:eastAsia="en-GB"/>
        </w:rPr>
        <w:t>have slowed the development of human capital.</w:t>
      </w:r>
      <w:bookmarkStart w:id="5" w:name="_Hlk130388906"/>
      <w:bookmarkStart w:id="6" w:name="_Hlk129263865"/>
      <w:r w:rsidR="00091D10" w:rsidRPr="0070536A">
        <w:rPr>
          <w:color w:val="000000"/>
          <w:lang w:val="en-GB" w:eastAsia="en-GB"/>
        </w:rPr>
        <w:t xml:space="preserve"> </w:t>
      </w:r>
      <w:bookmarkEnd w:id="5"/>
      <w:r w:rsidR="00091D10" w:rsidRPr="0070536A">
        <w:rPr>
          <w:color w:val="000000"/>
          <w:lang w:val="en-GB" w:eastAsia="en-GB"/>
        </w:rPr>
        <w:t xml:space="preserve">Deep-rooted </w:t>
      </w:r>
      <w:r w:rsidRPr="0070536A">
        <w:rPr>
          <w:color w:val="000000"/>
          <w:lang w:val="en-GB" w:eastAsia="en-GB"/>
        </w:rPr>
        <w:t xml:space="preserve">negative </w:t>
      </w:r>
      <w:r w:rsidR="00091D10" w:rsidRPr="0070536A">
        <w:rPr>
          <w:color w:val="000000"/>
          <w:lang w:val="en-GB" w:eastAsia="en-GB"/>
        </w:rPr>
        <w:t xml:space="preserve">social norms, patriarchal customs, and gender gaps make women and girls particularly vulnerable to </w:t>
      </w:r>
      <w:r w:rsidRPr="0070536A">
        <w:rPr>
          <w:color w:val="000000"/>
          <w:lang w:val="en-GB" w:eastAsia="en-GB"/>
        </w:rPr>
        <w:t>sexual and gender-based violence (</w:t>
      </w:r>
      <w:r w:rsidR="00091D10" w:rsidRPr="0070536A">
        <w:rPr>
          <w:color w:val="000000"/>
          <w:lang w:val="en-GB" w:eastAsia="en-GB"/>
        </w:rPr>
        <w:t>SGBV</w:t>
      </w:r>
      <w:r w:rsidRPr="0070536A">
        <w:rPr>
          <w:color w:val="000000"/>
          <w:lang w:val="en-GB" w:eastAsia="en-GB"/>
        </w:rPr>
        <w:t>)</w:t>
      </w:r>
      <w:r w:rsidR="00091D10" w:rsidRPr="0070536A">
        <w:rPr>
          <w:color w:val="000000"/>
          <w:lang w:val="en-GB" w:eastAsia="en-GB"/>
        </w:rPr>
        <w:t>, forced sexual labour, and trafficking</w:t>
      </w:r>
      <w:r w:rsidRPr="0070536A">
        <w:rPr>
          <w:color w:val="000000"/>
          <w:lang w:val="en-GB" w:eastAsia="en-GB"/>
        </w:rPr>
        <w:t>.</w:t>
      </w:r>
      <w:r w:rsidR="00091D10" w:rsidRPr="0070536A">
        <w:rPr>
          <w:rStyle w:val="FootnoteReference"/>
          <w:color w:val="000000"/>
          <w:lang w:val="en-GB" w:eastAsia="en-GB"/>
        </w:rPr>
        <w:footnoteReference w:id="8"/>
      </w:r>
      <w:bookmarkEnd w:id="6"/>
      <w:r w:rsidR="00091D10" w:rsidRPr="0070536A">
        <w:rPr>
          <w:color w:val="000000"/>
          <w:lang w:val="en-GB" w:eastAsia="en-GB"/>
        </w:rPr>
        <w:t xml:space="preserve"> </w:t>
      </w:r>
      <w:r w:rsidRPr="0070536A">
        <w:rPr>
          <w:color w:val="000000"/>
          <w:lang w:val="en-GB" w:eastAsia="en-GB"/>
        </w:rPr>
        <w:t xml:space="preserve">The </w:t>
      </w:r>
      <w:r w:rsidR="00091D10" w:rsidRPr="0070536A">
        <w:rPr>
          <w:color w:val="000000"/>
          <w:lang w:val="en-GB" w:eastAsia="en-GB"/>
        </w:rPr>
        <w:t>prevalence</w:t>
      </w:r>
      <w:r w:rsidRPr="0070536A">
        <w:rPr>
          <w:color w:val="000000"/>
          <w:lang w:val="en-GB" w:eastAsia="en-GB"/>
        </w:rPr>
        <w:t xml:space="preserve"> of human immunodeficiency virus (HIV)</w:t>
      </w:r>
      <w:r w:rsidR="00091D10" w:rsidRPr="0070536A">
        <w:rPr>
          <w:color w:val="000000"/>
          <w:lang w:val="en-GB" w:eastAsia="en-GB"/>
        </w:rPr>
        <w:t xml:space="preserve"> (7.1 per</w:t>
      </w:r>
      <w:r w:rsidRPr="0070536A">
        <w:rPr>
          <w:color w:val="000000"/>
          <w:lang w:val="en-GB" w:eastAsia="en-GB"/>
        </w:rPr>
        <w:t xml:space="preserve"> </w:t>
      </w:r>
      <w:r w:rsidR="00091D10" w:rsidRPr="0070536A">
        <w:rPr>
          <w:color w:val="000000"/>
          <w:lang w:val="en-GB" w:eastAsia="en-GB"/>
        </w:rPr>
        <w:t>cent) is higher for women (9.4 per</w:t>
      </w:r>
      <w:r w:rsidRPr="0070536A">
        <w:rPr>
          <w:color w:val="000000"/>
          <w:lang w:val="en-GB" w:eastAsia="en-GB"/>
        </w:rPr>
        <w:t xml:space="preserve"> </w:t>
      </w:r>
      <w:r w:rsidR="00091D10" w:rsidRPr="0070536A">
        <w:rPr>
          <w:color w:val="000000"/>
          <w:lang w:val="en-GB" w:eastAsia="en-GB"/>
        </w:rPr>
        <w:t xml:space="preserve">cent), </w:t>
      </w:r>
      <w:r w:rsidR="00091D10" w:rsidRPr="0070536A">
        <w:rPr>
          <w:color w:val="000000"/>
          <w:lang w:val="en-GB" w:eastAsia="en-GB"/>
        </w:rPr>
        <w:lastRenderedPageBreak/>
        <w:t>especially young women</w:t>
      </w:r>
      <w:r w:rsidRPr="0070536A">
        <w:rPr>
          <w:color w:val="000000"/>
          <w:lang w:val="en-GB" w:eastAsia="en-GB"/>
        </w:rPr>
        <w:t>.</w:t>
      </w:r>
      <w:r w:rsidR="00091D10" w:rsidRPr="0070536A">
        <w:rPr>
          <w:rStyle w:val="FootnoteReference"/>
          <w:color w:val="000000"/>
          <w:lang w:val="en-GB" w:eastAsia="en-GB"/>
        </w:rPr>
        <w:footnoteReference w:id="9"/>
      </w:r>
      <w:r w:rsidR="00091D10" w:rsidRPr="0070536A">
        <w:rPr>
          <w:lang w:val="en-GB"/>
        </w:rPr>
        <w:t xml:space="preserve"> </w:t>
      </w:r>
      <w:r w:rsidR="00091D10" w:rsidRPr="0070536A">
        <w:rPr>
          <w:color w:val="000000"/>
          <w:lang w:val="en-GB" w:eastAsia="en-GB"/>
        </w:rPr>
        <w:t xml:space="preserve">Weaknesses in health planning and data systems and the poor logistical management of drugs undermine equitable access to services. </w:t>
      </w:r>
    </w:p>
    <w:p w14:paraId="244BB51F" w14:textId="13935AC0" w:rsidR="00091D10" w:rsidRPr="0070536A" w:rsidRDefault="00091D10" w:rsidP="00091D10">
      <w:pPr>
        <w:pStyle w:val="ListParagraph"/>
        <w:numPr>
          <w:ilvl w:val="0"/>
          <w:numId w:val="59"/>
        </w:numPr>
        <w:tabs>
          <w:tab w:val="left" w:pos="1276"/>
        </w:tabs>
        <w:autoSpaceDE w:val="0"/>
        <w:autoSpaceDN w:val="0"/>
        <w:adjustRightInd w:val="0"/>
        <w:spacing w:after="120"/>
        <w:ind w:left="851" w:right="713" w:firstLine="0"/>
        <w:jc w:val="both"/>
        <w:rPr>
          <w:lang w:val="en-GB"/>
        </w:rPr>
      </w:pPr>
      <w:r w:rsidRPr="0070536A">
        <w:rPr>
          <w:lang w:val="en-GB"/>
        </w:rPr>
        <w:t xml:space="preserve">Although governance has improved, the Ibrahim Index (2021) scores Equatorial Guinea at 27.3/100 ranking it 51st </w:t>
      </w:r>
      <w:r w:rsidR="00814A38" w:rsidRPr="0070536A">
        <w:rPr>
          <w:lang w:val="en-GB"/>
        </w:rPr>
        <w:t xml:space="preserve">out of </w:t>
      </w:r>
      <w:r w:rsidRPr="0070536A">
        <w:rPr>
          <w:lang w:val="en-GB"/>
        </w:rPr>
        <w:t>54 countries</w:t>
      </w:r>
      <w:r w:rsidR="00814A38" w:rsidRPr="0070536A">
        <w:rPr>
          <w:lang w:val="en-GB"/>
        </w:rPr>
        <w:t>.</w:t>
      </w:r>
      <w:r w:rsidRPr="0070536A">
        <w:rPr>
          <w:rStyle w:val="FootnoteReference"/>
          <w:lang w:val="en-GB"/>
        </w:rPr>
        <w:footnoteReference w:id="10"/>
      </w:r>
      <w:r w:rsidRPr="0070536A">
        <w:rPr>
          <w:lang w:val="en-GB"/>
        </w:rPr>
        <w:t xml:space="preserve"> The strategic vision for overcoming development challenges, set out in </w:t>
      </w:r>
      <w:r w:rsidR="00814A38" w:rsidRPr="0070536A">
        <w:rPr>
          <w:lang w:val="en-GB"/>
        </w:rPr>
        <w:t xml:space="preserve">the </w:t>
      </w:r>
      <w:r w:rsidRPr="0070536A">
        <w:rPr>
          <w:lang w:val="en-GB"/>
        </w:rPr>
        <w:t xml:space="preserve">National Strategy for Sustainable Development: Vision 2035, closely aligns with the </w:t>
      </w:r>
      <w:r w:rsidR="00814A38" w:rsidRPr="0070536A">
        <w:rPr>
          <w:lang w:val="en-GB"/>
        </w:rPr>
        <w:t>Sustainable Development Goals (</w:t>
      </w:r>
      <w:r w:rsidRPr="0070536A">
        <w:rPr>
          <w:lang w:val="en-GB"/>
        </w:rPr>
        <w:t>SDGs</w:t>
      </w:r>
      <w:r w:rsidR="00814A38" w:rsidRPr="0070536A">
        <w:rPr>
          <w:lang w:val="en-GB"/>
        </w:rPr>
        <w:t>)</w:t>
      </w:r>
      <w:r w:rsidRPr="0070536A">
        <w:rPr>
          <w:lang w:val="en-GB"/>
        </w:rPr>
        <w:t>, but despite efforts to moderni</w:t>
      </w:r>
      <w:r w:rsidR="00814A38" w:rsidRPr="0070536A">
        <w:rPr>
          <w:lang w:val="en-GB"/>
        </w:rPr>
        <w:t>z</w:t>
      </w:r>
      <w:r w:rsidRPr="0070536A">
        <w:rPr>
          <w:lang w:val="en-GB"/>
        </w:rPr>
        <w:t>e, deficits persist in planning and finance management with significant data gaps constraining evidence-based decision-making (only 28 per</w:t>
      </w:r>
      <w:r w:rsidR="00814A38" w:rsidRPr="0070536A">
        <w:rPr>
          <w:lang w:val="en-GB"/>
        </w:rPr>
        <w:t xml:space="preserve"> </w:t>
      </w:r>
      <w:r w:rsidRPr="0070536A">
        <w:rPr>
          <w:lang w:val="en-GB"/>
        </w:rPr>
        <w:t>cent of SDG indicators are measurable</w:t>
      </w:r>
      <w:r w:rsidR="00814A38" w:rsidRPr="0070536A">
        <w:rPr>
          <w:lang w:val="en-GB"/>
        </w:rPr>
        <w:t>).</w:t>
      </w:r>
      <w:r w:rsidRPr="0070536A">
        <w:rPr>
          <w:rStyle w:val="FootnoteReference"/>
          <w:lang w:val="en-GB"/>
        </w:rPr>
        <w:footnoteReference w:id="11"/>
      </w:r>
      <w:r w:rsidRPr="0070536A">
        <w:rPr>
          <w:lang w:val="en-GB"/>
        </w:rPr>
        <w:t xml:space="preserve"> </w:t>
      </w:r>
      <w:r w:rsidR="00814A38" w:rsidRPr="0070536A">
        <w:rPr>
          <w:lang w:val="en-GB"/>
        </w:rPr>
        <w:t>Although i</w:t>
      </w:r>
      <w:r w:rsidRPr="0070536A">
        <w:rPr>
          <w:lang w:val="en-GB"/>
        </w:rPr>
        <w:t xml:space="preserve">mportant steps have been taken </w:t>
      </w:r>
      <w:r w:rsidR="00814A38" w:rsidRPr="0070536A">
        <w:rPr>
          <w:lang w:val="en-GB"/>
        </w:rPr>
        <w:t xml:space="preserve">on </w:t>
      </w:r>
      <w:r w:rsidRPr="0070536A">
        <w:rPr>
          <w:lang w:val="en-GB"/>
        </w:rPr>
        <w:t>digital governance, full roll-out is financially constrained. The country faces multiple justice and human-rights challenges including trafficking, arbitrary detention, and the sexual exploitation of minors</w:t>
      </w:r>
      <w:r w:rsidR="00814A38" w:rsidRPr="0070536A">
        <w:rPr>
          <w:lang w:val="en-GB"/>
        </w:rPr>
        <w:t>.</w:t>
      </w:r>
      <w:r w:rsidRPr="0070536A">
        <w:rPr>
          <w:rStyle w:val="FootnoteReference"/>
          <w:lang w:val="en-GB"/>
        </w:rPr>
        <w:footnoteReference w:id="12"/>
      </w:r>
      <w:r w:rsidRPr="0070536A">
        <w:rPr>
          <w:lang w:val="en-GB"/>
        </w:rPr>
        <w:t xml:space="preserve"> </w:t>
      </w:r>
    </w:p>
    <w:p w14:paraId="07702594" w14:textId="39F6A083" w:rsidR="00091D10" w:rsidRPr="0070536A" w:rsidRDefault="00091D10" w:rsidP="00091D10">
      <w:pPr>
        <w:pStyle w:val="ListParagraph"/>
        <w:numPr>
          <w:ilvl w:val="0"/>
          <w:numId w:val="59"/>
        </w:numPr>
        <w:tabs>
          <w:tab w:val="left" w:pos="1276"/>
        </w:tabs>
        <w:spacing w:after="120"/>
        <w:ind w:left="851" w:right="713" w:firstLine="0"/>
        <w:jc w:val="both"/>
        <w:rPr>
          <w:lang w:val="en-GB"/>
        </w:rPr>
      </w:pPr>
      <w:r w:rsidRPr="0070536A">
        <w:rPr>
          <w:lang w:val="en-GB"/>
        </w:rPr>
        <w:t xml:space="preserve">The </w:t>
      </w:r>
      <w:r w:rsidR="00814A38" w:rsidRPr="0070536A">
        <w:rPr>
          <w:lang w:val="en-GB"/>
        </w:rPr>
        <w:t>United Nations Development Assistance Framework (</w:t>
      </w:r>
      <w:r w:rsidRPr="0070536A">
        <w:rPr>
          <w:lang w:val="en-GB"/>
        </w:rPr>
        <w:t>UNDAF</w:t>
      </w:r>
      <w:r w:rsidR="00814A38" w:rsidRPr="0070536A">
        <w:rPr>
          <w:lang w:val="en-GB"/>
        </w:rPr>
        <w:t>)</w:t>
      </w:r>
      <w:r w:rsidRPr="0070536A">
        <w:rPr>
          <w:lang w:val="en-GB"/>
        </w:rPr>
        <w:t xml:space="preserve"> evaluation highlighted </w:t>
      </w:r>
      <w:r w:rsidR="00814A38" w:rsidRPr="0070536A">
        <w:rPr>
          <w:lang w:val="en-GB"/>
        </w:rPr>
        <w:t>the</w:t>
      </w:r>
      <w:r w:rsidRPr="0070536A">
        <w:rPr>
          <w:lang w:val="en-GB"/>
        </w:rPr>
        <w:t xml:space="preserve"> pivotal role </w:t>
      </w:r>
      <w:r w:rsidR="00814A38" w:rsidRPr="0070536A">
        <w:rPr>
          <w:lang w:val="en-GB"/>
        </w:rPr>
        <w:t xml:space="preserve">of UNDP </w:t>
      </w:r>
      <w:r w:rsidRPr="0070536A">
        <w:rPr>
          <w:lang w:val="en-GB"/>
        </w:rPr>
        <w:t>in leveraging the strategic corporate momentum of digitalization in public administration, improving service delivery and supporting economic diversification</w:t>
      </w:r>
      <w:r w:rsidR="00814A38" w:rsidRPr="0070536A">
        <w:rPr>
          <w:lang w:val="en-GB"/>
        </w:rPr>
        <w:t xml:space="preserve">—this is while </w:t>
      </w:r>
      <w:r w:rsidRPr="0070536A">
        <w:rPr>
          <w:lang w:val="en-GB"/>
        </w:rPr>
        <w:t xml:space="preserve">slow disbursement of national funds </w:t>
      </w:r>
      <w:r w:rsidR="00814A38" w:rsidRPr="0070536A">
        <w:rPr>
          <w:lang w:val="en-GB"/>
        </w:rPr>
        <w:t xml:space="preserve">had a negative impact </w:t>
      </w:r>
      <w:r w:rsidRPr="0070536A">
        <w:rPr>
          <w:lang w:val="en-GB"/>
        </w:rPr>
        <w:t xml:space="preserve">on programme delivery. Nevertheless, </w:t>
      </w:r>
      <w:r w:rsidR="00814A38" w:rsidRPr="0070536A">
        <w:rPr>
          <w:lang w:val="en-GB"/>
        </w:rPr>
        <w:t xml:space="preserve">the </w:t>
      </w:r>
      <w:r w:rsidRPr="0070536A">
        <w:rPr>
          <w:lang w:val="en-GB"/>
        </w:rPr>
        <w:t>adaptability and dynamism</w:t>
      </w:r>
      <w:r w:rsidR="00814A38" w:rsidRPr="0070536A">
        <w:rPr>
          <w:lang w:val="en-GB"/>
        </w:rPr>
        <w:t xml:space="preserve"> of UNDP</w:t>
      </w:r>
      <w:r w:rsidRPr="0070536A">
        <w:rPr>
          <w:lang w:val="en-GB"/>
        </w:rPr>
        <w:t xml:space="preserve">, particularly during the COVID-19 </w:t>
      </w:r>
      <w:r w:rsidR="00814A38" w:rsidRPr="0070536A">
        <w:rPr>
          <w:lang w:val="en-GB"/>
        </w:rPr>
        <w:t>pandemic</w:t>
      </w:r>
      <w:r w:rsidRPr="0070536A">
        <w:rPr>
          <w:lang w:val="en-GB"/>
        </w:rPr>
        <w:t xml:space="preserve">, made mobilization of core funds possible </w:t>
      </w:r>
      <w:r w:rsidR="00814A38" w:rsidRPr="0070536A">
        <w:rPr>
          <w:lang w:val="en-GB"/>
        </w:rPr>
        <w:t xml:space="preserve">and enabled </w:t>
      </w:r>
      <w:r w:rsidRPr="0070536A">
        <w:rPr>
          <w:lang w:val="en-GB"/>
        </w:rPr>
        <w:t xml:space="preserve">the </w:t>
      </w:r>
      <w:r w:rsidR="00814A38" w:rsidRPr="0070536A">
        <w:rPr>
          <w:lang w:val="en-GB"/>
        </w:rPr>
        <w:t>c</w:t>
      </w:r>
      <w:r w:rsidRPr="0070536A">
        <w:rPr>
          <w:lang w:val="en-GB"/>
        </w:rPr>
        <w:t xml:space="preserve">ountry </w:t>
      </w:r>
      <w:r w:rsidR="00814A38" w:rsidRPr="0070536A">
        <w:rPr>
          <w:lang w:val="en-GB"/>
        </w:rPr>
        <w:t>o</w:t>
      </w:r>
      <w:r w:rsidRPr="0070536A">
        <w:rPr>
          <w:lang w:val="en-GB"/>
        </w:rPr>
        <w:t>ffice to raise its profile as a strategic development partner. SDG</w:t>
      </w:r>
      <w:r w:rsidR="00814A38" w:rsidRPr="0070536A">
        <w:rPr>
          <w:lang w:val="en-GB"/>
        </w:rPr>
        <w:t xml:space="preserve"> promotion</w:t>
      </w:r>
      <w:r w:rsidRPr="0070536A">
        <w:rPr>
          <w:lang w:val="en-GB"/>
        </w:rPr>
        <w:t xml:space="preserve"> </w:t>
      </w:r>
      <w:r w:rsidR="00CE58DF" w:rsidRPr="0070536A">
        <w:rPr>
          <w:lang w:val="en-GB"/>
        </w:rPr>
        <w:t>positioned</w:t>
      </w:r>
      <w:r w:rsidRPr="0070536A">
        <w:rPr>
          <w:lang w:val="en-GB"/>
        </w:rPr>
        <w:t xml:space="preserve"> UNDP </w:t>
      </w:r>
      <w:r w:rsidR="00CE58DF" w:rsidRPr="0070536A">
        <w:rPr>
          <w:lang w:val="en-GB"/>
        </w:rPr>
        <w:t>as</w:t>
      </w:r>
      <w:r w:rsidRPr="0070536A">
        <w:rPr>
          <w:lang w:val="en-GB"/>
        </w:rPr>
        <w:t xml:space="preserve"> a valuable partner in promoting sustainable development and building alliances for institutional modernization and greater transparency.</w:t>
      </w:r>
    </w:p>
    <w:p w14:paraId="745E64E5" w14:textId="713F33E4" w:rsidR="00091D10" w:rsidRPr="0070536A" w:rsidRDefault="00091D10" w:rsidP="00091D10">
      <w:pPr>
        <w:pStyle w:val="ListParagraph"/>
        <w:numPr>
          <w:ilvl w:val="0"/>
          <w:numId w:val="59"/>
        </w:numPr>
        <w:tabs>
          <w:tab w:val="left" w:pos="1276"/>
        </w:tabs>
        <w:ind w:left="851" w:right="713" w:firstLine="0"/>
        <w:jc w:val="both"/>
        <w:rPr>
          <w:lang w:val="en-GB"/>
        </w:rPr>
      </w:pPr>
      <w:r w:rsidRPr="0070536A">
        <w:rPr>
          <w:lang w:val="en-GB"/>
        </w:rPr>
        <w:t xml:space="preserve">Key lessons and analysis of the assumptions underpinning the theory of change informed programme design and development challenges </w:t>
      </w:r>
      <w:r w:rsidR="009E0EBF" w:rsidRPr="0070536A">
        <w:rPr>
          <w:lang w:val="en-GB"/>
        </w:rPr>
        <w:t xml:space="preserve">by </w:t>
      </w:r>
      <w:r w:rsidRPr="0070536A">
        <w:rPr>
          <w:lang w:val="en-GB"/>
        </w:rPr>
        <w:t>prioriti</w:t>
      </w:r>
      <w:r w:rsidR="009E0EBF" w:rsidRPr="0070536A">
        <w:rPr>
          <w:lang w:val="en-GB"/>
        </w:rPr>
        <w:t>z</w:t>
      </w:r>
      <w:r w:rsidRPr="0070536A">
        <w:rPr>
          <w:lang w:val="en-GB"/>
        </w:rPr>
        <w:t xml:space="preserve">ing: </w:t>
      </w:r>
      <w:r w:rsidR="009E0EBF" w:rsidRPr="0070536A">
        <w:rPr>
          <w:lang w:val="en-GB"/>
        </w:rPr>
        <w:t>(</w:t>
      </w:r>
      <w:r w:rsidRPr="0070536A">
        <w:rPr>
          <w:lang w:val="en-GB"/>
        </w:rPr>
        <w:t xml:space="preserve">i) strengthening relationships with national counterparts at </w:t>
      </w:r>
      <w:r w:rsidR="009E0EBF" w:rsidRPr="0070536A">
        <w:rPr>
          <w:lang w:val="en-GB"/>
        </w:rPr>
        <w:t xml:space="preserve">a </w:t>
      </w:r>
      <w:r w:rsidRPr="0070536A">
        <w:rPr>
          <w:lang w:val="en-GB"/>
        </w:rPr>
        <w:t xml:space="preserve">technical level to secure political and financial commitments and scale-up initiatives; </w:t>
      </w:r>
      <w:r w:rsidR="009E0EBF" w:rsidRPr="0070536A">
        <w:rPr>
          <w:lang w:val="en-GB"/>
        </w:rPr>
        <w:t>(</w:t>
      </w:r>
      <w:r w:rsidRPr="0070536A">
        <w:rPr>
          <w:lang w:val="en-GB"/>
        </w:rPr>
        <w:t xml:space="preserve">ii) focusing on structural transformation, building resilience, and leaving no one behind </w:t>
      </w:r>
      <w:r w:rsidR="009E0EBF" w:rsidRPr="0070536A">
        <w:rPr>
          <w:lang w:val="en-GB"/>
        </w:rPr>
        <w:t>in</w:t>
      </w:r>
      <w:r w:rsidRPr="0070536A">
        <w:rPr>
          <w:lang w:val="en-GB"/>
        </w:rPr>
        <w:t xml:space="preserve"> areas where UNDP has comparative advantages</w:t>
      </w:r>
      <w:r w:rsidR="009E0EBF" w:rsidRPr="0070536A">
        <w:rPr>
          <w:lang w:val="en-GB"/>
        </w:rPr>
        <w:t>;</w:t>
      </w:r>
      <w:r w:rsidRPr="0070536A">
        <w:rPr>
          <w:lang w:val="en-GB"/>
        </w:rPr>
        <w:t xml:space="preserve"> </w:t>
      </w:r>
      <w:r w:rsidR="009E0EBF" w:rsidRPr="0070536A">
        <w:rPr>
          <w:lang w:val="en-GB"/>
        </w:rPr>
        <w:t>(</w:t>
      </w:r>
      <w:r w:rsidRPr="0070536A">
        <w:rPr>
          <w:lang w:val="en-GB"/>
        </w:rPr>
        <w:t>iii) proactively supporting resource mobili</w:t>
      </w:r>
      <w:r w:rsidR="009E0EBF" w:rsidRPr="0070536A">
        <w:rPr>
          <w:lang w:val="en-GB"/>
        </w:rPr>
        <w:t>z</w:t>
      </w:r>
      <w:r w:rsidRPr="0070536A">
        <w:rPr>
          <w:lang w:val="en-GB"/>
        </w:rPr>
        <w:t>ation and promot</w:t>
      </w:r>
      <w:r w:rsidR="009E0EBF" w:rsidRPr="0070536A">
        <w:rPr>
          <w:lang w:val="en-GB"/>
        </w:rPr>
        <w:t>ion of</w:t>
      </w:r>
      <w:r w:rsidRPr="0070536A">
        <w:rPr>
          <w:lang w:val="en-GB"/>
        </w:rPr>
        <w:t xml:space="preserve"> joint initiatives for environmental protection and sustainable energy; </w:t>
      </w:r>
      <w:r w:rsidR="009E0EBF" w:rsidRPr="0070536A">
        <w:rPr>
          <w:lang w:val="en-GB"/>
        </w:rPr>
        <w:t>(</w:t>
      </w:r>
      <w:r w:rsidRPr="0070536A">
        <w:rPr>
          <w:lang w:val="en-GB"/>
        </w:rPr>
        <w:t>iv) improving data systems for inclusive and sustainable development</w:t>
      </w:r>
      <w:r w:rsidR="009E0EBF" w:rsidRPr="0070536A">
        <w:rPr>
          <w:lang w:val="en-GB"/>
        </w:rPr>
        <w:t>,</w:t>
      </w:r>
      <w:r w:rsidRPr="0070536A">
        <w:rPr>
          <w:lang w:val="en-GB"/>
        </w:rPr>
        <w:t xml:space="preserve"> and </w:t>
      </w:r>
      <w:r w:rsidR="009E0EBF" w:rsidRPr="0070536A">
        <w:rPr>
          <w:lang w:val="en-GB"/>
        </w:rPr>
        <w:t>(</w:t>
      </w:r>
      <w:r w:rsidRPr="0070536A">
        <w:rPr>
          <w:lang w:val="en-GB"/>
        </w:rPr>
        <w:t xml:space="preserve">v) increasing joint work </w:t>
      </w:r>
      <w:r w:rsidR="009E0EBF" w:rsidRPr="0070536A">
        <w:rPr>
          <w:lang w:val="en-GB"/>
        </w:rPr>
        <w:t xml:space="preserve">through the </w:t>
      </w:r>
      <w:r w:rsidR="006A286C" w:rsidRPr="0070536A">
        <w:rPr>
          <w:shd w:val="clear" w:color="auto" w:fill="FFFFFF"/>
          <w:lang w:val="en-GB"/>
        </w:rPr>
        <w:t>United Nations country team</w:t>
      </w:r>
      <w:r w:rsidR="009E0EBF" w:rsidRPr="0070536A">
        <w:rPr>
          <w:lang w:val="en-GB"/>
        </w:rPr>
        <w:t xml:space="preserve"> </w:t>
      </w:r>
      <w:r w:rsidRPr="0070536A">
        <w:rPr>
          <w:lang w:val="en-GB"/>
        </w:rPr>
        <w:t xml:space="preserve">and </w:t>
      </w:r>
      <w:r w:rsidR="009E0EBF" w:rsidRPr="0070536A">
        <w:rPr>
          <w:lang w:val="en-GB"/>
        </w:rPr>
        <w:t>S</w:t>
      </w:r>
      <w:r w:rsidRPr="0070536A">
        <w:rPr>
          <w:lang w:val="en-GB"/>
        </w:rPr>
        <w:t>outh-</w:t>
      </w:r>
      <w:r w:rsidR="009E0EBF" w:rsidRPr="0070536A">
        <w:rPr>
          <w:lang w:val="en-GB"/>
        </w:rPr>
        <w:t>S</w:t>
      </w:r>
      <w:r w:rsidRPr="0070536A">
        <w:rPr>
          <w:lang w:val="en-GB"/>
        </w:rPr>
        <w:t>outh and triangular cooperation.</w:t>
      </w:r>
    </w:p>
    <w:p w14:paraId="6451A5FE" w14:textId="77777777" w:rsidR="00091D10" w:rsidRPr="0070536A" w:rsidRDefault="00091D10" w:rsidP="00091D10">
      <w:pPr>
        <w:pStyle w:val="ListParagraph"/>
        <w:tabs>
          <w:tab w:val="left" w:pos="1276"/>
        </w:tabs>
        <w:ind w:left="851" w:right="713"/>
        <w:jc w:val="both"/>
        <w:rPr>
          <w:lang w:val="en-GB"/>
        </w:rPr>
      </w:pPr>
    </w:p>
    <w:p w14:paraId="2B59E468" w14:textId="1F6565F7" w:rsidR="00091D10" w:rsidRPr="0070536A" w:rsidRDefault="00091D10" w:rsidP="00091D10">
      <w:pPr>
        <w:pStyle w:val="ListParagraph"/>
        <w:numPr>
          <w:ilvl w:val="0"/>
          <w:numId w:val="55"/>
        </w:numPr>
        <w:tabs>
          <w:tab w:val="left" w:pos="1276"/>
        </w:tabs>
        <w:spacing w:after="120"/>
        <w:ind w:left="851" w:right="713" w:hanging="567"/>
        <w:jc w:val="both"/>
        <w:rPr>
          <w:b/>
          <w:bCs/>
          <w:sz w:val="28"/>
          <w:szCs w:val="28"/>
          <w:lang w:val="en-GB"/>
        </w:rPr>
      </w:pPr>
      <w:bookmarkStart w:id="8" w:name="_Hlk66784748"/>
      <w:r w:rsidRPr="0070536A">
        <w:rPr>
          <w:b/>
          <w:bCs/>
          <w:sz w:val="28"/>
          <w:szCs w:val="28"/>
          <w:lang w:val="en-GB"/>
        </w:rPr>
        <w:t xml:space="preserve">Programme </w:t>
      </w:r>
      <w:r w:rsidR="009E0EBF" w:rsidRPr="0070536A">
        <w:rPr>
          <w:b/>
          <w:bCs/>
          <w:sz w:val="28"/>
          <w:szCs w:val="28"/>
          <w:lang w:val="en-GB"/>
        </w:rPr>
        <w:t>p</w:t>
      </w:r>
      <w:r w:rsidRPr="0070536A">
        <w:rPr>
          <w:b/>
          <w:bCs/>
          <w:sz w:val="28"/>
          <w:szCs w:val="28"/>
          <w:lang w:val="en-GB"/>
        </w:rPr>
        <w:t xml:space="preserve">riorities and </w:t>
      </w:r>
      <w:r w:rsidR="009E0EBF" w:rsidRPr="0070536A">
        <w:rPr>
          <w:b/>
          <w:bCs/>
          <w:sz w:val="28"/>
          <w:szCs w:val="28"/>
          <w:lang w:val="en-GB"/>
        </w:rPr>
        <w:t>p</w:t>
      </w:r>
      <w:r w:rsidRPr="0070536A">
        <w:rPr>
          <w:b/>
          <w:bCs/>
          <w:sz w:val="28"/>
          <w:szCs w:val="28"/>
          <w:lang w:val="en-GB"/>
        </w:rPr>
        <w:t xml:space="preserve">artnerships </w:t>
      </w:r>
    </w:p>
    <w:p w14:paraId="329C292C" w14:textId="6F4B6AF6" w:rsidR="00091D10" w:rsidRPr="0070536A" w:rsidRDefault="009E0EBF" w:rsidP="00091D10">
      <w:pPr>
        <w:pStyle w:val="ListParagraph"/>
        <w:numPr>
          <w:ilvl w:val="0"/>
          <w:numId w:val="60"/>
        </w:numPr>
        <w:tabs>
          <w:tab w:val="left" w:pos="1276"/>
        </w:tabs>
        <w:spacing w:after="120"/>
        <w:ind w:left="851" w:right="713" w:firstLine="0"/>
        <w:jc w:val="both"/>
        <w:rPr>
          <w:lang w:val="en-GB"/>
        </w:rPr>
      </w:pPr>
      <w:r w:rsidRPr="0070536A">
        <w:rPr>
          <w:lang w:val="en-GB"/>
        </w:rPr>
        <w:t>Programme design</w:t>
      </w:r>
      <w:r w:rsidR="00091D10" w:rsidRPr="0070536A">
        <w:rPr>
          <w:lang w:val="en-GB"/>
        </w:rPr>
        <w:t xml:space="preserve"> foresees the people of Equatorial Guinea, especially those at risk of being left behind, living in a just and inclusive society with a vibrant blue and green economy that creates decent jobs</w:t>
      </w:r>
      <w:r w:rsidRPr="0070536A">
        <w:rPr>
          <w:lang w:val="en-GB"/>
        </w:rPr>
        <w:t xml:space="preserve"> and offers a </w:t>
      </w:r>
      <w:r w:rsidR="00091D10" w:rsidRPr="0070536A">
        <w:rPr>
          <w:lang w:val="en-GB"/>
        </w:rPr>
        <w:t xml:space="preserve">greater degree of protection and access to quality services. Guided by </w:t>
      </w:r>
      <w:r w:rsidRPr="0070536A">
        <w:rPr>
          <w:lang w:val="en-GB"/>
        </w:rPr>
        <w:t xml:space="preserve">the </w:t>
      </w:r>
      <w:r w:rsidR="00091D10" w:rsidRPr="0070536A">
        <w:rPr>
          <w:lang w:val="en-GB"/>
        </w:rPr>
        <w:t xml:space="preserve">UNDP Strategic Plan, the hypothesis underpinning the theory of change aligns with the </w:t>
      </w:r>
      <w:r w:rsidRPr="0070536A">
        <w:rPr>
          <w:lang w:val="en-GB"/>
        </w:rPr>
        <w:t>g</w:t>
      </w:r>
      <w:r w:rsidR="00091D10" w:rsidRPr="0070536A">
        <w:rPr>
          <w:lang w:val="en-GB"/>
        </w:rPr>
        <w:t xml:space="preserve">overnment priority of accelerating sustainable and transformative change </w:t>
      </w:r>
      <w:r w:rsidRPr="0070536A">
        <w:rPr>
          <w:lang w:val="en-GB"/>
        </w:rPr>
        <w:t>to provide</w:t>
      </w:r>
      <w:r w:rsidR="00091D10" w:rsidRPr="0070536A">
        <w:rPr>
          <w:lang w:val="en-GB"/>
        </w:rPr>
        <w:t xml:space="preserve"> a clear and plausible pathway in which </w:t>
      </w:r>
      <w:r w:rsidRPr="0070536A">
        <w:rPr>
          <w:lang w:val="en-GB"/>
        </w:rPr>
        <w:t xml:space="preserve">the </w:t>
      </w:r>
      <w:r w:rsidR="00091D10" w:rsidRPr="0070536A">
        <w:rPr>
          <w:lang w:val="en-GB"/>
        </w:rPr>
        <w:t xml:space="preserve">UNDP comparative advantage and </w:t>
      </w:r>
      <w:r w:rsidRPr="0070536A">
        <w:rPr>
          <w:lang w:val="en-GB"/>
        </w:rPr>
        <w:t>localized</w:t>
      </w:r>
      <w:r w:rsidR="00091D10" w:rsidRPr="0070536A">
        <w:rPr>
          <w:lang w:val="en-GB"/>
        </w:rPr>
        <w:t xml:space="preserve"> experience contribute to </w:t>
      </w:r>
      <w:r w:rsidRPr="0070536A">
        <w:rPr>
          <w:lang w:val="en-GB"/>
        </w:rPr>
        <w:t>transformation</w:t>
      </w:r>
      <w:r w:rsidR="00091D10" w:rsidRPr="0070536A">
        <w:rPr>
          <w:lang w:val="en-GB"/>
        </w:rPr>
        <w:t xml:space="preserve"> and accelerate SDG achievement by focusing on three strategic priorities: </w:t>
      </w:r>
      <w:r w:rsidRPr="0070536A">
        <w:rPr>
          <w:lang w:val="en-GB"/>
        </w:rPr>
        <w:t>(</w:t>
      </w:r>
      <w:r w:rsidR="00091D10" w:rsidRPr="0070536A">
        <w:rPr>
          <w:lang w:val="en-GB"/>
        </w:rPr>
        <w:t>i)</w:t>
      </w:r>
      <w:r w:rsidR="006A286C" w:rsidRPr="0070536A">
        <w:rPr>
          <w:lang w:val="en-GB"/>
        </w:rPr>
        <w:t> </w:t>
      </w:r>
      <w:r w:rsidR="00091D10" w:rsidRPr="0070536A">
        <w:rPr>
          <w:lang w:val="en-GB"/>
        </w:rPr>
        <w:t xml:space="preserve">consolidating support for economic diversification and sustainable development finance with a focus on blue-green growth and energy transition, </w:t>
      </w:r>
      <w:r w:rsidRPr="0070536A">
        <w:rPr>
          <w:lang w:val="en-GB"/>
        </w:rPr>
        <w:t>(</w:t>
      </w:r>
      <w:r w:rsidR="00091D10" w:rsidRPr="0070536A">
        <w:rPr>
          <w:lang w:val="en-GB"/>
        </w:rPr>
        <w:t xml:space="preserve">ii) building capacity to sustainably manage natural resources and reduce vulnerability to climate change and shocks, </w:t>
      </w:r>
      <w:r w:rsidRPr="0070536A">
        <w:rPr>
          <w:lang w:val="en-GB"/>
        </w:rPr>
        <w:t>and (</w:t>
      </w:r>
      <w:r w:rsidR="00091D10" w:rsidRPr="0070536A">
        <w:rPr>
          <w:lang w:val="en-GB"/>
        </w:rPr>
        <w:t xml:space="preserve">iii) improving government data systems as a strong advocacy tool for evidence-based policy making and SDG monitoring, </w:t>
      </w:r>
      <w:r w:rsidRPr="0070536A">
        <w:rPr>
          <w:lang w:val="en-GB"/>
        </w:rPr>
        <w:t xml:space="preserve">as well as </w:t>
      </w:r>
      <w:r w:rsidR="00091D10" w:rsidRPr="0070536A">
        <w:rPr>
          <w:lang w:val="en-GB"/>
        </w:rPr>
        <w:t>leveraging support to e-governance to improve institutional efficiency, transparency, inclusive governance and enhance equitable access to quality services and rights</w:t>
      </w:r>
      <w:r w:rsidRPr="0070536A">
        <w:rPr>
          <w:lang w:val="en-GB"/>
        </w:rPr>
        <w:t xml:space="preserve"> mechanisms</w:t>
      </w:r>
      <w:r w:rsidR="00091D10" w:rsidRPr="0070536A">
        <w:rPr>
          <w:lang w:val="en-GB"/>
        </w:rPr>
        <w:t xml:space="preserve">. </w:t>
      </w:r>
    </w:p>
    <w:p w14:paraId="79C1F119" w14:textId="29954F82" w:rsidR="00091D10" w:rsidRPr="0070536A" w:rsidRDefault="00091D10" w:rsidP="00707102">
      <w:pPr>
        <w:pStyle w:val="ListParagraph"/>
        <w:numPr>
          <w:ilvl w:val="0"/>
          <w:numId w:val="60"/>
        </w:numPr>
        <w:tabs>
          <w:tab w:val="left" w:pos="1276"/>
        </w:tabs>
        <w:spacing w:after="120"/>
        <w:ind w:left="851" w:right="713" w:firstLine="0"/>
        <w:jc w:val="both"/>
        <w:rPr>
          <w:lang w:val="en-GB"/>
        </w:rPr>
      </w:pPr>
      <w:r w:rsidRPr="0070536A">
        <w:rPr>
          <w:lang w:val="en-GB"/>
        </w:rPr>
        <w:t xml:space="preserve">UNDP interventions and outputs in these priority areas contribute to all </w:t>
      </w:r>
      <w:r w:rsidR="009E0EBF" w:rsidRPr="0070536A">
        <w:rPr>
          <w:lang w:val="en-GB"/>
        </w:rPr>
        <w:t>four</w:t>
      </w:r>
      <w:r w:rsidRPr="0070536A">
        <w:rPr>
          <w:lang w:val="en-GB"/>
        </w:rPr>
        <w:t xml:space="preserve"> UN</w:t>
      </w:r>
      <w:r w:rsidR="00B76609" w:rsidRPr="0070536A">
        <w:rPr>
          <w:lang w:val="en-GB"/>
        </w:rPr>
        <w:t>SD</w:t>
      </w:r>
      <w:r w:rsidRPr="0070536A">
        <w:rPr>
          <w:lang w:val="en-GB"/>
        </w:rPr>
        <w:t>CF outcomes</w:t>
      </w:r>
      <w:r w:rsidR="009E0EBF" w:rsidRPr="0070536A">
        <w:rPr>
          <w:lang w:val="en-GB"/>
        </w:rPr>
        <w:t>,</w:t>
      </w:r>
      <w:r w:rsidRPr="0070536A">
        <w:rPr>
          <w:lang w:val="en-GB"/>
        </w:rPr>
        <w:t xml:space="preserve"> closely align with the 2030 Agenda for Sustainable Development and African Union Agenda 2063</w:t>
      </w:r>
      <w:r w:rsidR="009E0EBF" w:rsidRPr="0070536A">
        <w:rPr>
          <w:lang w:val="en-GB"/>
        </w:rPr>
        <w:t xml:space="preserve">, and </w:t>
      </w:r>
      <w:r w:rsidRPr="0070536A">
        <w:rPr>
          <w:lang w:val="en-GB"/>
        </w:rPr>
        <w:t>reflect</w:t>
      </w:r>
      <w:r w:rsidR="009E0EBF" w:rsidRPr="0070536A">
        <w:rPr>
          <w:lang w:val="en-GB"/>
        </w:rPr>
        <w:t xml:space="preserve"> the</w:t>
      </w:r>
      <w:r w:rsidRPr="0070536A">
        <w:rPr>
          <w:lang w:val="en-GB"/>
        </w:rPr>
        <w:t xml:space="preserve"> </w:t>
      </w:r>
      <w:r w:rsidR="009E0EBF" w:rsidRPr="0070536A">
        <w:rPr>
          <w:lang w:val="en-GB"/>
        </w:rPr>
        <w:t>national</w:t>
      </w:r>
      <w:r w:rsidRPr="0070536A">
        <w:rPr>
          <w:lang w:val="en-GB"/>
        </w:rPr>
        <w:t xml:space="preserve"> strategic objectives</w:t>
      </w:r>
      <w:r w:rsidR="009E0EBF" w:rsidRPr="0070536A">
        <w:rPr>
          <w:lang w:val="en-GB"/>
        </w:rPr>
        <w:t xml:space="preserve"> of</w:t>
      </w:r>
      <w:r w:rsidRPr="0070536A">
        <w:rPr>
          <w:lang w:val="en-GB"/>
        </w:rPr>
        <w:t>:</w:t>
      </w:r>
      <w:r w:rsidR="00F265D3" w:rsidRPr="0070536A">
        <w:rPr>
          <w:lang w:val="en-GB"/>
        </w:rPr>
        <w:t xml:space="preserve"> (i) a</w:t>
      </w:r>
      <w:r w:rsidRPr="0070536A">
        <w:rPr>
          <w:lang w:val="en-GB"/>
        </w:rPr>
        <w:t>ccelerated economic development, structural diversification and regional integration</w:t>
      </w:r>
      <w:r w:rsidR="00F265D3" w:rsidRPr="0070536A">
        <w:rPr>
          <w:lang w:val="en-GB"/>
        </w:rPr>
        <w:t>, (ii) s</w:t>
      </w:r>
      <w:r w:rsidRPr="0070536A">
        <w:rPr>
          <w:lang w:val="en-GB"/>
        </w:rPr>
        <w:t>ustainable development and the efficient use of natural resources</w:t>
      </w:r>
      <w:r w:rsidR="00F265D3" w:rsidRPr="0070536A">
        <w:rPr>
          <w:lang w:val="en-GB"/>
        </w:rPr>
        <w:t>, (iii) e</w:t>
      </w:r>
      <w:r w:rsidRPr="0070536A">
        <w:rPr>
          <w:lang w:val="en-GB"/>
        </w:rPr>
        <w:t xml:space="preserve">quitable human development and the eradication of </w:t>
      </w:r>
      <w:r w:rsidRPr="0070536A">
        <w:rPr>
          <w:lang w:val="en-GB"/>
        </w:rPr>
        <w:lastRenderedPageBreak/>
        <w:t>hunger and poverty</w:t>
      </w:r>
      <w:r w:rsidR="00F265D3" w:rsidRPr="0070536A">
        <w:rPr>
          <w:lang w:val="en-GB"/>
        </w:rPr>
        <w:t>, and (iv)</w:t>
      </w:r>
      <w:r w:rsidRPr="0070536A">
        <w:rPr>
          <w:lang w:val="en-GB"/>
        </w:rPr>
        <w:t xml:space="preserve"> </w:t>
      </w:r>
      <w:r w:rsidR="00F265D3" w:rsidRPr="0070536A">
        <w:rPr>
          <w:lang w:val="en-GB"/>
        </w:rPr>
        <w:t xml:space="preserve">a </w:t>
      </w:r>
      <w:r w:rsidRPr="0070536A">
        <w:rPr>
          <w:lang w:val="en-GB"/>
        </w:rPr>
        <w:t>democratic, inclusive and participatory society that guarantees fundamental freedoms and rights.</w:t>
      </w:r>
    </w:p>
    <w:p w14:paraId="204B4624" w14:textId="1795E332" w:rsidR="00091D10" w:rsidRPr="0070536A" w:rsidRDefault="009114C2" w:rsidP="00091D10">
      <w:pPr>
        <w:pStyle w:val="ListParagraph"/>
        <w:numPr>
          <w:ilvl w:val="0"/>
          <w:numId w:val="62"/>
        </w:numPr>
        <w:tabs>
          <w:tab w:val="left" w:pos="1276"/>
        </w:tabs>
        <w:spacing w:after="120"/>
        <w:ind w:left="851" w:right="713" w:firstLine="0"/>
        <w:jc w:val="both"/>
        <w:rPr>
          <w:lang w:val="en-GB"/>
        </w:rPr>
      </w:pPr>
      <w:r w:rsidRPr="0070536A">
        <w:rPr>
          <w:lang w:val="en-GB"/>
        </w:rPr>
        <w:t xml:space="preserve">The </w:t>
      </w:r>
      <w:r w:rsidR="00091D10" w:rsidRPr="0070536A">
        <w:rPr>
          <w:lang w:val="en-GB"/>
        </w:rPr>
        <w:t xml:space="preserve">strong </w:t>
      </w:r>
      <w:r w:rsidRPr="0070536A">
        <w:rPr>
          <w:lang w:val="en-GB"/>
        </w:rPr>
        <w:t>UNDP-</w:t>
      </w:r>
      <w:r w:rsidR="001A60A7" w:rsidRPr="0070536A">
        <w:rPr>
          <w:lang w:val="en-GB"/>
        </w:rPr>
        <w:t>G</w:t>
      </w:r>
      <w:r w:rsidRPr="0070536A">
        <w:rPr>
          <w:lang w:val="en-GB"/>
        </w:rPr>
        <w:t xml:space="preserve">overnment </w:t>
      </w:r>
      <w:r w:rsidR="00091D10" w:rsidRPr="0070536A">
        <w:rPr>
          <w:lang w:val="en-GB"/>
        </w:rPr>
        <w:t>partnership will provide over 85 per</w:t>
      </w:r>
      <w:r w:rsidRPr="0070536A">
        <w:rPr>
          <w:lang w:val="en-GB"/>
        </w:rPr>
        <w:t xml:space="preserve"> </w:t>
      </w:r>
      <w:r w:rsidR="00091D10" w:rsidRPr="0070536A">
        <w:rPr>
          <w:lang w:val="en-GB"/>
        </w:rPr>
        <w:t xml:space="preserve">cent of non-core funds required to achieve programme results. UNDP complements this with high quality policy advice, technical assistance, and digital solutions </w:t>
      </w:r>
      <w:r w:rsidRPr="0070536A">
        <w:rPr>
          <w:lang w:val="en-GB"/>
        </w:rPr>
        <w:t>to</w:t>
      </w:r>
      <w:r w:rsidR="00091D10" w:rsidRPr="0070536A">
        <w:rPr>
          <w:lang w:val="en-GB"/>
        </w:rPr>
        <w:t xml:space="preserve"> sustain impact and facilitate the sociali</w:t>
      </w:r>
      <w:r w:rsidRPr="0070536A">
        <w:rPr>
          <w:lang w:val="en-GB"/>
        </w:rPr>
        <w:t>z</w:t>
      </w:r>
      <w:r w:rsidR="00091D10" w:rsidRPr="0070536A">
        <w:rPr>
          <w:lang w:val="en-GB"/>
        </w:rPr>
        <w:t xml:space="preserve">ation of the SDGs. </w:t>
      </w:r>
      <w:r w:rsidRPr="0070536A">
        <w:rPr>
          <w:lang w:val="en-GB"/>
        </w:rPr>
        <w:t>E</w:t>
      </w:r>
      <w:r w:rsidR="00091D10" w:rsidRPr="0070536A">
        <w:rPr>
          <w:lang w:val="en-GB"/>
        </w:rPr>
        <w:t xml:space="preserve">nhancing government capacity across all programmatic areas will be achieved </w:t>
      </w:r>
      <w:r w:rsidRPr="0070536A">
        <w:rPr>
          <w:lang w:val="en-GB"/>
        </w:rPr>
        <w:t>by</w:t>
      </w:r>
      <w:r w:rsidR="00091D10" w:rsidRPr="0070536A">
        <w:rPr>
          <w:lang w:val="en-GB"/>
        </w:rPr>
        <w:t xml:space="preserve"> develop</w:t>
      </w:r>
      <w:r w:rsidRPr="0070536A">
        <w:rPr>
          <w:lang w:val="en-GB"/>
        </w:rPr>
        <w:t xml:space="preserve">ing </w:t>
      </w:r>
      <w:r w:rsidR="00091D10" w:rsidRPr="0070536A">
        <w:rPr>
          <w:lang w:val="en-GB"/>
        </w:rPr>
        <w:t xml:space="preserve">a capacity development strategy and action plan. </w:t>
      </w:r>
    </w:p>
    <w:p w14:paraId="02CEA8E0" w14:textId="479950A6" w:rsidR="00091D10" w:rsidRPr="0070536A" w:rsidRDefault="00091D10" w:rsidP="00091D10">
      <w:pPr>
        <w:pStyle w:val="ListParagraph"/>
        <w:numPr>
          <w:ilvl w:val="0"/>
          <w:numId w:val="62"/>
        </w:numPr>
        <w:tabs>
          <w:tab w:val="left" w:pos="1276"/>
        </w:tabs>
        <w:spacing w:after="120"/>
        <w:ind w:left="851" w:right="713" w:firstLine="0"/>
        <w:jc w:val="both"/>
        <w:rPr>
          <w:lang w:val="en-GB"/>
        </w:rPr>
      </w:pPr>
      <w:r w:rsidRPr="0070536A">
        <w:rPr>
          <w:lang w:val="en-GB"/>
        </w:rPr>
        <w:t xml:space="preserve"> Responding directly to ICPE</w:t>
      </w:r>
      <w:r w:rsidR="009114C2" w:rsidRPr="0070536A">
        <w:rPr>
          <w:lang w:val="en-GB"/>
        </w:rPr>
        <w:t xml:space="preserve"> recommendations</w:t>
      </w:r>
      <w:r w:rsidRPr="0070536A">
        <w:rPr>
          <w:lang w:val="en-GB"/>
        </w:rPr>
        <w:t xml:space="preserve">, programmatic coherence will be enhanced </w:t>
      </w:r>
      <w:r w:rsidR="009114C2" w:rsidRPr="0070536A">
        <w:rPr>
          <w:lang w:val="en-GB"/>
        </w:rPr>
        <w:t xml:space="preserve">through </w:t>
      </w:r>
      <w:r w:rsidRPr="0070536A">
        <w:rPr>
          <w:lang w:val="en-GB"/>
        </w:rPr>
        <w:t>align</w:t>
      </w:r>
      <w:r w:rsidR="009114C2" w:rsidRPr="0070536A">
        <w:rPr>
          <w:lang w:val="en-GB"/>
        </w:rPr>
        <w:t>ment</w:t>
      </w:r>
      <w:r w:rsidRPr="0070536A">
        <w:rPr>
          <w:lang w:val="en-GB"/>
        </w:rPr>
        <w:t xml:space="preserve"> with the </w:t>
      </w:r>
      <w:r w:rsidR="00F1157B" w:rsidRPr="0070536A">
        <w:rPr>
          <w:lang w:val="en-GB"/>
        </w:rPr>
        <w:t>Regional Bureau for Africa</w:t>
      </w:r>
      <w:r w:rsidR="00AC2F53" w:rsidRPr="0070536A">
        <w:rPr>
          <w:lang w:val="en-GB"/>
        </w:rPr>
        <w:t xml:space="preserve"> </w:t>
      </w:r>
      <w:r w:rsidRPr="0070536A">
        <w:rPr>
          <w:lang w:val="en-GB"/>
        </w:rPr>
        <w:t xml:space="preserve">Strategic Offer to Africa and </w:t>
      </w:r>
      <w:r w:rsidR="00FD15D6" w:rsidRPr="0070536A">
        <w:rPr>
          <w:lang w:val="en-GB"/>
        </w:rPr>
        <w:t xml:space="preserve">adoption of the </w:t>
      </w:r>
      <w:r w:rsidRPr="0070536A">
        <w:rPr>
          <w:lang w:val="en-GB"/>
        </w:rPr>
        <w:t xml:space="preserve">UNDP Strategic </w:t>
      </w:r>
      <w:r w:rsidR="007E79F1" w:rsidRPr="0070536A">
        <w:rPr>
          <w:lang w:val="en-GB"/>
        </w:rPr>
        <w:t>Plan</w:t>
      </w:r>
      <w:r w:rsidRPr="0070536A">
        <w:rPr>
          <w:lang w:val="en-GB"/>
        </w:rPr>
        <w:t xml:space="preserve"> six signature-solutions and </w:t>
      </w:r>
      <w:r w:rsidR="00FD15D6" w:rsidRPr="0070536A">
        <w:rPr>
          <w:lang w:val="en-GB"/>
        </w:rPr>
        <w:t xml:space="preserve">three </w:t>
      </w:r>
      <w:r w:rsidRPr="0070536A">
        <w:rPr>
          <w:lang w:val="en-GB"/>
        </w:rPr>
        <w:t xml:space="preserve">enablers to strengthen the </w:t>
      </w:r>
      <w:r w:rsidR="00FD15D6" w:rsidRPr="0070536A">
        <w:rPr>
          <w:lang w:val="en-GB"/>
        </w:rPr>
        <w:t>c</w:t>
      </w:r>
      <w:r w:rsidRPr="0070536A">
        <w:rPr>
          <w:lang w:val="en-GB"/>
        </w:rPr>
        <w:t xml:space="preserve">ountry </w:t>
      </w:r>
      <w:r w:rsidR="00FD15D6" w:rsidRPr="0070536A">
        <w:rPr>
          <w:lang w:val="en-GB"/>
        </w:rPr>
        <w:t>o</w:t>
      </w:r>
      <w:r w:rsidRPr="0070536A">
        <w:rPr>
          <w:lang w:val="en-GB"/>
        </w:rPr>
        <w:t>ffice response to countr</w:t>
      </w:r>
      <w:r w:rsidR="00FD15D6" w:rsidRPr="0070536A">
        <w:rPr>
          <w:lang w:val="en-GB"/>
        </w:rPr>
        <w:t>y</w:t>
      </w:r>
      <w:r w:rsidRPr="0070536A">
        <w:rPr>
          <w:lang w:val="en-GB"/>
        </w:rPr>
        <w:t xml:space="preserve"> needs. This will facilitate a</w:t>
      </w:r>
      <w:r w:rsidR="00FD15D6" w:rsidRPr="0070536A">
        <w:rPr>
          <w:lang w:val="en-GB"/>
        </w:rPr>
        <w:t>n</w:t>
      </w:r>
      <w:r w:rsidRPr="0070536A">
        <w:rPr>
          <w:lang w:val="en-GB"/>
        </w:rPr>
        <w:t xml:space="preserve"> integrated approach to reducing extreme poverty and vulnerability </w:t>
      </w:r>
      <w:r w:rsidR="00FD15D6" w:rsidRPr="0070536A">
        <w:rPr>
          <w:lang w:val="en-GB"/>
        </w:rPr>
        <w:t>by</w:t>
      </w:r>
      <w:r w:rsidR="00F01D2A" w:rsidRPr="0070536A">
        <w:rPr>
          <w:lang w:val="en-GB"/>
        </w:rPr>
        <w:t>: (</w:t>
      </w:r>
      <w:r w:rsidRPr="0070536A">
        <w:rPr>
          <w:lang w:val="en-GB"/>
        </w:rPr>
        <w:t xml:space="preserve">i) accelerating economic diversification, </w:t>
      </w:r>
      <w:r w:rsidR="00FD15D6" w:rsidRPr="0070536A">
        <w:rPr>
          <w:lang w:val="en-GB"/>
        </w:rPr>
        <w:t>(</w:t>
      </w:r>
      <w:r w:rsidRPr="0070536A">
        <w:rPr>
          <w:lang w:val="en-GB"/>
        </w:rPr>
        <w:t>ii) building resilience to shocks and crises</w:t>
      </w:r>
      <w:r w:rsidR="00FD15D6" w:rsidRPr="0070536A">
        <w:rPr>
          <w:lang w:val="en-GB"/>
        </w:rPr>
        <w:t>,</w:t>
      </w:r>
      <w:r w:rsidRPr="0070536A">
        <w:rPr>
          <w:lang w:val="en-GB"/>
        </w:rPr>
        <w:t xml:space="preserve"> and </w:t>
      </w:r>
      <w:r w:rsidR="00FD15D6" w:rsidRPr="0070536A">
        <w:rPr>
          <w:lang w:val="en-GB"/>
        </w:rPr>
        <w:t>(</w:t>
      </w:r>
      <w:r w:rsidRPr="0070536A">
        <w:rPr>
          <w:lang w:val="en-GB"/>
        </w:rPr>
        <w:t>iii) increasing the efficiency of, and equitable access to, key services. The adoption of a portfolio approach will further enhance coherence and complementarity by aligning multiple interventions that leverage UNDP comparative advantages and proven track record to maximi</w:t>
      </w:r>
      <w:r w:rsidR="00FD15D6" w:rsidRPr="0070536A">
        <w:rPr>
          <w:lang w:val="en-GB"/>
        </w:rPr>
        <w:t>z</w:t>
      </w:r>
      <w:r w:rsidRPr="0070536A">
        <w:rPr>
          <w:lang w:val="en-GB"/>
        </w:rPr>
        <w:t xml:space="preserve">e impact on national priorities. </w:t>
      </w:r>
    </w:p>
    <w:p w14:paraId="4D314C07" w14:textId="73016C68" w:rsidR="00091D10" w:rsidRPr="0070536A" w:rsidRDefault="00091D10" w:rsidP="00091D10">
      <w:pPr>
        <w:pStyle w:val="ListParagraph"/>
        <w:numPr>
          <w:ilvl w:val="0"/>
          <w:numId w:val="62"/>
        </w:numPr>
        <w:tabs>
          <w:tab w:val="left" w:pos="1276"/>
        </w:tabs>
        <w:spacing w:after="120"/>
        <w:ind w:left="851" w:right="713" w:firstLine="0"/>
        <w:jc w:val="both"/>
        <w:rPr>
          <w:lang w:val="en-GB"/>
        </w:rPr>
      </w:pPr>
      <w:r w:rsidRPr="0070536A">
        <w:rPr>
          <w:lang w:val="en-GB"/>
        </w:rPr>
        <w:t>Joint programming with other U</w:t>
      </w:r>
      <w:r w:rsidR="001A60A7" w:rsidRPr="0070536A">
        <w:rPr>
          <w:lang w:val="en-GB"/>
        </w:rPr>
        <w:t xml:space="preserve">nited </w:t>
      </w:r>
      <w:r w:rsidRPr="0070536A">
        <w:rPr>
          <w:lang w:val="en-GB"/>
        </w:rPr>
        <w:t>N</w:t>
      </w:r>
      <w:r w:rsidR="001A60A7" w:rsidRPr="0070536A">
        <w:rPr>
          <w:lang w:val="en-GB"/>
        </w:rPr>
        <w:t>ations</w:t>
      </w:r>
      <w:r w:rsidRPr="0070536A">
        <w:rPr>
          <w:lang w:val="en-GB"/>
        </w:rPr>
        <w:t xml:space="preserve"> </w:t>
      </w:r>
      <w:r w:rsidR="00FD15D6" w:rsidRPr="0070536A">
        <w:rPr>
          <w:lang w:val="en-GB"/>
        </w:rPr>
        <w:t xml:space="preserve">organizations </w:t>
      </w:r>
      <w:r w:rsidR="00987864" w:rsidRPr="0070536A">
        <w:rPr>
          <w:lang w:val="en-GB"/>
        </w:rPr>
        <w:t>takes</w:t>
      </w:r>
      <w:r w:rsidR="00FD15D6" w:rsidRPr="0070536A">
        <w:rPr>
          <w:lang w:val="en-GB"/>
        </w:rPr>
        <w:t xml:space="preserve"> advantage of</w:t>
      </w:r>
      <w:r w:rsidRPr="0070536A">
        <w:rPr>
          <w:lang w:val="en-GB"/>
        </w:rPr>
        <w:t xml:space="preserve"> opportunities </w:t>
      </w:r>
      <w:r w:rsidR="00FD15D6" w:rsidRPr="0070536A">
        <w:rPr>
          <w:lang w:val="en-GB"/>
        </w:rPr>
        <w:t>and</w:t>
      </w:r>
      <w:r w:rsidRPr="0070536A">
        <w:rPr>
          <w:lang w:val="en-GB"/>
        </w:rPr>
        <w:t xml:space="preserve"> synergies </w:t>
      </w:r>
      <w:r w:rsidR="00FD15D6" w:rsidRPr="0070536A">
        <w:rPr>
          <w:lang w:val="en-GB"/>
        </w:rPr>
        <w:t xml:space="preserve">that </w:t>
      </w:r>
      <w:r w:rsidRPr="0070536A">
        <w:rPr>
          <w:lang w:val="en-GB"/>
        </w:rPr>
        <w:t>emphasi</w:t>
      </w:r>
      <w:r w:rsidR="00FD15D6" w:rsidRPr="0070536A">
        <w:rPr>
          <w:lang w:val="en-GB"/>
        </w:rPr>
        <w:t>z</w:t>
      </w:r>
      <w:r w:rsidRPr="0070536A">
        <w:rPr>
          <w:lang w:val="en-GB"/>
        </w:rPr>
        <w:t xml:space="preserve">e a human rights-based approach and principles of </w:t>
      </w:r>
      <w:r w:rsidR="00FD15D6" w:rsidRPr="0070536A">
        <w:rPr>
          <w:lang w:val="en-GB"/>
        </w:rPr>
        <w:t>l</w:t>
      </w:r>
      <w:r w:rsidRPr="0070536A">
        <w:rPr>
          <w:lang w:val="en-GB"/>
        </w:rPr>
        <w:t>eav</w:t>
      </w:r>
      <w:r w:rsidR="007C746F" w:rsidRPr="0070536A">
        <w:rPr>
          <w:lang w:val="en-GB"/>
        </w:rPr>
        <w:t>ing</w:t>
      </w:r>
      <w:r w:rsidRPr="0070536A">
        <w:rPr>
          <w:lang w:val="en-GB"/>
        </w:rPr>
        <w:t xml:space="preserve"> </w:t>
      </w:r>
      <w:r w:rsidR="00FD15D6" w:rsidRPr="0070536A">
        <w:rPr>
          <w:lang w:val="en-GB"/>
        </w:rPr>
        <w:t>n</w:t>
      </w:r>
      <w:r w:rsidRPr="0070536A">
        <w:rPr>
          <w:lang w:val="en-GB"/>
        </w:rPr>
        <w:t xml:space="preserve">o </w:t>
      </w:r>
      <w:r w:rsidR="00FD15D6" w:rsidRPr="0070536A">
        <w:rPr>
          <w:lang w:val="en-GB"/>
        </w:rPr>
        <w:t>o</w:t>
      </w:r>
      <w:r w:rsidRPr="0070536A">
        <w:rPr>
          <w:lang w:val="en-GB"/>
        </w:rPr>
        <w:t xml:space="preserve">ne </w:t>
      </w:r>
      <w:r w:rsidR="00FD15D6" w:rsidRPr="0070536A">
        <w:rPr>
          <w:lang w:val="en-GB"/>
        </w:rPr>
        <w:t>b</w:t>
      </w:r>
      <w:r w:rsidRPr="0070536A">
        <w:rPr>
          <w:lang w:val="en-GB"/>
        </w:rPr>
        <w:t>ehind</w:t>
      </w:r>
      <w:r w:rsidR="00E53A30" w:rsidRPr="0070536A">
        <w:rPr>
          <w:lang w:val="en-GB"/>
        </w:rPr>
        <w:t xml:space="preserve"> </w:t>
      </w:r>
      <w:r w:rsidRPr="0070536A">
        <w:rPr>
          <w:lang w:val="en-GB"/>
        </w:rPr>
        <w:t>to ensure development is inclusive. The programme specifically targets women, youth and people with disabilities across all outcomes, harnessing their transformative potential by empowering them to engage meaningfully in development process</w:t>
      </w:r>
      <w:r w:rsidR="00FD15D6" w:rsidRPr="0070536A">
        <w:rPr>
          <w:lang w:val="en-GB"/>
        </w:rPr>
        <w:t>es</w:t>
      </w:r>
      <w:r w:rsidRPr="0070536A">
        <w:rPr>
          <w:lang w:val="en-GB"/>
        </w:rPr>
        <w:t xml:space="preserve">. Potentially adverse impacts on human rights will be identified and addressed in projects. </w:t>
      </w:r>
      <w:r w:rsidR="005E4F4F" w:rsidRPr="0070536A">
        <w:rPr>
          <w:lang w:val="en-GB"/>
        </w:rPr>
        <w:t>Relying on the</w:t>
      </w:r>
      <w:r w:rsidRPr="0070536A">
        <w:rPr>
          <w:lang w:val="en-GB"/>
        </w:rPr>
        <w:t xml:space="preserve"> UNDP Gender Equality Strategy (2022-</w:t>
      </w:r>
      <w:r w:rsidR="001A60A7" w:rsidRPr="0070536A">
        <w:rPr>
          <w:lang w:val="en-GB"/>
        </w:rPr>
        <w:t>20</w:t>
      </w:r>
      <w:r w:rsidRPr="0070536A">
        <w:rPr>
          <w:lang w:val="en-GB"/>
        </w:rPr>
        <w:t>25), and in partnership with the National Institute for Gender Equality, the programme will ensure women are central to transformati</w:t>
      </w:r>
      <w:r w:rsidR="005E4F4F" w:rsidRPr="0070536A">
        <w:rPr>
          <w:lang w:val="en-GB"/>
        </w:rPr>
        <w:t>ve national</w:t>
      </w:r>
      <w:r w:rsidRPr="0070536A">
        <w:rPr>
          <w:lang w:val="en-GB"/>
        </w:rPr>
        <w:t xml:space="preserve"> process</w:t>
      </w:r>
      <w:r w:rsidR="005E4F4F" w:rsidRPr="0070536A">
        <w:rPr>
          <w:lang w:val="en-GB"/>
        </w:rPr>
        <w:t>es</w:t>
      </w:r>
      <w:r w:rsidRPr="0070536A">
        <w:rPr>
          <w:lang w:val="en-GB"/>
        </w:rPr>
        <w:t xml:space="preserve"> by proactively seeking entry points for scaling-up gender equality across all programm</w:t>
      </w:r>
      <w:r w:rsidR="005E4F4F" w:rsidRPr="0070536A">
        <w:rPr>
          <w:lang w:val="en-GB"/>
        </w:rPr>
        <w:t>e</w:t>
      </w:r>
      <w:r w:rsidRPr="0070536A">
        <w:rPr>
          <w:lang w:val="en-GB"/>
        </w:rPr>
        <w:t xml:space="preserve"> areas. Based on consultation exercise</w:t>
      </w:r>
      <w:r w:rsidR="005E4F4F" w:rsidRPr="0070536A">
        <w:rPr>
          <w:lang w:val="en-GB"/>
        </w:rPr>
        <w:t>s</w:t>
      </w:r>
      <w:r w:rsidRPr="0070536A">
        <w:rPr>
          <w:lang w:val="en-GB"/>
        </w:rPr>
        <w:t xml:space="preserve"> with young people</w:t>
      </w:r>
      <w:r w:rsidR="005E4F4F" w:rsidRPr="0070536A">
        <w:rPr>
          <w:lang w:val="en-GB"/>
        </w:rPr>
        <w:t>,</w:t>
      </w:r>
      <w:r w:rsidRPr="0070536A">
        <w:rPr>
          <w:lang w:val="en-GB"/>
        </w:rPr>
        <w:t xml:space="preserve"> and leveraging its partnership with the Ministry for Youth, the programme will develop a </w:t>
      </w:r>
      <w:r w:rsidR="005E4F4F" w:rsidRPr="0070536A">
        <w:rPr>
          <w:lang w:val="en-GB"/>
        </w:rPr>
        <w:t>y</w:t>
      </w:r>
      <w:r w:rsidRPr="0070536A">
        <w:rPr>
          <w:lang w:val="en-GB"/>
        </w:rPr>
        <w:t xml:space="preserve">outh </w:t>
      </w:r>
      <w:r w:rsidR="005E4F4F" w:rsidRPr="0070536A">
        <w:rPr>
          <w:lang w:val="en-GB"/>
        </w:rPr>
        <w:t>p</w:t>
      </w:r>
      <w:r w:rsidRPr="0070536A">
        <w:rPr>
          <w:lang w:val="en-GB"/>
        </w:rPr>
        <w:t xml:space="preserve">ortfolio to facilitate more comprehensive and integrated </w:t>
      </w:r>
      <w:r w:rsidR="005E4F4F" w:rsidRPr="0070536A">
        <w:rPr>
          <w:lang w:val="en-GB"/>
        </w:rPr>
        <w:t xml:space="preserve">methods of </w:t>
      </w:r>
      <w:r w:rsidRPr="0070536A">
        <w:rPr>
          <w:lang w:val="en-GB"/>
        </w:rPr>
        <w:t xml:space="preserve">opening space for </w:t>
      </w:r>
      <w:r w:rsidR="005E4F4F" w:rsidRPr="0070536A">
        <w:rPr>
          <w:lang w:val="en-GB"/>
        </w:rPr>
        <w:t>young people</w:t>
      </w:r>
      <w:r w:rsidRPr="0070536A">
        <w:rPr>
          <w:lang w:val="en-GB"/>
        </w:rPr>
        <w:t xml:space="preserve">, particularly young women, empowering them to </w:t>
      </w:r>
      <w:r w:rsidR="005E4F4F" w:rsidRPr="0070536A">
        <w:rPr>
          <w:lang w:val="en-GB"/>
        </w:rPr>
        <w:t xml:space="preserve">actively </w:t>
      </w:r>
      <w:r w:rsidRPr="0070536A">
        <w:rPr>
          <w:lang w:val="en-GB"/>
        </w:rPr>
        <w:t>engage as citizens, entrepreneurs, innovators, leaders and champions for sustainable development.</w:t>
      </w:r>
    </w:p>
    <w:p w14:paraId="773E7A4A" w14:textId="39F97308" w:rsidR="00091D10" w:rsidRPr="0070536A" w:rsidRDefault="00091D10" w:rsidP="00091D10">
      <w:pPr>
        <w:pStyle w:val="ListParagraph"/>
        <w:numPr>
          <w:ilvl w:val="0"/>
          <w:numId w:val="62"/>
        </w:numPr>
        <w:tabs>
          <w:tab w:val="left" w:pos="1276"/>
        </w:tabs>
        <w:spacing w:after="240"/>
        <w:ind w:left="851" w:right="713" w:firstLine="0"/>
        <w:jc w:val="both"/>
        <w:rPr>
          <w:lang w:val="en-GB"/>
        </w:rPr>
      </w:pPr>
      <w:r w:rsidRPr="0070536A">
        <w:rPr>
          <w:lang w:val="en-GB"/>
        </w:rPr>
        <w:t>Partnerships with academic and research organi</w:t>
      </w:r>
      <w:r w:rsidR="005E4F4F" w:rsidRPr="0070536A">
        <w:rPr>
          <w:lang w:val="en-GB"/>
        </w:rPr>
        <w:t>z</w:t>
      </w:r>
      <w:r w:rsidRPr="0070536A">
        <w:rPr>
          <w:lang w:val="en-GB"/>
        </w:rPr>
        <w:t>ation</w:t>
      </w:r>
      <w:r w:rsidR="005E4F4F" w:rsidRPr="0070536A">
        <w:rPr>
          <w:lang w:val="en-GB"/>
        </w:rPr>
        <w:t>s</w:t>
      </w:r>
      <w:r w:rsidRPr="0070536A">
        <w:rPr>
          <w:lang w:val="en-GB"/>
        </w:rPr>
        <w:t xml:space="preserve"> will facilitate in-depth data analysis and social monitoring, creating space for greater dialogue, including at </w:t>
      </w:r>
      <w:r w:rsidR="005E4F4F" w:rsidRPr="0070536A">
        <w:rPr>
          <w:lang w:val="en-GB"/>
        </w:rPr>
        <w:t xml:space="preserve">local </w:t>
      </w:r>
      <w:r w:rsidRPr="0070536A">
        <w:rPr>
          <w:lang w:val="en-GB"/>
        </w:rPr>
        <w:t>level</w:t>
      </w:r>
      <w:r w:rsidR="005E4F4F" w:rsidRPr="0070536A">
        <w:rPr>
          <w:lang w:val="en-GB"/>
        </w:rPr>
        <w:t>s</w:t>
      </w:r>
      <w:r w:rsidRPr="0070536A">
        <w:rPr>
          <w:lang w:val="en-GB"/>
        </w:rPr>
        <w:t xml:space="preserve">. </w:t>
      </w:r>
      <w:bookmarkStart w:id="9" w:name="_Hlk133496287"/>
      <w:r w:rsidRPr="0070536A">
        <w:rPr>
          <w:lang w:val="en-GB"/>
        </w:rPr>
        <w:t xml:space="preserve">High quality upstream technical advice and support to enhance data systems and digital solutions </w:t>
      </w:r>
      <w:r w:rsidR="005E4F4F" w:rsidRPr="0070536A">
        <w:rPr>
          <w:lang w:val="en-GB"/>
        </w:rPr>
        <w:t xml:space="preserve">are meant to </w:t>
      </w:r>
      <w:r w:rsidRPr="0070536A">
        <w:rPr>
          <w:lang w:val="en-GB"/>
        </w:rPr>
        <w:t xml:space="preserve">increase the efficiency of </w:t>
      </w:r>
      <w:r w:rsidR="0003326D" w:rsidRPr="0070536A">
        <w:rPr>
          <w:lang w:val="en-GB"/>
        </w:rPr>
        <w:t>services and</w:t>
      </w:r>
      <w:r w:rsidRPr="0070536A">
        <w:rPr>
          <w:lang w:val="en-GB"/>
        </w:rPr>
        <w:t xml:space="preserve"> improve transparency and accountability. Engaging </w:t>
      </w:r>
      <w:bookmarkEnd w:id="9"/>
      <w:r w:rsidRPr="0070536A">
        <w:rPr>
          <w:lang w:val="en-GB"/>
        </w:rPr>
        <w:t>private sector organi</w:t>
      </w:r>
      <w:r w:rsidR="005E4F4F" w:rsidRPr="0070536A">
        <w:rPr>
          <w:lang w:val="en-GB"/>
        </w:rPr>
        <w:t>z</w:t>
      </w:r>
      <w:r w:rsidRPr="0070536A">
        <w:rPr>
          <w:lang w:val="en-GB"/>
        </w:rPr>
        <w:t xml:space="preserve">ations and businesses will leverage </w:t>
      </w:r>
      <w:r w:rsidR="005E4F4F" w:rsidRPr="0070536A">
        <w:rPr>
          <w:lang w:val="en-GB"/>
        </w:rPr>
        <w:t xml:space="preserve">corporate </w:t>
      </w:r>
      <w:r w:rsidRPr="0070536A">
        <w:rPr>
          <w:lang w:val="en-GB"/>
        </w:rPr>
        <w:t>knowledge to enhance the development of business services and start-ups, with a focus on blue-green growth and energy transition</w:t>
      </w:r>
      <w:r w:rsidR="005E4F4F" w:rsidRPr="0070536A">
        <w:rPr>
          <w:lang w:val="en-GB"/>
        </w:rPr>
        <w:t>, while</w:t>
      </w:r>
      <w:r w:rsidRPr="0070536A">
        <w:rPr>
          <w:lang w:val="en-GB"/>
        </w:rPr>
        <w:t xml:space="preserve"> leveraging volunteerism will contribute to </w:t>
      </w:r>
      <w:r w:rsidR="005E4F4F" w:rsidRPr="0070536A">
        <w:rPr>
          <w:lang w:val="en-GB"/>
        </w:rPr>
        <w:t>achieving</w:t>
      </w:r>
      <w:r w:rsidRPr="0070536A">
        <w:rPr>
          <w:lang w:val="en-GB"/>
        </w:rPr>
        <w:t xml:space="preserve"> sustainable results. </w:t>
      </w:r>
    </w:p>
    <w:p w14:paraId="32E6603F" w14:textId="77777777" w:rsidR="00091D10" w:rsidRDefault="00091D10" w:rsidP="00091D10">
      <w:pPr>
        <w:tabs>
          <w:tab w:val="left" w:pos="1276"/>
        </w:tabs>
        <w:spacing w:after="40" w:line="259" w:lineRule="auto"/>
        <w:ind w:left="851" w:right="713"/>
        <w:jc w:val="both"/>
        <w:rPr>
          <w:b/>
          <w:bCs/>
          <w:lang w:val="en-GB"/>
        </w:rPr>
      </w:pPr>
      <w:r w:rsidRPr="0070536A">
        <w:rPr>
          <w:b/>
          <w:bCs/>
          <w:lang w:val="en-GB"/>
        </w:rPr>
        <w:t>Priority 1: Economic diversification and sustainable development finance (Outcome 3)</w:t>
      </w:r>
    </w:p>
    <w:p w14:paraId="29834837" w14:textId="77777777" w:rsidR="0070536A" w:rsidRPr="0070536A" w:rsidRDefault="0070536A" w:rsidP="00091D10">
      <w:pPr>
        <w:tabs>
          <w:tab w:val="left" w:pos="1276"/>
        </w:tabs>
        <w:spacing w:after="40" w:line="259" w:lineRule="auto"/>
        <w:ind w:left="851" w:right="713"/>
        <w:jc w:val="both"/>
        <w:rPr>
          <w:b/>
          <w:bCs/>
          <w:lang w:val="en-GB"/>
        </w:rPr>
      </w:pPr>
    </w:p>
    <w:p w14:paraId="4B071200" w14:textId="113499D1" w:rsidR="00091D10" w:rsidRPr="0070536A" w:rsidRDefault="005E4F4F" w:rsidP="00091D10">
      <w:pPr>
        <w:pStyle w:val="ListParagraph"/>
        <w:numPr>
          <w:ilvl w:val="0"/>
          <w:numId w:val="62"/>
        </w:numPr>
        <w:tabs>
          <w:tab w:val="left" w:pos="1276"/>
        </w:tabs>
        <w:spacing w:after="120"/>
        <w:ind w:left="851" w:right="713" w:firstLine="0"/>
        <w:jc w:val="both"/>
        <w:rPr>
          <w:lang w:val="en-GB"/>
        </w:rPr>
      </w:pPr>
      <w:r w:rsidRPr="0070536A">
        <w:rPr>
          <w:lang w:val="en-GB"/>
        </w:rPr>
        <w:t>UNDPS and the</w:t>
      </w:r>
      <w:r w:rsidR="00091D10" w:rsidRPr="0070536A">
        <w:rPr>
          <w:lang w:val="en-GB"/>
        </w:rPr>
        <w:t xml:space="preserve"> </w:t>
      </w:r>
      <w:bookmarkStart w:id="10" w:name="_Hlk129174002"/>
      <w:r w:rsidR="00091D10" w:rsidRPr="0070536A">
        <w:rPr>
          <w:lang w:val="en-GB"/>
        </w:rPr>
        <w:t xml:space="preserve">Ministry of Planning and Economic Diversification </w:t>
      </w:r>
      <w:bookmarkEnd w:id="10"/>
      <w:r w:rsidR="00091D10" w:rsidRPr="0070536A">
        <w:rPr>
          <w:lang w:val="en-GB"/>
        </w:rPr>
        <w:t>will</w:t>
      </w:r>
      <w:r w:rsidRPr="0070536A">
        <w:rPr>
          <w:lang w:val="en-GB"/>
        </w:rPr>
        <w:t xml:space="preserve"> work to</w:t>
      </w:r>
      <w:r w:rsidR="00091D10" w:rsidRPr="0070536A">
        <w:rPr>
          <w:lang w:val="en-GB"/>
        </w:rPr>
        <w:t xml:space="preserve"> strengthen institutional capacit</w:t>
      </w:r>
      <w:r w:rsidRPr="0070536A">
        <w:rPr>
          <w:lang w:val="en-GB"/>
        </w:rPr>
        <w:t>ies,</w:t>
      </w:r>
      <w:r w:rsidR="00091D10" w:rsidRPr="0070536A">
        <w:rPr>
          <w:lang w:val="en-GB"/>
        </w:rPr>
        <w:t xml:space="preserve"> and support policy development and reforms</w:t>
      </w:r>
      <w:r w:rsidRPr="0070536A">
        <w:rPr>
          <w:lang w:val="en-GB"/>
        </w:rPr>
        <w:t>,</w:t>
      </w:r>
      <w:r w:rsidR="00091D10" w:rsidRPr="0070536A">
        <w:rPr>
          <w:lang w:val="en-GB"/>
        </w:rPr>
        <w:t xml:space="preserve"> to create an enabling business and investment environment for economic diversification and inclusive and sustainable growth. Technical expertise in reducing hydrocarbon dependence and </w:t>
      </w:r>
      <w:r w:rsidRPr="0070536A">
        <w:rPr>
          <w:lang w:val="en-GB"/>
        </w:rPr>
        <w:t>reinforcing</w:t>
      </w:r>
      <w:r w:rsidR="00091D10" w:rsidRPr="0070536A">
        <w:rPr>
          <w:lang w:val="en-GB"/>
        </w:rPr>
        <w:t xml:space="preserve"> port competitiveness will </w:t>
      </w:r>
      <w:r w:rsidR="00A8363B" w:rsidRPr="0070536A">
        <w:rPr>
          <w:lang w:val="en-GB"/>
        </w:rPr>
        <w:t>create blue growth</w:t>
      </w:r>
      <w:r w:rsidR="00091D10" w:rsidRPr="0070536A">
        <w:rPr>
          <w:lang w:val="en-GB"/>
        </w:rPr>
        <w:t xml:space="preserve"> opportunities for oceanic resources and leveraging </w:t>
      </w:r>
      <w:r w:rsidR="00A8363B" w:rsidRPr="0070536A">
        <w:rPr>
          <w:lang w:val="en-GB"/>
        </w:rPr>
        <w:t>the relationship with</w:t>
      </w:r>
      <w:r w:rsidR="00091D10" w:rsidRPr="0070536A">
        <w:rPr>
          <w:lang w:val="en-GB"/>
        </w:rPr>
        <w:t xml:space="preserve"> the African Continental Free Trade Area (AfCFTA) to </w:t>
      </w:r>
      <w:r w:rsidRPr="0070536A">
        <w:rPr>
          <w:lang w:val="en-GB"/>
        </w:rPr>
        <w:t xml:space="preserve">improve </w:t>
      </w:r>
      <w:r w:rsidR="00091D10" w:rsidRPr="0070536A">
        <w:rPr>
          <w:lang w:val="en-GB"/>
        </w:rPr>
        <w:t xml:space="preserve">regional integration. </w:t>
      </w:r>
      <w:r w:rsidRPr="0070536A">
        <w:rPr>
          <w:lang w:val="en-GB"/>
        </w:rPr>
        <w:t>S</w:t>
      </w:r>
      <w:r w:rsidR="00091D10" w:rsidRPr="0070536A">
        <w:rPr>
          <w:lang w:val="en-GB"/>
        </w:rPr>
        <w:t>implification of the legal and regulatory framework for start-ups and micro, small and medium enterprises</w:t>
      </w:r>
      <w:r w:rsidRPr="0070536A">
        <w:rPr>
          <w:lang w:val="en-GB"/>
        </w:rPr>
        <w:t xml:space="preserve"> (MSMEs)</w:t>
      </w:r>
      <w:r w:rsidR="00091D10" w:rsidRPr="0070536A">
        <w:rPr>
          <w:lang w:val="en-GB"/>
        </w:rPr>
        <w:t xml:space="preserve"> will stimulate business innovation, encourag</w:t>
      </w:r>
      <w:r w:rsidRPr="0070536A">
        <w:rPr>
          <w:lang w:val="en-GB"/>
        </w:rPr>
        <w:t>e</w:t>
      </w:r>
      <w:r w:rsidR="00091D10" w:rsidRPr="0070536A">
        <w:rPr>
          <w:lang w:val="en-GB"/>
        </w:rPr>
        <w:t xml:space="preserve"> informal operators to transition to the formal sector, and </w:t>
      </w:r>
      <w:r w:rsidRPr="0070536A">
        <w:rPr>
          <w:lang w:val="en-GB"/>
        </w:rPr>
        <w:t xml:space="preserve">create </w:t>
      </w:r>
      <w:r w:rsidR="00091D10" w:rsidRPr="0070536A">
        <w:rPr>
          <w:lang w:val="en-GB"/>
        </w:rPr>
        <w:t xml:space="preserve">decent and secure employment, particularly for women and youth. </w:t>
      </w:r>
      <w:r w:rsidRPr="0070536A">
        <w:rPr>
          <w:lang w:val="en-GB"/>
        </w:rPr>
        <w:t xml:space="preserve">Collaborations </w:t>
      </w:r>
      <w:r w:rsidR="00091D10" w:rsidRPr="0070536A">
        <w:rPr>
          <w:lang w:val="en-GB"/>
        </w:rPr>
        <w:t>with local universities and international research institutions will improve the collection, analysis, systemization and availability of economic, business and labour market related data to improve economic policy and planning for economic diversification.</w:t>
      </w:r>
    </w:p>
    <w:p w14:paraId="694A5DEB" w14:textId="3EFF757C" w:rsidR="00091D10" w:rsidRPr="0070536A" w:rsidRDefault="00FB1542" w:rsidP="00091D10">
      <w:pPr>
        <w:pStyle w:val="ListParagraph"/>
        <w:numPr>
          <w:ilvl w:val="0"/>
          <w:numId w:val="62"/>
        </w:numPr>
        <w:tabs>
          <w:tab w:val="left" w:pos="1276"/>
        </w:tabs>
        <w:spacing w:after="120"/>
        <w:ind w:left="851" w:right="713" w:firstLine="0"/>
        <w:jc w:val="both"/>
        <w:rPr>
          <w:lang w:val="en-GB"/>
        </w:rPr>
      </w:pPr>
      <w:r w:rsidRPr="0070536A">
        <w:rPr>
          <w:lang w:val="en-GB"/>
        </w:rPr>
        <w:lastRenderedPageBreak/>
        <w:t xml:space="preserve">After diagnosing resource flows, </w:t>
      </w:r>
      <w:r w:rsidR="005E4F4F" w:rsidRPr="0070536A">
        <w:rPr>
          <w:lang w:val="en-GB"/>
        </w:rPr>
        <w:t>UNDP and</w:t>
      </w:r>
      <w:r w:rsidR="00091D10" w:rsidRPr="0070536A">
        <w:rPr>
          <w:lang w:val="en-GB"/>
        </w:rPr>
        <w:t xml:space="preserve"> the Ministry of Finance </w:t>
      </w:r>
      <w:r w:rsidRPr="0070536A">
        <w:rPr>
          <w:lang w:val="en-GB"/>
        </w:rPr>
        <w:t xml:space="preserve">will </w:t>
      </w:r>
      <w:r w:rsidR="00091D10" w:rsidRPr="0070536A">
        <w:rPr>
          <w:lang w:val="en-GB"/>
        </w:rPr>
        <w:t xml:space="preserve">build capacity for the alignment, leveraging and diversification of finance for development, engaging all stakeholders (public, private, domestic and international) in the development of sustainable financing solutions. Opportunities for </w:t>
      </w:r>
      <w:r w:rsidRPr="0070536A">
        <w:rPr>
          <w:lang w:val="en-GB"/>
        </w:rPr>
        <w:t>S</w:t>
      </w:r>
      <w:r w:rsidR="00091D10" w:rsidRPr="0070536A">
        <w:rPr>
          <w:lang w:val="en-GB"/>
        </w:rPr>
        <w:t>outh-</w:t>
      </w:r>
      <w:r w:rsidRPr="0070536A">
        <w:rPr>
          <w:lang w:val="en-GB"/>
        </w:rPr>
        <w:t>S</w:t>
      </w:r>
      <w:r w:rsidR="00091D10" w:rsidRPr="0070536A">
        <w:rPr>
          <w:lang w:val="en-GB"/>
        </w:rPr>
        <w:t>outh cooperation with Ibero-American countries will strengthen public finance management and oversight functions. The Africa Sustainable Finance Hub will support preparation for an Integrated National Financial Framework. Simultaneously, SDG investor mapping will identify opportunities for public and private investment</w:t>
      </w:r>
      <w:r w:rsidRPr="0070536A">
        <w:rPr>
          <w:lang w:val="en-GB"/>
        </w:rPr>
        <w:t>s</w:t>
      </w:r>
      <w:r w:rsidR="00091D10" w:rsidRPr="0070536A">
        <w:rPr>
          <w:lang w:val="en-GB"/>
        </w:rPr>
        <w:t xml:space="preserve">. Innovative financing solutions will be explored, including </w:t>
      </w:r>
      <w:r w:rsidRPr="0070536A">
        <w:rPr>
          <w:lang w:val="en-GB"/>
        </w:rPr>
        <w:t>developing</w:t>
      </w:r>
      <w:r w:rsidR="00091D10" w:rsidRPr="0070536A">
        <w:rPr>
          <w:lang w:val="en-GB"/>
        </w:rPr>
        <w:t xml:space="preserve"> health insurance services. Data and monitoring systems will be enhanced to track financial flows.</w:t>
      </w:r>
    </w:p>
    <w:p w14:paraId="6501EAFE" w14:textId="0BDCDFE3" w:rsidR="00091D10" w:rsidRPr="0070536A" w:rsidRDefault="00091D10" w:rsidP="00091D10">
      <w:pPr>
        <w:pStyle w:val="ListParagraph"/>
        <w:numPr>
          <w:ilvl w:val="0"/>
          <w:numId w:val="62"/>
        </w:numPr>
        <w:tabs>
          <w:tab w:val="left" w:pos="1276"/>
        </w:tabs>
        <w:spacing w:after="240"/>
        <w:ind w:left="851" w:right="713" w:firstLine="0"/>
        <w:jc w:val="both"/>
        <w:rPr>
          <w:lang w:val="en-GB"/>
        </w:rPr>
      </w:pPr>
      <w:r w:rsidRPr="0070536A">
        <w:rPr>
          <w:lang w:val="en-GB"/>
        </w:rPr>
        <w:t>In partnership with the Ministry for Commerce and Small Business,</w:t>
      </w:r>
      <w:r w:rsidR="003C3467" w:rsidRPr="0070536A">
        <w:rPr>
          <w:lang w:val="en-GB"/>
        </w:rPr>
        <w:t xml:space="preserve"> Arab Bank for Economic Development in Africa</w:t>
      </w:r>
      <w:r w:rsidRPr="0070536A">
        <w:rPr>
          <w:lang w:val="en-GB"/>
        </w:rPr>
        <w:t xml:space="preserve"> </w:t>
      </w:r>
      <w:r w:rsidR="00FA1AB7" w:rsidRPr="0070536A">
        <w:rPr>
          <w:lang w:val="en-GB"/>
        </w:rPr>
        <w:t>(</w:t>
      </w:r>
      <w:r w:rsidRPr="0070536A">
        <w:rPr>
          <w:lang w:val="en-GB"/>
        </w:rPr>
        <w:t>BADEA</w:t>
      </w:r>
      <w:r w:rsidR="00FA1AB7" w:rsidRPr="0070536A">
        <w:rPr>
          <w:lang w:val="en-GB"/>
        </w:rPr>
        <w:t>)</w:t>
      </w:r>
      <w:r w:rsidR="00FB1542" w:rsidRPr="0070536A">
        <w:rPr>
          <w:lang w:val="en-GB"/>
        </w:rPr>
        <w:t>,</w:t>
      </w:r>
      <w:r w:rsidRPr="0070536A">
        <w:rPr>
          <w:lang w:val="en-GB"/>
        </w:rPr>
        <w:t xml:space="preserve"> and </w:t>
      </w:r>
      <w:r w:rsidR="009607A1" w:rsidRPr="0070536A">
        <w:rPr>
          <w:lang w:val="en-GB"/>
        </w:rPr>
        <w:t xml:space="preserve">International Labour Organization </w:t>
      </w:r>
      <w:r w:rsidR="00FA1AB7" w:rsidRPr="0070536A">
        <w:rPr>
          <w:lang w:val="en-GB"/>
        </w:rPr>
        <w:t>(</w:t>
      </w:r>
      <w:r w:rsidRPr="0070536A">
        <w:rPr>
          <w:lang w:val="en-GB"/>
        </w:rPr>
        <w:t>ILO</w:t>
      </w:r>
      <w:r w:rsidR="00FA1AB7" w:rsidRPr="0070536A">
        <w:rPr>
          <w:lang w:val="en-GB"/>
        </w:rPr>
        <w:t>)</w:t>
      </w:r>
      <w:r w:rsidRPr="0070536A">
        <w:rPr>
          <w:lang w:val="en-GB"/>
        </w:rPr>
        <w:t xml:space="preserve">, the programme will </w:t>
      </w:r>
      <w:r w:rsidR="00FB1542" w:rsidRPr="0070536A">
        <w:rPr>
          <w:lang w:val="en-GB"/>
        </w:rPr>
        <w:t>support</w:t>
      </w:r>
      <w:r w:rsidRPr="0070536A">
        <w:rPr>
          <w:lang w:val="en-GB"/>
        </w:rPr>
        <w:t xml:space="preserve"> business development services for SMEs. An institutional and market diagnostic </w:t>
      </w:r>
      <w:r w:rsidR="00A8363B" w:rsidRPr="0070536A">
        <w:rPr>
          <w:lang w:val="en-GB"/>
        </w:rPr>
        <w:t>used to design interventions</w:t>
      </w:r>
      <w:r w:rsidRPr="0070536A">
        <w:rPr>
          <w:lang w:val="en-GB"/>
        </w:rPr>
        <w:t xml:space="preserve"> enhance the employability of women, youth and people </w:t>
      </w:r>
      <w:r w:rsidR="00FB1542" w:rsidRPr="0070536A">
        <w:rPr>
          <w:lang w:val="en-GB"/>
        </w:rPr>
        <w:t xml:space="preserve">living </w:t>
      </w:r>
      <w:r w:rsidRPr="0070536A">
        <w:rPr>
          <w:lang w:val="en-GB"/>
        </w:rPr>
        <w:t>with disabilities through capacity-building and mentoring, empowering them to develop entrepreneurial skills, design innovative business plans and access microfinance</w:t>
      </w:r>
      <w:r w:rsidR="00FB1542" w:rsidRPr="0070536A">
        <w:rPr>
          <w:lang w:val="en-GB"/>
        </w:rPr>
        <w:t xml:space="preserve"> opportunities</w:t>
      </w:r>
      <w:r w:rsidRPr="0070536A">
        <w:rPr>
          <w:lang w:val="en-GB"/>
        </w:rPr>
        <w:t>. Leveraging private sector engagement through business associations, these services will prioriti</w:t>
      </w:r>
      <w:r w:rsidR="00FB1542" w:rsidRPr="0070536A">
        <w:rPr>
          <w:lang w:val="en-GB"/>
        </w:rPr>
        <w:t>z</w:t>
      </w:r>
      <w:r w:rsidRPr="0070536A">
        <w:rPr>
          <w:lang w:val="en-GB"/>
        </w:rPr>
        <w:t xml:space="preserve">e business innovation in </w:t>
      </w:r>
      <w:r w:rsidR="00FB1542" w:rsidRPr="0070536A">
        <w:rPr>
          <w:lang w:val="en-GB"/>
        </w:rPr>
        <w:t xml:space="preserve">the </w:t>
      </w:r>
      <w:r w:rsidRPr="0070536A">
        <w:rPr>
          <w:lang w:val="en-GB"/>
        </w:rPr>
        <w:t xml:space="preserve">blue, green and circular economy </w:t>
      </w:r>
      <w:r w:rsidR="00FB1542" w:rsidRPr="0070536A">
        <w:rPr>
          <w:lang w:val="en-GB"/>
        </w:rPr>
        <w:t xml:space="preserve">to positively impact </w:t>
      </w:r>
      <w:r w:rsidRPr="0070536A">
        <w:rPr>
          <w:lang w:val="en-GB"/>
        </w:rPr>
        <w:t>SDG accelerators like eco-tourism, sustainable agribusiness and fisheries, digital services, recycling and waste management and renewable energy. The development of digital innovations will enhance market intelligence, enabling small businesses to identify critical markets for economic diversification and regional trade opportunities.</w:t>
      </w:r>
    </w:p>
    <w:p w14:paraId="15A0FE53" w14:textId="03064CB5" w:rsidR="00091D10" w:rsidRPr="0070536A" w:rsidRDefault="00091D10" w:rsidP="00091D10">
      <w:pPr>
        <w:tabs>
          <w:tab w:val="left" w:pos="1276"/>
        </w:tabs>
        <w:spacing w:after="120" w:line="259" w:lineRule="auto"/>
        <w:ind w:left="851" w:right="713"/>
        <w:jc w:val="both"/>
        <w:rPr>
          <w:rFonts w:ascii="Times New Roman Bold" w:hAnsi="Times New Roman Bold" w:cs="Times New Roman Bold"/>
          <w:b/>
          <w:bCs/>
          <w:lang w:val="en-GB"/>
        </w:rPr>
      </w:pPr>
      <w:r w:rsidRPr="0070536A">
        <w:rPr>
          <w:rFonts w:ascii="Times New Roman Bold" w:hAnsi="Times New Roman Bold" w:cs="Times New Roman Bold"/>
          <w:b/>
          <w:bCs/>
          <w:lang w:val="en-GB"/>
        </w:rPr>
        <w:t xml:space="preserve">Priority 2: Climate </w:t>
      </w:r>
      <w:r w:rsidR="00FB1542" w:rsidRPr="0070536A">
        <w:rPr>
          <w:rFonts w:ascii="Times New Roman Bold" w:hAnsi="Times New Roman Bold" w:cs="Times New Roman Bold"/>
          <w:b/>
          <w:bCs/>
          <w:lang w:val="en-GB"/>
        </w:rPr>
        <w:t>a</w:t>
      </w:r>
      <w:r w:rsidRPr="0070536A">
        <w:rPr>
          <w:rFonts w:ascii="Times New Roman Bold" w:hAnsi="Times New Roman Bold" w:cs="Times New Roman Bold"/>
          <w:b/>
          <w:bCs/>
          <w:lang w:val="en-GB"/>
        </w:rPr>
        <w:t>ction, natural resource management and energy (Outcome 4)</w:t>
      </w:r>
    </w:p>
    <w:p w14:paraId="5C4966C8" w14:textId="59D5687C" w:rsidR="00091D10" w:rsidRPr="0070536A" w:rsidRDefault="00091D10" w:rsidP="00091D10">
      <w:pPr>
        <w:numPr>
          <w:ilvl w:val="0"/>
          <w:numId w:val="62"/>
        </w:numPr>
        <w:tabs>
          <w:tab w:val="left" w:pos="1276"/>
        </w:tabs>
        <w:spacing w:after="120"/>
        <w:ind w:left="851" w:right="713" w:firstLine="0"/>
        <w:jc w:val="both"/>
        <w:rPr>
          <w:lang w:val="en-GB"/>
        </w:rPr>
      </w:pPr>
      <w:r w:rsidRPr="0070536A">
        <w:rPr>
          <w:lang w:val="en-GB"/>
        </w:rPr>
        <w:t xml:space="preserve">Partnering with </w:t>
      </w:r>
      <w:r w:rsidR="00D13DEA" w:rsidRPr="0070536A">
        <w:rPr>
          <w:lang w:val="en-GB"/>
        </w:rPr>
        <w:t xml:space="preserve">Global Environment Facility </w:t>
      </w:r>
      <w:r w:rsidR="00FA1AB7" w:rsidRPr="0070536A">
        <w:rPr>
          <w:lang w:val="en-GB"/>
        </w:rPr>
        <w:t>(</w:t>
      </w:r>
      <w:r w:rsidRPr="0070536A">
        <w:rPr>
          <w:lang w:val="en-GB"/>
        </w:rPr>
        <w:t>GEF</w:t>
      </w:r>
      <w:r w:rsidR="00FA1AB7" w:rsidRPr="0070536A">
        <w:rPr>
          <w:lang w:val="en-GB"/>
        </w:rPr>
        <w:t>)</w:t>
      </w:r>
      <w:r w:rsidRPr="0070536A">
        <w:rPr>
          <w:lang w:val="en-GB"/>
        </w:rPr>
        <w:t xml:space="preserve"> and the Green Climate Fund</w:t>
      </w:r>
      <w:r w:rsidR="00FA1AB7" w:rsidRPr="0070536A">
        <w:rPr>
          <w:lang w:val="en-GB"/>
        </w:rPr>
        <w:t xml:space="preserve"> (GCF)</w:t>
      </w:r>
      <w:r w:rsidR="00FB1542" w:rsidRPr="0070536A">
        <w:rPr>
          <w:lang w:val="en-GB"/>
        </w:rPr>
        <w:t xml:space="preserve"> </w:t>
      </w:r>
      <w:r w:rsidRPr="0070536A">
        <w:rPr>
          <w:lang w:val="en-GB"/>
        </w:rPr>
        <w:t xml:space="preserve">within the framework of </w:t>
      </w:r>
      <w:r w:rsidR="00FB1542" w:rsidRPr="0070536A">
        <w:rPr>
          <w:lang w:val="en-GB"/>
        </w:rPr>
        <w:t xml:space="preserve">the </w:t>
      </w:r>
      <w:r w:rsidRPr="0070536A">
        <w:rPr>
          <w:lang w:val="en-GB"/>
        </w:rPr>
        <w:t xml:space="preserve">UNDP Ocean Promise, the </w:t>
      </w:r>
      <w:r w:rsidR="00FB1542" w:rsidRPr="0070536A">
        <w:rPr>
          <w:lang w:val="en-GB"/>
        </w:rPr>
        <w:t>c</w:t>
      </w:r>
      <w:r w:rsidRPr="0070536A">
        <w:rPr>
          <w:lang w:val="en-GB"/>
        </w:rPr>
        <w:t xml:space="preserve">ountry </w:t>
      </w:r>
      <w:r w:rsidR="00FB1542" w:rsidRPr="0070536A">
        <w:rPr>
          <w:lang w:val="en-GB"/>
        </w:rPr>
        <w:t>o</w:t>
      </w:r>
      <w:r w:rsidRPr="0070536A">
        <w:rPr>
          <w:lang w:val="en-GB"/>
        </w:rPr>
        <w:t xml:space="preserve">ffice will: </w:t>
      </w:r>
      <w:r w:rsidR="00FB1542" w:rsidRPr="0070536A">
        <w:rPr>
          <w:lang w:val="en-GB"/>
        </w:rPr>
        <w:t>(</w:t>
      </w:r>
      <w:r w:rsidRPr="0070536A">
        <w:rPr>
          <w:lang w:val="en-GB"/>
        </w:rPr>
        <w:t>i) leverage thought leadership in environmental, climate change and risk management to strengthen policy coherence and the adoption of integrated, equitable and rights-based solutions for climate action, natural resource and biodiversity management, the blue economy and transition to green energy</w:t>
      </w:r>
      <w:r w:rsidR="00FB1542" w:rsidRPr="0070536A">
        <w:rPr>
          <w:lang w:val="en-GB"/>
        </w:rPr>
        <w:t>;</w:t>
      </w:r>
      <w:r w:rsidRPr="0070536A">
        <w:rPr>
          <w:lang w:val="en-GB"/>
        </w:rPr>
        <w:t xml:space="preserve"> </w:t>
      </w:r>
      <w:r w:rsidR="00FB1542" w:rsidRPr="0070536A">
        <w:rPr>
          <w:lang w:val="en-GB"/>
        </w:rPr>
        <w:t>(</w:t>
      </w:r>
      <w:r w:rsidRPr="0070536A">
        <w:rPr>
          <w:lang w:val="en-GB"/>
        </w:rPr>
        <w:t>ii) provide expertise and technical assistance to strengthen access</w:t>
      </w:r>
      <w:r w:rsidR="00FB1542" w:rsidRPr="0070536A">
        <w:rPr>
          <w:lang w:val="en-GB"/>
        </w:rPr>
        <w:t xml:space="preserve"> to</w:t>
      </w:r>
      <w:r w:rsidRPr="0070536A">
        <w:rPr>
          <w:lang w:val="en-GB"/>
        </w:rPr>
        <w:t xml:space="preserve"> green finance, including  GEF and the Green Climate Fund</w:t>
      </w:r>
      <w:r w:rsidR="00FB1542" w:rsidRPr="0070536A">
        <w:rPr>
          <w:lang w:val="en-GB"/>
        </w:rPr>
        <w:t>;</w:t>
      </w:r>
      <w:r w:rsidRPr="0070536A">
        <w:rPr>
          <w:lang w:val="en-GB"/>
        </w:rPr>
        <w:t xml:space="preserve"> </w:t>
      </w:r>
      <w:r w:rsidR="00FB1542" w:rsidRPr="0070536A">
        <w:rPr>
          <w:lang w:val="en-GB"/>
        </w:rPr>
        <w:t>(</w:t>
      </w:r>
      <w:r w:rsidRPr="0070536A">
        <w:rPr>
          <w:lang w:val="en-GB"/>
        </w:rPr>
        <w:t>iii) strengthen the capacit</w:t>
      </w:r>
      <w:r w:rsidR="00FB1542" w:rsidRPr="0070536A">
        <w:rPr>
          <w:lang w:val="en-GB"/>
        </w:rPr>
        <w:t>ies</w:t>
      </w:r>
      <w:r w:rsidRPr="0070536A">
        <w:rPr>
          <w:lang w:val="en-GB"/>
        </w:rPr>
        <w:t xml:space="preserve"> of local institutions and communities to plan for, and adapt to, climate change, increase resilience to risks and promote sustainable livelihoods, </w:t>
      </w:r>
      <w:r w:rsidR="00FB1542" w:rsidRPr="0070536A">
        <w:rPr>
          <w:lang w:val="en-GB"/>
        </w:rPr>
        <w:t>and (</w:t>
      </w:r>
      <w:r w:rsidRPr="0070536A">
        <w:rPr>
          <w:lang w:val="en-GB"/>
        </w:rPr>
        <w:t>iv) enhance data and information systems</w:t>
      </w:r>
      <w:r w:rsidR="00FB1542" w:rsidRPr="0070536A">
        <w:rPr>
          <w:lang w:val="en-GB"/>
        </w:rPr>
        <w:t>,</w:t>
      </w:r>
      <w:r w:rsidRPr="0070536A">
        <w:rPr>
          <w:lang w:val="en-GB"/>
        </w:rPr>
        <w:t xml:space="preserve"> and leverage digital solutions to fill critical data gaps for environmental management, monitoring climate change</w:t>
      </w:r>
      <w:r w:rsidR="00FB1542" w:rsidRPr="0070536A">
        <w:rPr>
          <w:lang w:val="en-GB"/>
        </w:rPr>
        <w:t>,</w:t>
      </w:r>
      <w:r w:rsidRPr="0070536A">
        <w:rPr>
          <w:lang w:val="en-GB"/>
        </w:rPr>
        <w:t xml:space="preserve"> and early warning systems.</w:t>
      </w:r>
    </w:p>
    <w:p w14:paraId="06F8DC14" w14:textId="0C31F22C" w:rsidR="00091D10" w:rsidRPr="0070536A" w:rsidRDefault="00091D10" w:rsidP="00091D10">
      <w:pPr>
        <w:numPr>
          <w:ilvl w:val="0"/>
          <w:numId w:val="62"/>
        </w:numPr>
        <w:tabs>
          <w:tab w:val="left" w:pos="1276"/>
        </w:tabs>
        <w:spacing w:after="120"/>
        <w:ind w:left="851" w:right="713" w:firstLine="0"/>
        <w:jc w:val="both"/>
        <w:rPr>
          <w:lang w:val="en-GB"/>
        </w:rPr>
      </w:pPr>
      <w:r w:rsidRPr="0070536A">
        <w:rPr>
          <w:lang w:val="en-GB"/>
        </w:rPr>
        <w:t>To extend the GEF Inclusion Agenda, UNDP will support the Ministries for Forests and the Environment to engage local institutions and communities, private sector, and academia in the conservation and sustainable use of terrestrial and marine biodiversity</w:t>
      </w:r>
      <w:r w:rsidR="00FB1542" w:rsidRPr="0070536A">
        <w:rPr>
          <w:lang w:val="en-GB"/>
        </w:rPr>
        <w:t>,</w:t>
      </w:r>
      <w:r w:rsidRPr="0070536A">
        <w:rPr>
          <w:lang w:val="en-GB"/>
        </w:rPr>
        <w:t xml:space="preserve"> </w:t>
      </w:r>
      <w:r w:rsidR="00FB1542" w:rsidRPr="0070536A">
        <w:rPr>
          <w:lang w:val="en-GB"/>
        </w:rPr>
        <w:t xml:space="preserve">as well as </w:t>
      </w:r>
      <w:r w:rsidRPr="0070536A">
        <w:rPr>
          <w:lang w:val="en-GB"/>
        </w:rPr>
        <w:t xml:space="preserve">the equitable management of protected areas. The GEF Small Grants Programme will support community-based organizations to develop initiatives that tackle deforestation, biodiversity loss, climate change mitigation and adaptation, and land degradation. </w:t>
      </w:r>
      <w:r w:rsidR="00D14787" w:rsidRPr="0070536A">
        <w:rPr>
          <w:lang w:val="en-GB"/>
        </w:rPr>
        <w:t>The</w:t>
      </w:r>
      <w:r w:rsidRPr="0070536A">
        <w:rPr>
          <w:lang w:val="en-GB"/>
        </w:rPr>
        <w:t xml:space="preserve"> Ministry of Agriculture and </w:t>
      </w:r>
      <w:r w:rsidR="00D14787" w:rsidRPr="0070536A">
        <w:rPr>
          <w:lang w:val="en-GB"/>
        </w:rPr>
        <w:t>Food and Agriculture Organization (</w:t>
      </w:r>
      <w:r w:rsidRPr="0070536A">
        <w:rPr>
          <w:lang w:val="en-GB"/>
        </w:rPr>
        <w:t>FAO</w:t>
      </w:r>
      <w:r w:rsidR="00D14787" w:rsidRPr="0070536A">
        <w:rPr>
          <w:lang w:val="en-GB"/>
        </w:rPr>
        <w:t>)</w:t>
      </w:r>
      <w:r w:rsidRPr="0070536A">
        <w:rPr>
          <w:lang w:val="en-GB"/>
        </w:rPr>
        <w:t xml:space="preserve"> will promote climate-smart, sustainable practices in agribusiness and fisher</w:t>
      </w:r>
      <w:r w:rsidR="00D14787" w:rsidRPr="0070536A">
        <w:rPr>
          <w:lang w:val="en-GB"/>
        </w:rPr>
        <w:t>y</w:t>
      </w:r>
      <w:r w:rsidRPr="0070536A">
        <w:rPr>
          <w:lang w:val="en-GB"/>
        </w:rPr>
        <w:t xml:space="preserve"> value chains. </w:t>
      </w:r>
      <w:r w:rsidR="00D14787" w:rsidRPr="0070536A">
        <w:rPr>
          <w:lang w:val="en-GB"/>
        </w:rPr>
        <w:t>Developing</w:t>
      </w:r>
      <w:r w:rsidRPr="0070536A">
        <w:rPr>
          <w:lang w:val="en-GB"/>
        </w:rPr>
        <w:t xml:space="preserve"> the business management skills of women in agribusiness will enhance sustainability, productivity and resilience, improving the quality of products to achieve greater penetration in domestic and regional markets. </w:t>
      </w:r>
    </w:p>
    <w:p w14:paraId="141FA171" w14:textId="6C1EE621" w:rsidR="00091D10" w:rsidRPr="0070536A" w:rsidRDefault="00091D10" w:rsidP="00091D10">
      <w:pPr>
        <w:numPr>
          <w:ilvl w:val="0"/>
          <w:numId w:val="62"/>
        </w:numPr>
        <w:tabs>
          <w:tab w:val="left" w:pos="1276"/>
        </w:tabs>
        <w:spacing w:after="120"/>
        <w:ind w:left="851" w:right="713" w:firstLine="0"/>
        <w:jc w:val="both"/>
        <w:rPr>
          <w:lang w:val="en-GB"/>
        </w:rPr>
      </w:pPr>
      <w:r w:rsidRPr="0070536A">
        <w:rPr>
          <w:lang w:val="en-GB"/>
        </w:rPr>
        <w:t xml:space="preserve">Working with </w:t>
      </w:r>
      <w:r w:rsidR="00D14787" w:rsidRPr="0070536A">
        <w:rPr>
          <w:lang w:val="en-GB"/>
        </w:rPr>
        <w:t>the Food and Agriculture Organization (</w:t>
      </w:r>
      <w:r w:rsidRPr="0070536A">
        <w:rPr>
          <w:lang w:val="en-GB"/>
        </w:rPr>
        <w:t>FAO</w:t>
      </w:r>
      <w:r w:rsidR="00D14787" w:rsidRPr="0070536A">
        <w:rPr>
          <w:lang w:val="en-GB"/>
        </w:rPr>
        <w:t>)</w:t>
      </w:r>
      <w:r w:rsidRPr="0070536A">
        <w:rPr>
          <w:lang w:val="en-GB"/>
        </w:rPr>
        <w:t>, UNDP will build local institutional and community capacit</w:t>
      </w:r>
      <w:r w:rsidR="00D14787" w:rsidRPr="0070536A">
        <w:rPr>
          <w:lang w:val="en-GB"/>
        </w:rPr>
        <w:t>ies</w:t>
      </w:r>
      <w:r w:rsidRPr="0070536A">
        <w:rPr>
          <w:lang w:val="en-GB"/>
        </w:rPr>
        <w:t xml:space="preserve"> for climate and risk monitoring and engage local stakeholders in climate change adaptation plans, risk management and early warning systems in line with the Continental Framework on the Africa Multi-Hazard Early Warning and Early Action System (AMHEWAS). Climate change and disaster risk mapping will pinpoint vulnerable areas and populations </w:t>
      </w:r>
      <w:r w:rsidR="00EE4036" w:rsidRPr="0070536A">
        <w:rPr>
          <w:lang w:val="en-GB"/>
        </w:rPr>
        <w:t>to better</w:t>
      </w:r>
      <w:r w:rsidRPr="0070536A">
        <w:rPr>
          <w:lang w:val="en-GB"/>
        </w:rPr>
        <w:t xml:space="preserve"> </w:t>
      </w:r>
      <w:r w:rsidR="00EE4036" w:rsidRPr="0070536A">
        <w:rPr>
          <w:lang w:val="en-GB"/>
        </w:rPr>
        <w:t xml:space="preserve">protect </w:t>
      </w:r>
      <w:r w:rsidRPr="0070536A">
        <w:rPr>
          <w:lang w:val="en-GB"/>
        </w:rPr>
        <w:t xml:space="preserve">women, children, people </w:t>
      </w:r>
      <w:r w:rsidR="00EE4036" w:rsidRPr="0070536A">
        <w:rPr>
          <w:lang w:val="en-GB"/>
        </w:rPr>
        <w:t xml:space="preserve">living </w:t>
      </w:r>
      <w:r w:rsidRPr="0070536A">
        <w:rPr>
          <w:lang w:val="en-GB"/>
        </w:rPr>
        <w:t xml:space="preserve">with disabilities and </w:t>
      </w:r>
      <w:r w:rsidR="00EE4036" w:rsidRPr="0070536A">
        <w:rPr>
          <w:lang w:val="en-GB"/>
        </w:rPr>
        <w:t>older people</w:t>
      </w:r>
      <w:r w:rsidRPr="0070536A">
        <w:rPr>
          <w:lang w:val="en-GB"/>
        </w:rPr>
        <w:t>. South-</w:t>
      </w:r>
      <w:r w:rsidR="00D14787" w:rsidRPr="0070536A">
        <w:rPr>
          <w:lang w:val="en-GB"/>
        </w:rPr>
        <w:t>S</w:t>
      </w:r>
      <w:r w:rsidRPr="0070536A">
        <w:rPr>
          <w:lang w:val="en-GB"/>
        </w:rPr>
        <w:t xml:space="preserve">outh cooperation with Gabon and Cameroon will </w:t>
      </w:r>
      <w:r w:rsidR="00EE4036" w:rsidRPr="0070536A">
        <w:rPr>
          <w:lang w:val="en-GB"/>
        </w:rPr>
        <w:t xml:space="preserve">lead to </w:t>
      </w:r>
      <w:r w:rsidRPr="0070536A">
        <w:rPr>
          <w:lang w:val="en-GB"/>
        </w:rPr>
        <w:t>the replication of best practice</w:t>
      </w:r>
      <w:r w:rsidR="00EE4036" w:rsidRPr="0070536A">
        <w:rPr>
          <w:lang w:val="en-GB"/>
        </w:rPr>
        <w:t>s</w:t>
      </w:r>
      <w:r w:rsidRPr="0070536A">
        <w:rPr>
          <w:lang w:val="en-GB"/>
        </w:rPr>
        <w:t xml:space="preserve"> in community management of climate adaptation, risk reduction and resilience building. </w:t>
      </w:r>
    </w:p>
    <w:p w14:paraId="1C812C0B" w14:textId="40F6925F" w:rsidR="00091D10" w:rsidRPr="0070536A" w:rsidRDefault="00091D10" w:rsidP="00091D10">
      <w:pPr>
        <w:numPr>
          <w:ilvl w:val="0"/>
          <w:numId w:val="62"/>
        </w:numPr>
        <w:tabs>
          <w:tab w:val="left" w:pos="1276"/>
        </w:tabs>
        <w:spacing w:after="240"/>
        <w:ind w:left="851" w:right="713" w:firstLine="0"/>
        <w:jc w:val="both"/>
        <w:rPr>
          <w:lang w:val="en-GB"/>
        </w:rPr>
      </w:pPr>
      <w:r w:rsidRPr="0070536A">
        <w:rPr>
          <w:lang w:val="en-GB"/>
        </w:rPr>
        <w:lastRenderedPageBreak/>
        <w:t xml:space="preserve">Building on the successful SEE4All initiative, and </w:t>
      </w:r>
      <w:r w:rsidR="00EE4036" w:rsidRPr="0070536A">
        <w:rPr>
          <w:lang w:val="en-GB"/>
        </w:rPr>
        <w:t xml:space="preserve">in conjunction with </w:t>
      </w:r>
      <w:r w:rsidRPr="0070536A">
        <w:rPr>
          <w:lang w:val="en-GB"/>
        </w:rPr>
        <w:t>national plans, the programme will strengthen national capacit</w:t>
      </w:r>
      <w:r w:rsidR="00EE4036" w:rsidRPr="0070536A">
        <w:rPr>
          <w:lang w:val="en-GB"/>
        </w:rPr>
        <w:t>ies</w:t>
      </w:r>
      <w:r w:rsidRPr="0070536A">
        <w:rPr>
          <w:lang w:val="en-GB"/>
        </w:rPr>
        <w:t xml:space="preserve"> to manage the energy transition </w:t>
      </w:r>
      <w:r w:rsidR="00EE4036" w:rsidRPr="0070536A">
        <w:rPr>
          <w:lang w:val="en-GB"/>
        </w:rPr>
        <w:t xml:space="preserve">by </w:t>
      </w:r>
      <w:r w:rsidRPr="0070536A">
        <w:rPr>
          <w:lang w:val="en-GB"/>
        </w:rPr>
        <w:t>de-risking private sector investment in renewables, increasing access to clean energy and contributing to economic diversification (Outcome</w:t>
      </w:r>
      <w:r w:rsidR="00EE4036" w:rsidRPr="0070536A">
        <w:rPr>
          <w:lang w:val="en-GB"/>
        </w:rPr>
        <w:t xml:space="preserve"> </w:t>
      </w:r>
      <w:r w:rsidRPr="0070536A">
        <w:rPr>
          <w:lang w:val="en-GB"/>
        </w:rPr>
        <w:t>3). The programme will support the Ministry for Electricity and Renewable Energy to adapt international best practice</w:t>
      </w:r>
      <w:r w:rsidR="00EE4036" w:rsidRPr="0070536A">
        <w:rPr>
          <w:lang w:val="en-GB"/>
        </w:rPr>
        <w:t>s</w:t>
      </w:r>
      <w:r w:rsidRPr="0070536A">
        <w:rPr>
          <w:lang w:val="en-GB"/>
        </w:rPr>
        <w:t xml:space="preserve"> for ensuring the poorest and most vulnerable populations have opportunities to access renewable energy </w:t>
      </w:r>
      <w:r w:rsidR="00EE4036" w:rsidRPr="0070536A">
        <w:rPr>
          <w:lang w:val="en-GB"/>
        </w:rPr>
        <w:t xml:space="preserve">when </w:t>
      </w:r>
      <w:r w:rsidRPr="0070536A">
        <w:rPr>
          <w:lang w:val="en-GB"/>
        </w:rPr>
        <w:t>testing small-scale, community-managed</w:t>
      </w:r>
      <w:r w:rsidR="00EE4036" w:rsidRPr="0070536A">
        <w:rPr>
          <w:lang w:val="en-GB"/>
        </w:rPr>
        <w:t>,</w:t>
      </w:r>
      <w:r w:rsidRPr="0070536A">
        <w:rPr>
          <w:lang w:val="en-GB"/>
        </w:rPr>
        <w:t xml:space="preserve"> renewable energy systems. </w:t>
      </w:r>
    </w:p>
    <w:p w14:paraId="22835A1F" w14:textId="309D03C8" w:rsidR="00091D10" w:rsidRPr="0070536A" w:rsidRDefault="00091D10" w:rsidP="00091D10">
      <w:pPr>
        <w:tabs>
          <w:tab w:val="left" w:pos="1276"/>
        </w:tabs>
        <w:spacing w:after="40" w:line="259" w:lineRule="auto"/>
        <w:ind w:left="851" w:right="713"/>
        <w:jc w:val="both"/>
        <w:rPr>
          <w:rFonts w:ascii="Times New Roman Bold" w:hAnsi="Times New Roman Bold" w:cs="Times New Roman Bold"/>
          <w:b/>
          <w:bCs/>
          <w:lang w:val="en-GB"/>
        </w:rPr>
      </w:pPr>
      <w:r w:rsidRPr="0070536A">
        <w:rPr>
          <w:rFonts w:ascii="Times New Roman Bold" w:hAnsi="Times New Roman Bold" w:cs="Times New Roman Bold"/>
          <w:b/>
          <w:bCs/>
          <w:lang w:val="en-GB"/>
        </w:rPr>
        <w:t>Priority 3:  Inclusive governance and equitable access to public services (</w:t>
      </w:r>
      <w:r w:rsidR="00EE4036" w:rsidRPr="0070536A">
        <w:rPr>
          <w:rFonts w:ascii="Times New Roman Bold" w:hAnsi="Times New Roman Bold" w:cs="Times New Roman Bold"/>
          <w:b/>
          <w:bCs/>
          <w:lang w:val="en-GB"/>
        </w:rPr>
        <w:t>o</w:t>
      </w:r>
      <w:r w:rsidRPr="0070536A">
        <w:rPr>
          <w:rFonts w:ascii="Times New Roman Bold" w:hAnsi="Times New Roman Bold" w:cs="Times New Roman Bold"/>
          <w:b/>
          <w:bCs/>
          <w:lang w:val="en-GB"/>
        </w:rPr>
        <w:t xml:space="preserve">utcomes 1 and 2) </w:t>
      </w:r>
    </w:p>
    <w:p w14:paraId="205789B8" w14:textId="77777777" w:rsidR="00091D10" w:rsidRPr="0070536A" w:rsidRDefault="00091D10" w:rsidP="005139AD">
      <w:pPr>
        <w:tabs>
          <w:tab w:val="left" w:pos="1276"/>
        </w:tabs>
        <w:spacing w:after="40" w:line="259" w:lineRule="auto"/>
        <w:ind w:right="713"/>
        <w:jc w:val="both"/>
        <w:rPr>
          <w:rFonts w:ascii="Times New Roman Bold" w:hAnsi="Times New Roman Bold" w:cs="Times New Roman Bold"/>
          <w:b/>
          <w:bCs/>
          <w:lang w:val="en-GB"/>
        </w:rPr>
      </w:pPr>
    </w:p>
    <w:p w14:paraId="24250C9D" w14:textId="42DA432E" w:rsidR="00091D10" w:rsidRPr="0070536A" w:rsidRDefault="00091D10" w:rsidP="00091D10">
      <w:pPr>
        <w:numPr>
          <w:ilvl w:val="0"/>
          <w:numId w:val="62"/>
        </w:numPr>
        <w:tabs>
          <w:tab w:val="left" w:pos="1276"/>
        </w:tabs>
        <w:spacing w:after="120"/>
        <w:ind w:left="851" w:right="713" w:firstLine="0"/>
        <w:jc w:val="both"/>
        <w:rPr>
          <w:lang w:val="en-GB"/>
        </w:rPr>
      </w:pPr>
      <w:r w:rsidRPr="0070536A">
        <w:rPr>
          <w:lang w:val="en-GB"/>
        </w:rPr>
        <w:t>To promote a</w:t>
      </w:r>
      <w:r w:rsidR="00EE4036" w:rsidRPr="0070536A">
        <w:rPr>
          <w:lang w:val="en-GB"/>
        </w:rPr>
        <w:t xml:space="preserve">n </w:t>
      </w:r>
      <w:r w:rsidRPr="0070536A">
        <w:rPr>
          <w:lang w:val="en-GB"/>
        </w:rPr>
        <w:t>integrated and coherent approach to supporting inclusive governance and equitable access to services, the programme prioriti</w:t>
      </w:r>
      <w:r w:rsidR="00891C4E" w:rsidRPr="0070536A">
        <w:rPr>
          <w:lang w:val="en-GB"/>
        </w:rPr>
        <w:t>z</w:t>
      </w:r>
      <w:r w:rsidRPr="0070536A">
        <w:rPr>
          <w:lang w:val="en-GB"/>
        </w:rPr>
        <w:t xml:space="preserve">es interventions that contribute to </w:t>
      </w:r>
      <w:r w:rsidR="00EE4036" w:rsidRPr="0070536A">
        <w:rPr>
          <w:lang w:val="en-GB"/>
        </w:rPr>
        <w:t>o</w:t>
      </w:r>
      <w:r w:rsidRPr="0070536A">
        <w:rPr>
          <w:lang w:val="en-GB"/>
        </w:rPr>
        <w:t xml:space="preserve">utcomes 1 and 2. </w:t>
      </w:r>
      <w:r w:rsidR="00891C4E" w:rsidRPr="0070536A">
        <w:rPr>
          <w:lang w:val="en-GB"/>
        </w:rPr>
        <w:t>Alongside the</w:t>
      </w:r>
      <w:r w:rsidRPr="0070536A">
        <w:rPr>
          <w:lang w:val="en-GB"/>
        </w:rPr>
        <w:t xml:space="preserve"> National Institute for Statistics and Ministry for Planning and Economic Diversification, </w:t>
      </w:r>
      <w:r w:rsidR="00891C4E" w:rsidRPr="0070536A">
        <w:rPr>
          <w:lang w:val="en-GB"/>
        </w:rPr>
        <w:t>UNDP</w:t>
      </w:r>
      <w:r w:rsidRPr="0070536A">
        <w:rPr>
          <w:lang w:val="en-GB"/>
        </w:rPr>
        <w:t xml:space="preserve"> will strengthen systems for the timely production of relevant and disaggregated data to </w:t>
      </w:r>
      <w:r w:rsidR="00891C4E" w:rsidRPr="0070536A">
        <w:rPr>
          <w:lang w:val="en-GB"/>
        </w:rPr>
        <w:t>inform</w:t>
      </w:r>
      <w:r w:rsidRPr="0070536A">
        <w:rPr>
          <w:lang w:val="en-GB"/>
        </w:rPr>
        <w:t xml:space="preserve"> transformative and evidence-based policies </w:t>
      </w:r>
      <w:r w:rsidR="00891C4E" w:rsidRPr="0070536A">
        <w:rPr>
          <w:lang w:val="en-GB"/>
        </w:rPr>
        <w:t xml:space="preserve">to </w:t>
      </w:r>
      <w:r w:rsidRPr="0070536A">
        <w:rPr>
          <w:lang w:val="en-GB"/>
        </w:rPr>
        <w:t xml:space="preserve">achieve national priority goals. Capacity development programmes will improve statistical literacy and upgrade the quality, frequency and relevance of data and information </w:t>
      </w:r>
      <w:r w:rsidR="00891C4E" w:rsidRPr="0070536A">
        <w:rPr>
          <w:lang w:val="en-GB"/>
        </w:rPr>
        <w:t>for</w:t>
      </w:r>
      <w:r w:rsidRPr="0070536A">
        <w:rPr>
          <w:lang w:val="en-GB"/>
        </w:rPr>
        <w:t xml:space="preserve"> evidence and results-based planning and budgeting. </w:t>
      </w:r>
      <w:r w:rsidR="00891C4E" w:rsidRPr="0070536A">
        <w:rPr>
          <w:lang w:val="en-GB"/>
        </w:rPr>
        <w:t xml:space="preserve">Collaborative action </w:t>
      </w:r>
      <w:r w:rsidRPr="0070536A">
        <w:rPr>
          <w:lang w:val="en-GB"/>
        </w:rPr>
        <w:t>with local and international universities, research organi</w:t>
      </w:r>
      <w:r w:rsidR="00891C4E" w:rsidRPr="0070536A">
        <w:rPr>
          <w:lang w:val="en-GB"/>
        </w:rPr>
        <w:t>z</w:t>
      </w:r>
      <w:r w:rsidRPr="0070536A">
        <w:rPr>
          <w:lang w:val="en-GB"/>
        </w:rPr>
        <w:t xml:space="preserve">ations and </w:t>
      </w:r>
      <w:r w:rsidR="00891C4E" w:rsidRPr="0070536A">
        <w:rPr>
          <w:lang w:val="en-GB"/>
        </w:rPr>
        <w:t>civil society organizations (</w:t>
      </w:r>
      <w:r w:rsidRPr="0070536A">
        <w:rPr>
          <w:lang w:val="en-GB"/>
        </w:rPr>
        <w:t>CSOs</w:t>
      </w:r>
      <w:r w:rsidR="00891C4E" w:rsidRPr="0070536A">
        <w:rPr>
          <w:lang w:val="en-GB"/>
        </w:rPr>
        <w:t>)</w:t>
      </w:r>
      <w:r w:rsidRPr="0070536A">
        <w:rPr>
          <w:lang w:val="en-GB"/>
        </w:rPr>
        <w:t xml:space="preserve"> will support the development of in-depth data analys</w:t>
      </w:r>
      <w:r w:rsidR="00891C4E" w:rsidRPr="0070536A">
        <w:rPr>
          <w:lang w:val="en-GB"/>
        </w:rPr>
        <w:t>e</w:t>
      </w:r>
      <w:r w:rsidRPr="0070536A">
        <w:rPr>
          <w:lang w:val="en-GB"/>
        </w:rPr>
        <w:t xml:space="preserve">s to </w:t>
      </w:r>
      <w:r w:rsidR="00891C4E" w:rsidRPr="0070536A">
        <w:rPr>
          <w:lang w:val="en-GB"/>
        </w:rPr>
        <w:t xml:space="preserve">provide </w:t>
      </w:r>
      <w:r w:rsidRPr="0070536A">
        <w:rPr>
          <w:lang w:val="en-GB"/>
        </w:rPr>
        <w:t xml:space="preserve">detailed insight into </w:t>
      </w:r>
      <w:r w:rsidR="00891C4E" w:rsidRPr="0070536A">
        <w:rPr>
          <w:lang w:val="en-GB"/>
        </w:rPr>
        <w:t xml:space="preserve">aspects of </w:t>
      </w:r>
      <w:r w:rsidRPr="0070536A">
        <w:rPr>
          <w:lang w:val="en-GB"/>
        </w:rPr>
        <w:t xml:space="preserve">poverty and vulnerability. </w:t>
      </w:r>
      <w:r w:rsidR="00891C4E" w:rsidRPr="0070536A">
        <w:rPr>
          <w:lang w:val="en-GB"/>
        </w:rPr>
        <w:t>Moreover, d</w:t>
      </w:r>
      <w:r w:rsidRPr="0070536A">
        <w:rPr>
          <w:lang w:val="en-GB"/>
        </w:rPr>
        <w:t xml:space="preserve">ata enhancement will </w:t>
      </w:r>
      <w:r w:rsidR="00891C4E" w:rsidRPr="0070536A">
        <w:rPr>
          <w:lang w:val="en-GB"/>
        </w:rPr>
        <w:t xml:space="preserve">create </w:t>
      </w:r>
      <w:r w:rsidRPr="0070536A">
        <w:rPr>
          <w:lang w:val="en-GB"/>
        </w:rPr>
        <w:t>space for national and local reflection</w:t>
      </w:r>
      <w:r w:rsidR="00891C4E" w:rsidRPr="0070536A">
        <w:rPr>
          <w:lang w:val="en-GB"/>
        </w:rPr>
        <w:t>s</w:t>
      </w:r>
      <w:r w:rsidRPr="0070536A">
        <w:rPr>
          <w:lang w:val="en-GB"/>
        </w:rPr>
        <w:t xml:space="preserve"> on </w:t>
      </w:r>
      <w:r w:rsidR="00891C4E" w:rsidRPr="0070536A">
        <w:rPr>
          <w:lang w:val="en-GB"/>
        </w:rPr>
        <w:t xml:space="preserve">contributions of </w:t>
      </w:r>
      <w:r w:rsidRPr="0070536A">
        <w:rPr>
          <w:lang w:val="en-GB"/>
        </w:rPr>
        <w:t>human development and SDGs</w:t>
      </w:r>
      <w:r w:rsidR="00891C4E" w:rsidRPr="0070536A">
        <w:rPr>
          <w:lang w:val="en-GB"/>
        </w:rPr>
        <w:t xml:space="preserve"> </w:t>
      </w:r>
      <w:r w:rsidRPr="0070536A">
        <w:rPr>
          <w:lang w:val="en-GB"/>
        </w:rPr>
        <w:t>to inclusive governance.</w:t>
      </w:r>
    </w:p>
    <w:p w14:paraId="3C61A319" w14:textId="14C69634" w:rsidR="00091D10" w:rsidRPr="0070536A" w:rsidRDefault="00891C4E" w:rsidP="00091D10">
      <w:pPr>
        <w:pStyle w:val="ListParagraph"/>
        <w:numPr>
          <w:ilvl w:val="0"/>
          <w:numId w:val="62"/>
        </w:numPr>
        <w:tabs>
          <w:tab w:val="left" w:pos="1276"/>
        </w:tabs>
        <w:spacing w:after="120"/>
        <w:ind w:left="851" w:right="713" w:firstLine="0"/>
        <w:jc w:val="both"/>
        <w:rPr>
          <w:lang w:val="en-GB"/>
        </w:rPr>
      </w:pPr>
      <w:r w:rsidRPr="0070536A">
        <w:rPr>
          <w:lang w:val="en-GB"/>
        </w:rPr>
        <w:t>Inspired by</w:t>
      </w:r>
      <w:r w:rsidR="00091D10" w:rsidRPr="0070536A">
        <w:rPr>
          <w:lang w:val="en-GB"/>
        </w:rPr>
        <w:t xml:space="preserve"> the UNDP Governance System for Latin America and the Caribbean (SIGOB), the programme will leverage digital solutions to strengthen public sector management and administration systems for greater efficiency and transparency in financial flows and accountability. Extending digital platforms for e-governance will enhance access to government products and services, particularly for business</w:t>
      </w:r>
      <w:r w:rsidRPr="0070536A">
        <w:rPr>
          <w:lang w:val="en-GB"/>
        </w:rPr>
        <w:t xml:space="preserve"> managers</w:t>
      </w:r>
      <w:r w:rsidR="00091D10" w:rsidRPr="0070536A">
        <w:rPr>
          <w:lang w:val="en-GB"/>
        </w:rPr>
        <w:t>, women and youth, people</w:t>
      </w:r>
      <w:r w:rsidRPr="0070536A">
        <w:rPr>
          <w:lang w:val="en-GB"/>
        </w:rPr>
        <w:t xml:space="preserve"> living</w:t>
      </w:r>
      <w:r w:rsidR="00091D10" w:rsidRPr="0070536A">
        <w:rPr>
          <w:lang w:val="en-GB"/>
        </w:rPr>
        <w:t xml:space="preserve"> with disabilities, and marginali</w:t>
      </w:r>
      <w:r w:rsidRPr="0070536A">
        <w:rPr>
          <w:lang w:val="en-GB"/>
        </w:rPr>
        <w:t>z</w:t>
      </w:r>
      <w:r w:rsidR="00091D10" w:rsidRPr="0070536A">
        <w:rPr>
          <w:lang w:val="en-GB"/>
        </w:rPr>
        <w:t>ed populations.</w:t>
      </w:r>
      <w:r w:rsidRPr="0070536A">
        <w:rPr>
          <w:lang w:val="en-GB"/>
        </w:rPr>
        <w:t xml:space="preserve"> Supporting</w:t>
      </w:r>
      <w:r w:rsidR="00091D10" w:rsidRPr="0070536A">
        <w:rPr>
          <w:lang w:val="en-GB"/>
        </w:rPr>
        <w:t xml:space="preserve"> the roll-out of the Digital Health Information System (DHISII) </w:t>
      </w:r>
      <w:r w:rsidRPr="0070536A">
        <w:rPr>
          <w:lang w:val="en-GB"/>
        </w:rPr>
        <w:t xml:space="preserve">will </w:t>
      </w:r>
      <w:r w:rsidR="00091D10" w:rsidRPr="0070536A">
        <w:rPr>
          <w:lang w:val="en-GB"/>
        </w:rPr>
        <w:t>improve data and stock management, access to medical consultations</w:t>
      </w:r>
      <w:r w:rsidRPr="0070536A">
        <w:rPr>
          <w:lang w:val="en-GB"/>
        </w:rPr>
        <w:t>,</w:t>
      </w:r>
      <w:r w:rsidR="00091D10" w:rsidRPr="0070536A">
        <w:rPr>
          <w:lang w:val="en-GB"/>
        </w:rPr>
        <w:t xml:space="preserve"> and enhance the procurement and distribution of </w:t>
      </w:r>
      <w:r w:rsidRPr="0070536A">
        <w:rPr>
          <w:lang w:val="en-GB"/>
        </w:rPr>
        <w:t>antiretroviral</w:t>
      </w:r>
      <w:r w:rsidR="00272D73" w:rsidRPr="0070536A">
        <w:rPr>
          <w:lang w:val="en-GB"/>
        </w:rPr>
        <w:t>s (</w:t>
      </w:r>
      <w:r w:rsidR="00091D10" w:rsidRPr="0070536A">
        <w:rPr>
          <w:lang w:val="en-GB"/>
        </w:rPr>
        <w:t>ARVs</w:t>
      </w:r>
      <w:r w:rsidR="00272D73" w:rsidRPr="0070536A">
        <w:rPr>
          <w:lang w:val="en-GB"/>
        </w:rPr>
        <w:t>)</w:t>
      </w:r>
      <w:r w:rsidR="00091D10" w:rsidRPr="0070536A">
        <w:rPr>
          <w:lang w:val="en-GB"/>
        </w:rPr>
        <w:t xml:space="preserve">, condoms and </w:t>
      </w:r>
      <w:r w:rsidR="00272D73" w:rsidRPr="0070536A">
        <w:rPr>
          <w:lang w:val="en-GB"/>
        </w:rPr>
        <w:t xml:space="preserve">informational </w:t>
      </w:r>
      <w:r w:rsidR="00091D10" w:rsidRPr="0070536A">
        <w:rPr>
          <w:lang w:val="en-GB"/>
        </w:rPr>
        <w:t>material on HIV</w:t>
      </w:r>
      <w:r w:rsidR="00272D73" w:rsidRPr="0070536A">
        <w:rPr>
          <w:lang w:val="en-GB"/>
        </w:rPr>
        <w:t>/AIDS</w:t>
      </w:r>
      <w:r w:rsidR="00091D10" w:rsidRPr="0070536A">
        <w:rPr>
          <w:lang w:val="en-GB"/>
        </w:rPr>
        <w:t xml:space="preserve">. </w:t>
      </w:r>
      <w:r w:rsidR="00272D73" w:rsidRPr="0070536A">
        <w:rPr>
          <w:lang w:val="en-GB"/>
        </w:rPr>
        <w:t xml:space="preserve">Improving </w:t>
      </w:r>
      <w:r w:rsidR="00091D10" w:rsidRPr="0070536A">
        <w:rPr>
          <w:lang w:val="en-GB"/>
        </w:rPr>
        <w:t xml:space="preserve">the interoperability of the </w:t>
      </w:r>
      <w:r w:rsidR="00272D73" w:rsidRPr="0070536A">
        <w:rPr>
          <w:lang w:val="en-GB"/>
        </w:rPr>
        <w:t>s</w:t>
      </w:r>
      <w:r w:rsidR="00091D10" w:rsidRPr="0070536A">
        <w:rPr>
          <w:lang w:val="en-GB"/>
        </w:rPr>
        <w:t xml:space="preserve">ocial </w:t>
      </w:r>
      <w:r w:rsidR="00272D73" w:rsidRPr="0070536A">
        <w:rPr>
          <w:lang w:val="en-GB"/>
        </w:rPr>
        <w:t>p</w:t>
      </w:r>
      <w:r w:rsidR="00091D10" w:rsidRPr="0070536A">
        <w:rPr>
          <w:lang w:val="en-GB"/>
        </w:rPr>
        <w:t xml:space="preserve">rotection </w:t>
      </w:r>
      <w:r w:rsidR="00272D73" w:rsidRPr="0070536A">
        <w:rPr>
          <w:lang w:val="en-GB"/>
        </w:rPr>
        <w:t>s</w:t>
      </w:r>
      <w:r w:rsidR="00091D10" w:rsidRPr="0070536A">
        <w:rPr>
          <w:lang w:val="en-GB"/>
        </w:rPr>
        <w:t xml:space="preserve">ystem will enable effective targeting of poor and vulnerable groups by providing disaggregated data on beneficiaries. The introduction of e-justice services will initiate a transformative process for making justice rapid, integrated, resilient, gender-sensitive, human rights-based and inclusive. </w:t>
      </w:r>
    </w:p>
    <w:p w14:paraId="08BADB8A" w14:textId="41032F19" w:rsidR="00091D10" w:rsidRPr="0070536A" w:rsidRDefault="00091D10" w:rsidP="00091D10">
      <w:pPr>
        <w:pStyle w:val="ListParagraph"/>
        <w:numPr>
          <w:ilvl w:val="0"/>
          <w:numId w:val="62"/>
        </w:numPr>
        <w:tabs>
          <w:tab w:val="left" w:pos="1276"/>
        </w:tabs>
        <w:spacing w:after="120"/>
        <w:ind w:left="851" w:right="713" w:firstLine="0"/>
        <w:jc w:val="both"/>
        <w:rPr>
          <w:lang w:val="en-GB"/>
        </w:rPr>
      </w:pPr>
      <w:r w:rsidRPr="0070536A">
        <w:rPr>
          <w:lang w:val="en-GB"/>
        </w:rPr>
        <w:t xml:space="preserve">The programme will support the implementation of the </w:t>
      </w:r>
      <w:r w:rsidR="00272D73" w:rsidRPr="0070536A">
        <w:rPr>
          <w:lang w:val="en-GB"/>
        </w:rPr>
        <w:t>m</w:t>
      </w:r>
      <w:r w:rsidRPr="0070536A">
        <w:rPr>
          <w:lang w:val="en-GB"/>
        </w:rPr>
        <w:t xml:space="preserve">inisterial protocol on </w:t>
      </w:r>
      <w:r w:rsidR="00272D73" w:rsidRPr="0070536A">
        <w:rPr>
          <w:lang w:val="en-GB"/>
        </w:rPr>
        <w:t>GBV</w:t>
      </w:r>
      <w:r w:rsidRPr="0070536A">
        <w:rPr>
          <w:lang w:val="en-GB"/>
        </w:rPr>
        <w:t xml:space="preserve"> and the development of integrated systems and services for </w:t>
      </w:r>
      <w:r w:rsidR="00272D73" w:rsidRPr="0070536A">
        <w:rPr>
          <w:lang w:val="en-GB"/>
        </w:rPr>
        <w:t>survivors</w:t>
      </w:r>
      <w:r w:rsidRPr="0070536A">
        <w:rPr>
          <w:lang w:val="en-GB"/>
        </w:rPr>
        <w:t xml:space="preserve"> of sexual and gender-based violence</w:t>
      </w:r>
      <w:r w:rsidR="00272D73" w:rsidRPr="0070536A">
        <w:rPr>
          <w:lang w:val="en-GB"/>
        </w:rPr>
        <w:t xml:space="preserve"> (SGBV)</w:t>
      </w:r>
      <w:r w:rsidRPr="0070536A">
        <w:rPr>
          <w:lang w:val="en-GB"/>
        </w:rPr>
        <w:t xml:space="preserve">. </w:t>
      </w:r>
      <w:r w:rsidR="00272D73" w:rsidRPr="0070536A">
        <w:rPr>
          <w:lang w:val="en-GB"/>
        </w:rPr>
        <w:t>By working closely with</w:t>
      </w:r>
      <w:r w:rsidRPr="0070536A">
        <w:rPr>
          <w:lang w:val="en-GB"/>
        </w:rPr>
        <w:t xml:space="preserve"> CSOs</w:t>
      </w:r>
      <w:r w:rsidR="00272D73" w:rsidRPr="0070536A">
        <w:rPr>
          <w:lang w:val="en-GB"/>
        </w:rPr>
        <w:t>, UNDP</w:t>
      </w:r>
      <w:r w:rsidRPr="0070536A">
        <w:rPr>
          <w:lang w:val="en-GB"/>
        </w:rPr>
        <w:t xml:space="preserve"> will</w:t>
      </w:r>
      <w:r w:rsidR="00272D73" w:rsidRPr="0070536A">
        <w:rPr>
          <w:lang w:val="en-GB"/>
        </w:rPr>
        <w:t xml:space="preserve"> help</w:t>
      </w:r>
      <w:r w:rsidRPr="0070536A">
        <w:rPr>
          <w:lang w:val="en-GB"/>
        </w:rPr>
        <w:t xml:space="preserve"> raise awareness </w:t>
      </w:r>
      <w:r w:rsidR="00272D73" w:rsidRPr="0070536A">
        <w:rPr>
          <w:lang w:val="en-GB"/>
        </w:rPr>
        <w:t xml:space="preserve">on </w:t>
      </w:r>
      <w:r w:rsidRPr="0070536A">
        <w:rPr>
          <w:lang w:val="en-GB"/>
        </w:rPr>
        <w:t xml:space="preserve">gender equality, women's rights, sexual and gender-based violence and other </w:t>
      </w:r>
      <w:r w:rsidR="00272D73" w:rsidRPr="0070536A">
        <w:rPr>
          <w:lang w:val="en-GB"/>
        </w:rPr>
        <w:t xml:space="preserve">forms </w:t>
      </w:r>
      <w:r w:rsidRPr="0070536A">
        <w:rPr>
          <w:lang w:val="en-GB"/>
        </w:rPr>
        <w:t xml:space="preserve">of discrimination. </w:t>
      </w:r>
      <w:r w:rsidR="00272D73" w:rsidRPr="0070536A">
        <w:rPr>
          <w:lang w:val="en-GB"/>
        </w:rPr>
        <w:t>With the support of</w:t>
      </w:r>
      <w:r w:rsidR="00D22CFE" w:rsidRPr="0070536A">
        <w:rPr>
          <w:lang w:val="en-GB"/>
        </w:rPr>
        <w:t xml:space="preserve"> </w:t>
      </w:r>
      <w:r w:rsidR="006A286C" w:rsidRPr="0070536A">
        <w:rPr>
          <w:lang w:val="en-GB"/>
        </w:rPr>
        <w:t xml:space="preserve">the </w:t>
      </w:r>
      <w:r w:rsidR="00D22CFE" w:rsidRPr="0070536A">
        <w:rPr>
          <w:lang w:val="en-GB"/>
        </w:rPr>
        <w:t>United States Agency for International Development</w:t>
      </w:r>
      <w:r w:rsidRPr="0070536A">
        <w:rPr>
          <w:lang w:val="en-GB"/>
        </w:rPr>
        <w:t xml:space="preserve"> </w:t>
      </w:r>
      <w:r w:rsidR="00B36531" w:rsidRPr="0070536A">
        <w:rPr>
          <w:lang w:val="en-GB"/>
        </w:rPr>
        <w:t>(</w:t>
      </w:r>
      <w:r w:rsidRPr="0070536A">
        <w:rPr>
          <w:lang w:val="en-GB"/>
        </w:rPr>
        <w:t>USAID</w:t>
      </w:r>
      <w:r w:rsidR="00B36531" w:rsidRPr="0070536A">
        <w:rPr>
          <w:lang w:val="en-GB"/>
        </w:rPr>
        <w:t>)</w:t>
      </w:r>
      <w:r w:rsidR="00272D73" w:rsidRPr="0070536A">
        <w:rPr>
          <w:lang w:val="en-GB"/>
        </w:rPr>
        <w:t xml:space="preserve"> and </w:t>
      </w:r>
      <w:r w:rsidR="006A286C" w:rsidRPr="0070536A">
        <w:rPr>
          <w:shd w:val="clear" w:color="auto" w:fill="FFFFFF"/>
          <w:lang w:val="en-GB"/>
        </w:rPr>
        <w:t>United Nations country team</w:t>
      </w:r>
      <w:r w:rsidRPr="0070536A">
        <w:rPr>
          <w:lang w:val="en-GB"/>
        </w:rPr>
        <w:t xml:space="preserve">, UNDP will improve </w:t>
      </w:r>
      <w:r w:rsidR="00327FB4" w:rsidRPr="0070536A">
        <w:rPr>
          <w:lang w:val="en-GB"/>
        </w:rPr>
        <w:t>g</w:t>
      </w:r>
      <w:r w:rsidRPr="0070536A">
        <w:rPr>
          <w:lang w:val="en-GB"/>
        </w:rPr>
        <w:t>overnment capacity to organi</w:t>
      </w:r>
      <w:r w:rsidR="00327FB4" w:rsidRPr="0070536A">
        <w:rPr>
          <w:lang w:val="en-GB"/>
        </w:rPr>
        <w:t>z</w:t>
      </w:r>
      <w:r w:rsidRPr="0070536A">
        <w:rPr>
          <w:lang w:val="en-GB"/>
        </w:rPr>
        <w:t>e and respond to the universal periodic review of justice and human rights.</w:t>
      </w:r>
    </w:p>
    <w:p w14:paraId="0384EE5D" w14:textId="379AE6D2" w:rsidR="00091D10" w:rsidRPr="0070536A" w:rsidRDefault="00327FB4" w:rsidP="00091D10">
      <w:pPr>
        <w:pStyle w:val="ListParagraph"/>
        <w:numPr>
          <w:ilvl w:val="0"/>
          <w:numId w:val="62"/>
        </w:numPr>
        <w:tabs>
          <w:tab w:val="left" w:pos="1276"/>
        </w:tabs>
        <w:spacing w:after="120"/>
        <w:ind w:left="851" w:right="714" w:firstLine="0"/>
        <w:jc w:val="both"/>
        <w:rPr>
          <w:lang w:val="en-GB"/>
        </w:rPr>
      </w:pPr>
      <w:bookmarkStart w:id="11" w:name="_Hlk129774965"/>
      <w:r w:rsidRPr="0070536A">
        <w:rPr>
          <w:lang w:val="en-GB"/>
        </w:rPr>
        <w:t>The</w:t>
      </w:r>
      <w:r w:rsidR="00091D10" w:rsidRPr="0070536A">
        <w:rPr>
          <w:lang w:val="en-GB"/>
        </w:rPr>
        <w:t xml:space="preserve"> Ministry for Youth</w:t>
      </w:r>
      <w:r w:rsidRPr="0070536A">
        <w:rPr>
          <w:lang w:val="en-GB"/>
        </w:rPr>
        <w:t xml:space="preserve">, </w:t>
      </w:r>
      <w:r w:rsidR="00091D10" w:rsidRPr="0070536A">
        <w:rPr>
          <w:lang w:val="en-GB"/>
        </w:rPr>
        <w:t xml:space="preserve">Embassy of Japan, </w:t>
      </w:r>
      <w:r w:rsidRPr="0070536A">
        <w:rPr>
          <w:lang w:val="en-GB"/>
        </w:rPr>
        <w:t>and UNDP will</w:t>
      </w:r>
      <w:r w:rsidR="00091D10" w:rsidRPr="0070536A">
        <w:rPr>
          <w:lang w:val="en-GB"/>
        </w:rPr>
        <w:t xml:space="preserve"> support the </w:t>
      </w:r>
      <w:bookmarkEnd w:id="11"/>
      <w:r w:rsidR="00091D10" w:rsidRPr="0070536A">
        <w:rPr>
          <w:lang w:val="en-GB"/>
        </w:rPr>
        <w:t>elaboration of a National Youth Strategy and creation of a representative National Youth Council to amplify the voice</w:t>
      </w:r>
      <w:r w:rsidRPr="0070536A">
        <w:rPr>
          <w:lang w:val="en-GB"/>
        </w:rPr>
        <w:t>s</w:t>
      </w:r>
      <w:r w:rsidR="00091D10" w:rsidRPr="0070536A">
        <w:rPr>
          <w:lang w:val="en-GB"/>
        </w:rPr>
        <w:t xml:space="preserve"> of young people</w:t>
      </w:r>
      <w:r w:rsidRPr="0070536A">
        <w:rPr>
          <w:lang w:val="en-GB"/>
        </w:rPr>
        <w:t xml:space="preserve"> and create safe spaces for dialogue</w:t>
      </w:r>
      <w:r w:rsidR="00091D10" w:rsidRPr="0070536A">
        <w:rPr>
          <w:lang w:val="en-GB"/>
        </w:rPr>
        <w:t xml:space="preserve">, especially </w:t>
      </w:r>
      <w:r w:rsidRPr="0070536A">
        <w:rPr>
          <w:lang w:val="en-GB"/>
        </w:rPr>
        <w:t xml:space="preserve">for </w:t>
      </w:r>
      <w:r w:rsidR="00091D10" w:rsidRPr="0070536A">
        <w:rPr>
          <w:lang w:val="en-GB"/>
        </w:rPr>
        <w:t xml:space="preserve">young women and </w:t>
      </w:r>
      <w:r w:rsidRPr="0070536A">
        <w:rPr>
          <w:lang w:val="en-GB"/>
        </w:rPr>
        <w:t xml:space="preserve">those from </w:t>
      </w:r>
      <w:r w:rsidR="00091D10" w:rsidRPr="0070536A">
        <w:rPr>
          <w:lang w:val="en-GB"/>
        </w:rPr>
        <w:t>excluded and vulnerable groups. In coordination with</w:t>
      </w:r>
      <w:r w:rsidR="00C10FE7" w:rsidRPr="0070536A">
        <w:rPr>
          <w:lang w:val="en-GB"/>
        </w:rPr>
        <w:t xml:space="preserve"> United Nations International Children's Emergency Fund</w:t>
      </w:r>
      <w:r w:rsidR="00091D10" w:rsidRPr="0070536A">
        <w:rPr>
          <w:lang w:val="en-GB"/>
        </w:rPr>
        <w:t xml:space="preserve"> </w:t>
      </w:r>
      <w:r w:rsidR="00C10FE7" w:rsidRPr="0070536A">
        <w:rPr>
          <w:lang w:val="en-GB"/>
        </w:rPr>
        <w:t>(</w:t>
      </w:r>
      <w:r w:rsidR="00091D10" w:rsidRPr="0070536A">
        <w:rPr>
          <w:lang w:val="en-GB"/>
        </w:rPr>
        <w:t>UNICEF</w:t>
      </w:r>
      <w:r w:rsidR="00C10FE7" w:rsidRPr="0070536A">
        <w:rPr>
          <w:lang w:val="en-GB"/>
        </w:rPr>
        <w:t>)</w:t>
      </w:r>
      <w:r w:rsidR="00091D10" w:rsidRPr="0070536A">
        <w:rPr>
          <w:lang w:val="en-GB"/>
        </w:rPr>
        <w:t xml:space="preserve"> and </w:t>
      </w:r>
      <w:r w:rsidR="00B4135D" w:rsidRPr="0070536A">
        <w:rPr>
          <w:lang w:val="en-GB"/>
        </w:rPr>
        <w:t>United Nations Population Fund</w:t>
      </w:r>
      <w:r w:rsidR="00F75E45" w:rsidRPr="0070536A">
        <w:rPr>
          <w:lang w:val="en-GB"/>
        </w:rPr>
        <w:t xml:space="preserve"> </w:t>
      </w:r>
      <w:r w:rsidR="00B4135D" w:rsidRPr="0070536A">
        <w:rPr>
          <w:lang w:val="en-GB"/>
        </w:rPr>
        <w:t>(</w:t>
      </w:r>
      <w:r w:rsidR="00091D10" w:rsidRPr="0070536A">
        <w:rPr>
          <w:lang w:val="en-GB"/>
        </w:rPr>
        <w:t>UNFPA</w:t>
      </w:r>
      <w:r w:rsidR="00B4135D" w:rsidRPr="0070536A">
        <w:rPr>
          <w:lang w:val="en-GB"/>
        </w:rPr>
        <w:t>)</w:t>
      </w:r>
      <w:r w:rsidR="00091D10" w:rsidRPr="0070536A">
        <w:rPr>
          <w:lang w:val="en-GB"/>
        </w:rPr>
        <w:t xml:space="preserve">, strategic alliances will </w:t>
      </w:r>
      <w:r w:rsidR="00CB2517" w:rsidRPr="0070536A">
        <w:rPr>
          <w:lang w:val="en-GB"/>
        </w:rPr>
        <w:t xml:space="preserve">be established to </w:t>
      </w:r>
      <w:r w:rsidR="00091D10" w:rsidRPr="0070536A">
        <w:rPr>
          <w:lang w:val="en-GB"/>
        </w:rPr>
        <w:t xml:space="preserve">raise young people’s awareness of </w:t>
      </w:r>
      <w:r w:rsidR="00CB2517" w:rsidRPr="0070536A">
        <w:rPr>
          <w:lang w:val="en-GB"/>
        </w:rPr>
        <w:t xml:space="preserve">sexual and reproductive health </w:t>
      </w:r>
      <w:r w:rsidR="00091D10" w:rsidRPr="0070536A">
        <w:rPr>
          <w:lang w:val="en-GB"/>
        </w:rPr>
        <w:t xml:space="preserve">and social and behavioural change </w:t>
      </w:r>
      <w:r w:rsidR="00CB2517" w:rsidRPr="0070536A">
        <w:rPr>
          <w:lang w:val="en-GB"/>
        </w:rPr>
        <w:t xml:space="preserve">measures </w:t>
      </w:r>
      <w:r w:rsidR="00091D10" w:rsidRPr="0070536A">
        <w:rPr>
          <w:lang w:val="en-GB"/>
        </w:rPr>
        <w:t xml:space="preserve">to combat deeply rooted gender-based </w:t>
      </w:r>
      <w:r w:rsidR="00CB2517" w:rsidRPr="0070536A">
        <w:rPr>
          <w:lang w:val="en-GB"/>
        </w:rPr>
        <w:t xml:space="preserve">norms, </w:t>
      </w:r>
      <w:r w:rsidR="00091D10" w:rsidRPr="0070536A">
        <w:rPr>
          <w:lang w:val="en-GB"/>
        </w:rPr>
        <w:t xml:space="preserve">discrimination and violence. Working with </w:t>
      </w:r>
      <w:r w:rsidR="00CB2517" w:rsidRPr="0070536A">
        <w:rPr>
          <w:lang w:val="en-GB"/>
        </w:rPr>
        <w:t>CSOs</w:t>
      </w:r>
      <w:r w:rsidR="00091D10" w:rsidRPr="0070536A">
        <w:rPr>
          <w:lang w:val="en-GB"/>
        </w:rPr>
        <w:t xml:space="preserve"> and NGOs</w:t>
      </w:r>
      <w:r w:rsidR="00CB2517" w:rsidRPr="0070536A">
        <w:rPr>
          <w:lang w:val="en-GB"/>
        </w:rPr>
        <w:t xml:space="preserve"> to encourage </w:t>
      </w:r>
      <w:r w:rsidR="00091D10" w:rsidRPr="0070536A">
        <w:rPr>
          <w:lang w:val="en-GB"/>
        </w:rPr>
        <w:t>volunteerism</w:t>
      </w:r>
      <w:r w:rsidR="00CB2517" w:rsidRPr="0070536A">
        <w:rPr>
          <w:lang w:val="en-GB"/>
        </w:rPr>
        <w:t xml:space="preserve"> and use of innovative techniques</w:t>
      </w:r>
      <w:r w:rsidR="00091D10" w:rsidRPr="0070536A">
        <w:rPr>
          <w:lang w:val="en-GB"/>
        </w:rPr>
        <w:t xml:space="preserve">, the programme will empower young people by engaging them in </w:t>
      </w:r>
      <w:r w:rsidR="00CB2517" w:rsidRPr="0070536A">
        <w:rPr>
          <w:lang w:val="en-GB"/>
        </w:rPr>
        <w:t>national</w:t>
      </w:r>
      <w:r w:rsidR="00091D10" w:rsidRPr="0070536A">
        <w:rPr>
          <w:lang w:val="en-GB"/>
        </w:rPr>
        <w:t xml:space="preserve"> development challenges. </w:t>
      </w:r>
      <w:r w:rsidR="00CB2517" w:rsidRPr="0070536A">
        <w:rPr>
          <w:lang w:val="en-GB"/>
        </w:rPr>
        <w:t>S</w:t>
      </w:r>
      <w:r w:rsidR="00091D10" w:rsidRPr="0070536A">
        <w:rPr>
          <w:lang w:val="en-GB"/>
        </w:rPr>
        <w:t>outh-</w:t>
      </w:r>
      <w:r w:rsidR="00CB2517" w:rsidRPr="0070536A">
        <w:rPr>
          <w:lang w:val="en-GB"/>
        </w:rPr>
        <w:t>S</w:t>
      </w:r>
      <w:r w:rsidR="00091D10" w:rsidRPr="0070536A">
        <w:rPr>
          <w:lang w:val="en-GB"/>
        </w:rPr>
        <w:t xml:space="preserve">outh cooperation with </w:t>
      </w:r>
      <w:r w:rsidR="00CB2517" w:rsidRPr="0070536A">
        <w:rPr>
          <w:lang w:val="en-GB"/>
        </w:rPr>
        <w:t xml:space="preserve">stakeholders from </w:t>
      </w:r>
      <w:r w:rsidR="00091D10" w:rsidRPr="0070536A">
        <w:rPr>
          <w:lang w:val="en-GB"/>
        </w:rPr>
        <w:t>Cabo Verde</w:t>
      </w:r>
      <w:r w:rsidR="00CB2517" w:rsidRPr="0070536A">
        <w:rPr>
          <w:lang w:val="en-GB"/>
        </w:rPr>
        <w:t xml:space="preserve"> </w:t>
      </w:r>
      <w:r w:rsidR="00091D10" w:rsidRPr="0070536A">
        <w:rPr>
          <w:lang w:val="en-GB"/>
        </w:rPr>
        <w:t xml:space="preserve">will support the development of a Youth Challenge Initiative </w:t>
      </w:r>
      <w:r w:rsidR="00CD4E3E" w:rsidRPr="0070536A">
        <w:rPr>
          <w:lang w:val="en-GB"/>
        </w:rPr>
        <w:t xml:space="preserve">that brings </w:t>
      </w:r>
      <w:r w:rsidR="00091D10" w:rsidRPr="0070536A">
        <w:rPr>
          <w:lang w:val="en-GB"/>
        </w:rPr>
        <w:t>together government, business</w:t>
      </w:r>
      <w:r w:rsidR="00CD4E3E" w:rsidRPr="0070536A">
        <w:rPr>
          <w:lang w:val="en-GB"/>
        </w:rPr>
        <w:t>es</w:t>
      </w:r>
      <w:r w:rsidR="00091D10" w:rsidRPr="0070536A">
        <w:rPr>
          <w:lang w:val="en-GB"/>
        </w:rPr>
        <w:t>, and academi</w:t>
      </w:r>
      <w:r w:rsidR="00CD4E3E" w:rsidRPr="0070536A">
        <w:rPr>
          <w:lang w:val="en-GB"/>
        </w:rPr>
        <w:t>c partners</w:t>
      </w:r>
      <w:r w:rsidR="00091D10" w:rsidRPr="0070536A">
        <w:rPr>
          <w:lang w:val="en-GB"/>
        </w:rPr>
        <w:t xml:space="preserve"> to build </w:t>
      </w:r>
      <w:r w:rsidR="00CD4E3E" w:rsidRPr="0070536A">
        <w:rPr>
          <w:lang w:val="en-GB"/>
        </w:rPr>
        <w:t xml:space="preserve">the </w:t>
      </w:r>
      <w:r w:rsidR="00091D10" w:rsidRPr="0070536A">
        <w:rPr>
          <w:lang w:val="en-GB"/>
        </w:rPr>
        <w:t xml:space="preserve">capacity </w:t>
      </w:r>
      <w:r w:rsidR="00CD4E3E" w:rsidRPr="0070536A">
        <w:rPr>
          <w:lang w:val="en-GB"/>
        </w:rPr>
        <w:t xml:space="preserve">of students to design </w:t>
      </w:r>
      <w:r w:rsidR="00091D10" w:rsidRPr="0070536A">
        <w:rPr>
          <w:lang w:val="en-GB"/>
        </w:rPr>
        <w:t>products, business ideas and innovative, community-based solutions for SDG acceleration.</w:t>
      </w:r>
    </w:p>
    <w:bookmarkEnd w:id="8"/>
    <w:p w14:paraId="1DB9263A" w14:textId="3CFAB52E" w:rsidR="00091D10" w:rsidRPr="0070536A" w:rsidRDefault="00091D10" w:rsidP="00091D10">
      <w:pPr>
        <w:pStyle w:val="Heading1"/>
        <w:numPr>
          <w:ilvl w:val="0"/>
          <w:numId w:val="55"/>
        </w:numPr>
        <w:tabs>
          <w:tab w:val="left" w:pos="851"/>
        </w:tabs>
        <w:ind w:left="1418" w:right="714" w:hanging="1134"/>
        <w:jc w:val="both"/>
        <w:rPr>
          <w:rFonts w:ascii="Times New Roman" w:hAnsi="Times New Roman"/>
          <w:color w:val="000000"/>
          <w:szCs w:val="28"/>
          <w:lang w:val="en-GB"/>
        </w:rPr>
      </w:pPr>
      <w:r w:rsidRPr="0070536A">
        <w:rPr>
          <w:rFonts w:ascii="Times New Roman" w:hAnsi="Times New Roman"/>
          <w:color w:val="000000" w:themeColor="text1"/>
          <w:szCs w:val="28"/>
          <w:lang w:val="en-GB"/>
        </w:rPr>
        <w:lastRenderedPageBreak/>
        <w:t xml:space="preserve">Programme and </w:t>
      </w:r>
      <w:r w:rsidR="00891C4E" w:rsidRPr="0070536A">
        <w:rPr>
          <w:rFonts w:ascii="Times New Roman" w:hAnsi="Times New Roman"/>
          <w:color w:val="000000" w:themeColor="text1"/>
          <w:szCs w:val="28"/>
          <w:lang w:val="en-GB"/>
        </w:rPr>
        <w:t>r</w:t>
      </w:r>
      <w:r w:rsidRPr="0070536A">
        <w:rPr>
          <w:rFonts w:ascii="Times New Roman" w:hAnsi="Times New Roman"/>
          <w:color w:val="000000" w:themeColor="text1"/>
          <w:szCs w:val="28"/>
          <w:lang w:val="en-GB"/>
        </w:rPr>
        <w:t xml:space="preserve">isk </w:t>
      </w:r>
      <w:r w:rsidR="00891C4E" w:rsidRPr="0070536A">
        <w:rPr>
          <w:rFonts w:ascii="Times New Roman" w:hAnsi="Times New Roman"/>
          <w:color w:val="000000" w:themeColor="text1"/>
          <w:szCs w:val="28"/>
          <w:lang w:val="en-GB"/>
        </w:rPr>
        <w:t>m</w:t>
      </w:r>
      <w:r w:rsidRPr="0070536A">
        <w:rPr>
          <w:rFonts w:ascii="Times New Roman" w:hAnsi="Times New Roman"/>
          <w:color w:val="000000" w:themeColor="text1"/>
          <w:szCs w:val="28"/>
          <w:lang w:val="en-GB"/>
        </w:rPr>
        <w:t xml:space="preserve">anagement </w:t>
      </w:r>
    </w:p>
    <w:p w14:paraId="77E7BDC9" w14:textId="77777777" w:rsidR="00091D10" w:rsidRPr="0070536A" w:rsidRDefault="00091D10" w:rsidP="00091D10">
      <w:pPr>
        <w:pStyle w:val="ListParagraph"/>
        <w:tabs>
          <w:tab w:val="left" w:pos="1276"/>
        </w:tabs>
        <w:ind w:left="851" w:right="714"/>
        <w:jc w:val="both"/>
        <w:rPr>
          <w:lang w:val="en-GB" w:eastAsia="x-none"/>
        </w:rPr>
      </w:pPr>
    </w:p>
    <w:p w14:paraId="62FC3AA3" w14:textId="025D1FB2" w:rsidR="00091D10" w:rsidRPr="0070536A" w:rsidRDefault="00091D10" w:rsidP="00091D10">
      <w:pPr>
        <w:pStyle w:val="ListParagraph"/>
        <w:numPr>
          <w:ilvl w:val="0"/>
          <w:numId w:val="62"/>
        </w:numPr>
        <w:tabs>
          <w:tab w:val="left" w:pos="1276"/>
        </w:tabs>
        <w:spacing w:after="120"/>
        <w:ind w:left="851" w:right="713" w:firstLine="0"/>
        <w:jc w:val="both"/>
        <w:rPr>
          <w:lang w:val="en-GB" w:eastAsia="x-none"/>
        </w:rPr>
      </w:pPr>
      <w:r w:rsidRPr="0070536A">
        <w:rPr>
          <w:lang w:val="en-GB" w:eastAsia="x-none"/>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Programme and Operations Policies and Procedures and Internal Control Framework.</w:t>
      </w:r>
    </w:p>
    <w:p w14:paraId="01626891" w14:textId="178BFFF9" w:rsidR="00091D10" w:rsidRPr="0070536A" w:rsidRDefault="00091D10" w:rsidP="00091D10">
      <w:pPr>
        <w:pStyle w:val="ListParagraph"/>
        <w:numPr>
          <w:ilvl w:val="0"/>
          <w:numId w:val="62"/>
        </w:numPr>
        <w:tabs>
          <w:tab w:val="left" w:pos="1276"/>
        </w:tabs>
        <w:spacing w:after="120"/>
        <w:ind w:left="851" w:right="713" w:firstLine="0"/>
        <w:jc w:val="both"/>
        <w:rPr>
          <w:lang w:val="en-GB" w:eastAsia="x-none"/>
        </w:rPr>
      </w:pPr>
      <w:r w:rsidRPr="0070536A">
        <w:rPr>
          <w:lang w:val="en-GB" w:eastAsia="x-none"/>
        </w:rPr>
        <w:t xml:space="preserve">The programme will be nationally executed. If necessary, national execution may be replaced by direct execution for part or </w:t>
      </w:r>
      <w:r w:rsidR="00204C3A" w:rsidRPr="0070536A">
        <w:rPr>
          <w:lang w:val="en-GB" w:eastAsia="x-none"/>
        </w:rPr>
        <w:t>all</w:t>
      </w:r>
      <w:r w:rsidRPr="0070536A">
        <w:rPr>
          <w:lang w:val="en-GB" w:eastAsia="x-none"/>
        </w:rPr>
        <w:t xml:space="preserve"> the programme in response to </w:t>
      </w:r>
      <w:r w:rsidRPr="0070536A">
        <w:rPr>
          <w:i/>
          <w:iCs/>
          <w:lang w:val="en-GB" w:eastAsia="x-none"/>
        </w:rPr>
        <w:t>force majeure</w:t>
      </w:r>
      <w:r w:rsidRPr="0070536A">
        <w:rPr>
          <w:lang w:val="en-GB" w:eastAsia="x-none"/>
        </w:rPr>
        <w:t xml:space="preserve">. The </w:t>
      </w:r>
      <w:r w:rsidR="007C746F" w:rsidRPr="0070536A">
        <w:rPr>
          <w:lang w:val="en-GB" w:eastAsia="x-none"/>
        </w:rPr>
        <w:t>h</w:t>
      </w:r>
      <w:r w:rsidRPr="0070536A">
        <w:rPr>
          <w:lang w:val="en-GB" w:eastAsia="x-none"/>
        </w:rPr>
        <w:t>armoni</w:t>
      </w:r>
      <w:r w:rsidR="007C746F" w:rsidRPr="0070536A">
        <w:rPr>
          <w:lang w:val="en-GB" w:eastAsia="x-none"/>
        </w:rPr>
        <w:t>z</w:t>
      </w:r>
      <w:r w:rsidRPr="0070536A">
        <w:rPr>
          <w:lang w:val="en-GB" w:eastAsia="x-none"/>
        </w:rPr>
        <w:t xml:space="preserve">ed </w:t>
      </w:r>
      <w:r w:rsidR="007C746F" w:rsidRPr="0070536A">
        <w:rPr>
          <w:lang w:val="en-GB" w:eastAsia="x-none"/>
        </w:rPr>
        <w:t>a</w:t>
      </w:r>
      <w:r w:rsidRPr="0070536A">
        <w:rPr>
          <w:lang w:val="en-GB" w:eastAsia="x-none"/>
        </w:rPr>
        <w:t xml:space="preserve">pproach to </w:t>
      </w:r>
      <w:r w:rsidR="007C746F" w:rsidRPr="0070536A">
        <w:rPr>
          <w:lang w:val="en-GB" w:eastAsia="x-none"/>
        </w:rPr>
        <w:t>c</w:t>
      </w:r>
      <w:r w:rsidRPr="0070536A">
        <w:rPr>
          <w:lang w:val="en-GB" w:eastAsia="x-none"/>
        </w:rPr>
        <w:t xml:space="preserve">ash </w:t>
      </w:r>
      <w:r w:rsidR="007C746F" w:rsidRPr="0070536A">
        <w:rPr>
          <w:lang w:val="en-GB" w:eastAsia="x-none"/>
        </w:rPr>
        <w:t>t</w:t>
      </w:r>
      <w:r w:rsidRPr="0070536A">
        <w:rPr>
          <w:lang w:val="en-GB" w:eastAsia="x-none"/>
        </w:rPr>
        <w:t>ransfers</w:t>
      </w:r>
      <w:r w:rsidR="0094187F" w:rsidRPr="0070536A">
        <w:rPr>
          <w:lang w:val="en-GB" w:eastAsia="x-none"/>
        </w:rPr>
        <w:t xml:space="preserve"> </w:t>
      </w:r>
      <w:r w:rsidRPr="0070536A">
        <w:rPr>
          <w:lang w:val="en-GB" w:eastAsia="x-none"/>
        </w:rPr>
        <w:t>will be used in coordination with other U</w:t>
      </w:r>
      <w:r w:rsidR="007C746F" w:rsidRPr="0070536A">
        <w:rPr>
          <w:lang w:val="en-GB" w:eastAsia="x-none"/>
        </w:rPr>
        <w:t xml:space="preserve">nited Nations </w:t>
      </w:r>
      <w:r w:rsidR="0094187F" w:rsidRPr="0070536A">
        <w:rPr>
          <w:lang w:val="en-GB" w:eastAsia="x-none"/>
        </w:rPr>
        <w:t xml:space="preserve">organizations </w:t>
      </w:r>
      <w:r w:rsidRPr="0070536A">
        <w:rPr>
          <w:lang w:val="en-GB" w:eastAsia="x-none"/>
        </w:rPr>
        <w:t>to manage financial risks</w:t>
      </w:r>
      <w:r w:rsidRPr="0070536A">
        <w:rPr>
          <w:lang w:val="en-GB"/>
        </w:rPr>
        <w:t>,</w:t>
      </w:r>
      <w:r w:rsidRPr="0070536A">
        <w:rPr>
          <w:lang w:val="en-GB" w:eastAsia="x-none"/>
        </w:rPr>
        <w:t xml:space="preserve"> enhance national ownership and build institutional capacities. Cost definitions and classifications for programme and development effectiveness will be charged to concerned projects.</w:t>
      </w:r>
    </w:p>
    <w:p w14:paraId="375244FD" w14:textId="5718377A" w:rsidR="00091D10" w:rsidRPr="0070536A" w:rsidRDefault="00091D10" w:rsidP="00091D10">
      <w:pPr>
        <w:pStyle w:val="ListParagraph"/>
        <w:numPr>
          <w:ilvl w:val="0"/>
          <w:numId w:val="62"/>
        </w:numPr>
        <w:tabs>
          <w:tab w:val="left" w:pos="1276"/>
        </w:tabs>
        <w:spacing w:after="120"/>
        <w:ind w:left="851" w:right="713" w:firstLine="0"/>
        <w:jc w:val="both"/>
        <w:rPr>
          <w:lang w:val="en-GB" w:eastAsia="x-none"/>
        </w:rPr>
      </w:pPr>
      <w:r w:rsidRPr="0070536A">
        <w:rPr>
          <w:lang w:val="en-GB" w:eastAsia="x-none"/>
        </w:rPr>
        <w:t xml:space="preserve">Programme management will be strengthened through a portfolio approach to improve programme effectiveness by enhancing coordination between the operational and programme sections, creating policy-practice feedback loops, promoting adaptive learning and innovation, and improving evidence-based decision making and risk management. The Country Office will develop a gender and </w:t>
      </w:r>
      <w:r w:rsidR="007C746F" w:rsidRPr="0070536A">
        <w:rPr>
          <w:lang w:val="en-GB"/>
        </w:rPr>
        <w:t>leaving no one behind</w:t>
      </w:r>
      <w:r w:rsidRPr="0070536A">
        <w:rPr>
          <w:lang w:val="en-GB" w:eastAsia="x-none"/>
        </w:rPr>
        <w:t xml:space="preserve"> strategy to guide programme interventions in an integrated manner to enhance transformative results. Programme implementation will ensure the full participation of national counterparts in planning and monitoring</w:t>
      </w:r>
      <w:r w:rsidR="00E53A30" w:rsidRPr="0070536A">
        <w:rPr>
          <w:lang w:val="en-GB" w:eastAsia="x-none"/>
        </w:rPr>
        <w:t>,</w:t>
      </w:r>
      <w:r w:rsidRPr="0070536A">
        <w:rPr>
          <w:lang w:val="en-GB" w:eastAsia="x-none"/>
        </w:rPr>
        <w:t xml:space="preserve"> and engage target groups and beneficiaries, particularly women, youth and vulnerable groups in </w:t>
      </w:r>
      <w:r w:rsidR="00E53A30" w:rsidRPr="0070536A">
        <w:rPr>
          <w:lang w:val="en-GB" w:eastAsia="x-none"/>
        </w:rPr>
        <w:t xml:space="preserve">developing </w:t>
      </w:r>
      <w:r w:rsidRPr="0070536A">
        <w:rPr>
          <w:lang w:val="en-GB" w:eastAsia="x-none"/>
        </w:rPr>
        <w:t xml:space="preserve">solutions, monitoring and joint learning. </w:t>
      </w:r>
    </w:p>
    <w:p w14:paraId="6A2D6E3B" w14:textId="62CCBFE1" w:rsidR="00091D10" w:rsidRPr="0070536A" w:rsidRDefault="00091D10" w:rsidP="00091D10">
      <w:pPr>
        <w:pStyle w:val="ListParagraph"/>
        <w:numPr>
          <w:ilvl w:val="0"/>
          <w:numId w:val="62"/>
        </w:numPr>
        <w:tabs>
          <w:tab w:val="left" w:pos="1276"/>
        </w:tabs>
        <w:spacing w:after="120"/>
        <w:ind w:left="851" w:right="713" w:firstLine="0"/>
        <w:jc w:val="both"/>
        <w:rPr>
          <w:lang w:val="en-GB" w:eastAsia="x-none"/>
        </w:rPr>
      </w:pPr>
      <w:r w:rsidRPr="0070536A">
        <w:rPr>
          <w:lang w:val="en-GB" w:eastAsia="x-none"/>
        </w:rPr>
        <w:t>The programme is underpinned by resource pipeline exceeding $53 million</w:t>
      </w:r>
      <w:r w:rsidR="00E53A30" w:rsidRPr="0070536A">
        <w:rPr>
          <w:lang w:val="en-GB" w:eastAsia="x-none"/>
        </w:rPr>
        <w:t xml:space="preserve"> </w:t>
      </w:r>
      <w:r w:rsidRPr="0070536A">
        <w:rPr>
          <w:lang w:val="en-GB" w:eastAsia="x-none"/>
        </w:rPr>
        <w:t>of which over 95</w:t>
      </w:r>
      <w:r w:rsidR="00E53A30" w:rsidRPr="0070536A">
        <w:rPr>
          <w:lang w:val="en-GB" w:eastAsia="x-none"/>
        </w:rPr>
        <w:t xml:space="preserve"> per cent</w:t>
      </w:r>
      <w:r w:rsidRPr="0070536A">
        <w:rPr>
          <w:lang w:val="en-GB" w:eastAsia="x-none"/>
        </w:rPr>
        <w:t xml:space="preserve"> is non-core. Despite </w:t>
      </w:r>
      <w:r w:rsidR="00E53A30" w:rsidRPr="0070536A">
        <w:rPr>
          <w:lang w:val="en-GB" w:eastAsia="x-none"/>
        </w:rPr>
        <w:t>the</w:t>
      </w:r>
      <w:r w:rsidRPr="0070536A">
        <w:rPr>
          <w:lang w:val="en-GB" w:eastAsia="x-none"/>
        </w:rPr>
        <w:t xml:space="preserve"> agility and flexibility</w:t>
      </w:r>
      <w:r w:rsidR="00E53A30" w:rsidRPr="0070536A">
        <w:rPr>
          <w:lang w:val="en-GB" w:eastAsia="x-none"/>
        </w:rPr>
        <w:t xml:space="preserve"> of the UNDP country office</w:t>
      </w:r>
      <w:r w:rsidRPr="0070536A">
        <w:rPr>
          <w:lang w:val="en-GB" w:eastAsia="x-none"/>
        </w:rPr>
        <w:t xml:space="preserve">, the programme is vulnerable to risks </w:t>
      </w:r>
      <w:r w:rsidR="00E53A30" w:rsidRPr="0070536A">
        <w:rPr>
          <w:lang w:val="en-GB" w:eastAsia="x-none"/>
        </w:rPr>
        <w:t xml:space="preserve">that include </w:t>
      </w:r>
      <w:r w:rsidRPr="0070536A">
        <w:rPr>
          <w:lang w:val="en-GB" w:eastAsia="x-none"/>
        </w:rPr>
        <w:t>the late disbursement of national contributions</w:t>
      </w:r>
      <w:r w:rsidRPr="0070536A">
        <w:rPr>
          <w:lang w:val="en-GB"/>
        </w:rPr>
        <w:t xml:space="preserve">, </w:t>
      </w:r>
      <w:r w:rsidR="00E53A30" w:rsidRPr="0070536A">
        <w:rPr>
          <w:lang w:val="en-GB"/>
        </w:rPr>
        <w:t xml:space="preserve">a </w:t>
      </w:r>
      <w:r w:rsidRPr="0070536A">
        <w:rPr>
          <w:lang w:val="en-GB"/>
        </w:rPr>
        <w:t xml:space="preserve">triple threat resulting from the </w:t>
      </w:r>
      <w:r w:rsidRPr="0070536A">
        <w:rPr>
          <w:lang w:val="en-GB" w:eastAsia="x-none"/>
        </w:rPr>
        <w:t xml:space="preserve">conflict in Ukraine, global and macro-economic volatility, fragile social cohesion, and environmental and climate risks. These will be managed through collaborative and systematic reviews of the operating and resource environment, programme monitoring and tracking tools, early-warning systems and rapid socio-economic assessments. Proactive engagement with the </w:t>
      </w:r>
      <w:r w:rsidR="00E53A30" w:rsidRPr="0070536A">
        <w:rPr>
          <w:lang w:val="en-GB" w:eastAsia="x-none"/>
        </w:rPr>
        <w:t>Office of the Resident Coordinator</w:t>
      </w:r>
      <w:r w:rsidRPr="0070536A">
        <w:rPr>
          <w:lang w:val="en-GB" w:eastAsia="x-none"/>
        </w:rPr>
        <w:t xml:space="preserve">, </w:t>
      </w:r>
      <w:r w:rsidR="006A286C" w:rsidRPr="0070536A">
        <w:rPr>
          <w:shd w:val="clear" w:color="auto" w:fill="FFFFFF"/>
          <w:lang w:val="en-GB"/>
        </w:rPr>
        <w:t>United Nations country team</w:t>
      </w:r>
      <w:r w:rsidRPr="0070536A">
        <w:rPr>
          <w:lang w:val="en-GB" w:eastAsia="x-none"/>
        </w:rPr>
        <w:t xml:space="preserve"> and </w:t>
      </w:r>
      <w:r w:rsidR="00E53A30" w:rsidRPr="0070536A">
        <w:rPr>
          <w:lang w:val="en-GB" w:eastAsia="x-none"/>
        </w:rPr>
        <w:t>g</w:t>
      </w:r>
      <w:r w:rsidRPr="0070536A">
        <w:rPr>
          <w:lang w:val="en-GB" w:eastAsia="x-none"/>
        </w:rPr>
        <w:t xml:space="preserve">overnment will evaluate and address ongoing and emerging risks to anticipate changes in developmental and financial circumstances or political and social shocks that may require programme adjustments. High level policy advice and technical assistance will create opportunities to raise </w:t>
      </w:r>
      <w:r w:rsidR="001D48A2" w:rsidRPr="0070536A">
        <w:rPr>
          <w:lang w:val="en-GB" w:eastAsia="x-none"/>
        </w:rPr>
        <w:t xml:space="preserve">the </w:t>
      </w:r>
      <w:r w:rsidRPr="0070536A">
        <w:rPr>
          <w:lang w:val="en-GB" w:eastAsia="x-none"/>
        </w:rPr>
        <w:t>profile</w:t>
      </w:r>
      <w:r w:rsidR="001D48A2" w:rsidRPr="0070536A">
        <w:rPr>
          <w:lang w:val="en-GB" w:eastAsia="x-none"/>
        </w:rPr>
        <w:t xml:space="preserve"> of UNDP</w:t>
      </w:r>
      <w:r w:rsidRPr="0070536A">
        <w:rPr>
          <w:lang w:val="en-GB" w:eastAsia="x-none"/>
        </w:rPr>
        <w:t xml:space="preserve"> as a strategic partner and facilitate </w:t>
      </w:r>
      <w:r w:rsidR="001D48A2" w:rsidRPr="0070536A">
        <w:rPr>
          <w:lang w:val="en-GB" w:eastAsia="x-none"/>
        </w:rPr>
        <w:t xml:space="preserve">a </w:t>
      </w:r>
      <w:r w:rsidRPr="0070536A">
        <w:rPr>
          <w:lang w:val="en-GB" w:eastAsia="x-none"/>
        </w:rPr>
        <w:t>timelier disbursement of national funds</w:t>
      </w:r>
      <w:r w:rsidR="001D48A2" w:rsidRPr="0070536A">
        <w:rPr>
          <w:lang w:val="en-GB" w:eastAsia="x-none"/>
        </w:rPr>
        <w:t>. A</w:t>
      </w:r>
      <w:r w:rsidRPr="0070536A">
        <w:rPr>
          <w:lang w:val="en-GB" w:eastAsia="x-none"/>
        </w:rPr>
        <w:t>s Plan B</w:t>
      </w:r>
      <w:r w:rsidR="001D48A2" w:rsidRPr="0070536A">
        <w:rPr>
          <w:lang w:val="en-GB" w:eastAsia="x-none"/>
        </w:rPr>
        <w:t>, however,</w:t>
      </w:r>
      <w:r w:rsidRPr="0070536A">
        <w:rPr>
          <w:lang w:val="en-GB" w:eastAsia="x-none"/>
        </w:rPr>
        <w:t xml:space="preserve"> UNDP will request </w:t>
      </w:r>
      <w:r w:rsidR="001D48A2" w:rsidRPr="0070536A">
        <w:rPr>
          <w:lang w:val="en-GB" w:eastAsia="x-none"/>
        </w:rPr>
        <w:t xml:space="preserve">a </w:t>
      </w:r>
      <w:r w:rsidRPr="0070536A">
        <w:rPr>
          <w:lang w:val="en-GB" w:eastAsia="x-none"/>
        </w:rPr>
        <w:t xml:space="preserve">replenishment of funds and sensitize </w:t>
      </w:r>
      <w:r w:rsidR="001D48A2" w:rsidRPr="0070536A">
        <w:rPr>
          <w:lang w:val="en-GB" w:eastAsia="x-none"/>
        </w:rPr>
        <w:t>g</w:t>
      </w:r>
      <w:r w:rsidRPr="0070536A">
        <w:rPr>
          <w:lang w:val="en-GB" w:eastAsia="x-none"/>
        </w:rPr>
        <w:t xml:space="preserve">overnment further on cost sharing. In the event of </w:t>
      </w:r>
      <w:r w:rsidR="001D48A2" w:rsidRPr="0070536A">
        <w:rPr>
          <w:lang w:val="en-GB" w:eastAsia="x-none"/>
        </w:rPr>
        <w:t xml:space="preserve">financing </w:t>
      </w:r>
      <w:r w:rsidRPr="0070536A">
        <w:rPr>
          <w:lang w:val="en-GB" w:eastAsia="x-none"/>
        </w:rPr>
        <w:t xml:space="preserve">shortfalls, the </w:t>
      </w:r>
      <w:r w:rsidR="001057EF" w:rsidRPr="0070536A">
        <w:rPr>
          <w:lang w:val="en-GB" w:eastAsia="x-none"/>
        </w:rPr>
        <w:t>c</w:t>
      </w:r>
      <w:r w:rsidRPr="0070536A">
        <w:rPr>
          <w:lang w:val="en-GB" w:eastAsia="x-none"/>
        </w:rPr>
        <w:t xml:space="preserve">ountry </w:t>
      </w:r>
      <w:r w:rsidR="001057EF" w:rsidRPr="0070536A">
        <w:rPr>
          <w:lang w:val="en-GB" w:eastAsia="x-none"/>
        </w:rPr>
        <w:t>o</w:t>
      </w:r>
      <w:r w:rsidRPr="0070536A">
        <w:rPr>
          <w:lang w:val="en-GB" w:eastAsia="x-none"/>
        </w:rPr>
        <w:t>ffice will mobili</w:t>
      </w:r>
      <w:r w:rsidR="001057EF" w:rsidRPr="0070536A">
        <w:rPr>
          <w:lang w:val="en-GB" w:eastAsia="x-none"/>
        </w:rPr>
        <w:t>z</w:t>
      </w:r>
      <w:r w:rsidRPr="0070536A">
        <w:rPr>
          <w:lang w:val="en-GB" w:eastAsia="x-none"/>
        </w:rPr>
        <w:t xml:space="preserve">e additional funds and develop new ways of working to deliver results, </w:t>
      </w:r>
      <w:r w:rsidR="001057EF" w:rsidRPr="0070536A">
        <w:rPr>
          <w:lang w:val="en-GB" w:eastAsia="x-none"/>
        </w:rPr>
        <w:t>which was a successful approach</w:t>
      </w:r>
      <w:r w:rsidRPr="0070536A">
        <w:rPr>
          <w:lang w:val="en-GB" w:eastAsia="x-none"/>
        </w:rPr>
        <w:t xml:space="preserve"> during the COVID-19 pandemic. Reprioriti</w:t>
      </w:r>
      <w:r w:rsidR="001057EF" w:rsidRPr="0070536A">
        <w:rPr>
          <w:lang w:val="en-GB" w:eastAsia="x-none"/>
        </w:rPr>
        <w:t>z</w:t>
      </w:r>
      <w:r w:rsidRPr="0070536A">
        <w:rPr>
          <w:lang w:val="en-GB" w:eastAsia="x-none"/>
        </w:rPr>
        <w:t xml:space="preserve">ation, if required, </w:t>
      </w:r>
      <w:r w:rsidR="001057EF" w:rsidRPr="0070536A">
        <w:rPr>
          <w:lang w:val="en-GB" w:eastAsia="x-none"/>
        </w:rPr>
        <w:t xml:space="preserve">will </w:t>
      </w:r>
      <w:r w:rsidRPr="0070536A">
        <w:rPr>
          <w:lang w:val="en-GB" w:eastAsia="x-none"/>
        </w:rPr>
        <w:t xml:space="preserve">respect the principles of </w:t>
      </w:r>
      <w:r w:rsidR="007C746F" w:rsidRPr="0070536A">
        <w:rPr>
          <w:lang w:val="en-GB"/>
        </w:rPr>
        <w:t>leaving no one behind</w:t>
      </w:r>
      <w:r w:rsidRPr="0070536A">
        <w:rPr>
          <w:lang w:val="en-GB" w:eastAsia="x-none"/>
        </w:rPr>
        <w:t xml:space="preserve"> and human rights-based </w:t>
      </w:r>
      <w:r w:rsidR="001057EF" w:rsidRPr="0070536A">
        <w:rPr>
          <w:lang w:val="en-GB" w:eastAsia="x-none"/>
        </w:rPr>
        <w:t>programming</w:t>
      </w:r>
      <w:r w:rsidRPr="0070536A">
        <w:rPr>
          <w:lang w:val="en-GB" w:eastAsia="x-none"/>
        </w:rPr>
        <w:t xml:space="preserve">. </w:t>
      </w:r>
    </w:p>
    <w:p w14:paraId="6BEACE4F" w14:textId="5CB33299" w:rsidR="00091D10" w:rsidRPr="0070536A" w:rsidRDefault="00091D10" w:rsidP="00091D10">
      <w:pPr>
        <w:pStyle w:val="ListParagraph"/>
        <w:numPr>
          <w:ilvl w:val="0"/>
          <w:numId w:val="62"/>
        </w:numPr>
        <w:tabs>
          <w:tab w:val="left" w:pos="1276"/>
        </w:tabs>
        <w:ind w:left="851" w:right="713" w:firstLine="0"/>
        <w:jc w:val="both"/>
        <w:rPr>
          <w:lang w:val="en-GB" w:eastAsia="x-none"/>
        </w:rPr>
      </w:pPr>
      <w:r w:rsidRPr="0070536A">
        <w:rPr>
          <w:lang w:val="en-GB" w:eastAsia="x-none"/>
        </w:rPr>
        <w:t>The use of quality assurance standards, social and environmental risk management, Enterprise Risk Management Policy</w:t>
      </w:r>
      <w:r w:rsidR="001057EF" w:rsidRPr="0070536A">
        <w:rPr>
          <w:lang w:val="en-GB" w:eastAsia="x-none"/>
        </w:rPr>
        <w:t>,</w:t>
      </w:r>
      <w:r w:rsidRPr="0070536A">
        <w:rPr>
          <w:lang w:val="en-GB" w:eastAsia="x-none"/>
        </w:rPr>
        <w:t xml:space="preserve"> application of social safeguards and accountability mechanisms, and regular quality assessments of programmes at both inception and during implementation, </w:t>
      </w:r>
      <w:r w:rsidR="001057EF" w:rsidRPr="0070536A">
        <w:rPr>
          <w:lang w:val="en-GB" w:eastAsia="x-none"/>
        </w:rPr>
        <w:t xml:space="preserve">are embedded to </w:t>
      </w:r>
      <w:r w:rsidRPr="0070536A">
        <w:rPr>
          <w:lang w:val="en-GB" w:eastAsia="x-none"/>
        </w:rPr>
        <w:t>ensure potential risks and impacts are identified in a timely manner and</w:t>
      </w:r>
      <w:r w:rsidR="001057EF" w:rsidRPr="0070536A">
        <w:rPr>
          <w:lang w:val="en-GB" w:eastAsia="x-none"/>
        </w:rPr>
        <w:t>/or</w:t>
      </w:r>
      <w:r w:rsidRPr="0070536A">
        <w:rPr>
          <w:lang w:val="en-GB" w:eastAsia="x-none"/>
        </w:rPr>
        <w:t xml:space="preserve"> mitigated. Support for enhanced biodiversity management, approval</w:t>
      </w:r>
      <w:r w:rsidR="001C73D8" w:rsidRPr="0070536A">
        <w:rPr>
          <w:lang w:val="en-GB" w:eastAsia="x-none"/>
        </w:rPr>
        <w:t xml:space="preserve"> of</w:t>
      </w:r>
      <w:r w:rsidRPr="0070536A">
        <w:rPr>
          <w:lang w:val="en-GB" w:eastAsia="x-none"/>
        </w:rPr>
        <w:t xml:space="preserve"> marine protected areas</w:t>
      </w:r>
      <w:r w:rsidR="001C73D8" w:rsidRPr="0070536A">
        <w:rPr>
          <w:lang w:val="en-GB" w:eastAsia="x-none"/>
        </w:rPr>
        <w:t>,</w:t>
      </w:r>
      <w:r w:rsidRPr="0070536A">
        <w:rPr>
          <w:lang w:val="en-GB" w:eastAsia="x-none"/>
        </w:rPr>
        <w:t xml:space="preserve"> and development of alternative sustainable livelihoods strategies for rural communities will </w:t>
      </w:r>
      <w:r w:rsidR="001C73D8" w:rsidRPr="0070536A">
        <w:rPr>
          <w:lang w:val="en-GB" w:eastAsia="x-none"/>
        </w:rPr>
        <w:t>serve to</w:t>
      </w:r>
      <w:r w:rsidRPr="0070536A">
        <w:rPr>
          <w:lang w:val="en-GB" w:eastAsia="x-none"/>
        </w:rPr>
        <w:t xml:space="preserve"> mitigate environmental and climate risks. Deep rooted socio-cultural norms </w:t>
      </w:r>
      <w:r w:rsidR="001C73D8" w:rsidRPr="0070536A">
        <w:rPr>
          <w:lang w:val="en-GB" w:eastAsia="x-none"/>
        </w:rPr>
        <w:t xml:space="preserve">that </w:t>
      </w:r>
      <w:r w:rsidRPr="0070536A">
        <w:rPr>
          <w:lang w:val="en-GB" w:eastAsia="x-none"/>
        </w:rPr>
        <w:t xml:space="preserve">risk advancing gender equality will be overcome </w:t>
      </w:r>
      <w:r w:rsidR="001C73D8" w:rsidRPr="0070536A">
        <w:rPr>
          <w:lang w:val="en-GB" w:eastAsia="x-none"/>
        </w:rPr>
        <w:t xml:space="preserve">by consistently </w:t>
      </w:r>
      <w:r w:rsidRPr="0070536A">
        <w:rPr>
          <w:lang w:val="en-GB" w:eastAsia="x-none"/>
        </w:rPr>
        <w:t xml:space="preserve">addressing gender inequality and </w:t>
      </w:r>
      <w:r w:rsidR="001C73D8" w:rsidRPr="0070536A">
        <w:rPr>
          <w:lang w:val="en-GB" w:eastAsia="x-none"/>
        </w:rPr>
        <w:t xml:space="preserve">attributing a minimum of </w:t>
      </w:r>
      <w:r w:rsidRPr="0070536A">
        <w:rPr>
          <w:lang w:val="en-GB" w:eastAsia="x-none"/>
        </w:rPr>
        <w:t>15 per</w:t>
      </w:r>
      <w:r w:rsidR="001C73D8" w:rsidRPr="0070536A">
        <w:rPr>
          <w:lang w:val="en-GB" w:eastAsia="x-none"/>
        </w:rPr>
        <w:t xml:space="preserve"> </w:t>
      </w:r>
      <w:r w:rsidRPr="0070536A">
        <w:rPr>
          <w:lang w:val="en-GB" w:eastAsia="x-none"/>
        </w:rPr>
        <w:t>cent of resources to gender equality and women's empowerment.</w:t>
      </w:r>
    </w:p>
    <w:p w14:paraId="29F996B9" w14:textId="77777777" w:rsidR="00091D10" w:rsidRPr="0070536A" w:rsidRDefault="00091D10" w:rsidP="00091D10">
      <w:pPr>
        <w:tabs>
          <w:tab w:val="left" w:pos="1276"/>
        </w:tabs>
        <w:ind w:left="851" w:right="713"/>
        <w:rPr>
          <w:lang w:val="en-GB" w:eastAsia="x-none"/>
        </w:rPr>
      </w:pPr>
    </w:p>
    <w:p w14:paraId="671811F1" w14:textId="18E996C6" w:rsidR="00091D10" w:rsidRPr="0070536A" w:rsidRDefault="00091D10" w:rsidP="00091D10">
      <w:pPr>
        <w:pStyle w:val="ListParagraph"/>
        <w:numPr>
          <w:ilvl w:val="0"/>
          <w:numId w:val="57"/>
        </w:numPr>
        <w:tabs>
          <w:tab w:val="left" w:pos="1276"/>
        </w:tabs>
        <w:spacing w:after="120"/>
        <w:ind w:left="851" w:right="713" w:hanging="567"/>
        <w:jc w:val="both"/>
        <w:rPr>
          <w:b/>
          <w:sz w:val="28"/>
          <w:szCs w:val="28"/>
          <w:lang w:val="en-GB"/>
        </w:rPr>
      </w:pPr>
      <w:bookmarkStart w:id="12" w:name="_Hlk72508591"/>
      <w:r w:rsidRPr="0070536A">
        <w:rPr>
          <w:b/>
          <w:sz w:val="28"/>
          <w:szCs w:val="28"/>
          <w:lang w:val="en-GB"/>
        </w:rPr>
        <w:t xml:space="preserve">Monitoring and </w:t>
      </w:r>
      <w:r w:rsidR="001057EF" w:rsidRPr="0070536A">
        <w:rPr>
          <w:b/>
          <w:sz w:val="28"/>
          <w:szCs w:val="28"/>
          <w:lang w:val="en-GB"/>
        </w:rPr>
        <w:t>e</w:t>
      </w:r>
      <w:r w:rsidRPr="0070536A">
        <w:rPr>
          <w:b/>
          <w:sz w:val="28"/>
          <w:szCs w:val="28"/>
          <w:lang w:val="en-GB"/>
        </w:rPr>
        <w:t>valuation</w:t>
      </w:r>
    </w:p>
    <w:bookmarkEnd w:id="12"/>
    <w:p w14:paraId="2175497B" w14:textId="2D7FD6D8" w:rsidR="00091D10" w:rsidRPr="0070536A" w:rsidRDefault="00091D10" w:rsidP="00091D10">
      <w:pPr>
        <w:pStyle w:val="ListParagraph"/>
        <w:numPr>
          <w:ilvl w:val="0"/>
          <w:numId w:val="63"/>
        </w:numPr>
        <w:tabs>
          <w:tab w:val="left" w:pos="1276"/>
        </w:tabs>
        <w:spacing w:after="120"/>
        <w:ind w:left="851" w:right="713" w:firstLine="0"/>
        <w:jc w:val="both"/>
        <w:rPr>
          <w:lang w:val="en-GB"/>
        </w:rPr>
      </w:pPr>
      <w:r w:rsidRPr="0070536A">
        <w:rPr>
          <w:bCs/>
          <w:lang w:val="en-GB"/>
        </w:rPr>
        <w:t>To overcome challenges presented by the paucity of data UNDP</w:t>
      </w:r>
      <w:r w:rsidR="001C73D8" w:rsidRPr="0070536A">
        <w:rPr>
          <w:bCs/>
          <w:lang w:val="en-GB"/>
        </w:rPr>
        <w:t xml:space="preserve">, the </w:t>
      </w:r>
      <w:r w:rsidR="006A286C" w:rsidRPr="0070536A">
        <w:rPr>
          <w:shd w:val="clear" w:color="auto" w:fill="FFFFFF"/>
          <w:lang w:val="en-GB"/>
        </w:rPr>
        <w:t>United Nations country team</w:t>
      </w:r>
      <w:r w:rsidR="001C73D8" w:rsidRPr="0070536A">
        <w:rPr>
          <w:bCs/>
          <w:lang w:val="en-GB"/>
        </w:rPr>
        <w:t>,</w:t>
      </w:r>
      <w:r w:rsidRPr="0070536A">
        <w:rPr>
          <w:bCs/>
          <w:lang w:val="en-GB"/>
        </w:rPr>
        <w:t xml:space="preserve"> World Bank and IMF</w:t>
      </w:r>
      <w:r w:rsidR="001C73D8" w:rsidRPr="0070536A">
        <w:rPr>
          <w:bCs/>
          <w:lang w:val="en-GB"/>
        </w:rPr>
        <w:t xml:space="preserve"> will</w:t>
      </w:r>
      <w:r w:rsidRPr="0070536A">
        <w:rPr>
          <w:bCs/>
          <w:lang w:val="en-GB"/>
        </w:rPr>
        <w:t xml:space="preserve"> promote the development of programmes to support the National </w:t>
      </w:r>
      <w:r w:rsidRPr="0070536A">
        <w:rPr>
          <w:bCs/>
          <w:lang w:val="en-GB"/>
        </w:rPr>
        <w:lastRenderedPageBreak/>
        <w:t xml:space="preserve">Institute for Statistics and ministerial partners </w:t>
      </w:r>
      <w:r w:rsidR="00AC2176" w:rsidRPr="0070536A">
        <w:rPr>
          <w:bCs/>
          <w:lang w:val="en-GB"/>
        </w:rPr>
        <w:t xml:space="preserve">in enhancing </w:t>
      </w:r>
      <w:r w:rsidRPr="0070536A">
        <w:rPr>
          <w:bCs/>
          <w:lang w:val="en-GB"/>
        </w:rPr>
        <w:t>data and statistical systems to produce up-to-date, reliable and accurate information</w:t>
      </w:r>
      <w:r w:rsidR="00AC2176" w:rsidRPr="0070536A">
        <w:rPr>
          <w:bCs/>
          <w:lang w:val="en-GB"/>
        </w:rPr>
        <w:t xml:space="preserve"> that is</w:t>
      </w:r>
      <w:r w:rsidRPr="0070536A">
        <w:rPr>
          <w:bCs/>
          <w:lang w:val="en-GB"/>
        </w:rPr>
        <w:t xml:space="preserve"> disaggregated by gender, age and location. The monitoring and evaluation capacity of implementing partners will be improved </w:t>
      </w:r>
      <w:r w:rsidR="00AC2176" w:rsidRPr="0070536A">
        <w:rPr>
          <w:bCs/>
          <w:lang w:val="en-GB"/>
        </w:rPr>
        <w:t xml:space="preserve">as </w:t>
      </w:r>
      <w:r w:rsidRPr="0070536A">
        <w:rPr>
          <w:bCs/>
          <w:lang w:val="en-GB"/>
        </w:rPr>
        <w:t xml:space="preserve">evaluations will </w:t>
      </w:r>
      <w:r w:rsidR="00AC2176" w:rsidRPr="0070536A">
        <w:rPr>
          <w:bCs/>
          <w:lang w:val="en-GB"/>
        </w:rPr>
        <w:t>identify</w:t>
      </w:r>
      <w:r w:rsidRPr="0070536A">
        <w:rPr>
          <w:bCs/>
          <w:lang w:val="en-GB"/>
        </w:rPr>
        <w:t xml:space="preserve"> data gaps</w:t>
      </w:r>
      <w:r w:rsidR="00AC2176" w:rsidRPr="0070536A">
        <w:rPr>
          <w:bCs/>
          <w:lang w:val="en-GB"/>
        </w:rPr>
        <w:t>. W</w:t>
      </w:r>
      <w:r w:rsidRPr="0070536A">
        <w:rPr>
          <w:bCs/>
          <w:lang w:val="en-GB"/>
        </w:rPr>
        <w:t xml:space="preserve">here necessary, UNDP will support research and use of innovative techniques to fill </w:t>
      </w:r>
      <w:r w:rsidR="00AC2176" w:rsidRPr="0070536A">
        <w:rPr>
          <w:bCs/>
          <w:lang w:val="en-GB"/>
        </w:rPr>
        <w:t>these gaps</w:t>
      </w:r>
      <w:r w:rsidRPr="0070536A">
        <w:rPr>
          <w:bCs/>
          <w:lang w:val="en-GB"/>
        </w:rPr>
        <w:t xml:space="preserve">. </w:t>
      </w:r>
    </w:p>
    <w:p w14:paraId="2276057C" w14:textId="3057712C" w:rsidR="00091D10" w:rsidRPr="0070536A" w:rsidRDefault="00091D10" w:rsidP="00FC6C72">
      <w:pPr>
        <w:pStyle w:val="ListParagraph"/>
        <w:numPr>
          <w:ilvl w:val="0"/>
          <w:numId w:val="63"/>
        </w:numPr>
        <w:shd w:val="clear" w:color="auto" w:fill="FFFFFF"/>
        <w:tabs>
          <w:tab w:val="left" w:pos="1276"/>
        </w:tabs>
        <w:spacing w:after="120" w:line="240" w:lineRule="exact"/>
        <w:ind w:left="851" w:right="713" w:firstLine="0"/>
        <w:jc w:val="both"/>
        <w:rPr>
          <w:lang w:val="en-GB"/>
        </w:rPr>
      </w:pPr>
      <w:r w:rsidRPr="0070536A">
        <w:rPr>
          <w:lang w:val="en-GB"/>
        </w:rPr>
        <w:t>UNDP will allocate at least 5 per cent of resources to monitoring, evaluation</w:t>
      </w:r>
      <w:r w:rsidR="00AC2176" w:rsidRPr="0070536A">
        <w:rPr>
          <w:lang w:val="en-GB"/>
        </w:rPr>
        <w:t xml:space="preserve">, </w:t>
      </w:r>
      <w:r w:rsidRPr="0070536A">
        <w:rPr>
          <w:lang w:val="en-GB"/>
        </w:rPr>
        <w:t xml:space="preserve">learning and improving oversight and quality assurance. </w:t>
      </w:r>
      <w:r w:rsidR="00AC2176" w:rsidRPr="0070536A">
        <w:rPr>
          <w:lang w:val="en-GB"/>
        </w:rPr>
        <w:t>To address</w:t>
      </w:r>
      <w:r w:rsidRPr="0070536A">
        <w:rPr>
          <w:lang w:val="en-GB"/>
        </w:rPr>
        <w:t xml:space="preserve"> concerns raised in the ICPE, UNDP will invest in training to improve internal programme monitoring to ensure that all project indicators are </w:t>
      </w:r>
      <w:r w:rsidR="00F00A18" w:rsidRPr="0070536A">
        <w:rPr>
          <w:lang w:val="en-GB"/>
        </w:rPr>
        <w:t xml:space="preserve">specific, measurable, attainable, relevant, and time-bound </w:t>
      </w:r>
      <w:r w:rsidRPr="0070536A">
        <w:rPr>
          <w:lang w:val="en-GB"/>
        </w:rPr>
        <w:t xml:space="preserve">and provide useful </w:t>
      </w:r>
      <w:r w:rsidR="00AC2176" w:rsidRPr="0070536A">
        <w:rPr>
          <w:lang w:val="en-GB"/>
        </w:rPr>
        <w:t xml:space="preserve">guidelines </w:t>
      </w:r>
      <w:r w:rsidRPr="0070536A">
        <w:rPr>
          <w:lang w:val="en-GB"/>
        </w:rPr>
        <w:t xml:space="preserve">for learning and decision-making. The </w:t>
      </w:r>
      <w:r w:rsidR="00AC2176" w:rsidRPr="0070536A">
        <w:rPr>
          <w:lang w:val="en-GB"/>
        </w:rPr>
        <w:t xml:space="preserve">application </w:t>
      </w:r>
      <w:r w:rsidRPr="0070536A">
        <w:rPr>
          <w:lang w:val="en-GB"/>
        </w:rPr>
        <w:t xml:space="preserve">of innovative, mixed-method data collection and analysis will strengthen internal data systems. </w:t>
      </w:r>
      <w:r w:rsidR="00AC2176" w:rsidRPr="0070536A">
        <w:rPr>
          <w:lang w:val="en-GB"/>
        </w:rPr>
        <w:t xml:space="preserve">The use </w:t>
      </w:r>
      <w:r w:rsidRPr="0070536A">
        <w:rPr>
          <w:lang w:val="en-GB"/>
        </w:rPr>
        <w:t xml:space="preserve">of gender impact measurement tools and markers will enhance the tracking of gender equality and improve gender-based planning, monitoring, evaluation, learning and decision-making. An inclusive approach will ensure target groups and beneficiaries </w:t>
      </w:r>
      <w:r w:rsidR="00AC2176" w:rsidRPr="0070536A">
        <w:rPr>
          <w:lang w:val="en-GB"/>
        </w:rPr>
        <w:t>are</w:t>
      </w:r>
      <w:r w:rsidRPr="0070536A">
        <w:rPr>
          <w:lang w:val="en-GB"/>
        </w:rPr>
        <w:t xml:space="preserve"> involved in project monitoring. The implementation of</w:t>
      </w:r>
      <w:r w:rsidR="00AC2176" w:rsidRPr="0070536A">
        <w:rPr>
          <w:lang w:val="en-GB"/>
        </w:rPr>
        <w:t xml:space="preserve"> the</w:t>
      </w:r>
      <w:r w:rsidRPr="0070536A">
        <w:rPr>
          <w:lang w:val="en-GB"/>
        </w:rPr>
        <w:t xml:space="preserve"> UNDP corporate data strategy will safeguard ethical and compliant data management and make maintaining data standards a requirement at project level. </w:t>
      </w:r>
    </w:p>
    <w:p w14:paraId="19EBC4EB" w14:textId="3461A99B" w:rsidR="00091D10" w:rsidRPr="0070536A" w:rsidRDefault="00BA3880" w:rsidP="00FC6C72">
      <w:pPr>
        <w:pStyle w:val="ListParagraph"/>
        <w:numPr>
          <w:ilvl w:val="0"/>
          <w:numId w:val="63"/>
        </w:numPr>
        <w:shd w:val="clear" w:color="auto" w:fill="FFFFFF"/>
        <w:tabs>
          <w:tab w:val="left" w:pos="1276"/>
        </w:tabs>
        <w:spacing w:after="120" w:line="240" w:lineRule="exact"/>
        <w:ind w:left="851" w:right="713" w:firstLine="0"/>
        <w:jc w:val="both"/>
        <w:rPr>
          <w:lang w:val="en-GB"/>
        </w:rPr>
      </w:pPr>
      <w:r w:rsidRPr="0070536A">
        <w:rPr>
          <w:bCs/>
          <w:lang w:val="en-GB"/>
        </w:rPr>
        <w:t xml:space="preserve">The </w:t>
      </w:r>
      <w:r w:rsidR="00091D10" w:rsidRPr="0070536A">
        <w:rPr>
          <w:bCs/>
          <w:lang w:val="en-GB"/>
        </w:rPr>
        <w:t xml:space="preserve">UNDP performance monitoring system will be harmonized with </w:t>
      </w:r>
      <w:r w:rsidRPr="0070536A">
        <w:rPr>
          <w:bCs/>
          <w:lang w:val="en-GB"/>
        </w:rPr>
        <w:t xml:space="preserve">the </w:t>
      </w:r>
      <w:r w:rsidR="00091D10" w:rsidRPr="0070536A">
        <w:rPr>
          <w:bCs/>
          <w:lang w:val="en-GB"/>
        </w:rPr>
        <w:t>UNSDCF according to U</w:t>
      </w:r>
      <w:r w:rsidRPr="0070536A">
        <w:rPr>
          <w:bCs/>
          <w:lang w:val="en-GB"/>
        </w:rPr>
        <w:t xml:space="preserve">nited </w:t>
      </w:r>
      <w:r w:rsidR="00091D10" w:rsidRPr="0070536A">
        <w:rPr>
          <w:bCs/>
          <w:lang w:val="en-GB"/>
        </w:rPr>
        <w:t>N</w:t>
      </w:r>
      <w:r w:rsidRPr="0070536A">
        <w:rPr>
          <w:bCs/>
          <w:lang w:val="en-GB"/>
        </w:rPr>
        <w:t>ations</w:t>
      </w:r>
      <w:r w:rsidR="00091D10" w:rsidRPr="0070536A">
        <w:rPr>
          <w:bCs/>
          <w:lang w:val="en-GB"/>
        </w:rPr>
        <w:t xml:space="preserve"> Evaluation Group norms (2019)</w:t>
      </w:r>
      <w:r w:rsidRPr="0070536A">
        <w:rPr>
          <w:bCs/>
          <w:lang w:val="en-GB"/>
        </w:rPr>
        <w:t xml:space="preserve">. </w:t>
      </w:r>
      <w:r w:rsidR="00091D10" w:rsidRPr="0070536A">
        <w:rPr>
          <w:bCs/>
          <w:lang w:val="en-GB"/>
        </w:rPr>
        <w:t>UNDP will actively participate in UNSDCF thematic and results groups</w:t>
      </w:r>
      <w:r w:rsidRPr="0070536A">
        <w:rPr>
          <w:bCs/>
          <w:lang w:val="en-GB"/>
        </w:rPr>
        <w:t>, and p</w:t>
      </w:r>
      <w:r w:rsidR="00091D10" w:rsidRPr="0070536A">
        <w:rPr>
          <w:bCs/>
          <w:lang w:val="en-GB"/>
        </w:rPr>
        <w:t xml:space="preserve">rogramme evaluations will be conducted according to the costed evaluation plan </w:t>
      </w:r>
      <w:r w:rsidRPr="0070536A">
        <w:rPr>
          <w:bCs/>
          <w:lang w:val="en-GB"/>
        </w:rPr>
        <w:t xml:space="preserve">that </w:t>
      </w:r>
      <w:r w:rsidR="00091D10" w:rsidRPr="0070536A">
        <w:rPr>
          <w:bCs/>
          <w:lang w:val="en-GB"/>
        </w:rPr>
        <w:t xml:space="preserve">will be reviewed and updated on an annual basis to ensure </w:t>
      </w:r>
      <w:r w:rsidRPr="0070536A">
        <w:rPr>
          <w:bCs/>
          <w:lang w:val="en-GB"/>
        </w:rPr>
        <w:t xml:space="preserve">new, </w:t>
      </w:r>
      <w:r w:rsidR="00091D10" w:rsidRPr="0070536A">
        <w:rPr>
          <w:bCs/>
          <w:lang w:val="en-GB"/>
        </w:rPr>
        <w:t>mandatory</w:t>
      </w:r>
      <w:r w:rsidRPr="0070536A">
        <w:rPr>
          <w:bCs/>
          <w:lang w:val="en-GB"/>
        </w:rPr>
        <w:t>,</w:t>
      </w:r>
      <w:r w:rsidR="00091D10" w:rsidRPr="0070536A">
        <w:rPr>
          <w:bCs/>
          <w:lang w:val="en-GB"/>
        </w:rPr>
        <w:t xml:space="preserve"> and relevant evaluations are included. Results will be used for adaptive learning, decision-making and improving on-going and future projects. A partnership and communication action plan will promote visibility of results and support resource mobili</w:t>
      </w:r>
      <w:r w:rsidRPr="0070536A">
        <w:rPr>
          <w:bCs/>
          <w:lang w:val="en-GB"/>
        </w:rPr>
        <w:t>z</w:t>
      </w:r>
      <w:r w:rsidR="00091D10" w:rsidRPr="0070536A">
        <w:rPr>
          <w:bCs/>
          <w:lang w:val="en-GB"/>
        </w:rPr>
        <w:t>ation.</w:t>
      </w:r>
    </w:p>
    <w:bookmarkEnd w:id="1"/>
    <w:p w14:paraId="43991A74" w14:textId="77777777" w:rsidR="00BC261E" w:rsidRPr="0070536A" w:rsidRDefault="00BC261E" w:rsidP="00BC261E">
      <w:pPr>
        <w:pStyle w:val="ListParagraph"/>
        <w:tabs>
          <w:tab w:val="left" w:pos="1260"/>
        </w:tabs>
        <w:spacing w:after="120" w:line="240" w:lineRule="exact"/>
        <w:ind w:left="900" w:right="720"/>
        <w:jc w:val="both"/>
        <w:rPr>
          <w:lang w:val="en-GB"/>
        </w:rPr>
      </w:pPr>
    </w:p>
    <w:p w14:paraId="08583541" w14:textId="77777777" w:rsidR="00091D10" w:rsidRPr="0070536A" w:rsidRDefault="00091D10" w:rsidP="00BC261E">
      <w:pPr>
        <w:pStyle w:val="ListParagraph"/>
        <w:tabs>
          <w:tab w:val="left" w:pos="1260"/>
        </w:tabs>
        <w:spacing w:after="120" w:line="240" w:lineRule="exact"/>
        <w:ind w:left="900" w:right="720"/>
        <w:jc w:val="both"/>
        <w:rPr>
          <w:lang w:val="en-GB"/>
        </w:rPr>
      </w:pPr>
    </w:p>
    <w:p w14:paraId="5B213155" w14:textId="77777777" w:rsidR="00091D10" w:rsidRPr="0070536A" w:rsidRDefault="00091D10" w:rsidP="00BC261E">
      <w:pPr>
        <w:pStyle w:val="ListParagraph"/>
        <w:tabs>
          <w:tab w:val="left" w:pos="1260"/>
        </w:tabs>
        <w:spacing w:after="120" w:line="240" w:lineRule="exact"/>
        <w:ind w:left="900" w:right="720"/>
        <w:jc w:val="both"/>
        <w:rPr>
          <w:lang w:val="en-GB"/>
        </w:rPr>
      </w:pPr>
    </w:p>
    <w:p w14:paraId="2440D43E" w14:textId="33E3D240" w:rsidR="00214EC6" w:rsidRPr="0070536A" w:rsidRDefault="00214EC6" w:rsidP="004F3B24">
      <w:pPr>
        <w:pStyle w:val="ListParagraph"/>
        <w:numPr>
          <w:ilvl w:val="2"/>
          <w:numId w:val="53"/>
        </w:numPr>
        <w:spacing w:after="120"/>
        <w:ind w:left="284" w:hanging="284"/>
        <w:jc w:val="both"/>
        <w:rPr>
          <w:lang w:val="en-GB"/>
        </w:rPr>
        <w:sectPr w:rsidR="00214EC6" w:rsidRPr="0070536A"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151E27BA" w:rsidR="00357B24" w:rsidRPr="0070536A" w:rsidRDefault="00357B24" w:rsidP="00357B24">
      <w:pPr>
        <w:spacing w:after="120"/>
        <w:ind w:left="1151" w:right="1151" w:hanging="881"/>
        <w:rPr>
          <w:b/>
          <w:color w:val="000000"/>
          <w:lang w:val="en-GB"/>
        </w:rPr>
      </w:pPr>
      <w:r w:rsidRPr="0070536A">
        <w:rPr>
          <w:b/>
          <w:color w:val="000000"/>
          <w:sz w:val="24"/>
          <w:szCs w:val="24"/>
          <w:lang w:val="en-GB"/>
        </w:rPr>
        <w:lastRenderedPageBreak/>
        <w:t>Annex</w:t>
      </w:r>
      <w:r w:rsidR="00BA3880" w:rsidRPr="0070536A">
        <w:rPr>
          <w:b/>
          <w:color w:val="000000"/>
          <w:sz w:val="24"/>
          <w:szCs w:val="24"/>
          <w:lang w:val="en-GB"/>
        </w:rPr>
        <w:t xml:space="preserve"> – </w:t>
      </w:r>
      <w:r w:rsidRPr="0070536A">
        <w:rPr>
          <w:b/>
          <w:color w:val="000000"/>
          <w:sz w:val="24"/>
          <w:szCs w:val="24"/>
          <w:lang w:val="en-GB"/>
        </w:rPr>
        <w:t xml:space="preserve">Results and resources framework for </w:t>
      </w:r>
      <w:r w:rsidR="00091D10" w:rsidRPr="0070536A">
        <w:rPr>
          <w:b/>
          <w:sz w:val="24"/>
          <w:szCs w:val="24"/>
          <w:lang w:val="en-GB"/>
        </w:rPr>
        <w:t>Equatorial Guinea</w:t>
      </w:r>
      <w:r w:rsidRPr="0070536A">
        <w:rPr>
          <w:b/>
          <w:color w:val="000000"/>
          <w:sz w:val="24"/>
          <w:szCs w:val="24"/>
          <w:lang w:val="en-GB"/>
        </w:rPr>
        <w:t xml:space="preserve"> (202</w:t>
      </w:r>
      <w:r w:rsidR="00091D10" w:rsidRPr="0070536A">
        <w:rPr>
          <w:b/>
          <w:color w:val="000000"/>
          <w:sz w:val="24"/>
          <w:szCs w:val="24"/>
          <w:lang w:val="en-GB"/>
        </w:rPr>
        <w:t>4</w:t>
      </w:r>
      <w:r w:rsidRPr="0070536A">
        <w:rPr>
          <w:b/>
          <w:color w:val="000000"/>
          <w:sz w:val="24"/>
          <w:szCs w:val="24"/>
          <w:lang w:val="en-GB"/>
        </w:rPr>
        <w:t>-202</w:t>
      </w:r>
      <w:r w:rsidR="00091D10" w:rsidRPr="0070536A">
        <w:rPr>
          <w:b/>
          <w:color w:val="000000"/>
          <w:sz w:val="24"/>
          <w:szCs w:val="24"/>
          <w:lang w:val="en-GB"/>
        </w:rPr>
        <w:t>8</w:t>
      </w:r>
      <w:r w:rsidRPr="0070536A">
        <w:rPr>
          <w:b/>
          <w:color w:val="000000"/>
          <w:sz w:val="24"/>
          <w:szCs w:val="24"/>
          <w:lang w:val="en-GB"/>
        </w:rPr>
        <w:t>)</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250"/>
        <w:gridCol w:w="155"/>
        <w:gridCol w:w="1985"/>
        <w:gridCol w:w="6095"/>
        <w:gridCol w:w="1701"/>
        <w:gridCol w:w="1417"/>
      </w:tblGrid>
      <w:tr w:rsidR="00091D10" w:rsidRPr="0070536A" w14:paraId="732E2500" w14:textId="77777777" w:rsidTr="00B913BB">
        <w:trPr>
          <w:trHeight w:val="25"/>
          <w:jc w:val="center"/>
        </w:trPr>
        <w:tc>
          <w:tcPr>
            <w:tcW w:w="13603" w:type="dxa"/>
            <w:gridSpan w:val="6"/>
            <w:shd w:val="clear" w:color="auto" w:fill="DBE5F1" w:themeFill="accent1" w:themeFillTint="33"/>
            <w:tcMar>
              <w:top w:w="72" w:type="dxa"/>
              <w:left w:w="144" w:type="dxa"/>
              <w:bottom w:w="72" w:type="dxa"/>
              <w:right w:w="144" w:type="dxa"/>
            </w:tcMar>
          </w:tcPr>
          <w:p w14:paraId="5E3D5D38" w14:textId="26974084" w:rsidR="00091D10" w:rsidRPr="0070536A" w:rsidRDefault="00091D10" w:rsidP="000A6AFE">
            <w:pPr>
              <w:rPr>
                <w:b/>
                <w:bCs/>
                <w:color w:val="000000"/>
                <w:sz w:val="16"/>
                <w:szCs w:val="16"/>
                <w:lang w:val="en-GB"/>
              </w:rPr>
            </w:pPr>
            <w:r w:rsidRPr="0070536A">
              <w:rPr>
                <w:b/>
                <w:bCs/>
                <w:color w:val="000000"/>
                <w:sz w:val="16"/>
                <w:szCs w:val="16"/>
                <w:lang w:val="en-GB"/>
              </w:rPr>
              <w:t xml:space="preserve">NATIONAL PRIORITY OR GOAL: </w:t>
            </w:r>
            <w:r w:rsidRPr="0070536A">
              <w:rPr>
                <w:color w:val="000000"/>
                <w:sz w:val="16"/>
                <w:szCs w:val="16"/>
                <w:lang w:val="en-GB"/>
              </w:rPr>
              <w:t>Build competitiveness and develop the private sector</w:t>
            </w:r>
            <w:r w:rsidR="00726B04" w:rsidRPr="0070536A">
              <w:rPr>
                <w:color w:val="000000"/>
                <w:sz w:val="16"/>
                <w:szCs w:val="16"/>
                <w:lang w:val="en-GB"/>
              </w:rPr>
              <w:t xml:space="preserve"> in Equatorial Guinea</w:t>
            </w:r>
            <w:r w:rsidRPr="0070536A">
              <w:rPr>
                <w:color w:val="000000"/>
                <w:sz w:val="16"/>
                <w:szCs w:val="16"/>
                <w:lang w:val="en-GB"/>
              </w:rPr>
              <w:t xml:space="preserve"> (Vision 2035, Objective 2)</w:t>
            </w:r>
            <w:r w:rsidR="00BA3880" w:rsidRPr="0070536A">
              <w:rPr>
                <w:color w:val="000000"/>
                <w:sz w:val="16"/>
                <w:szCs w:val="16"/>
                <w:lang w:val="en-GB"/>
              </w:rPr>
              <w:t>.</w:t>
            </w:r>
          </w:p>
        </w:tc>
      </w:tr>
      <w:tr w:rsidR="00091D10" w:rsidRPr="0070536A" w14:paraId="78CF8442" w14:textId="77777777" w:rsidTr="00B913BB">
        <w:trPr>
          <w:trHeight w:val="124"/>
          <w:jc w:val="center"/>
        </w:trPr>
        <w:tc>
          <w:tcPr>
            <w:tcW w:w="13603" w:type="dxa"/>
            <w:gridSpan w:val="6"/>
            <w:shd w:val="clear" w:color="auto" w:fill="DBE5F1" w:themeFill="accent1" w:themeFillTint="33"/>
            <w:tcMar>
              <w:top w:w="72" w:type="dxa"/>
              <w:left w:w="144" w:type="dxa"/>
              <w:bottom w:w="72" w:type="dxa"/>
              <w:right w:w="144" w:type="dxa"/>
            </w:tcMar>
          </w:tcPr>
          <w:p w14:paraId="4C4E7446" w14:textId="51E2FC3C" w:rsidR="00091D10" w:rsidRPr="0070536A" w:rsidRDefault="00091D10" w:rsidP="000A6AFE">
            <w:pPr>
              <w:rPr>
                <w:sz w:val="16"/>
                <w:szCs w:val="16"/>
                <w:lang w:val="en-GB"/>
              </w:rPr>
            </w:pPr>
            <w:r w:rsidRPr="0070536A">
              <w:rPr>
                <w:b/>
                <w:bCs/>
                <w:sz w:val="16"/>
                <w:szCs w:val="16"/>
                <w:lang w:val="en-GB"/>
              </w:rPr>
              <w:t xml:space="preserve">COOPERATION FRAMEWORK </w:t>
            </w:r>
            <w:r w:rsidRPr="0070536A">
              <w:rPr>
                <w:b/>
                <w:bCs/>
                <w:sz w:val="16"/>
                <w:szCs w:val="16"/>
                <w:lang w:val="en-GB" w:eastAsia="en-GB"/>
              </w:rPr>
              <w:t xml:space="preserve">OUTCOME INVOLVING UNDP: </w:t>
            </w:r>
            <w:r w:rsidRPr="0070536A">
              <w:rPr>
                <w:sz w:val="16"/>
                <w:szCs w:val="16"/>
                <w:lang w:val="en-GB"/>
              </w:rPr>
              <w:t>3</w:t>
            </w:r>
            <w:r w:rsidR="00726B04" w:rsidRPr="0070536A">
              <w:rPr>
                <w:sz w:val="16"/>
                <w:szCs w:val="16"/>
                <w:lang w:val="en-GB"/>
              </w:rPr>
              <w:t xml:space="preserve"> -</w:t>
            </w:r>
            <w:r w:rsidRPr="0070536A">
              <w:rPr>
                <w:sz w:val="16"/>
                <w:szCs w:val="16"/>
                <w:lang w:val="en-GB"/>
              </w:rPr>
              <w:t xml:space="preserve"> By 2028, more people, especially youth, women and socially and economically vulnerable groups, benefit equitably from greater opportunities in a diversified, transformative, resilient and inclusive blue and green economy that creates decent jobs in the productive sectors.</w:t>
            </w:r>
          </w:p>
        </w:tc>
      </w:tr>
      <w:tr w:rsidR="00091D10" w:rsidRPr="0070536A" w14:paraId="613AEA14" w14:textId="77777777" w:rsidTr="00B913BB">
        <w:trPr>
          <w:trHeight w:val="124"/>
          <w:jc w:val="center"/>
        </w:trPr>
        <w:tc>
          <w:tcPr>
            <w:tcW w:w="13603" w:type="dxa"/>
            <w:gridSpan w:val="6"/>
            <w:shd w:val="clear" w:color="auto" w:fill="DBE5F1" w:themeFill="accent1" w:themeFillTint="33"/>
            <w:tcMar>
              <w:top w:w="72" w:type="dxa"/>
              <w:left w:w="144" w:type="dxa"/>
              <w:bottom w:w="72" w:type="dxa"/>
              <w:right w:w="144" w:type="dxa"/>
            </w:tcMar>
          </w:tcPr>
          <w:p w14:paraId="4C11C838" w14:textId="52A35D54" w:rsidR="00091D10" w:rsidRPr="0070536A" w:rsidRDefault="00091D10" w:rsidP="000A6AFE">
            <w:pPr>
              <w:rPr>
                <w:sz w:val="16"/>
                <w:szCs w:val="16"/>
                <w:lang w:val="en-GB"/>
              </w:rPr>
            </w:pPr>
            <w:r w:rsidRPr="0070536A">
              <w:rPr>
                <w:b/>
                <w:bCs/>
                <w:sz w:val="16"/>
                <w:szCs w:val="16"/>
                <w:lang w:val="en-GB"/>
              </w:rPr>
              <w:t>RELATED STRATEGIC PLAN OUTCOME:</w:t>
            </w:r>
            <w:r w:rsidRPr="0070536A">
              <w:rPr>
                <w:sz w:val="16"/>
                <w:szCs w:val="16"/>
                <w:lang w:val="en-GB"/>
              </w:rPr>
              <w:t xml:space="preserve"> 1</w:t>
            </w:r>
            <w:r w:rsidR="00726B04" w:rsidRPr="0070536A">
              <w:rPr>
                <w:sz w:val="16"/>
                <w:szCs w:val="16"/>
                <w:lang w:val="en-GB"/>
              </w:rPr>
              <w:t>-</w:t>
            </w:r>
            <w:r w:rsidRPr="0070536A">
              <w:rPr>
                <w:sz w:val="16"/>
                <w:szCs w:val="16"/>
                <w:lang w:val="en-GB"/>
              </w:rPr>
              <w:t xml:space="preserve"> Structural transformation accelerated, particularly green, inclusive, and digital transitions</w:t>
            </w:r>
            <w:r w:rsidR="00BA3880" w:rsidRPr="0070536A">
              <w:rPr>
                <w:sz w:val="16"/>
                <w:szCs w:val="16"/>
                <w:lang w:val="en-GB"/>
              </w:rPr>
              <w:t>.</w:t>
            </w:r>
          </w:p>
        </w:tc>
      </w:tr>
      <w:tr w:rsidR="00091D10" w:rsidRPr="0070536A" w14:paraId="5E7CB043" w14:textId="77777777" w:rsidTr="00B913BB">
        <w:trPr>
          <w:trHeight w:val="322"/>
          <w:jc w:val="center"/>
        </w:trPr>
        <w:tc>
          <w:tcPr>
            <w:tcW w:w="2405" w:type="dxa"/>
            <w:gridSpan w:val="2"/>
            <w:shd w:val="clear" w:color="auto" w:fill="DBE5F1" w:themeFill="accent1" w:themeFillTint="33"/>
            <w:tcMar>
              <w:top w:w="72" w:type="dxa"/>
              <w:left w:w="144" w:type="dxa"/>
              <w:bottom w:w="72" w:type="dxa"/>
              <w:right w:w="144" w:type="dxa"/>
            </w:tcMar>
            <w:vAlign w:val="center"/>
          </w:tcPr>
          <w:p w14:paraId="2C32E406" w14:textId="77777777" w:rsidR="00091D10" w:rsidRPr="0070536A" w:rsidRDefault="00091D10" w:rsidP="000A6AFE">
            <w:pPr>
              <w:jc w:val="center"/>
              <w:rPr>
                <w:sz w:val="16"/>
                <w:szCs w:val="16"/>
                <w:lang w:val="en-GB"/>
              </w:rPr>
            </w:pPr>
            <w:r w:rsidRPr="0070536A">
              <w:rPr>
                <w:b/>
                <w:bCs/>
                <w:sz w:val="16"/>
                <w:szCs w:val="16"/>
                <w:lang w:val="en-GB"/>
              </w:rPr>
              <w:t>COOPERATION FRAMEWORK OUTCOME INDICATOR(S), BASELINES, TARGET(S)</w:t>
            </w:r>
          </w:p>
        </w:tc>
        <w:tc>
          <w:tcPr>
            <w:tcW w:w="1985" w:type="dxa"/>
            <w:shd w:val="clear" w:color="auto" w:fill="DBE5F1" w:themeFill="accent1" w:themeFillTint="33"/>
            <w:vAlign w:val="center"/>
          </w:tcPr>
          <w:p w14:paraId="37627D17" w14:textId="77777777" w:rsidR="00091D10" w:rsidRPr="0070536A" w:rsidRDefault="00091D10" w:rsidP="000A6AFE">
            <w:pPr>
              <w:jc w:val="center"/>
              <w:rPr>
                <w:b/>
                <w:sz w:val="16"/>
                <w:szCs w:val="16"/>
                <w:lang w:val="en-GB"/>
              </w:rPr>
            </w:pPr>
            <w:r w:rsidRPr="0070536A">
              <w:rPr>
                <w:b/>
                <w:sz w:val="16"/>
                <w:szCs w:val="16"/>
                <w:lang w:val="en-GB"/>
              </w:rPr>
              <w:t>DATA SOURCE AND FREQUENCY OF DATA COLLECTION, AND RESPONSIBILITIES</w:t>
            </w:r>
          </w:p>
        </w:tc>
        <w:tc>
          <w:tcPr>
            <w:tcW w:w="6095" w:type="dxa"/>
            <w:shd w:val="clear" w:color="auto" w:fill="DBE5F1" w:themeFill="accent1" w:themeFillTint="33"/>
            <w:tcMar>
              <w:top w:w="72" w:type="dxa"/>
              <w:left w:w="144" w:type="dxa"/>
              <w:bottom w:w="72" w:type="dxa"/>
              <w:right w:w="144" w:type="dxa"/>
            </w:tcMar>
            <w:vAlign w:val="center"/>
          </w:tcPr>
          <w:p w14:paraId="5865BD10" w14:textId="77777777" w:rsidR="00091D10" w:rsidRPr="0070536A" w:rsidRDefault="00091D10" w:rsidP="000A6AFE">
            <w:pPr>
              <w:jc w:val="center"/>
              <w:rPr>
                <w:sz w:val="16"/>
                <w:szCs w:val="16"/>
                <w:lang w:val="en-GB"/>
              </w:rPr>
            </w:pPr>
            <w:r w:rsidRPr="0070536A">
              <w:rPr>
                <w:b/>
                <w:bCs/>
                <w:sz w:val="16"/>
                <w:szCs w:val="16"/>
                <w:lang w:val="en-GB"/>
              </w:rPr>
              <w:t xml:space="preserve">INDICATIVE COUNTRY PROGRAMME OUTPUTS </w:t>
            </w:r>
          </w:p>
        </w:tc>
        <w:tc>
          <w:tcPr>
            <w:tcW w:w="1701" w:type="dxa"/>
            <w:shd w:val="clear" w:color="auto" w:fill="DBE5F1" w:themeFill="accent1" w:themeFillTint="33"/>
            <w:vAlign w:val="center"/>
          </w:tcPr>
          <w:p w14:paraId="5212E342" w14:textId="76A58DF7" w:rsidR="00091D10" w:rsidRPr="0070536A" w:rsidRDefault="00091D10" w:rsidP="000A6AFE">
            <w:pPr>
              <w:jc w:val="center"/>
              <w:rPr>
                <w:b/>
                <w:bCs/>
                <w:sz w:val="16"/>
                <w:szCs w:val="16"/>
                <w:lang w:val="en-GB"/>
              </w:rPr>
            </w:pPr>
            <w:r w:rsidRPr="0070536A">
              <w:rPr>
                <w:b/>
                <w:bCs/>
                <w:sz w:val="16"/>
                <w:szCs w:val="16"/>
                <w:lang w:val="en-GB"/>
              </w:rPr>
              <w:t>MAJOR PARTNERS/ PARTNERSHIPS</w:t>
            </w:r>
          </w:p>
          <w:p w14:paraId="39A529A7" w14:textId="77777777" w:rsidR="00091D10" w:rsidRPr="0070536A" w:rsidRDefault="00091D10" w:rsidP="000A6AFE">
            <w:pPr>
              <w:jc w:val="center"/>
              <w:rPr>
                <w:b/>
                <w:bCs/>
                <w:sz w:val="16"/>
                <w:szCs w:val="16"/>
                <w:lang w:val="en-GB"/>
              </w:rPr>
            </w:pPr>
            <w:r w:rsidRPr="0070536A">
              <w:rPr>
                <w:b/>
                <w:bCs/>
                <w:sz w:val="16"/>
                <w:szCs w:val="16"/>
                <w:lang w:val="en-GB"/>
              </w:rPr>
              <w:t>FRAMEWORKS</w:t>
            </w:r>
          </w:p>
        </w:tc>
        <w:tc>
          <w:tcPr>
            <w:tcW w:w="1417" w:type="dxa"/>
            <w:shd w:val="clear" w:color="auto" w:fill="DBE5F1" w:themeFill="accent1" w:themeFillTint="33"/>
            <w:tcMar>
              <w:top w:w="15" w:type="dxa"/>
              <w:left w:w="108" w:type="dxa"/>
              <w:bottom w:w="0" w:type="dxa"/>
              <w:right w:w="108" w:type="dxa"/>
            </w:tcMar>
            <w:vAlign w:val="center"/>
          </w:tcPr>
          <w:p w14:paraId="103BBADF" w14:textId="77777777" w:rsidR="00091D10" w:rsidRPr="0070536A" w:rsidRDefault="00091D10" w:rsidP="000A6AFE">
            <w:pPr>
              <w:jc w:val="center"/>
              <w:rPr>
                <w:sz w:val="16"/>
                <w:szCs w:val="16"/>
                <w:lang w:val="en-GB"/>
              </w:rPr>
            </w:pPr>
            <w:r w:rsidRPr="0070536A">
              <w:rPr>
                <w:b/>
                <w:bCs/>
                <w:sz w:val="16"/>
                <w:szCs w:val="16"/>
                <w:lang w:val="en-GB"/>
              </w:rPr>
              <w:t xml:space="preserve">ESTIMATED COST BY OUTCOME </w:t>
            </w:r>
          </w:p>
        </w:tc>
      </w:tr>
      <w:tr w:rsidR="00091D10" w:rsidRPr="0070536A" w14:paraId="796951FA" w14:textId="77777777" w:rsidTr="00B913BB">
        <w:trPr>
          <w:trHeight w:val="2691"/>
          <w:jc w:val="center"/>
        </w:trPr>
        <w:tc>
          <w:tcPr>
            <w:tcW w:w="2405" w:type="dxa"/>
            <w:gridSpan w:val="2"/>
            <w:vMerge w:val="restart"/>
            <w:tcMar>
              <w:top w:w="72" w:type="dxa"/>
              <w:left w:w="144" w:type="dxa"/>
              <w:bottom w:w="72" w:type="dxa"/>
              <w:right w:w="144" w:type="dxa"/>
            </w:tcMar>
          </w:tcPr>
          <w:p w14:paraId="7082DD78" w14:textId="77777777" w:rsidR="00091D10" w:rsidRPr="0070536A" w:rsidRDefault="00091D10" w:rsidP="000A6AFE">
            <w:pPr>
              <w:ind w:left="-8" w:firstLine="8"/>
              <w:rPr>
                <w:b/>
                <w:iCs/>
                <w:sz w:val="16"/>
                <w:szCs w:val="16"/>
                <w:lang w:val="en-GB"/>
              </w:rPr>
            </w:pPr>
            <w:r w:rsidRPr="0070536A">
              <w:rPr>
                <w:b/>
                <w:iCs/>
                <w:sz w:val="16"/>
                <w:szCs w:val="16"/>
                <w:lang w:val="en-GB"/>
              </w:rPr>
              <w:t>N/a = not yet available</w:t>
            </w:r>
          </w:p>
          <w:p w14:paraId="67772A58" w14:textId="77777777" w:rsidR="00091D10" w:rsidRPr="0070536A" w:rsidRDefault="00091D10" w:rsidP="000A6AFE">
            <w:pPr>
              <w:ind w:left="-8" w:firstLine="8"/>
              <w:rPr>
                <w:b/>
                <w:iCs/>
                <w:sz w:val="16"/>
                <w:szCs w:val="16"/>
                <w:lang w:val="en-GB"/>
              </w:rPr>
            </w:pPr>
          </w:p>
          <w:p w14:paraId="61A06595" w14:textId="1CB0713A" w:rsidR="00091D10" w:rsidRPr="0070536A" w:rsidRDefault="00091D10" w:rsidP="000A6AFE">
            <w:pPr>
              <w:ind w:left="-10" w:hanging="21"/>
              <w:rPr>
                <w:b/>
                <w:iCs/>
                <w:sz w:val="16"/>
                <w:szCs w:val="16"/>
                <w:lang w:val="en-GB"/>
              </w:rPr>
            </w:pPr>
            <w:r w:rsidRPr="0070536A">
              <w:rPr>
                <w:b/>
                <w:iCs/>
                <w:sz w:val="16"/>
                <w:szCs w:val="16"/>
                <w:lang w:val="en-GB"/>
              </w:rPr>
              <w:t>8.1.1</w:t>
            </w:r>
            <w:r w:rsidR="00BA3880" w:rsidRPr="0070536A">
              <w:rPr>
                <w:b/>
                <w:iCs/>
                <w:sz w:val="16"/>
                <w:szCs w:val="16"/>
                <w:lang w:val="en-GB"/>
              </w:rPr>
              <w:t>.</w:t>
            </w:r>
            <w:r w:rsidRPr="0070536A">
              <w:rPr>
                <w:b/>
                <w:iCs/>
                <w:sz w:val="16"/>
                <w:szCs w:val="16"/>
                <w:lang w:val="en-GB"/>
              </w:rPr>
              <w:t xml:space="preserve"> Annual growth rate of real GDP per capita</w:t>
            </w:r>
            <w:r w:rsidR="00BA3880" w:rsidRPr="0070536A">
              <w:rPr>
                <w:b/>
                <w:iCs/>
                <w:sz w:val="16"/>
                <w:szCs w:val="16"/>
                <w:lang w:val="en-GB"/>
              </w:rPr>
              <w:t>.</w:t>
            </w:r>
          </w:p>
          <w:p w14:paraId="6165E962" w14:textId="77777777" w:rsidR="00091D10" w:rsidRPr="0070536A" w:rsidRDefault="00091D10" w:rsidP="000A6AFE">
            <w:pPr>
              <w:ind w:left="-10" w:hanging="21"/>
              <w:rPr>
                <w:bCs/>
                <w:iCs/>
                <w:sz w:val="16"/>
                <w:szCs w:val="16"/>
                <w:lang w:val="en-GB"/>
              </w:rPr>
            </w:pPr>
            <w:r w:rsidRPr="0070536A">
              <w:rPr>
                <w:bCs/>
                <w:iCs/>
                <w:sz w:val="16"/>
                <w:szCs w:val="16"/>
                <w:lang w:val="en-GB"/>
              </w:rPr>
              <w:t>Baseline: (20) n/a</w:t>
            </w:r>
          </w:p>
          <w:p w14:paraId="1DB72FCB" w14:textId="77777777" w:rsidR="00091D10" w:rsidRPr="0070536A" w:rsidRDefault="00091D10" w:rsidP="000A6AFE">
            <w:pPr>
              <w:ind w:left="-10" w:hanging="21"/>
              <w:rPr>
                <w:bCs/>
                <w:iCs/>
                <w:sz w:val="16"/>
                <w:szCs w:val="16"/>
                <w:lang w:val="en-GB"/>
              </w:rPr>
            </w:pPr>
            <w:r w:rsidRPr="0070536A">
              <w:rPr>
                <w:bCs/>
                <w:iCs/>
                <w:sz w:val="16"/>
                <w:szCs w:val="16"/>
                <w:lang w:val="en-GB"/>
              </w:rPr>
              <w:t>Target: (2028) n/a</w:t>
            </w:r>
          </w:p>
          <w:p w14:paraId="17B13466" w14:textId="77777777" w:rsidR="00091D10" w:rsidRPr="0070536A" w:rsidRDefault="00091D10" w:rsidP="000A6AFE">
            <w:pPr>
              <w:rPr>
                <w:bCs/>
                <w:iCs/>
                <w:sz w:val="16"/>
                <w:szCs w:val="16"/>
                <w:lang w:val="en-GB"/>
              </w:rPr>
            </w:pPr>
          </w:p>
          <w:p w14:paraId="0433E2A2" w14:textId="47777270" w:rsidR="00091D10" w:rsidRPr="0070536A" w:rsidRDefault="00091D10" w:rsidP="000A6AFE">
            <w:pPr>
              <w:ind w:left="-10" w:hanging="21"/>
              <w:rPr>
                <w:b/>
                <w:iCs/>
                <w:sz w:val="16"/>
                <w:szCs w:val="16"/>
                <w:lang w:val="en-GB"/>
              </w:rPr>
            </w:pPr>
            <w:r w:rsidRPr="0070536A">
              <w:rPr>
                <w:b/>
                <w:iCs/>
                <w:sz w:val="16"/>
                <w:szCs w:val="16"/>
                <w:lang w:val="en-GB"/>
              </w:rPr>
              <w:t>8.2.1</w:t>
            </w:r>
            <w:r w:rsidR="00BA3880" w:rsidRPr="0070536A">
              <w:rPr>
                <w:b/>
                <w:iCs/>
                <w:sz w:val="16"/>
                <w:szCs w:val="16"/>
                <w:lang w:val="en-GB"/>
              </w:rPr>
              <w:t>.</w:t>
            </w:r>
            <w:r w:rsidRPr="0070536A">
              <w:rPr>
                <w:b/>
                <w:iCs/>
                <w:sz w:val="16"/>
                <w:szCs w:val="16"/>
                <w:lang w:val="en-GB"/>
              </w:rPr>
              <w:t xml:space="preserve"> Annual growth rate of real GDP per employed person</w:t>
            </w:r>
            <w:r w:rsidR="00BA3880" w:rsidRPr="0070536A">
              <w:rPr>
                <w:b/>
                <w:iCs/>
                <w:sz w:val="16"/>
                <w:szCs w:val="16"/>
                <w:lang w:val="en-GB"/>
              </w:rPr>
              <w:t>.</w:t>
            </w:r>
          </w:p>
          <w:p w14:paraId="558A0F75" w14:textId="77777777" w:rsidR="00091D10" w:rsidRPr="0070536A" w:rsidRDefault="00091D10" w:rsidP="000A6AFE">
            <w:pPr>
              <w:ind w:left="-10" w:hanging="21"/>
              <w:rPr>
                <w:bCs/>
                <w:iCs/>
                <w:sz w:val="16"/>
                <w:szCs w:val="16"/>
                <w:lang w:val="en-GB"/>
              </w:rPr>
            </w:pPr>
            <w:r w:rsidRPr="0070536A">
              <w:rPr>
                <w:bCs/>
                <w:iCs/>
                <w:sz w:val="16"/>
                <w:szCs w:val="16"/>
                <w:lang w:val="en-GB"/>
              </w:rPr>
              <w:t>Baseline: (20) n/a</w:t>
            </w:r>
          </w:p>
          <w:p w14:paraId="2C7FD498" w14:textId="77777777" w:rsidR="00091D10" w:rsidRPr="0070536A" w:rsidRDefault="00091D10" w:rsidP="000A6AFE">
            <w:pPr>
              <w:ind w:left="-10" w:hanging="21"/>
              <w:rPr>
                <w:bCs/>
                <w:iCs/>
                <w:sz w:val="16"/>
                <w:szCs w:val="16"/>
                <w:lang w:val="en-GB"/>
              </w:rPr>
            </w:pPr>
            <w:r w:rsidRPr="0070536A">
              <w:rPr>
                <w:bCs/>
                <w:iCs/>
                <w:sz w:val="16"/>
                <w:szCs w:val="16"/>
                <w:lang w:val="en-GB"/>
              </w:rPr>
              <w:t>Target: (2028) n/a</w:t>
            </w:r>
          </w:p>
          <w:p w14:paraId="3F0BA3EF" w14:textId="77777777" w:rsidR="00091D10" w:rsidRPr="0070536A" w:rsidRDefault="00091D10" w:rsidP="000A6AFE">
            <w:pPr>
              <w:rPr>
                <w:bCs/>
                <w:iCs/>
                <w:sz w:val="16"/>
                <w:szCs w:val="16"/>
                <w:lang w:val="en-GB"/>
              </w:rPr>
            </w:pPr>
          </w:p>
          <w:p w14:paraId="3C9CE410" w14:textId="003F1493" w:rsidR="00091D10" w:rsidRPr="0070536A" w:rsidRDefault="00091D10" w:rsidP="000A6AFE">
            <w:pPr>
              <w:ind w:left="-10" w:hanging="21"/>
              <w:rPr>
                <w:b/>
                <w:iCs/>
                <w:sz w:val="16"/>
                <w:szCs w:val="16"/>
                <w:lang w:val="en-GB"/>
              </w:rPr>
            </w:pPr>
            <w:r w:rsidRPr="0070536A">
              <w:rPr>
                <w:b/>
                <w:iCs/>
                <w:sz w:val="16"/>
                <w:szCs w:val="16"/>
                <w:lang w:val="en-GB"/>
              </w:rPr>
              <w:t>8.5.2</w:t>
            </w:r>
            <w:r w:rsidR="00BA3880" w:rsidRPr="0070536A">
              <w:rPr>
                <w:b/>
                <w:iCs/>
                <w:sz w:val="16"/>
                <w:szCs w:val="16"/>
                <w:lang w:val="en-GB"/>
              </w:rPr>
              <w:t>.</w:t>
            </w:r>
            <w:r w:rsidRPr="0070536A">
              <w:rPr>
                <w:b/>
                <w:iCs/>
                <w:sz w:val="16"/>
                <w:szCs w:val="16"/>
                <w:lang w:val="en-GB"/>
              </w:rPr>
              <w:t xml:space="preserve"> Unemployment rate, by sex, age and persons with disabilities</w:t>
            </w:r>
            <w:r w:rsidR="00BA3880" w:rsidRPr="0070536A">
              <w:rPr>
                <w:b/>
                <w:iCs/>
                <w:sz w:val="16"/>
                <w:szCs w:val="16"/>
                <w:lang w:val="en-GB"/>
              </w:rPr>
              <w:t>.</w:t>
            </w:r>
          </w:p>
          <w:p w14:paraId="69E6044A" w14:textId="77777777" w:rsidR="00091D10" w:rsidRPr="0070536A" w:rsidRDefault="00091D10" w:rsidP="000A6AFE">
            <w:pPr>
              <w:ind w:left="-10" w:hanging="21"/>
              <w:rPr>
                <w:bCs/>
                <w:iCs/>
                <w:sz w:val="16"/>
                <w:szCs w:val="16"/>
                <w:lang w:val="en-GB"/>
              </w:rPr>
            </w:pPr>
            <w:r w:rsidRPr="0070536A">
              <w:rPr>
                <w:bCs/>
                <w:iCs/>
                <w:sz w:val="16"/>
                <w:szCs w:val="16"/>
                <w:lang w:val="en-GB"/>
              </w:rPr>
              <w:t>Baseline: (20) n/a</w:t>
            </w:r>
          </w:p>
          <w:p w14:paraId="383F79DA" w14:textId="77777777" w:rsidR="00091D10" w:rsidRPr="0070536A" w:rsidRDefault="00091D10" w:rsidP="000A6AFE">
            <w:pPr>
              <w:ind w:left="-10" w:hanging="21"/>
              <w:rPr>
                <w:bCs/>
                <w:iCs/>
                <w:sz w:val="16"/>
                <w:szCs w:val="16"/>
                <w:lang w:val="en-GB"/>
              </w:rPr>
            </w:pPr>
            <w:r w:rsidRPr="0070536A">
              <w:rPr>
                <w:bCs/>
                <w:iCs/>
                <w:sz w:val="16"/>
                <w:szCs w:val="16"/>
                <w:lang w:val="en-GB"/>
              </w:rPr>
              <w:t>Target: (2028) n/a</w:t>
            </w:r>
          </w:p>
          <w:p w14:paraId="76327A68" w14:textId="77777777" w:rsidR="00091D10" w:rsidRPr="0070536A" w:rsidRDefault="00091D10" w:rsidP="000A6AFE">
            <w:pPr>
              <w:ind w:left="-8" w:firstLine="8"/>
              <w:rPr>
                <w:bCs/>
                <w:iCs/>
                <w:sz w:val="16"/>
                <w:szCs w:val="16"/>
                <w:lang w:val="en-GB"/>
              </w:rPr>
            </w:pPr>
          </w:p>
          <w:p w14:paraId="098EDC4C" w14:textId="77777777" w:rsidR="00091D10" w:rsidRPr="0070536A" w:rsidRDefault="00091D10" w:rsidP="000A6AFE">
            <w:pPr>
              <w:ind w:left="-10" w:hanging="21"/>
              <w:rPr>
                <w:bCs/>
                <w:iCs/>
                <w:sz w:val="16"/>
                <w:szCs w:val="16"/>
                <w:lang w:val="en-GB"/>
              </w:rPr>
            </w:pPr>
          </w:p>
        </w:tc>
        <w:tc>
          <w:tcPr>
            <w:tcW w:w="1985" w:type="dxa"/>
            <w:vMerge w:val="restart"/>
          </w:tcPr>
          <w:p w14:paraId="48A61478" w14:textId="77777777" w:rsidR="00091D10" w:rsidRPr="0070536A" w:rsidRDefault="00091D10" w:rsidP="000A6AFE">
            <w:pPr>
              <w:ind w:left="84"/>
              <w:rPr>
                <w:b/>
                <w:bCs/>
                <w:iCs/>
                <w:color w:val="000000"/>
                <w:sz w:val="16"/>
                <w:szCs w:val="16"/>
                <w:lang w:val="en-GB"/>
              </w:rPr>
            </w:pPr>
          </w:p>
          <w:p w14:paraId="266C16AA" w14:textId="77777777" w:rsidR="00091D10" w:rsidRPr="0070536A" w:rsidRDefault="00091D10" w:rsidP="000A6AFE">
            <w:pPr>
              <w:ind w:left="84"/>
              <w:rPr>
                <w:b/>
                <w:bCs/>
                <w:iCs/>
                <w:color w:val="000000"/>
                <w:sz w:val="16"/>
                <w:szCs w:val="16"/>
                <w:lang w:val="en-GB"/>
              </w:rPr>
            </w:pPr>
          </w:p>
          <w:p w14:paraId="1BAE2DC9" w14:textId="6F98DA18" w:rsidR="00091D10" w:rsidRPr="0070536A" w:rsidRDefault="00091D10" w:rsidP="000A6AFE">
            <w:pPr>
              <w:ind w:left="84"/>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Voluntary </w:t>
            </w:r>
            <w:r w:rsidR="00BA3880" w:rsidRPr="0070536A">
              <w:rPr>
                <w:iCs/>
                <w:sz w:val="16"/>
                <w:szCs w:val="16"/>
                <w:lang w:val="en-GB"/>
              </w:rPr>
              <w:t xml:space="preserve">National </w:t>
            </w:r>
            <w:r w:rsidRPr="0070536A">
              <w:rPr>
                <w:iCs/>
                <w:sz w:val="16"/>
                <w:szCs w:val="16"/>
                <w:lang w:val="en-GB"/>
              </w:rPr>
              <w:t>Review (VNR)</w:t>
            </w:r>
          </w:p>
          <w:p w14:paraId="041F2A13"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  </w:t>
            </w:r>
          </w:p>
          <w:p w14:paraId="3A9DDB44"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n/a</w:t>
            </w:r>
          </w:p>
          <w:p w14:paraId="54F19AAA" w14:textId="77777777" w:rsidR="00091D10" w:rsidRPr="0070536A" w:rsidRDefault="00091D10" w:rsidP="000A6AFE">
            <w:pPr>
              <w:rPr>
                <w:b/>
                <w:bCs/>
                <w:iCs/>
                <w:sz w:val="16"/>
                <w:szCs w:val="16"/>
                <w:lang w:val="en-GB"/>
              </w:rPr>
            </w:pPr>
          </w:p>
          <w:p w14:paraId="53C7593A" w14:textId="77777777" w:rsidR="00091D10" w:rsidRPr="0070536A" w:rsidRDefault="00091D10" w:rsidP="000A6AFE">
            <w:pPr>
              <w:rPr>
                <w:b/>
                <w:bCs/>
                <w:iCs/>
                <w:sz w:val="16"/>
                <w:szCs w:val="16"/>
                <w:lang w:val="en-GB"/>
              </w:rPr>
            </w:pPr>
          </w:p>
          <w:p w14:paraId="21B6EE5F"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01E3865C"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  </w:t>
            </w:r>
          </w:p>
          <w:p w14:paraId="10A634B7"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 xml:space="preserve">n/a </w:t>
            </w:r>
          </w:p>
          <w:p w14:paraId="53411A49" w14:textId="77777777" w:rsidR="00091D10" w:rsidRPr="0070536A" w:rsidRDefault="00091D10" w:rsidP="000A6AFE">
            <w:pPr>
              <w:rPr>
                <w:b/>
                <w:bCs/>
                <w:iCs/>
                <w:sz w:val="16"/>
                <w:szCs w:val="16"/>
                <w:lang w:val="en-GB"/>
              </w:rPr>
            </w:pPr>
          </w:p>
          <w:p w14:paraId="039A5025" w14:textId="77777777" w:rsidR="00091D10" w:rsidRPr="0070536A" w:rsidRDefault="00091D10" w:rsidP="000A6AFE">
            <w:pPr>
              <w:rPr>
                <w:b/>
                <w:bCs/>
                <w:iCs/>
                <w:sz w:val="16"/>
                <w:szCs w:val="16"/>
                <w:lang w:val="en-GB"/>
              </w:rPr>
            </w:pPr>
          </w:p>
          <w:p w14:paraId="520144F3"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15BF103F"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  </w:t>
            </w:r>
          </w:p>
          <w:p w14:paraId="5DDEFEED"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n/a</w:t>
            </w:r>
          </w:p>
          <w:p w14:paraId="4EE6B339" w14:textId="77777777" w:rsidR="00091D10" w:rsidRPr="0070536A" w:rsidRDefault="00091D10" w:rsidP="000A6AFE">
            <w:pPr>
              <w:rPr>
                <w:b/>
                <w:bCs/>
                <w:iCs/>
                <w:sz w:val="16"/>
                <w:szCs w:val="16"/>
                <w:lang w:val="en-GB"/>
              </w:rPr>
            </w:pPr>
          </w:p>
          <w:p w14:paraId="0376657B" w14:textId="77777777" w:rsidR="00091D10" w:rsidRPr="0070536A" w:rsidRDefault="00091D10" w:rsidP="000A6AFE">
            <w:pPr>
              <w:rPr>
                <w:b/>
                <w:bCs/>
                <w:iCs/>
                <w:sz w:val="16"/>
                <w:szCs w:val="16"/>
                <w:lang w:val="en-GB"/>
              </w:rPr>
            </w:pPr>
          </w:p>
          <w:p w14:paraId="701FD601" w14:textId="77777777" w:rsidR="00091D10" w:rsidRPr="0070536A" w:rsidRDefault="00091D10" w:rsidP="000A6AFE">
            <w:pPr>
              <w:ind w:left="84"/>
              <w:rPr>
                <w:iCs/>
                <w:color w:val="000000"/>
                <w:sz w:val="16"/>
                <w:szCs w:val="16"/>
                <w:lang w:val="en-GB"/>
              </w:rPr>
            </w:pPr>
            <w:r w:rsidRPr="0070536A">
              <w:rPr>
                <w:b/>
                <w:bCs/>
                <w:iCs/>
                <w:color w:val="000000"/>
                <w:sz w:val="16"/>
                <w:szCs w:val="16"/>
                <w:lang w:val="en-GB"/>
              </w:rPr>
              <w:t xml:space="preserve">  </w:t>
            </w:r>
          </w:p>
          <w:p w14:paraId="1061D8A8" w14:textId="77777777" w:rsidR="00091D10" w:rsidRPr="0070536A" w:rsidRDefault="00091D10" w:rsidP="000A6AFE">
            <w:pPr>
              <w:rPr>
                <w:b/>
                <w:bCs/>
                <w:iCs/>
                <w:sz w:val="16"/>
                <w:szCs w:val="16"/>
                <w:lang w:val="en-GB"/>
              </w:rPr>
            </w:pPr>
          </w:p>
          <w:p w14:paraId="14C154EA" w14:textId="77777777" w:rsidR="00091D10" w:rsidRPr="0070536A" w:rsidRDefault="00091D10" w:rsidP="000A6AFE">
            <w:pPr>
              <w:rPr>
                <w:b/>
                <w:bCs/>
                <w:iCs/>
                <w:sz w:val="16"/>
                <w:szCs w:val="16"/>
                <w:lang w:val="en-GB"/>
              </w:rPr>
            </w:pPr>
          </w:p>
          <w:p w14:paraId="57E34B1B" w14:textId="77777777" w:rsidR="00091D10" w:rsidRPr="0070536A" w:rsidRDefault="00091D10" w:rsidP="000A6AFE">
            <w:pPr>
              <w:rPr>
                <w:b/>
                <w:bCs/>
                <w:iCs/>
                <w:sz w:val="16"/>
                <w:szCs w:val="16"/>
                <w:lang w:val="en-GB"/>
              </w:rPr>
            </w:pPr>
          </w:p>
          <w:p w14:paraId="45C52A31" w14:textId="77777777" w:rsidR="00091D10" w:rsidRPr="0070536A" w:rsidRDefault="00091D10" w:rsidP="000A6AFE">
            <w:pPr>
              <w:rPr>
                <w:b/>
                <w:bCs/>
                <w:iCs/>
                <w:color w:val="000000"/>
                <w:sz w:val="16"/>
                <w:szCs w:val="16"/>
                <w:lang w:val="en-GB"/>
              </w:rPr>
            </w:pPr>
          </w:p>
          <w:p w14:paraId="37F07C68" w14:textId="77777777" w:rsidR="00091D10" w:rsidRPr="0070536A" w:rsidRDefault="00091D10" w:rsidP="000A6AFE">
            <w:pPr>
              <w:rPr>
                <w:b/>
                <w:bCs/>
                <w:iCs/>
                <w:color w:val="000000"/>
                <w:sz w:val="16"/>
                <w:szCs w:val="16"/>
                <w:lang w:val="en-GB"/>
              </w:rPr>
            </w:pPr>
          </w:p>
          <w:p w14:paraId="1FE17D1F" w14:textId="77777777" w:rsidR="00091D10" w:rsidRPr="0070536A" w:rsidRDefault="00091D10" w:rsidP="000A6AFE">
            <w:pPr>
              <w:rPr>
                <w:b/>
                <w:bCs/>
                <w:iCs/>
                <w:color w:val="000000"/>
                <w:sz w:val="16"/>
                <w:szCs w:val="16"/>
                <w:lang w:val="en-GB"/>
              </w:rPr>
            </w:pPr>
          </w:p>
          <w:p w14:paraId="2889D1D9" w14:textId="77777777" w:rsidR="00091D10" w:rsidRPr="0070536A" w:rsidRDefault="00091D10" w:rsidP="000A6AFE">
            <w:pPr>
              <w:rPr>
                <w:b/>
                <w:bCs/>
                <w:iCs/>
                <w:sz w:val="16"/>
                <w:szCs w:val="16"/>
                <w:lang w:val="en-GB"/>
              </w:rPr>
            </w:pPr>
          </w:p>
        </w:tc>
        <w:tc>
          <w:tcPr>
            <w:tcW w:w="6095" w:type="dxa"/>
            <w:tcMar>
              <w:top w:w="72" w:type="dxa"/>
              <w:left w:w="144" w:type="dxa"/>
              <w:bottom w:w="72" w:type="dxa"/>
              <w:right w:w="144" w:type="dxa"/>
            </w:tcMar>
          </w:tcPr>
          <w:p w14:paraId="4A444587" w14:textId="77777777" w:rsidR="00091D10" w:rsidRPr="0070536A" w:rsidRDefault="00091D10" w:rsidP="000A6AFE">
            <w:pPr>
              <w:spacing w:after="120"/>
              <w:jc w:val="both"/>
              <w:rPr>
                <w:b/>
                <w:bCs/>
                <w:color w:val="000000" w:themeColor="text1"/>
                <w:sz w:val="16"/>
                <w:szCs w:val="16"/>
                <w:lang w:val="en-GB"/>
              </w:rPr>
            </w:pPr>
            <w:r w:rsidRPr="0070536A">
              <w:rPr>
                <w:b/>
                <w:bCs/>
                <w:color w:val="000000" w:themeColor="text1"/>
                <w:sz w:val="16"/>
                <w:szCs w:val="16"/>
                <w:lang w:val="en-GB"/>
              </w:rPr>
              <w:t>1.1. Enabling business and investment environment strengthened to promote economic diversification and greater regional economic integration.</w:t>
            </w:r>
          </w:p>
          <w:p w14:paraId="382C21C3" w14:textId="77777777" w:rsidR="00091D10" w:rsidRPr="0070536A" w:rsidRDefault="00091D10" w:rsidP="000A6AFE">
            <w:pPr>
              <w:jc w:val="both"/>
              <w:rPr>
                <w:b/>
                <w:bCs/>
                <w:sz w:val="16"/>
                <w:szCs w:val="16"/>
                <w:lang w:val="en-GB"/>
              </w:rPr>
            </w:pPr>
            <w:r w:rsidRPr="0070536A">
              <w:rPr>
                <w:b/>
                <w:bCs/>
                <w:sz w:val="16"/>
                <w:szCs w:val="16"/>
                <w:lang w:val="en-GB"/>
              </w:rPr>
              <w:t>Indicators:</w:t>
            </w:r>
          </w:p>
          <w:p w14:paraId="101807E4" w14:textId="314A45CF" w:rsidR="00091D10" w:rsidRPr="0070536A" w:rsidRDefault="00091D10" w:rsidP="000A6AFE">
            <w:pPr>
              <w:jc w:val="both"/>
              <w:rPr>
                <w:sz w:val="16"/>
                <w:szCs w:val="16"/>
                <w:lang w:val="en-GB"/>
              </w:rPr>
            </w:pPr>
            <w:r w:rsidRPr="0070536A">
              <w:rPr>
                <w:b/>
                <w:bCs/>
                <w:sz w:val="16"/>
                <w:szCs w:val="16"/>
                <w:lang w:val="en-GB"/>
              </w:rPr>
              <w:t>1.1.1</w:t>
            </w:r>
            <w:r w:rsidR="00BA3880" w:rsidRPr="0070536A">
              <w:rPr>
                <w:sz w:val="16"/>
                <w:szCs w:val="16"/>
                <w:lang w:val="en-GB"/>
              </w:rPr>
              <w:t>.</w:t>
            </w:r>
            <w:r w:rsidRPr="0070536A">
              <w:rPr>
                <w:sz w:val="16"/>
                <w:szCs w:val="16"/>
                <w:lang w:val="en-GB"/>
              </w:rPr>
              <w:t xml:space="preserve"> Number of legal and regulatory reforms that promote business and investment.</w:t>
            </w:r>
          </w:p>
          <w:p w14:paraId="04F36556" w14:textId="77777777" w:rsidR="00091D10" w:rsidRPr="0070536A" w:rsidRDefault="00091D10" w:rsidP="000A6AFE">
            <w:pPr>
              <w:jc w:val="both"/>
              <w:rPr>
                <w:sz w:val="16"/>
                <w:szCs w:val="16"/>
                <w:lang w:val="en-GB"/>
              </w:rPr>
            </w:pPr>
            <w:r w:rsidRPr="0070536A">
              <w:rPr>
                <w:sz w:val="16"/>
                <w:szCs w:val="16"/>
                <w:lang w:val="en-GB"/>
              </w:rPr>
              <w:t>Baseline (2023): 1</w:t>
            </w:r>
          </w:p>
          <w:p w14:paraId="08834DDE" w14:textId="77777777" w:rsidR="00091D10" w:rsidRPr="0070536A" w:rsidRDefault="00091D10" w:rsidP="000A6AFE">
            <w:pPr>
              <w:jc w:val="both"/>
              <w:rPr>
                <w:sz w:val="16"/>
                <w:szCs w:val="16"/>
                <w:lang w:val="en-GB"/>
              </w:rPr>
            </w:pPr>
            <w:r w:rsidRPr="0070536A">
              <w:rPr>
                <w:sz w:val="16"/>
                <w:szCs w:val="16"/>
                <w:lang w:val="en-GB"/>
              </w:rPr>
              <w:t>Target (2028): 4</w:t>
            </w:r>
          </w:p>
          <w:p w14:paraId="304EE4EA" w14:textId="77777777" w:rsidR="00091D10" w:rsidRPr="0070536A" w:rsidRDefault="00091D10" w:rsidP="000A6AFE">
            <w:pPr>
              <w:jc w:val="both"/>
              <w:rPr>
                <w:sz w:val="16"/>
                <w:szCs w:val="16"/>
                <w:lang w:val="en-GB"/>
              </w:rPr>
            </w:pPr>
            <w:r w:rsidRPr="0070536A">
              <w:rPr>
                <w:sz w:val="16"/>
                <w:szCs w:val="16"/>
                <w:lang w:val="en-GB"/>
              </w:rPr>
              <w:t>Data source: Official Gazette</w:t>
            </w:r>
          </w:p>
          <w:p w14:paraId="5DB09F60" w14:textId="77777777" w:rsidR="00091D10" w:rsidRPr="0070536A" w:rsidRDefault="00091D10" w:rsidP="000A6AFE">
            <w:pPr>
              <w:spacing w:after="120"/>
              <w:jc w:val="both"/>
              <w:rPr>
                <w:sz w:val="16"/>
                <w:szCs w:val="16"/>
                <w:lang w:val="en-GB"/>
              </w:rPr>
            </w:pPr>
            <w:r w:rsidRPr="0070536A">
              <w:rPr>
                <w:sz w:val="16"/>
                <w:szCs w:val="16"/>
                <w:lang w:val="en-GB"/>
              </w:rPr>
              <w:t xml:space="preserve">Frequency: Annual </w:t>
            </w:r>
          </w:p>
          <w:p w14:paraId="5BDF12D2" w14:textId="037F81D0" w:rsidR="00091D10" w:rsidRPr="0070536A" w:rsidRDefault="00091D10" w:rsidP="000A6AFE">
            <w:pPr>
              <w:jc w:val="both"/>
              <w:rPr>
                <w:sz w:val="16"/>
                <w:szCs w:val="16"/>
                <w:lang w:val="en-GB"/>
              </w:rPr>
            </w:pPr>
            <w:r w:rsidRPr="0070536A">
              <w:rPr>
                <w:b/>
                <w:bCs/>
                <w:sz w:val="16"/>
                <w:szCs w:val="16"/>
                <w:lang w:val="en-GB"/>
              </w:rPr>
              <w:t>1.1.2</w:t>
            </w:r>
            <w:r w:rsidR="00BA3880" w:rsidRPr="0070536A">
              <w:rPr>
                <w:sz w:val="16"/>
                <w:szCs w:val="16"/>
                <w:lang w:val="en-GB"/>
              </w:rPr>
              <w:t>.</w:t>
            </w:r>
            <w:r w:rsidRPr="0070536A">
              <w:rPr>
                <w:sz w:val="16"/>
                <w:szCs w:val="16"/>
                <w:lang w:val="en-GB"/>
              </w:rPr>
              <w:t xml:space="preserve"> Number of measures implemented to facilitate greater integration into the AfCFTA.</w:t>
            </w:r>
          </w:p>
          <w:p w14:paraId="17E1E02D" w14:textId="77777777" w:rsidR="00091D10" w:rsidRPr="0070536A" w:rsidRDefault="00091D10" w:rsidP="000A6AFE">
            <w:pPr>
              <w:jc w:val="both"/>
              <w:rPr>
                <w:sz w:val="16"/>
                <w:szCs w:val="16"/>
                <w:lang w:val="en-GB"/>
              </w:rPr>
            </w:pPr>
            <w:r w:rsidRPr="0070536A">
              <w:rPr>
                <w:sz w:val="16"/>
                <w:szCs w:val="16"/>
                <w:lang w:val="en-GB"/>
              </w:rPr>
              <w:t>Baseline (2023): 0</w:t>
            </w:r>
          </w:p>
          <w:p w14:paraId="4F61E8AD" w14:textId="77777777" w:rsidR="00091D10" w:rsidRPr="0070536A" w:rsidRDefault="00091D10" w:rsidP="000A6AFE">
            <w:pPr>
              <w:jc w:val="both"/>
              <w:rPr>
                <w:sz w:val="16"/>
                <w:szCs w:val="16"/>
                <w:lang w:val="en-GB"/>
              </w:rPr>
            </w:pPr>
            <w:r w:rsidRPr="0070536A">
              <w:rPr>
                <w:sz w:val="16"/>
                <w:szCs w:val="16"/>
                <w:lang w:val="en-GB"/>
              </w:rPr>
              <w:t>Target (2028): 10</w:t>
            </w:r>
          </w:p>
          <w:p w14:paraId="7A2815E0" w14:textId="77777777" w:rsidR="00091D10" w:rsidRPr="0070536A" w:rsidRDefault="00091D10" w:rsidP="000A6AFE">
            <w:pPr>
              <w:jc w:val="both"/>
              <w:rPr>
                <w:sz w:val="16"/>
                <w:szCs w:val="16"/>
                <w:lang w:val="en-GB"/>
              </w:rPr>
            </w:pPr>
            <w:r w:rsidRPr="0070536A">
              <w:rPr>
                <w:sz w:val="16"/>
                <w:szCs w:val="16"/>
                <w:lang w:val="en-GB" w:eastAsia="zh-Hans"/>
              </w:rPr>
              <w:t>Data source: Ministry of Commerce annual report</w:t>
            </w:r>
          </w:p>
          <w:p w14:paraId="6EDC3B31" w14:textId="77777777" w:rsidR="00091D10" w:rsidRPr="0070536A" w:rsidRDefault="00091D10" w:rsidP="000A6AFE">
            <w:pPr>
              <w:spacing w:after="120"/>
              <w:jc w:val="both"/>
              <w:rPr>
                <w:sz w:val="16"/>
                <w:szCs w:val="16"/>
                <w:lang w:val="en-GB"/>
              </w:rPr>
            </w:pPr>
            <w:r w:rsidRPr="0070536A">
              <w:rPr>
                <w:sz w:val="16"/>
                <w:szCs w:val="16"/>
                <w:lang w:val="en-GB"/>
              </w:rPr>
              <w:t>Frequency: Annual</w:t>
            </w:r>
          </w:p>
        </w:tc>
        <w:tc>
          <w:tcPr>
            <w:tcW w:w="1701" w:type="dxa"/>
            <w:vMerge w:val="restart"/>
          </w:tcPr>
          <w:p w14:paraId="11D7BAB8" w14:textId="77777777" w:rsidR="00091D10" w:rsidRPr="0070536A" w:rsidRDefault="00091D10" w:rsidP="000A6AFE">
            <w:pPr>
              <w:spacing w:after="60"/>
              <w:ind w:left="96"/>
              <w:rPr>
                <w:sz w:val="16"/>
                <w:szCs w:val="16"/>
                <w:lang w:val="en-GB"/>
              </w:rPr>
            </w:pPr>
            <w:r w:rsidRPr="0070536A">
              <w:rPr>
                <w:sz w:val="16"/>
                <w:szCs w:val="16"/>
                <w:lang w:val="en-GB"/>
              </w:rPr>
              <w:t>Ministries of:</w:t>
            </w:r>
          </w:p>
          <w:p w14:paraId="1C22D852" w14:textId="77777777" w:rsidR="00091D10" w:rsidRPr="0070536A" w:rsidRDefault="00091D10" w:rsidP="000A6AFE">
            <w:pPr>
              <w:spacing w:after="60"/>
              <w:ind w:left="112"/>
              <w:rPr>
                <w:sz w:val="16"/>
                <w:szCs w:val="16"/>
                <w:lang w:val="en-GB"/>
              </w:rPr>
            </w:pPr>
            <w:r w:rsidRPr="0070536A">
              <w:rPr>
                <w:sz w:val="16"/>
                <w:szCs w:val="16"/>
                <w:lang w:val="en-GB"/>
              </w:rPr>
              <w:t>Planning and Economic Diversification</w:t>
            </w:r>
          </w:p>
          <w:p w14:paraId="7FD19375" w14:textId="77777777" w:rsidR="00091D10" w:rsidRPr="0070536A" w:rsidRDefault="00091D10" w:rsidP="000A6AFE">
            <w:pPr>
              <w:spacing w:after="60"/>
              <w:ind w:left="112"/>
              <w:rPr>
                <w:sz w:val="16"/>
                <w:szCs w:val="16"/>
                <w:lang w:val="en-GB"/>
              </w:rPr>
            </w:pPr>
            <w:r w:rsidRPr="0070536A">
              <w:rPr>
                <w:sz w:val="16"/>
                <w:szCs w:val="16"/>
                <w:lang w:val="en-GB"/>
              </w:rPr>
              <w:t>Transport and Telecom</w:t>
            </w:r>
          </w:p>
          <w:p w14:paraId="2612EF42" w14:textId="1DE3D5FE" w:rsidR="00091D10" w:rsidRPr="0070536A" w:rsidRDefault="00091D10" w:rsidP="000A6AFE">
            <w:pPr>
              <w:spacing w:after="60"/>
              <w:ind w:left="112"/>
              <w:rPr>
                <w:sz w:val="16"/>
                <w:szCs w:val="16"/>
                <w:lang w:val="en-GB"/>
              </w:rPr>
            </w:pPr>
            <w:r w:rsidRPr="0070536A">
              <w:rPr>
                <w:sz w:val="16"/>
                <w:szCs w:val="16"/>
                <w:lang w:val="en-GB"/>
              </w:rPr>
              <w:t xml:space="preserve">Foreign </w:t>
            </w:r>
            <w:r w:rsidR="0003326D" w:rsidRPr="0070536A">
              <w:rPr>
                <w:sz w:val="16"/>
                <w:szCs w:val="16"/>
                <w:lang w:val="en-GB"/>
              </w:rPr>
              <w:t>A</w:t>
            </w:r>
            <w:r w:rsidRPr="0070536A">
              <w:rPr>
                <w:sz w:val="16"/>
                <w:szCs w:val="16"/>
                <w:lang w:val="en-GB"/>
              </w:rPr>
              <w:t>ffairs and Cooperation</w:t>
            </w:r>
          </w:p>
          <w:p w14:paraId="3F718547" w14:textId="77777777" w:rsidR="00091D10" w:rsidRPr="0070536A" w:rsidRDefault="00091D10" w:rsidP="000A6AFE">
            <w:pPr>
              <w:spacing w:after="60"/>
              <w:rPr>
                <w:sz w:val="16"/>
                <w:szCs w:val="16"/>
                <w:lang w:val="en-GB"/>
              </w:rPr>
            </w:pPr>
          </w:p>
          <w:p w14:paraId="0112C785" w14:textId="77777777" w:rsidR="00091D10" w:rsidRPr="0070536A" w:rsidRDefault="00091D10" w:rsidP="000A6AFE">
            <w:pPr>
              <w:spacing w:after="60"/>
              <w:ind w:left="96"/>
              <w:rPr>
                <w:sz w:val="16"/>
                <w:szCs w:val="16"/>
                <w:lang w:val="en-GB"/>
              </w:rPr>
            </w:pPr>
            <w:r w:rsidRPr="0070536A">
              <w:rPr>
                <w:sz w:val="16"/>
                <w:szCs w:val="16"/>
                <w:lang w:val="en-GB"/>
              </w:rPr>
              <w:t>ILO</w:t>
            </w:r>
          </w:p>
          <w:p w14:paraId="487CDACF" w14:textId="77777777" w:rsidR="00091D10" w:rsidRPr="0070536A" w:rsidRDefault="00091D10" w:rsidP="000A6AFE">
            <w:pPr>
              <w:spacing w:after="60"/>
              <w:ind w:left="96"/>
              <w:rPr>
                <w:sz w:val="16"/>
                <w:szCs w:val="16"/>
                <w:lang w:val="en-GB"/>
              </w:rPr>
            </w:pPr>
            <w:r w:rsidRPr="0070536A">
              <w:rPr>
                <w:sz w:val="16"/>
                <w:szCs w:val="16"/>
                <w:lang w:val="en-GB"/>
              </w:rPr>
              <w:t>UNICEF</w:t>
            </w:r>
          </w:p>
          <w:p w14:paraId="78E31874" w14:textId="77777777" w:rsidR="00091D10" w:rsidRPr="0070536A" w:rsidRDefault="00091D10" w:rsidP="000A6AFE">
            <w:pPr>
              <w:spacing w:after="60"/>
              <w:ind w:left="96"/>
              <w:rPr>
                <w:sz w:val="16"/>
                <w:szCs w:val="16"/>
                <w:lang w:val="en-GB"/>
              </w:rPr>
            </w:pPr>
            <w:r w:rsidRPr="0070536A">
              <w:rPr>
                <w:sz w:val="16"/>
                <w:szCs w:val="16"/>
                <w:lang w:val="en-GB"/>
              </w:rPr>
              <w:t>FAO</w:t>
            </w:r>
          </w:p>
          <w:p w14:paraId="3B2E1CF7" w14:textId="77777777" w:rsidR="00091D10" w:rsidRPr="0070536A" w:rsidRDefault="00091D10" w:rsidP="000A6AFE">
            <w:pPr>
              <w:spacing w:after="60"/>
              <w:ind w:left="96"/>
              <w:rPr>
                <w:sz w:val="16"/>
                <w:szCs w:val="16"/>
                <w:lang w:val="en-GB"/>
              </w:rPr>
            </w:pPr>
            <w:r w:rsidRPr="0070536A">
              <w:rPr>
                <w:sz w:val="16"/>
                <w:szCs w:val="16"/>
                <w:lang w:val="en-GB"/>
              </w:rPr>
              <w:t>Chamber of Commerce</w:t>
            </w:r>
          </w:p>
          <w:p w14:paraId="731A0F43" w14:textId="77777777" w:rsidR="00091D10" w:rsidRPr="0070536A" w:rsidRDefault="00091D10" w:rsidP="000A6AFE">
            <w:pPr>
              <w:spacing w:after="60"/>
              <w:ind w:left="96"/>
              <w:rPr>
                <w:sz w:val="16"/>
                <w:szCs w:val="16"/>
                <w:lang w:val="en-GB"/>
              </w:rPr>
            </w:pPr>
            <w:r w:rsidRPr="0070536A">
              <w:rPr>
                <w:sz w:val="16"/>
                <w:szCs w:val="16"/>
                <w:lang w:val="en-GB"/>
              </w:rPr>
              <w:t>Business Associations</w:t>
            </w:r>
          </w:p>
          <w:p w14:paraId="49C86DE2" w14:textId="77777777" w:rsidR="00091D10" w:rsidRPr="0070536A" w:rsidRDefault="00091D10" w:rsidP="000A6AFE">
            <w:pPr>
              <w:spacing w:after="60"/>
              <w:rPr>
                <w:sz w:val="16"/>
                <w:szCs w:val="16"/>
                <w:lang w:val="en-GB"/>
              </w:rPr>
            </w:pPr>
          </w:p>
        </w:tc>
        <w:tc>
          <w:tcPr>
            <w:tcW w:w="1417" w:type="dxa"/>
            <w:vMerge w:val="restart"/>
            <w:tcMar>
              <w:top w:w="15" w:type="dxa"/>
              <w:left w:w="108" w:type="dxa"/>
              <w:bottom w:w="0" w:type="dxa"/>
              <w:right w:w="108" w:type="dxa"/>
            </w:tcMar>
          </w:tcPr>
          <w:p w14:paraId="292C4A59" w14:textId="77777777" w:rsidR="00091D10" w:rsidRPr="0070536A" w:rsidRDefault="00091D10" w:rsidP="000A6AFE">
            <w:pPr>
              <w:rPr>
                <w:sz w:val="16"/>
                <w:szCs w:val="16"/>
                <w:lang w:val="en-GB"/>
              </w:rPr>
            </w:pPr>
            <w:r w:rsidRPr="0070536A">
              <w:rPr>
                <w:b/>
                <w:bCs/>
                <w:sz w:val="16"/>
                <w:szCs w:val="16"/>
                <w:lang w:val="en-GB"/>
              </w:rPr>
              <w:t xml:space="preserve">Regular:  </w:t>
            </w:r>
            <w:r w:rsidRPr="0070536A">
              <w:rPr>
                <w:sz w:val="16"/>
                <w:szCs w:val="16"/>
                <w:lang w:val="en-GB"/>
              </w:rPr>
              <w:t>$400,000</w:t>
            </w:r>
          </w:p>
          <w:p w14:paraId="232D0A9B" w14:textId="77777777" w:rsidR="00091D10" w:rsidRPr="0070536A" w:rsidRDefault="00091D10" w:rsidP="000A6AFE">
            <w:pPr>
              <w:rPr>
                <w:sz w:val="16"/>
                <w:szCs w:val="16"/>
                <w:lang w:val="en-GB"/>
              </w:rPr>
            </w:pPr>
          </w:p>
          <w:p w14:paraId="11FCA0B9" w14:textId="77777777" w:rsidR="00091D10" w:rsidRPr="0070536A" w:rsidRDefault="00091D10" w:rsidP="000A6AFE">
            <w:pPr>
              <w:rPr>
                <w:sz w:val="16"/>
                <w:szCs w:val="16"/>
                <w:lang w:val="en-GB"/>
              </w:rPr>
            </w:pPr>
            <w:r w:rsidRPr="0070536A">
              <w:rPr>
                <w:b/>
                <w:bCs/>
                <w:sz w:val="16"/>
                <w:szCs w:val="16"/>
                <w:lang w:val="en-GB"/>
              </w:rPr>
              <w:t xml:space="preserve">Other:     </w:t>
            </w:r>
            <w:r w:rsidRPr="0070536A">
              <w:rPr>
                <w:sz w:val="16"/>
                <w:szCs w:val="16"/>
                <w:lang w:val="en-GB"/>
              </w:rPr>
              <w:t>$5,000.000</w:t>
            </w:r>
          </w:p>
          <w:p w14:paraId="23AE8677" w14:textId="77777777" w:rsidR="00091D10" w:rsidRPr="0070536A" w:rsidRDefault="00091D10" w:rsidP="000A6AFE">
            <w:pPr>
              <w:rPr>
                <w:sz w:val="16"/>
                <w:szCs w:val="16"/>
                <w:lang w:val="en-GB"/>
              </w:rPr>
            </w:pPr>
          </w:p>
        </w:tc>
      </w:tr>
      <w:tr w:rsidR="00091D10" w:rsidRPr="0070536A" w14:paraId="5421681B" w14:textId="77777777" w:rsidTr="00B913BB">
        <w:trPr>
          <w:trHeight w:val="1336"/>
          <w:jc w:val="center"/>
        </w:trPr>
        <w:tc>
          <w:tcPr>
            <w:tcW w:w="2405" w:type="dxa"/>
            <w:gridSpan w:val="2"/>
            <w:vMerge/>
            <w:tcMar>
              <w:top w:w="72" w:type="dxa"/>
              <w:left w:w="144" w:type="dxa"/>
              <w:bottom w:w="72" w:type="dxa"/>
              <w:right w:w="144" w:type="dxa"/>
            </w:tcMar>
          </w:tcPr>
          <w:p w14:paraId="587AE05A" w14:textId="77777777" w:rsidR="00091D10" w:rsidRPr="0070536A" w:rsidRDefault="00091D10" w:rsidP="000A6AFE">
            <w:pPr>
              <w:ind w:left="-8" w:firstLine="8"/>
              <w:rPr>
                <w:b/>
                <w:i/>
                <w:sz w:val="16"/>
                <w:szCs w:val="16"/>
                <w:lang w:val="en-GB"/>
              </w:rPr>
            </w:pPr>
          </w:p>
        </w:tc>
        <w:tc>
          <w:tcPr>
            <w:tcW w:w="1985" w:type="dxa"/>
            <w:vMerge/>
          </w:tcPr>
          <w:p w14:paraId="7CFDB256" w14:textId="77777777" w:rsidR="00091D10" w:rsidRPr="0070536A" w:rsidRDefault="00091D10" w:rsidP="000A6AFE">
            <w:pPr>
              <w:rPr>
                <w:b/>
                <w:bCs/>
                <w:i/>
                <w:iCs/>
                <w:color w:val="000000"/>
                <w:sz w:val="16"/>
                <w:szCs w:val="16"/>
                <w:lang w:val="en-GB"/>
              </w:rPr>
            </w:pPr>
          </w:p>
        </w:tc>
        <w:tc>
          <w:tcPr>
            <w:tcW w:w="6095" w:type="dxa"/>
            <w:tcMar>
              <w:top w:w="72" w:type="dxa"/>
              <w:left w:w="144" w:type="dxa"/>
              <w:bottom w:w="72" w:type="dxa"/>
              <w:right w:w="144" w:type="dxa"/>
            </w:tcMar>
          </w:tcPr>
          <w:p w14:paraId="2BAF7EAF" w14:textId="77777777" w:rsidR="00091D10" w:rsidRPr="0070536A" w:rsidRDefault="00091D10" w:rsidP="000A6AFE">
            <w:pPr>
              <w:spacing w:after="120"/>
              <w:jc w:val="both"/>
              <w:rPr>
                <w:b/>
                <w:bCs/>
                <w:color w:val="000000" w:themeColor="text1"/>
                <w:sz w:val="16"/>
                <w:szCs w:val="16"/>
                <w:lang w:val="en-GB"/>
              </w:rPr>
            </w:pPr>
            <w:r w:rsidRPr="0070536A">
              <w:rPr>
                <w:b/>
                <w:bCs/>
                <w:color w:val="000000" w:themeColor="text1"/>
                <w:sz w:val="16"/>
                <w:szCs w:val="16"/>
                <w:lang w:val="en-GB"/>
              </w:rPr>
              <w:t>1.2. Integrated, sustainable and equitable financing for development enhanced for the achievement of the SDGs.</w:t>
            </w:r>
          </w:p>
          <w:p w14:paraId="069BD9B7" w14:textId="77777777" w:rsidR="00091D10" w:rsidRPr="0070536A" w:rsidRDefault="00091D10" w:rsidP="000A6AFE">
            <w:pPr>
              <w:jc w:val="both"/>
              <w:rPr>
                <w:b/>
                <w:bCs/>
                <w:sz w:val="16"/>
                <w:szCs w:val="16"/>
                <w:lang w:val="en-GB"/>
              </w:rPr>
            </w:pPr>
            <w:r w:rsidRPr="0070536A">
              <w:rPr>
                <w:b/>
                <w:bCs/>
                <w:sz w:val="16"/>
                <w:szCs w:val="16"/>
                <w:lang w:val="en-GB"/>
              </w:rPr>
              <w:t>Indicators:</w:t>
            </w:r>
          </w:p>
          <w:p w14:paraId="23FC08AA" w14:textId="3EE35493" w:rsidR="00091D10" w:rsidRPr="0070536A" w:rsidRDefault="00091D10" w:rsidP="000A6AFE">
            <w:pPr>
              <w:jc w:val="both"/>
              <w:rPr>
                <w:sz w:val="16"/>
                <w:szCs w:val="16"/>
                <w:lang w:val="en-GB"/>
              </w:rPr>
            </w:pPr>
            <w:r w:rsidRPr="0070536A">
              <w:rPr>
                <w:b/>
                <w:bCs/>
                <w:sz w:val="16"/>
                <w:szCs w:val="16"/>
                <w:lang w:val="en-GB"/>
              </w:rPr>
              <w:t>1.2.1.</w:t>
            </w:r>
            <w:r w:rsidRPr="0070536A">
              <w:rPr>
                <w:sz w:val="16"/>
                <w:szCs w:val="16"/>
                <w:lang w:val="en-GB"/>
              </w:rPr>
              <w:t xml:space="preserve"> Number of investment opportunities for development identified, disaggregated by province and (a) public</w:t>
            </w:r>
            <w:r w:rsidR="00BA3880" w:rsidRPr="0070536A">
              <w:rPr>
                <w:sz w:val="16"/>
                <w:szCs w:val="16"/>
                <w:lang w:val="en-GB"/>
              </w:rPr>
              <w:t xml:space="preserve"> and</w:t>
            </w:r>
            <w:r w:rsidRPr="0070536A">
              <w:rPr>
                <w:sz w:val="16"/>
                <w:szCs w:val="16"/>
                <w:lang w:val="en-GB"/>
              </w:rPr>
              <w:t xml:space="preserve"> (b)</w:t>
            </w:r>
            <w:r w:rsidR="00BA3880" w:rsidRPr="0070536A">
              <w:rPr>
                <w:sz w:val="16"/>
                <w:szCs w:val="16"/>
                <w:lang w:val="en-GB"/>
              </w:rPr>
              <w:t xml:space="preserve"> </w:t>
            </w:r>
            <w:r w:rsidRPr="0070536A">
              <w:rPr>
                <w:sz w:val="16"/>
                <w:szCs w:val="16"/>
                <w:lang w:val="en-GB"/>
              </w:rPr>
              <w:t>private.</w:t>
            </w:r>
          </w:p>
          <w:p w14:paraId="16E52AAA" w14:textId="77777777" w:rsidR="00091D10" w:rsidRPr="0070536A" w:rsidRDefault="00091D10" w:rsidP="000A6AFE">
            <w:pPr>
              <w:jc w:val="both"/>
              <w:rPr>
                <w:sz w:val="16"/>
                <w:szCs w:val="16"/>
                <w:lang w:val="en-GB"/>
              </w:rPr>
            </w:pPr>
            <w:r w:rsidRPr="0070536A">
              <w:rPr>
                <w:sz w:val="16"/>
                <w:szCs w:val="16"/>
                <w:lang w:val="en-GB"/>
              </w:rPr>
              <w:t>Baseline (2023):  0</w:t>
            </w:r>
          </w:p>
          <w:p w14:paraId="70A28B7B" w14:textId="77777777" w:rsidR="00091D10" w:rsidRPr="0070536A" w:rsidRDefault="00091D10" w:rsidP="000A6AFE">
            <w:pPr>
              <w:jc w:val="both"/>
              <w:rPr>
                <w:sz w:val="16"/>
                <w:szCs w:val="16"/>
                <w:lang w:val="en-GB"/>
              </w:rPr>
            </w:pPr>
            <w:r w:rsidRPr="0070536A">
              <w:rPr>
                <w:sz w:val="16"/>
                <w:szCs w:val="16"/>
                <w:lang w:val="en-GB"/>
              </w:rPr>
              <w:t>Target (2028):    15 public, 10 private</w:t>
            </w:r>
          </w:p>
          <w:p w14:paraId="26CDD1B7" w14:textId="77777777" w:rsidR="00091D10" w:rsidRPr="0070536A" w:rsidRDefault="00091D10" w:rsidP="000A6AFE">
            <w:pPr>
              <w:jc w:val="both"/>
              <w:rPr>
                <w:sz w:val="16"/>
                <w:szCs w:val="16"/>
                <w:lang w:val="en-GB"/>
              </w:rPr>
            </w:pPr>
            <w:r w:rsidRPr="0070536A">
              <w:rPr>
                <w:sz w:val="16"/>
                <w:szCs w:val="16"/>
                <w:lang w:val="en-GB"/>
              </w:rPr>
              <w:t>Data source: Ministry of Finance annual reports</w:t>
            </w:r>
          </w:p>
          <w:p w14:paraId="40F31FD7" w14:textId="77777777" w:rsidR="00091D10" w:rsidRPr="0070536A" w:rsidRDefault="00091D10" w:rsidP="000A6AFE">
            <w:pPr>
              <w:spacing w:after="120"/>
              <w:jc w:val="both"/>
              <w:rPr>
                <w:sz w:val="16"/>
                <w:szCs w:val="16"/>
                <w:lang w:val="en-GB"/>
              </w:rPr>
            </w:pPr>
            <w:r w:rsidRPr="0070536A">
              <w:rPr>
                <w:sz w:val="16"/>
                <w:szCs w:val="16"/>
                <w:lang w:val="en-GB"/>
              </w:rPr>
              <w:t>Frequency: Annual</w:t>
            </w:r>
          </w:p>
          <w:p w14:paraId="4A194416" w14:textId="289AE6A8" w:rsidR="00091D10" w:rsidRPr="0070536A" w:rsidRDefault="00091D10" w:rsidP="000A6AFE">
            <w:pPr>
              <w:jc w:val="both"/>
              <w:rPr>
                <w:sz w:val="16"/>
                <w:szCs w:val="16"/>
                <w:lang w:val="en-GB"/>
              </w:rPr>
            </w:pPr>
            <w:r w:rsidRPr="0070536A">
              <w:rPr>
                <w:sz w:val="16"/>
                <w:szCs w:val="16"/>
                <w:lang w:val="en-GB"/>
              </w:rPr>
              <w:t>1.2.2. Number of policies developed and adopted by public and private actors to align public and private finance with the SDGs</w:t>
            </w:r>
            <w:r w:rsidR="00BA3880" w:rsidRPr="0070536A">
              <w:rPr>
                <w:sz w:val="16"/>
                <w:szCs w:val="16"/>
                <w:lang w:val="en-GB"/>
              </w:rPr>
              <w:t>.</w:t>
            </w:r>
          </w:p>
          <w:p w14:paraId="4655D6AF" w14:textId="77777777" w:rsidR="00091D10" w:rsidRPr="0070536A" w:rsidRDefault="00091D10" w:rsidP="000A6AFE">
            <w:pPr>
              <w:jc w:val="both"/>
              <w:rPr>
                <w:sz w:val="16"/>
                <w:szCs w:val="16"/>
                <w:lang w:val="en-GB"/>
              </w:rPr>
            </w:pPr>
            <w:r w:rsidRPr="0070536A">
              <w:rPr>
                <w:sz w:val="16"/>
                <w:szCs w:val="16"/>
                <w:lang w:val="en-GB"/>
              </w:rPr>
              <w:t>Baseline (2023):  0</w:t>
            </w:r>
          </w:p>
          <w:p w14:paraId="6619D77B" w14:textId="77777777" w:rsidR="00091D10" w:rsidRPr="0070536A" w:rsidRDefault="00091D10" w:rsidP="000A6AFE">
            <w:pPr>
              <w:jc w:val="both"/>
              <w:rPr>
                <w:sz w:val="16"/>
                <w:szCs w:val="16"/>
                <w:lang w:val="en-GB"/>
              </w:rPr>
            </w:pPr>
            <w:r w:rsidRPr="0070536A">
              <w:rPr>
                <w:sz w:val="16"/>
                <w:szCs w:val="16"/>
                <w:lang w:val="en-GB"/>
              </w:rPr>
              <w:t>Target (2028):    1</w:t>
            </w:r>
          </w:p>
          <w:p w14:paraId="086C76B5" w14:textId="77777777" w:rsidR="00091D10" w:rsidRPr="0070536A" w:rsidRDefault="00091D10" w:rsidP="000A6AFE">
            <w:pPr>
              <w:jc w:val="both"/>
              <w:rPr>
                <w:sz w:val="16"/>
                <w:szCs w:val="16"/>
                <w:lang w:val="en-GB"/>
              </w:rPr>
            </w:pPr>
            <w:r w:rsidRPr="0070536A">
              <w:rPr>
                <w:sz w:val="16"/>
                <w:szCs w:val="16"/>
                <w:lang w:val="en-GB"/>
              </w:rPr>
              <w:t>Data source: Official Gazette, Ministry of Finance annual reports</w:t>
            </w:r>
          </w:p>
          <w:p w14:paraId="4412BC3F" w14:textId="77777777" w:rsidR="00091D10" w:rsidRPr="0070536A" w:rsidRDefault="00091D10" w:rsidP="000A6AFE">
            <w:pPr>
              <w:jc w:val="both"/>
              <w:rPr>
                <w:sz w:val="16"/>
                <w:szCs w:val="16"/>
                <w:lang w:val="en-GB"/>
              </w:rPr>
            </w:pPr>
            <w:r w:rsidRPr="0070536A">
              <w:rPr>
                <w:sz w:val="16"/>
                <w:szCs w:val="16"/>
                <w:lang w:val="en-GB"/>
              </w:rPr>
              <w:t>Frequency: Annual</w:t>
            </w:r>
          </w:p>
          <w:p w14:paraId="1DCC8319" w14:textId="77777777" w:rsidR="00091D10" w:rsidRPr="0070536A" w:rsidRDefault="00091D10" w:rsidP="000A6AFE">
            <w:pPr>
              <w:spacing w:after="120"/>
              <w:jc w:val="both"/>
              <w:rPr>
                <w:sz w:val="16"/>
                <w:szCs w:val="16"/>
                <w:lang w:val="en-GB"/>
              </w:rPr>
            </w:pPr>
          </w:p>
        </w:tc>
        <w:tc>
          <w:tcPr>
            <w:tcW w:w="1701" w:type="dxa"/>
            <w:vMerge/>
          </w:tcPr>
          <w:p w14:paraId="49CE1120" w14:textId="77777777" w:rsidR="00091D10" w:rsidRPr="0070536A" w:rsidRDefault="00091D10" w:rsidP="000A6AFE">
            <w:pPr>
              <w:spacing w:after="60"/>
              <w:rPr>
                <w:sz w:val="16"/>
                <w:szCs w:val="16"/>
                <w:lang w:val="en-GB"/>
              </w:rPr>
            </w:pPr>
          </w:p>
        </w:tc>
        <w:tc>
          <w:tcPr>
            <w:tcW w:w="1417" w:type="dxa"/>
            <w:vMerge/>
            <w:tcMar>
              <w:top w:w="15" w:type="dxa"/>
              <w:left w:w="108" w:type="dxa"/>
              <w:bottom w:w="0" w:type="dxa"/>
              <w:right w:w="108" w:type="dxa"/>
            </w:tcMar>
          </w:tcPr>
          <w:p w14:paraId="0173D790" w14:textId="77777777" w:rsidR="00091D10" w:rsidRPr="0070536A" w:rsidRDefault="00091D10" w:rsidP="000A6AFE">
            <w:pPr>
              <w:rPr>
                <w:b/>
                <w:bCs/>
                <w:sz w:val="16"/>
                <w:szCs w:val="16"/>
                <w:lang w:val="en-GB"/>
              </w:rPr>
            </w:pPr>
          </w:p>
        </w:tc>
      </w:tr>
      <w:tr w:rsidR="00091D10" w:rsidRPr="0070536A" w14:paraId="744D8B8D" w14:textId="77777777" w:rsidTr="00B913BB">
        <w:trPr>
          <w:trHeight w:val="2012"/>
          <w:jc w:val="center"/>
        </w:trPr>
        <w:tc>
          <w:tcPr>
            <w:tcW w:w="2405" w:type="dxa"/>
            <w:gridSpan w:val="2"/>
            <w:vMerge/>
            <w:tcMar>
              <w:top w:w="72" w:type="dxa"/>
              <w:left w:w="144" w:type="dxa"/>
              <w:bottom w:w="72" w:type="dxa"/>
              <w:right w:w="144" w:type="dxa"/>
            </w:tcMar>
          </w:tcPr>
          <w:p w14:paraId="20A3C7E0" w14:textId="77777777" w:rsidR="00091D10" w:rsidRPr="0070536A" w:rsidRDefault="00091D10" w:rsidP="000A6AFE">
            <w:pPr>
              <w:rPr>
                <w:sz w:val="16"/>
                <w:szCs w:val="16"/>
                <w:lang w:val="en-GB"/>
              </w:rPr>
            </w:pPr>
          </w:p>
        </w:tc>
        <w:tc>
          <w:tcPr>
            <w:tcW w:w="1985" w:type="dxa"/>
            <w:vMerge/>
          </w:tcPr>
          <w:p w14:paraId="4637A92D" w14:textId="77777777" w:rsidR="00091D10" w:rsidRPr="0070536A" w:rsidRDefault="00091D10" w:rsidP="000A6AFE">
            <w:pPr>
              <w:rPr>
                <w:sz w:val="16"/>
                <w:szCs w:val="16"/>
                <w:lang w:val="en-GB"/>
              </w:rPr>
            </w:pPr>
          </w:p>
        </w:tc>
        <w:tc>
          <w:tcPr>
            <w:tcW w:w="6095" w:type="dxa"/>
            <w:tcMar>
              <w:top w:w="72" w:type="dxa"/>
              <w:left w:w="144" w:type="dxa"/>
              <w:bottom w:w="72" w:type="dxa"/>
              <w:right w:w="144" w:type="dxa"/>
            </w:tcMar>
          </w:tcPr>
          <w:p w14:paraId="60620427" w14:textId="49CE5612" w:rsidR="00091D10" w:rsidRPr="0070536A" w:rsidRDefault="00091D10" w:rsidP="000A6AFE">
            <w:pPr>
              <w:spacing w:after="120"/>
              <w:jc w:val="both"/>
              <w:rPr>
                <w:color w:val="00B050"/>
                <w:sz w:val="16"/>
                <w:szCs w:val="16"/>
                <w:lang w:val="en-GB"/>
              </w:rPr>
            </w:pPr>
            <w:r w:rsidRPr="0070536A">
              <w:rPr>
                <w:b/>
                <w:bCs/>
                <w:sz w:val="16"/>
                <w:szCs w:val="16"/>
                <w:lang w:val="en-GB"/>
              </w:rPr>
              <w:t>1.3</w:t>
            </w:r>
            <w:r w:rsidR="00BA3880" w:rsidRPr="0070536A">
              <w:rPr>
                <w:b/>
                <w:bCs/>
                <w:sz w:val="16"/>
                <w:szCs w:val="16"/>
                <w:lang w:val="en-GB"/>
              </w:rPr>
              <w:t>.</w:t>
            </w:r>
            <w:r w:rsidRPr="0070536A">
              <w:rPr>
                <w:b/>
                <w:bCs/>
                <w:sz w:val="16"/>
                <w:szCs w:val="16"/>
                <w:lang w:val="en-GB"/>
              </w:rPr>
              <w:t xml:space="preserve"> </w:t>
            </w:r>
            <w:r w:rsidRPr="0070536A">
              <w:rPr>
                <w:b/>
                <w:bCs/>
                <w:color w:val="000000" w:themeColor="text1"/>
                <w:sz w:val="16"/>
                <w:szCs w:val="16"/>
                <w:lang w:val="en-GB"/>
              </w:rPr>
              <w:t xml:space="preserve">Access and use of business development services by the MSMEs improved for decent job creation, especially for women, youth and PWD, in the blue/green, digital, circular and renewable economies. </w:t>
            </w:r>
          </w:p>
          <w:p w14:paraId="2B464015" w14:textId="77777777" w:rsidR="00091D10" w:rsidRPr="0070536A" w:rsidRDefault="00091D10" w:rsidP="000A6AFE">
            <w:pPr>
              <w:jc w:val="both"/>
              <w:rPr>
                <w:b/>
                <w:bCs/>
                <w:sz w:val="16"/>
                <w:szCs w:val="16"/>
                <w:lang w:val="en-GB"/>
              </w:rPr>
            </w:pPr>
            <w:r w:rsidRPr="0070536A">
              <w:rPr>
                <w:b/>
                <w:bCs/>
                <w:sz w:val="16"/>
                <w:szCs w:val="16"/>
                <w:lang w:val="en-GB"/>
              </w:rPr>
              <w:t>Indicators:</w:t>
            </w:r>
          </w:p>
          <w:p w14:paraId="41153F65" w14:textId="6B042C89" w:rsidR="00091D10" w:rsidRPr="0070536A" w:rsidRDefault="00091D10" w:rsidP="000A6AFE">
            <w:pPr>
              <w:jc w:val="both"/>
              <w:rPr>
                <w:sz w:val="16"/>
                <w:szCs w:val="16"/>
                <w:lang w:val="en-GB"/>
              </w:rPr>
            </w:pPr>
            <w:r w:rsidRPr="0070536A">
              <w:rPr>
                <w:b/>
                <w:bCs/>
                <w:sz w:val="16"/>
                <w:szCs w:val="16"/>
                <w:lang w:val="en-GB"/>
              </w:rPr>
              <w:t>1.3.1</w:t>
            </w:r>
            <w:r w:rsidR="00BA3880" w:rsidRPr="0070536A">
              <w:rPr>
                <w:sz w:val="16"/>
                <w:szCs w:val="16"/>
                <w:lang w:val="en-GB"/>
              </w:rPr>
              <w:t>.</w:t>
            </w:r>
            <w:r w:rsidRPr="0070536A">
              <w:rPr>
                <w:sz w:val="16"/>
                <w:szCs w:val="16"/>
                <w:lang w:val="en-GB"/>
              </w:rPr>
              <w:t xml:space="preserve"> Number of SMEs led by (a) young people and (b) women that used UNDP supported business development services and active for 6 months.</w:t>
            </w:r>
          </w:p>
          <w:p w14:paraId="672DD065" w14:textId="77777777" w:rsidR="00091D10" w:rsidRPr="0070536A" w:rsidRDefault="00091D10" w:rsidP="000A6AFE">
            <w:pPr>
              <w:jc w:val="both"/>
              <w:rPr>
                <w:sz w:val="16"/>
                <w:szCs w:val="16"/>
                <w:lang w:val="en-GB"/>
              </w:rPr>
            </w:pPr>
            <w:r w:rsidRPr="0070536A">
              <w:rPr>
                <w:sz w:val="16"/>
                <w:szCs w:val="16"/>
                <w:lang w:val="en-GB"/>
              </w:rPr>
              <w:t>Baseline (2023): 0</w:t>
            </w:r>
          </w:p>
          <w:p w14:paraId="63A09033" w14:textId="77777777" w:rsidR="00091D10" w:rsidRPr="0070536A" w:rsidRDefault="00091D10" w:rsidP="000A6AFE">
            <w:pPr>
              <w:jc w:val="both"/>
              <w:rPr>
                <w:sz w:val="16"/>
                <w:szCs w:val="16"/>
                <w:lang w:val="en-GB"/>
              </w:rPr>
            </w:pPr>
            <w:r w:rsidRPr="0070536A">
              <w:rPr>
                <w:sz w:val="16"/>
                <w:szCs w:val="16"/>
                <w:lang w:val="en-GB"/>
              </w:rPr>
              <w:t>Target (2028):  a) 50; b) 20</w:t>
            </w:r>
          </w:p>
          <w:p w14:paraId="21C8E8BE" w14:textId="77777777" w:rsidR="00091D10" w:rsidRPr="0070536A" w:rsidRDefault="00091D10" w:rsidP="000A6AFE">
            <w:pPr>
              <w:jc w:val="both"/>
              <w:rPr>
                <w:sz w:val="16"/>
                <w:szCs w:val="16"/>
                <w:lang w:val="en-GB"/>
              </w:rPr>
            </w:pPr>
            <w:r w:rsidRPr="0070536A">
              <w:rPr>
                <w:sz w:val="16"/>
                <w:szCs w:val="16"/>
                <w:lang w:val="en-GB"/>
              </w:rPr>
              <w:t>Data source: Ministry of Commerce annual reports</w:t>
            </w:r>
          </w:p>
          <w:p w14:paraId="3395904C" w14:textId="77777777" w:rsidR="00091D10" w:rsidRPr="0070536A" w:rsidRDefault="00091D10" w:rsidP="000A6AFE">
            <w:pPr>
              <w:spacing w:after="120"/>
              <w:jc w:val="both"/>
              <w:rPr>
                <w:sz w:val="16"/>
                <w:szCs w:val="16"/>
                <w:lang w:val="en-GB"/>
              </w:rPr>
            </w:pPr>
            <w:r w:rsidRPr="0070536A">
              <w:rPr>
                <w:sz w:val="16"/>
                <w:szCs w:val="16"/>
                <w:lang w:val="en-GB"/>
              </w:rPr>
              <w:t>Frequency: Annual</w:t>
            </w:r>
          </w:p>
          <w:p w14:paraId="0BCD9432" w14:textId="40C8E1C5" w:rsidR="00091D10" w:rsidRPr="0070536A" w:rsidRDefault="00091D10" w:rsidP="000A6AFE">
            <w:pPr>
              <w:jc w:val="both"/>
              <w:rPr>
                <w:sz w:val="16"/>
                <w:szCs w:val="16"/>
                <w:lang w:val="en-GB"/>
              </w:rPr>
            </w:pPr>
            <w:r w:rsidRPr="0070536A">
              <w:rPr>
                <w:b/>
                <w:bCs/>
                <w:sz w:val="16"/>
                <w:szCs w:val="16"/>
                <w:lang w:val="en-GB"/>
              </w:rPr>
              <w:t>1.3.2</w:t>
            </w:r>
            <w:r w:rsidR="00BA3880" w:rsidRPr="0070536A">
              <w:rPr>
                <w:sz w:val="16"/>
                <w:szCs w:val="16"/>
                <w:lang w:val="en-GB"/>
              </w:rPr>
              <w:t>.</w:t>
            </w:r>
            <w:r w:rsidRPr="0070536A">
              <w:rPr>
                <w:sz w:val="16"/>
                <w:szCs w:val="16"/>
                <w:lang w:val="en-GB"/>
              </w:rPr>
              <w:t xml:space="preserve"> Number of new blue/green jobs created, disaggregated by sex.</w:t>
            </w:r>
          </w:p>
          <w:p w14:paraId="68BAFACF" w14:textId="77777777" w:rsidR="00091D10" w:rsidRPr="0070536A" w:rsidRDefault="00091D10" w:rsidP="000A6AFE">
            <w:pPr>
              <w:jc w:val="both"/>
              <w:rPr>
                <w:sz w:val="16"/>
                <w:szCs w:val="16"/>
                <w:lang w:val="en-GB"/>
              </w:rPr>
            </w:pPr>
            <w:r w:rsidRPr="0070536A">
              <w:rPr>
                <w:sz w:val="16"/>
                <w:szCs w:val="16"/>
                <w:lang w:val="en-GB"/>
              </w:rPr>
              <w:t>Baseline (2023): 0</w:t>
            </w:r>
          </w:p>
          <w:p w14:paraId="6834BD53" w14:textId="77777777" w:rsidR="00091D10" w:rsidRPr="0070536A" w:rsidRDefault="00091D10" w:rsidP="000A6AFE">
            <w:pPr>
              <w:jc w:val="both"/>
              <w:rPr>
                <w:sz w:val="16"/>
                <w:szCs w:val="16"/>
                <w:lang w:val="en-GB"/>
              </w:rPr>
            </w:pPr>
            <w:r w:rsidRPr="0070536A">
              <w:rPr>
                <w:sz w:val="16"/>
                <w:szCs w:val="16"/>
                <w:lang w:val="en-GB"/>
              </w:rPr>
              <w:t>Target (2028): 250 (50% women)</w:t>
            </w:r>
          </w:p>
          <w:p w14:paraId="4A500918" w14:textId="77777777" w:rsidR="00091D10" w:rsidRPr="0070536A" w:rsidRDefault="00091D10" w:rsidP="000A6AFE">
            <w:pPr>
              <w:jc w:val="both"/>
              <w:rPr>
                <w:sz w:val="16"/>
                <w:szCs w:val="16"/>
                <w:lang w:val="en-GB"/>
              </w:rPr>
            </w:pPr>
            <w:r w:rsidRPr="0070536A">
              <w:rPr>
                <w:sz w:val="16"/>
                <w:szCs w:val="16"/>
                <w:lang w:val="en-GB" w:eastAsia="zh-Hans"/>
              </w:rPr>
              <w:t>Data source: Ministry of Commerce annual reports</w:t>
            </w:r>
          </w:p>
          <w:p w14:paraId="7B79C5CA" w14:textId="77777777" w:rsidR="00091D10" w:rsidRPr="0070536A" w:rsidRDefault="00091D10" w:rsidP="000A6AFE">
            <w:pPr>
              <w:jc w:val="both"/>
              <w:rPr>
                <w:sz w:val="16"/>
                <w:szCs w:val="16"/>
                <w:lang w:val="en-GB"/>
              </w:rPr>
            </w:pPr>
            <w:r w:rsidRPr="0070536A">
              <w:rPr>
                <w:sz w:val="16"/>
                <w:szCs w:val="16"/>
                <w:lang w:val="en-GB"/>
              </w:rPr>
              <w:t>Frequency: Annual</w:t>
            </w:r>
          </w:p>
          <w:p w14:paraId="09A5E20E" w14:textId="77777777" w:rsidR="00091D10" w:rsidRPr="0070536A" w:rsidRDefault="00091D10" w:rsidP="000A6AFE">
            <w:pPr>
              <w:jc w:val="both"/>
              <w:rPr>
                <w:sz w:val="16"/>
                <w:szCs w:val="16"/>
                <w:lang w:val="en-GB"/>
              </w:rPr>
            </w:pPr>
          </w:p>
        </w:tc>
        <w:tc>
          <w:tcPr>
            <w:tcW w:w="1701" w:type="dxa"/>
            <w:vMerge/>
          </w:tcPr>
          <w:p w14:paraId="3BDDD661" w14:textId="77777777" w:rsidR="00091D10" w:rsidRPr="0070536A" w:rsidRDefault="00091D10" w:rsidP="000A6AFE">
            <w:pPr>
              <w:spacing w:after="60"/>
              <w:jc w:val="both"/>
              <w:rPr>
                <w:sz w:val="16"/>
                <w:szCs w:val="16"/>
                <w:lang w:val="en-GB"/>
              </w:rPr>
            </w:pPr>
          </w:p>
        </w:tc>
        <w:tc>
          <w:tcPr>
            <w:tcW w:w="1417" w:type="dxa"/>
            <w:vMerge/>
            <w:tcMar>
              <w:top w:w="15" w:type="dxa"/>
              <w:left w:w="108" w:type="dxa"/>
              <w:bottom w:w="0" w:type="dxa"/>
              <w:right w:w="108" w:type="dxa"/>
            </w:tcMar>
          </w:tcPr>
          <w:p w14:paraId="48760FEB" w14:textId="77777777" w:rsidR="00091D10" w:rsidRPr="0070536A" w:rsidRDefault="00091D10" w:rsidP="000A6AFE">
            <w:pPr>
              <w:rPr>
                <w:sz w:val="16"/>
                <w:szCs w:val="16"/>
                <w:lang w:val="en-GB"/>
              </w:rPr>
            </w:pPr>
          </w:p>
        </w:tc>
      </w:tr>
      <w:tr w:rsidR="00091D10" w:rsidRPr="0070536A" w14:paraId="4A8BC28F" w14:textId="77777777" w:rsidTr="00B913BB">
        <w:tblPrEx>
          <w:tblCellMar>
            <w:left w:w="108" w:type="dxa"/>
            <w:right w:w="108" w:type="dxa"/>
          </w:tblCellMar>
        </w:tblPrEx>
        <w:trPr>
          <w:trHeight w:val="15"/>
          <w:jc w:val="center"/>
        </w:trPr>
        <w:tc>
          <w:tcPr>
            <w:tcW w:w="13603" w:type="dxa"/>
            <w:gridSpan w:val="6"/>
            <w:shd w:val="clear" w:color="auto" w:fill="DBE5F1" w:themeFill="accent1" w:themeFillTint="33"/>
          </w:tcPr>
          <w:p w14:paraId="5DEF909D" w14:textId="20AF4B85" w:rsidR="00091D10" w:rsidRPr="0070536A" w:rsidRDefault="00091D10" w:rsidP="000A6AFE">
            <w:pPr>
              <w:spacing w:after="120"/>
              <w:textAlignment w:val="baseline"/>
              <w:rPr>
                <w:b/>
                <w:bCs/>
                <w:sz w:val="16"/>
                <w:szCs w:val="16"/>
                <w:lang w:val="en-GB" w:eastAsia="en-GB"/>
              </w:rPr>
            </w:pPr>
            <w:r w:rsidRPr="0070536A">
              <w:rPr>
                <w:b/>
                <w:bCs/>
                <w:sz w:val="16"/>
                <w:szCs w:val="16"/>
                <w:lang w:val="en-GB" w:eastAsia="en-GB"/>
              </w:rPr>
              <w:t xml:space="preserve">NATIONAL PRIORITY OR GOAL: </w:t>
            </w:r>
            <w:r w:rsidRPr="0070536A">
              <w:rPr>
                <w:sz w:val="16"/>
                <w:szCs w:val="16"/>
                <w:lang w:val="en-GB" w:eastAsia="en-GB"/>
              </w:rPr>
              <w:t>Ensure the sustainable use of the environment and natural resources</w:t>
            </w:r>
            <w:r w:rsidRPr="0070536A">
              <w:rPr>
                <w:b/>
                <w:bCs/>
                <w:sz w:val="16"/>
                <w:szCs w:val="16"/>
                <w:lang w:val="en-GB" w:eastAsia="en-GB"/>
              </w:rPr>
              <w:t xml:space="preserve"> </w:t>
            </w:r>
            <w:r w:rsidRPr="0070536A">
              <w:rPr>
                <w:sz w:val="16"/>
                <w:szCs w:val="16"/>
                <w:lang w:val="en-GB" w:eastAsia="en-GB"/>
              </w:rPr>
              <w:t>(Vision 2035, Objective 5)</w:t>
            </w:r>
            <w:r w:rsidR="00BA3880" w:rsidRPr="0070536A">
              <w:rPr>
                <w:sz w:val="16"/>
                <w:szCs w:val="16"/>
                <w:lang w:val="en-GB" w:eastAsia="en-GB"/>
              </w:rPr>
              <w:t>.</w:t>
            </w:r>
            <w:r w:rsidRPr="0070536A">
              <w:rPr>
                <w:b/>
                <w:bCs/>
                <w:sz w:val="16"/>
                <w:szCs w:val="16"/>
                <w:lang w:val="en-GB" w:eastAsia="en-GB"/>
              </w:rPr>
              <w:t xml:space="preserve"> </w:t>
            </w:r>
          </w:p>
        </w:tc>
      </w:tr>
      <w:tr w:rsidR="00091D10" w:rsidRPr="0070536A" w14:paraId="7F216AF1" w14:textId="77777777" w:rsidTr="00B913BB">
        <w:tblPrEx>
          <w:tblCellMar>
            <w:left w:w="108" w:type="dxa"/>
            <w:right w:w="108" w:type="dxa"/>
          </w:tblCellMar>
        </w:tblPrEx>
        <w:trPr>
          <w:trHeight w:val="120"/>
          <w:jc w:val="center"/>
        </w:trPr>
        <w:tc>
          <w:tcPr>
            <w:tcW w:w="13603" w:type="dxa"/>
            <w:gridSpan w:val="6"/>
            <w:shd w:val="clear" w:color="auto" w:fill="DBE5F1" w:themeFill="accent1" w:themeFillTint="33"/>
          </w:tcPr>
          <w:p w14:paraId="6EB3B486" w14:textId="216517B5" w:rsidR="00091D10" w:rsidRPr="0070536A" w:rsidRDefault="00091D10" w:rsidP="000A6AFE">
            <w:pPr>
              <w:spacing w:after="120"/>
              <w:textAlignment w:val="baseline"/>
              <w:rPr>
                <w:b/>
                <w:bCs/>
                <w:sz w:val="16"/>
                <w:szCs w:val="16"/>
                <w:lang w:val="en-GB" w:eastAsia="en-GB"/>
              </w:rPr>
            </w:pPr>
            <w:r w:rsidRPr="0070536A">
              <w:rPr>
                <w:b/>
                <w:bCs/>
                <w:sz w:val="16"/>
                <w:szCs w:val="16"/>
                <w:lang w:val="en-GB" w:eastAsia="en-GB"/>
              </w:rPr>
              <w:t xml:space="preserve">COOPERATION FRAMEWORK OUTCOME INVOLVING UNDP: </w:t>
            </w:r>
            <w:r w:rsidRPr="0070536A">
              <w:rPr>
                <w:sz w:val="16"/>
                <w:szCs w:val="16"/>
                <w:lang w:val="en-GB" w:eastAsia="en-GB"/>
              </w:rPr>
              <w:t>4</w:t>
            </w:r>
            <w:r w:rsidR="00726B04" w:rsidRPr="0070536A">
              <w:rPr>
                <w:sz w:val="16"/>
                <w:szCs w:val="16"/>
                <w:lang w:val="en-GB" w:eastAsia="en-GB"/>
              </w:rPr>
              <w:t xml:space="preserve"> -</w:t>
            </w:r>
            <w:r w:rsidRPr="0070536A">
              <w:rPr>
                <w:sz w:val="16"/>
                <w:szCs w:val="16"/>
                <w:lang w:val="en-GB" w:eastAsia="en-GB"/>
              </w:rPr>
              <w:t xml:space="preserve"> By 2028 the country has sustainable and healthy environments that protect biodiversity, resilient to climate change and natural disasters and without deforestation.</w:t>
            </w:r>
          </w:p>
        </w:tc>
      </w:tr>
      <w:tr w:rsidR="00091D10" w:rsidRPr="0070536A" w14:paraId="58D3409A" w14:textId="77777777" w:rsidTr="00B913BB">
        <w:tblPrEx>
          <w:tblCellMar>
            <w:left w:w="108" w:type="dxa"/>
            <w:right w:w="108" w:type="dxa"/>
          </w:tblCellMar>
        </w:tblPrEx>
        <w:trPr>
          <w:trHeight w:val="120"/>
          <w:jc w:val="center"/>
        </w:trPr>
        <w:tc>
          <w:tcPr>
            <w:tcW w:w="13603" w:type="dxa"/>
            <w:gridSpan w:val="6"/>
            <w:shd w:val="clear" w:color="auto" w:fill="DBE5F1" w:themeFill="accent1" w:themeFillTint="33"/>
          </w:tcPr>
          <w:p w14:paraId="40109FE7" w14:textId="64679253" w:rsidR="00091D10" w:rsidRPr="0070536A" w:rsidRDefault="00091D10" w:rsidP="000A6AFE">
            <w:pPr>
              <w:spacing w:after="120"/>
              <w:textAlignment w:val="baseline"/>
              <w:rPr>
                <w:b/>
                <w:bCs/>
                <w:sz w:val="16"/>
                <w:szCs w:val="16"/>
                <w:lang w:val="en-GB" w:eastAsia="en-GB"/>
              </w:rPr>
            </w:pPr>
            <w:r w:rsidRPr="0070536A">
              <w:rPr>
                <w:b/>
                <w:bCs/>
                <w:sz w:val="16"/>
                <w:szCs w:val="16"/>
                <w:lang w:val="en-GB" w:eastAsia="en-GB"/>
              </w:rPr>
              <w:t xml:space="preserve">RELATED STRATEGIC PLAN OUTCOME: </w:t>
            </w:r>
            <w:r w:rsidRPr="0070536A">
              <w:rPr>
                <w:sz w:val="16"/>
                <w:szCs w:val="16"/>
                <w:lang w:val="en-GB" w:eastAsia="en-GB"/>
              </w:rPr>
              <w:t>3</w:t>
            </w:r>
            <w:r w:rsidR="00726B04" w:rsidRPr="0070536A">
              <w:rPr>
                <w:sz w:val="16"/>
                <w:szCs w:val="16"/>
                <w:lang w:val="en-GB" w:eastAsia="en-GB"/>
              </w:rPr>
              <w:t xml:space="preserve"> -</w:t>
            </w:r>
            <w:r w:rsidRPr="0070536A">
              <w:rPr>
                <w:sz w:val="16"/>
                <w:szCs w:val="16"/>
                <w:lang w:val="en-GB" w:eastAsia="en-GB"/>
              </w:rPr>
              <w:t xml:space="preserve"> Resilience built to respond to systemic uncertainty and risk.</w:t>
            </w:r>
          </w:p>
        </w:tc>
      </w:tr>
      <w:tr w:rsidR="00091D10" w:rsidRPr="0070536A" w14:paraId="242C8D66" w14:textId="77777777" w:rsidTr="00B913BB">
        <w:tblPrEx>
          <w:tblCellMar>
            <w:left w:w="108" w:type="dxa"/>
            <w:right w:w="108" w:type="dxa"/>
          </w:tblCellMar>
        </w:tblPrEx>
        <w:trPr>
          <w:trHeight w:val="816"/>
          <w:jc w:val="center"/>
        </w:trPr>
        <w:tc>
          <w:tcPr>
            <w:tcW w:w="2405" w:type="dxa"/>
            <w:gridSpan w:val="2"/>
            <w:shd w:val="clear" w:color="auto" w:fill="DBE5F1" w:themeFill="accent1" w:themeFillTint="33"/>
            <w:vAlign w:val="center"/>
          </w:tcPr>
          <w:p w14:paraId="3B622C10" w14:textId="77777777" w:rsidR="00091D10" w:rsidRPr="0070536A" w:rsidRDefault="00091D10" w:rsidP="000A6AFE">
            <w:pPr>
              <w:textAlignment w:val="baseline"/>
              <w:rPr>
                <w:b/>
                <w:bCs/>
                <w:sz w:val="16"/>
                <w:szCs w:val="16"/>
                <w:lang w:val="en-GB" w:eastAsia="en-GB"/>
              </w:rPr>
            </w:pPr>
            <w:r w:rsidRPr="0070536A">
              <w:rPr>
                <w:b/>
                <w:bCs/>
                <w:sz w:val="16"/>
                <w:szCs w:val="16"/>
                <w:lang w:val="en-GB" w:eastAsia="en-GB"/>
              </w:rPr>
              <w:t>COOPERATION FRAMEWORK OUTCOME INDICATOR(S), BASELINES, TARGET(S)</w:t>
            </w:r>
          </w:p>
        </w:tc>
        <w:tc>
          <w:tcPr>
            <w:tcW w:w="1985" w:type="dxa"/>
            <w:shd w:val="clear" w:color="auto" w:fill="DBE5F1" w:themeFill="accent1" w:themeFillTint="33"/>
            <w:vAlign w:val="center"/>
          </w:tcPr>
          <w:p w14:paraId="40412CAB" w14:textId="77777777" w:rsidR="00091D10" w:rsidRPr="0070536A" w:rsidRDefault="00091D10" w:rsidP="000A6AFE">
            <w:pPr>
              <w:textAlignment w:val="baseline"/>
              <w:rPr>
                <w:b/>
                <w:bCs/>
                <w:sz w:val="16"/>
                <w:szCs w:val="16"/>
                <w:lang w:val="en-GB" w:eastAsia="en-GB"/>
              </w:rPr>
            </w:pPr>
            <w:r w:rsidRPr="0070536A">
              <w:rPr>
                <w:b/>
                <w:bCs/>
                <w:sz w:val="16"/>
                <w:szCs w:val="16"/>
                <w:lang w:val="en-GB" w:eastAsia="en-GB"/>
              </w:rPr>
              <w:t>DATA SOURCE AND FREQUENCY OF DATA COLLECTION, AND RESPONSIBILITIES</w:t>
            </w:r>
          </w:p>
        </w:tc>
        <w:tc>
          <w:tcPr>
            <w:tcW w:w="6095" w:type="dxa"/>
            <w:shd w:val="clear" w:color="auto" w:fill="DBE5F1" w:themeFill="accent1" w:themeFillTint="33"/>
            <w:vAlign w:val="center"/>
          </w:tcPr>
          <w:p w14:paraId="1F5B6135" w14:textId="77777777" w:rsidR="00091D10" w:rsidRPr="0070536A" w:rsidRDefault="00091D10" w:rsidP="000A6AFE">
            <w:pPr>
              <w:jc w:val="center"/>
              <w:textAlignment w:val="baseline"/>
              <w:rPr>
                <w:b/>
                <w:bCs/>
                <w:sz w:val="16"/>
                <w:szCs w:val="16"/>
                <w:lang w:val="en-GB" w:eastAsia="en-GB"/>
              </w:rPr>
            </w:pPr>
            <w:r w:rsidRPr="0070536A">
              <w:rPr>
                <w:b/>
                <w:bCs/>
                <w:sz w:val="16"/>
                <w:szCs w:val="16"/>
                <w:lang w:val="en-GB" w:eastAsia="en-GB"/>
              </w:rPr>
              <w:t>INDICATIVE COUNTRY PROGRAMME OUTPUTS</w:t>
            </w:r>
          </w:p>
        </w:tc>
        <w:tc>
          <w:tcPr>
            <w:tcW w:w="1701" w:type="dxa"/>
            <w:shd w:val="clear" w:color="auto" w:fill="DBE5F1" w:themeFill="accent1" w:themeFillTint="33"/>
            <w:vAlign w:val="center"/>
          </w:tcPr>
          <w:p w14:paraId="0FACF3DE" w14:textId="33A9AAC1" w:rsidR="00091D10" w:rsidRPr="0070536A" w:rsidRDefault="00091D10" w:rsidP="000A6AFE">
            <w:pPr>
              <w:textAlignment w:val="baseline"/>
              <w:rPr>
                <w:b/>
                <w:bCs/>
                <w:sz w:val="16"/>
                <w:szCs w:val="16"/>
                <w:lang w:val="en-GB" w:eastAsia="en-GB"/>
              </w:rPr>
            </w:pPr>
            <w:r w:rsidRPr="0070536A">
              <w:rPr>
                <w:b/>
                <w:bCs/>
                <w:sz w:val="16"/>
                <w:szCs w:val="16"/>
                <w:lang w:val="en-GB" w:eastAsia="en-GB"/>
              </w:rPr>
              <w:t>MAJOR PARTNERS/ PARTNERSHIPS</w:t>
            </w:r>
          </w:p>
          <w:p w14:paraId="7914354E" w14:textId="77777777" w:rsidR="00091D10" w:rsidRPr="0070536A" w:rsidRDefault="00091D10" w:rsidP="000A6AFE">
            <w:pPr>
              <w:textAlignment w:val="baseline"/>
              <w:rPr>
                <w:b/>
                <w:bCs/>
                <w:sz w:val="16"/>
                <w:szCs w:val="16"/>
                <w:lang w:val="en-GB" w:eastAsia="en-GB"/>
              </w:rPr>
            </w:pPr>
            <w:r w:rsidRPr="0070536A">
              <w:rPr>
                <w:b/>
                <w:bCs/>
                <w:sz w:val="16"/>
                <w:szCs w:val="16"/>
                <w:lang w:val="en-GB" w:eastAsia="en-GB"/>
              </w:rPr>
              <w:t>FRAMEWORKS</w:t>
            </w:r>
          </w:p>
        </w:tc>
        <w:tc>
          <w:tcPr>
            <w:tcW w:w="1417" w:type="dxa"/>
            <w:shd w:val="clear" w:color="auto" w:fill="DBE5F1" w:themeFill="accent1" w:themeFillTint="33"/>
            <w:vAlign w:val="center"/>
          </w:tcPr>
          <w:p w14:paraId="174DF13E" w14:textId="77777777" w:rsidR="00091D10" w:rsidRPr="0070536A" w:rsidRDefault="00091D10" w:rsidP="000A6AFE">
            <w:pPr>
              <w:textAlignment w:val="baseline"/>
              <w:rPr>
                <w:b/>
                <w:bCs/>
                <w:sz w:val="16"/>
                <w:szCs w:val="16"/>
                <w:lang w:val="en-GB" w:eastAsia="en-GB"/>
              </w:rPr>
            </w:pPr>
            <w:r w:rsidRPr="0070536A">
              <w:rPr>
                <w:b/>
                <w:bCs/>
                <w:sz w:val="16"/>
                <w:szCs w:val="16"/>
                <w:lang w:val="en-GB" w:eastAsia="en-GB"/>
              </w:rPr>
              <w:t xml:space="preserve">ESTIMATED COST BY OUTCOME </w:t>
            </w:r>
          </w:p>
        </w:tc>
      </w:tr>
      <w:tr w:rsidR="00091D10" w:rsidRPr="0070536A" w14:paraId="3004135D" w14:textId="77777777" w:rsidTr="00B913BB">
        <w:tblPrEx>
          <w:tblCellMar>
            <w:left w:w="108" w:type="dxa"/>
            <w:right w:w="108" w:type="dxa"/>
          </w:tblCellMar>
        </w:tblPrEx>
        <w:trPr>
          <w:trHeight w:val="3818"/>
          <w:jc w:val="center"/>
        </w:trPr>
        <w:tc>
          <w:tcPr>
            <w:tcW w:w="2405" w:type="dxa"/>
            <w:gridSpan w:val="2"/>
            <w:vMerge w:val="restart"/>
          </w:tcPr>
          <w:p w14:paraId="5C394C88" w14:textId="77777777" w:rsidR="00091D10" w:rsidRPr="0070536A" w:rsidRDefault="00091D10" w:rsidP="000A6AFE">
            <w:pPr>
              <w:ind w:left="-8" w:firstLine="8"/>
              <w:rPr>
                <w:b/>
                <w:iCs/>
                <w:sz w:val="16"/>
                <w:szCs w:val="16"/>
                <w:lang w:val="en-GB"/>
              </w:rPr>
            </w:pPr>
          </w:p>
          <w:p w14:paraId="1D39EC61" w14:textId="139C0A69" w:rsidR="00091D10" w:rsidRPr="0070536A" w:rsidRDefault="00091D10" w:rsidP="000A6AFE">
            <w:pPr>
              <w:ind w:left="-10" w:hanging="21"/>
              <w:rPr>
                <w:b/>
                <w:iCs/>
                <w:sz w:val="16"/>
                <w:szCs w:val="16"/>
                <w:lang w:val="en-GB"/>
              </w:rPr>
            </w:pPr>
            <w:r w:rsidRPr="0070536A">
              <w:rPr>
                <w:b/>
                <w:iCs/>
                <w:sz w:val="16"/>
                <w:szCs w:val="16"/>
                <w:lang w:val="en-GB"/>
              </w:rPr>
              <w:t>7.2.1</w:t>
            </w:r>
            <w:r w:rsidR="00BA3880" w:rsidRPr="0070536A">
              <w:rPr>
                <w:b/>
                <w:iCs/>
                <w:sz w:val="16"/>
                <w:szCs w:val="16"/>
                <w:lang w:val="en-GB"/>
              </w:rPr>
              <w:t>.</w:t>
            </w:r>
            <w:r w:rsidRPr="0070536A">
              <w:rPr>
                <w:b/>
                <w:iCs/>
                <w:sz w:val="16"/>
                <w:szCs w:val="16"/>
                <w:lang w:val="en-GB"/>
              </w:rPr>
              <w:t xml:space="preserve"> Renewable energy share in the total final energy consumption</w:t>
            </w:r>
            <w:r w:rsidR="00BA3880" w:rsidRPr="0070536A">
              <w:rPr>
                <w:b/>
                <w:iCs/>
                <w:sz w:val="16"/>
                <w:szCs w:val="16"/>
                <w:lang w:val="en-GB"/>
              </w:rPr>
              <w:t>.</w:t>
            </w:r>
          </w:p>
          <w:p w14:paraId="522DF916" w14:textId="77777777" w:rsidR="00091D10" w:rsidRPr="0070536A" w:rsidRDefault="00091D10" w:rsidP="000A6AFE">
            <w:pPr>
              <w:ind w:left="-10" w:hanging="21"/>
              <w:rPr>
                <w:bCs/>
                <w:iCs/>
                <w:sz w:val="16"/>
                <w:szCs w:val="16"/>
                <w:lang w:val="en-GB"/>
              </w:rPr>
            </w:pPr>
            <w:r w:rsidRPr="0070536A">
              <w:rPr>
                <w:bCs/>
                <w:iCs/>
                <w:sz w:val="16"/>
                <w:szCs w:val="16"/>
                <w:lang w:val="en-GB"/>
              </w:rPr>
              <w:t>Baseline: (2018) 12%</w:t>
            </w:r>
          </w:p>
          <w:p w14:paraId="48B9B581" w14:textId="77777777" w:rsidR="00091D10" w:rsidRPr="0070536A" w:rsidRDefault="00091D10" w:rsidP="000A6AFE">
            <w:pPr>
              <w:ind w:left="-10" w:hanging="21"/>
              <w:rPr>
                <w:bCs/>
                <w:iCs/>
                <w:sz w:val="16"/>
                <w:szCs w:val="16"/>
                <w:lang w:val="en-GB"/>
              </w:rPr>
            </w:pPr>
            <w:r w:rsidRPr="0070536A">
              <w:rPr>
                <w:bCs/>
                <w:iCs/>
                <w:sz w:val="16"/>
                <w:szCs w:val="16"/>
                <w:lang w:val="en-GB"/>
              </w:rPr>
              <w:t>Target: (2028) n/a</w:t>
            </w:r>
          </w:p>
          <w:p w14:paraId="17750103" w14:textId="77777777" w:rsidR="00091D10" w:rsidRPr="0070536A" w:rsidRDefault="00091D10" w:rsidP="000A6AFE">
            <w:pPr>
              <w:rPr>
                <w:bCs/>
                <w:iCs/>
                <w:sz w:val="16"/>
                <w:szCs w:val="16"/>
                <w:lang w:val="en-GB"/>
              </w:rPr>
            </w:pPr>
          </w:p>
          <w:p w14:paraId="7EB4A02F" w14:textId="276E1C0E" w:rsidR="00091D10" w:rsidRPr="0070536A" w:rsidRDefault="00091D10" w:rsidP="000A6AFE">
            <w:pPr>
              <w:ind w:left="-10" w:hanging="21"/>
              <w:rPr>
                <w:b/>
                <w:iCs/>
                <w:sz w:val="16"/>
                <w:szCs w:val="16"/>
                <w:lang w:val="en-GB"/>
              </w:rPr>
            </w:pPr>
            <w:r w:rsidRPr="0070536A">
              <w:rPr>
                <w:b/>
                <w:iCs/>
                <w:sz w:val="16"/>
                <w:szCs w:val="16"/>
                <w:lang w:val="en-GB"/>
              </w:rPr>
              <w:t>13.1.1</w:t>
            </w:r>
            <w:r w:rsidR="00BA3880" w:rsidRPr="0070536A">
              <w:rPr>
                <w:b/>
                <w:iCs/>
                <w:sz w:val="16"/>
                <w:szCs w:val="16"/>
                <w:lang w:val="en-GB"/>
              </w:rPr>
              <w:t>.</w:t>
            </w:r>
            <w:r w:rsidRPr="0070536A">
              <w:rPr>
                <w:b/>
                <w:iCs/>
                <w:sz w:val="16"/>
                <w:szCs w:val="16"/>
                <w:lang w:val="en-GB"/>
              </w:rPr>
              <w:t xml:space="preserve"> Number of deaths, missing persons and directly affected persons attributed to disasters per 100,000 population.</w:t>
            </w:r>
          </w:p>
          <w:p w14:paraId="727231F1" w14:textId="77777777" w:rsidR="00091D10" w:rsidRPr="0070536A" w:rsidRDefault="00091D10" w:rsidP="000A6AFE">
            <w:pPr>
              <w:ind w:left="-10" w:hanging="21"/>
              <w:rPr>
                <w:bCs/>
                <w:iCs/>
                <w:sz w:val="16"/>
                <w:szCs w:val="16"/>
                <w:lang w:val="en-GB"/>
              </w:rPr>
            </w:pPr>
            <w:r w:rsidRPr="0070536A">
              <w:rPr>
                <w:bCs/>
                <w:iCs/>
                <w:sz w:val="16"/>
                <w:szCs w:val="16"/>
                <w:lang w:val="en-GB"/>
              </w:rPr>
              <w:t>Baseline: (2021) 107</w:t>
            </w:r>
          </w:p>
          <w:p w14:paraId="21F2E8F5" w14:textId="77777777" w:rsidR="00091D10" w:rsidRPr="0070536A" w:rsidRDefault="00091D10" w:rsidP="000A6AFE">
            <w:pPr>
              <w:ind w:left="-10" w:hanging="21"/>
              <w:rPr>
                <w:bCs/>
                <w:iCs/>
                <w:sz w:val="16"/>
                <w:szCs w:val="16"/>
                <w:lang w:val="en-GB"/>
              </w:rPr>
            </w:pPr>
            <w:r w:rsidRPr="0070536A">
              <w:rPr>
                <w:bCs/>
                <w:iCs/>
                <w:sz w:val="16"/>
                <w:szCs w:val="16"/>
                <w:lang w:val="en-GB"/>
              </w:rPr>
              <w:t>Target: (2028) n/a</w:t>
            </w:r>
          </w:p>
          <w:p w14:paraId="7EDFC2F6" w14:textId="77777777" w:rsidR="00091D10" w:rsidRPr="0070536A" w:rsidRDefault="00091D10" w:rsidP="000A6AFE">
            <w:pPr>
              <w:rPr>
                <w:bCs/>
                <w:iCs/>
                <w:sz w:val="16"/>
                <w:szCs w:val="16"/>
                <w:lang w:val="en-GB"/>
              </w:rPr>
            </w:pPr>
          </w:p>
          <w:p w14:paraId="69474DE7" w14:textId="019BC9C1" w:rsidR="00091D10" w:rsidRPr="0070536A" w:rsidRDefault="00091D10" w:rsidP="000A6AFE">
            <w:pPr>
              <w:ind w:left="-10" w:hanging="21"/>
              <w:rPr>
                <w:b/>
                <w:iCs/>
                <w:sz w:val="16"/>
                <w:szCs w:val="16"/>
                <w:lang w:val="en-GB"/>
              </w:rPr>
            </w:pPr>
            <w:r w:rsidRPr="0070536A">
              <w:rPr>
                <w:b/>
                <w:iCs/>
                <w:sz w:val="16"/>
                <w:szCs w:val="16"/>
                <w:lang w:val="en-GB"/>
              </w:rPr>
              <w:t>15.1.1</w:t>
            </w:r>
            <w:r w:rsidR="00BA3880" w:rsidRPr="0070536A">
              <w:rPr>
                <w:b/>
                <w:iCs/>
                <w:sz w:val="16"/>
                <w:szCs w:val="16"/>
                <w:lang w:val="en-GB"/>
              </w:rPr>
              <w:t>.</w:t>
            </w:r>
            <w:r w:rsidRPr="0070536A">
              <w:rPr>
                <w:b/>
                <w:iCs/>
                <w:sz w:val="16"/>
                <w:szCs w:val="16"/>
                <w:lang w:val="en-GB"/>
              </w:rPr>
              <w:t xml:space="preserve"> Forest area as a proportion of total land area</w:t>
            </w:r>
          </w:p>
          <w:p w14:paraId="6F847E8B" w14:textId="77777777" w:rsidR="00091D10" w:rsidRPr="0070536A" w:rsidRDefault="00091D10" w:rsidP="000A6AFE">
            <w:pPr>
              <w:ind w:left="-10" w:hanging="21"/>
              <w:rPr>
                <w:bCs/>
                <w:iCs/>
                <w:sz w:val="16"/>
                <w:szCs w:val="16"/>
                <w:lang w:val="en-GB"/>
              </w:rPr>
            </w:pPr>
            <w:r w:rsidRPr="0070536A">
              <w:rPr>
                <w:bCs/>
                <w:iCs/>
                <w:sz w:val="16"/>
                <w:szCs w:val="16"/>
                <w:lang w:val="en-GB"/>
              </w:rPr>
              <w:t>Baseline: (2020) 87.3%</w:t>
            </w:r>
          </w:p>
          <w:p w14:paraId="48F77C5A" w14:textId="77777777" w:rsidR="00091D10" w:rsidRPr="0070536A" w:rsidRDefault="00091D10" w:rsidP="000A6AFE">
            <w:pPr>
              <w:ind w:left="-10" w:hanging="21"/>
              <w:rPr>
                <w:bCs/>
                <w:iCs/>
                <w:sz w:val="16"/>
                <w:szCs w:val="16"/>
                <w:lang w:val="en-GB"/>
              </w:rPr>
            </w:pPr>
            <w:r w:rsidRPr="0070536A">
              <w:rPr>
                <w:bCs/>
                <w:iCs/>
                <w:sz w:val="16"/>
                <w:szCs w:val="16"/>
                <w:lang w:val="en-GB"/>
              </w:rPr>
              <w:t>Target: (2028) n/a</w:t>
            </w:r>
          </w:p>
          <w:p w14:paraId="596A6B3A" w14:textId="77777777" w:rsidR="00091D10" w:rsidRPr="0070536A" w:rsidRDefault="00091D10" w:rsidP="000A6AFE">
            <w:pPr>
              <w:ind w:left="-8" w:firstLine="8"/>
              <w:rPr>
                <w:bCs/>
                <w:iCs/>
                <w:sz w:val="16"/>
                <w:szCs w:val="16"/>
                <w:lang w:val="en-GB"/>
              </w:rPr>
            </w:pPr>
          </w:p>
          <w:p w14:paraId="62A06470" w14:textId="77777777" w:rsidR="00091D10" w:rsidRPr="0070536A" w:rsidRDefault="00091D10" w:rsidP="000A6AFE">
            <w:pPr>
              <w:ind w:left="-10" w:hanging="21"/>
              <w:rPr>
                <w:iCs/>
                <w:sz w:val="16"/>
                <w:szCs w:val="16"/>
                <w:lang w:val="en-GB" w:eastAsia="en-GB"/>
              </w:rPr>
            </w:pPr>
          </w:p>
        </w:tc>
        <w:tc>
          <w:tcPr>
            <w:tcW w:w="1985" w:type="dxa"/>
            <w:vMerge w:val="restart"/>
          </w:tcPr>
          <w:p w14:paraId="3E3A0AC2" w14:textId="77777777" w:rsidR="00091D10" w:rsidRPr="0070536A" w:rsidRDefault="00091D10" w:rsidP="000A6AFE">
            <w:pPr>
              <w:rPr>
                <w:b/>
                <w:bCs/>
                <w:iCs/>
                <w:color w:val="000000"/>
                <w:sz w:val="16"/>
                <w:szCs w:val="16"/>
                <w:lang w:val="en-GB"/>
              </w:rPr>
            </w:pPr>
          </w:p>
          <w:p w14:paraId="53BB87CC" w14:textId="77777777" w:rsidR="00091D10" w:rsidRPr="0070536A" w:rsidRDefault="00091D10" w:rsidP="000A6AFE">
            <w:pPr>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5C557659" w14:textId="77777777" w:rsidR="00091D10" w:rsidRPr="0070536A" w:rsidRDefault="00091D10" w:rsidP="000A6AFE">
            <w:pPr>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 </w:t>
            </w:r>
          </w:p>
          <w:p w14:paraId="55AA1AFC" w14:textId="77777777" w:rsidR="00091D10" w:rsidRPr="0070536A" w:rsidRDefault="00091D10" w:rsidP="000A6AFE">
            <w:pPr>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n/a</w:t>
            </w:r>
          </w:p>
          <w:p w14:paraId="79DA098A" w14:textId="77777777" w:rsidR="00091D10" w:rsidRPr="0070536A" w:rsidRDefault="00091D10" w:rsidP="000A6AFE">
            <w:pPr>
              <w:rPr>
                <w:iCs/>
                <w:sz w:val="16"/>
                <w:szCs w:val="16"/>
                <w:lang w:val="en-GB" w:eastAsia="en-GB"/>
              </w:rPr>
            </w:pPr>
          </w:p>
          <w:p w14:paraId="3CACE4BA" w14:textId="77777777" w:rsidR="00091D10" w:rsidRPr="0070536A" w:rsidRDefault="00091D10" w:rsidP="000A6AFE">
            <w:pPr>
              <w:rPr>
                <w:iCs/>
                <w:sz w:val="16"/>
                <w:szCs w:val="16"/>
                <w:lang w:val="en-GB" w:eastAsia="en-GB"/>
              </w:rPr>
            </w:pPr>
          </w:p>
          <w:p w14:paraId="4FCF7522" w14:textId="77777777" w:rsidR="00091D10" w:rsidRPr="0070536A" w:rsidRDefault="00091D10" w:rsidP="000A6AFE">
            <w:pPr>
              <w:rPr>
                <w:iCs/>
                <w:sz w:val="16"/>
                <w:szCs w:val="16"/>
                <w:lang w:val="en-GB" w:eastAsia="en-GB"/>
              </w:rPr>
            </w:pPr>
          </w:p>
          <w:p w14:paraId="64CD70B7" w14:textId="77777777" w:rsidR="00091D10" w:rsidRPr="0070536A" w:rsidRDefault="00091D10" w:rsidP="000A6AFE">
            <w:pPr>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386A14BE" w14:textId="77777777" w:rsidR="00091D10" w:rsidRPr="0070536A" w:rsidRDefault="00091D10" w:rsidP="000A6AFE">
            <w:pPr>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w:t>
            </w:r>
          </w:p>
          <w:p w14:paraId="58AA84F4" w14:textId="77777777" w:rsidR="00091D10" w:rsidRPr="0070536A" w:rsidRDefault="00091D10" w:rsidP="000A6AFE">
            <w:pPr>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n/a</w:t>
            </w:r>
          </w:p>
          <w:p w14:paraId="20BB6CDE" w14:textId="77777777" w:rsidR="00091D10" w:rsidRPr="0070536A" w:rsidRDefault="00091D10" w:rsidP="000A6AFE">
            <w:pPr>
              <w:rPr>
                <w:iCs/>
                <w:sz w:val="16"/>
                <w:szCs w:val="16"/>
                <w:lang w:val="en-GB" w:eastAsia="en-GB"/>
              </w:rPr>
            </w:pPr>
            <w:r w:rsidRPr="0070536A">
              <w:rPr>
                <w:iCs/>
                <w:sz w:val="16"/>
                <w:szCs w:val="16"/>
                <w:lang w:val="en-GB" w:eastAsia="en-GB"/>
              </w:rPr>
              <w:t xml:space="preserve"> </w:t>
            </w:r>
          </w:p>
          <w:p w14:paraId="514C4D86" w14:textId="77777777" w:rsidR="00091D10" w:rsidRPr="0070536A" w:rsidRDefault="00091D10" w:rsidP="000A6AFE">
            <w:pPr>
              <w:rPr>
                <w:iCs/>
                <w:sz w:val="16"/>
                <w:szCs w:val="16"/>
                <w:lang w:val="en-GB" w:eastAsia="en-GB"/>
              </w:rPr>
            </w:pPr>
          </w:p>
          <w:p w14:paraId="7746F574" w14:textId="77777777" w:rsidR="00091D10" w:rsidRPr="0070536A" w:rsidRDefault="00091D10" w:rsidP="000A6AFE">
            <w:pPr>
              <w:rPr>
                <w:iCs/>
                <w:sz w:val="16"/>
                <w:szCs w:val="16"/>
                <w:lang w:val="en-GB" w:eastAsia="en-GB"/>
              </w:rPr>
            </w:pPr>
          </w:p>
          <w:p w14:paraId="784352EE" w14:textId="77777777" w:rsidR="00091D10" w:rsidRPr="0070536A" w:rsidRDefault="00091D10" w:rsidP="000A6AFE">
            <w:pPr>
              <w:rPr>
                <w:iCs/>
                <w:sz w:val="16"/>
                <w:szCs w:val="16"/>
                <w:lang w:val="en-GB" w:eastAsia="en-GB"/>
              </w:rPr>
            </w:pPr>
          </w:p>
          <w:p w14:paraId="49D174F6" w14:textId="77777777" w:rsidR="00091D10" w:rsidRPr="0070536A" w:rsidRDefault="00091D10" w:rsidP="000A6AFE">
            <w:pPr>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0380EEFE" w14:textId="77777777" w:rsidR="00091D10" w:rsidRPr="0070536A" w:rsidRDefault="00091D10" w:rsidP="000A6AFE">
            <w:pPr>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  </w:t>
            </w:r>
          </w:p>
          <w:p w14:paraId="045D2FCA" w14:textId="77777777" w:rsidR="00091D10" w:rsidRPr="0070536A" w:rsidRDefault="00091D10" w:rsidP="000A6AFE">
            <w:pPr>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n/a</w:t>
            </w:r>
          </w:p>
          <w:p w14:paraId="05FEFDA0" w14:textId="77777777" w:rsidR="00091D10" w:rsidRPr="0070536A" w:rsidRDefault="00091D10" w:rsidP="000A6AFE">
            <w:pPr>
              <w:rPr>
                <w:iCs/>
                <w:sz w:val="16"/>
                <w:szCs w:val="16"/>
                <w:lang w:val="en-GB" w:eastAsia="en-GB"/>
              </w:rPr>
            </w:pPr>
          </w:p>
        </w:tc>
        <w:tc>
          <w:tcPr>
            <w:tcW w:w="6095" w:type="dxa"/>
          </w:tcPr>
          <w:p w14:paraId="2254A12B" w14:textId="67C32BDA" w:rsidR="00091D10" w:rsidRPr="0070536A" w:rsidRDefault="00091D10" w:rsidP="000A6AFE">
            <w:pPr>
              <w:spacing w:after="120"/>
              <w:jc w:val="both"/>
              <w:textAlignment w:val="baseline"/>
              <w:rPr>
                <w:b/>
                <w:bCs/>
                <w:color w:val="000000" w:themeColor="text1"/>
                <w:sz w:val="16"/>
                <w:szCs w:val="16"/>
                <w:lang w:val="en-GB" w:eastAsia="en-GB"/>
              </w:rPr>
            </w:pPr>
            <w:r w:rsidRPr="0070536A" w:rsidDel="6EFC8872">
              <w:rPr>
                <w:b/>
                <w:bCs/>
                <w:color w:val="000000" w:themeColor="text1"/>
                <w:sz w:val="16"/>
                <w:szCs w:val="16"/>
                <w:lang w:val="en-GB" w:eastAsia="en-GB"/>
              </w:rPr>
              <w:t>2.1</w:t>
            </w:r>
            <w:r w:rsidR="00BA3880" w:rsidRPr="0070536A">
              <w:rPr>
                <w:b/>
                <w:bCs/>
                <w:color w:val="000000" w:themeColor="text1"/>
                <w:sz w:val="16"/>
                <w:szCs w:val="16"/>
                <w:lang w:val="en-GB" w:eastAsia="en-GB"/>
              </w:rPr>
              <w:t>.</w:t>
            </w:r>
            <w:r w:rsidRPr="0070536A" w:rsidDel="6EFC8872">
              <w:rPr>
                <w:color w:val="000000" w:themeColor="text1"/>
                <w:sz w:val="16"/>
                <w:szCs w:val="16"/>
                <w:lang w:val="en-GB" w:eastAsia="en-GB"/>
              </w:rPr>
              <w:t xml:space="preserve"> </w:t>
            </w:r>
            <w:r w:rsidRPr="0070536A">
              <w:rPr>
                <w:b/>
                <w:bCs/>
                <w:color w:val="000000" w:themeColor="text1"/>
                <w:sz w:val="16"/>
                <w:szCs w:val="16"/>
                <w:lang w:val="en-GB" w:eastAsia="en-GB"/>
              </w:rPr>
              <w:t>Implementation of evidence-based climate, risk management and low-carbon policies enhanced.</w:t>
            </w:r>
          </w:p>
          <w:p w14:paraId="23B7B162" w14:textId="77777777" w:rsidR="00091D10" w:rsidRPr="0070536A" w:rsidRDefault="00091D10" w:rsidP="000A6AFE">
            <w:pPr>
              <w:jc w:val="both"/>
              <w:rPr>
                <w:b/>
                <w:bCs/>
                <w:color w:val="000000" w:themeColor="text1"/>
                <w:sz w:val="16"/>
                <w:szCs w:val="16"/>
                <w:lang w:val="en-GB"/>
              </w:rPr>
            </w:pPr>
            <w:r w:rsidRPr="0070536A">
              <w:rPr>
                <w:b/>
                <w:bCs/>
                <w:color w:val="000000" w:themeColor="text1"/>
                <w:sz w:val="16"/>
                <w:szCs w:val="16"/>
                <w:lang w:val="en-GB"/>
              </w:rPr>
              <w:t xml:space="preserve">Indicators: </w:t>
            </w:r>
          </w:p>
          <w:p w14:paraId="591CD05F" w14:textId="2504796E" w:rsidR="00091D10" w:rsidRPr="0070536A" w:rsidRDefault="00091D10" w:rsidP="000A6AFE">
            <w:pPr>
              <w:jc w:val="both"/>
              <w:rPr>
                <w:sz w:val="16"/>
                <w:szCs w:val="16"/>
                <w:lang w:val="en-GB"/>
              </w:rPr>
            </w:pPr>
            <w:r w:rsidRPr="0070536A">
              <w:rPr>
                <w:b/>
                <w:bCs/>
                <w:sz w:val="16"/>
                <w:szCs w:val="16"/>
                <w:lang w:val="en-GB"/>
              </w:rPr>
              <w:t>2.1.1</w:t>
            </w:r>
            <w:r w:rsidR="00BA3880" w:rsidRPr="0070536A">
              <w:rPr>
                <w:sz w:val="16"/>
                <w:szCs w:val="16"/>
                <w:lang w:val="en-GB"/>
              </w:rPr>
              <w:t>.</w:t>
            </w:r>
            <w:r w:rsidRPr="0070536A">
              <w:rPr>
                <w:sz w:val="16"/>
                <w:szCs w:val="16"/>
                <w:lang w:val="en-GB"/>
              </w:rPr>
              <w:t xml:space="preserve"> </w:t>
            </w:r>
            <w:r w:rsidRPr="0070536A">
              <w:rPr>
                <w:b/>
                <w:bCs/>
                <w:sz w:val="16"/>
                <w:szCs w:val="16"/>
                <w:lang w:val="en-GB"/>
              </w:rPr>
              <w:t xml:space="preserve"> </w:t>
            </w:r>
            <w:r w:rsidRPr="0070536A">
              <w:rPr>
                <w:sz w:val="16"/>
                <w:szCs w:val="16"/>
                <w:lang w:val="en-GB"/>
              </w:rPr>
              <w:t>Number of sustainable environmental policies and legislation in place</w:t>
            </w:r>
            <w:r w:rsidRPr="0070536A">
              <w:rPr>
                <w:lang w:val="en-GB"/>
              </w:rPr>
              <w:t xml:space="preserve"> </w:t>
            </w:r>
            <w:r w:rsidRPr="0070536A">
              <w:rPr>
                <w:sz w:val="16"/>
                <w:szCs w:val="16"/>
                <w:lang w:val="en-GB"/>
              </w:rPr>
              <w:t>to enable the enhancement and implementation of NDCs (IRRF 1.1.2)</w:t>
            </w:r>
            <w:r w:rsidR="00BA3880" w:rsidRPr="0070536A">
              <w:rPr>
                <w:sz w:val="16"/>
                <w:szCs w:val="16"/>
                <w:lang w:val="en-GB"/>
              </w:rPr>
              <w:t>.</w:t>
            </w:r>
          </w:p>
          <w:p w14:paraId="4172A933" w14:textId="77777777" w:rsidR="00091D10" w:rsidRPr="0070536A" w:rsidRDefault="00091D10" w:rsidP="000A6AFE">
            <w:pPr>
              <w:jc w:val="both"/>
              <w:rPr>
                <w:sz w:val="16"/>
                <w:szCs w:val="16"/>
                <w:lang w:val="en-GB"/>
              </w:rPr>
            </w:pPr>
            <w:r w:rsidRPr="0070536A">
              <w:rPr>
                <w:sz w:val="16"/>
                <w:szCs w:val="16"/>
                <w:lang w:val="en-GB"/>
              </w:rPr>
              <w:t>Baseline (2023): 2</w:t>
            </w:r>
          </w:p>
          <w:p w14:paraId="66D1D773" w14:textId="77777777" w:rsidR="00091D10" w:rsidRPr="0070536A" w:rsidRDefault="00091D10" w:rsidP="000A6AFE">
            <w:pPr>
              <w:jc w:val="both"/>
              <w:rPr>
                <w:sz w:val="16"/>
                <w:szCs w:val="16"/>
                <w:lang w:val="en-GB"/>
              </w:rPr>
            </w:pPr>
            <w:r w:rsidRPr="0070536A">
              <w:rPr>
                <w:sz w:val="16"/>
                <w:szCs w:val="16"/>
                <w:lang w:val="en-GB"/>
              </w:rPr>
              <w:t xml:space="preserve">Target (2028):    5   </w:t>
            </w:r>
          </w:p>
          <w:p w14:paraId="1B435363" w14:textId="77777777" w:rsidR="00091D10" w:rsidRPr="0070536A" w:rsidRDefault="00091D10" w:rsidP="000A6AFE">
            <w:pPr>
              <w:jc w:val="both"/>
              <w:rPr>
                <w:sz w:val="16"/>
                <w:szCs w:val="16"/>
                <w:lang w:val="en-GB"/>
              </w:rPr>
            </w:pPr>
            <w:r w:rsidRPr="0070536A">
              <w:rPr>
                <w:sz w:val="16"/>
                <w:szCs w:val="16"/>
                <w:lang w:val="en-GB"/>
              </w:rPr>
              <w:t>Data source: Official Gazette</w:t>
            </w:r>
          </w:p>
          <w:p w14:paraId="00E2B311" w14:textId="77777777" w:rsidR="00091D10" w:rsidRPr="0070536A" w:rsidRDefault="00091D10" w:rsidP="000A6AFE">
            <w:pPr>
              <w:spacing w:after="120"/>
              <w:jc w:val="both"/>
              <w:rPr>
                <w:sz w:val="16"/>
                <w:szCs w:val="16"/>
                <w:lang w:val="en-GB"/>
              </w:rPr>
            </w:pPr>
            <w:r w:rsidRPr="0070536A">
              <w:rPr>
                <w:sz w:val="16"/>
                <w:szCs w:val="16"/>
                <w:lang w:val="en-GB"/>
              </w:rPr>
              <w:t>Frequency: Annual</w:t>
            </w:r>
          </w:p>
          <w:p w14:paraId="13FC4C33" w14:textId="2226E5FC" w:rsidR="00091D10" w:rsidRPr="0070536A" w:rsidRDefault="00091D10" w:rsidP="000A6AFE">
            <w:pPr>
              <w:jc w:val="both"/>
              <w:rPr>
                <w:sz w:val="16"/>
                <w:szCs w:val="16"/>
                <w:lang w:val="en-GB"/>
              </w:rPr>
            </w:pPr>
            <w:r w:rsidRPr="0070536A">
              <w:rPr>
                <w:b/>
                <w:bCs/>
                <w:sz w:val="16"/>
                <w:szCs w:val="16"/>
                <w:lang w:val="en-GB"/>
              </w:rPr>
              <w:t>2.1.2</w:t>
            </w:r>
            <w:r w:rsidR="00BA3880" w:rsidRPr="0070536A">
              <w:rPr>
                <w:sz w:val="16"/>
                <w:szCs w:val="16"/>
                <w:lang w:val="en-GB"/>
              </w:rPr>
              <w:t>.</w:t>
            </w:r>
            <w:r w:rsidRPr="0070536A">
              <w:rPr>
                <w:sz w:val="16"/>
                <w:szCs w:val="16"/>
                <w:lang w:val="en-GB"/>
              </w:rPr>
              <w:t xml:space="preserve"> Number of legal and regulatory instruments approved to de-risk investment in renewable energy and recycling.  </w:t>
            </w:r>
          </w:p>
          <w:p w14:paraId="5103FCC5" w14:textId="77777777" w:rsidR="00091D10" w:rsidRPr="0070536A" w:rsidRDefault="00091D10" w:rsidP="000A6AFE">
            <w:pPr>
              <w:jc w:val="both"/>
              <w:rPr>
                <w:sz w:val="16"/>
                <w:szCs w:val="16"/>
                <w:lang w:val="en-GB"/>
              </w:rPr>
            </w:pPr>
            <w:r w:rsidRPr="0070536A">
              <w:rPr>
                <w:sz w:val="16"/>
                <w:szCs w:val="16"/>
                <w:lang w:val="en-GB"/>
              </w:rPr>
              <w:t>Baseline (2023): 0</w:t>
            </w:r>
          </w:p>
          <w:p w14:paraId="2104F868" w14:textId="77777777" w:rsidR="00091D10" w:rsidRPr="0070536A" w:rsidRDefault="00091D10" w:rsidP="000A6AFE">
            <w:pPr>
              <w:jc w:val="both"/>
              <w:rPr>
                <w:sz w:val="16"/>
                <w:szCs w:val="16"/>
                <w:lang w:val="en-GB"/>
              </w:rPr>
            </w:pPr>
            <w:r w:rsidRPr="0070536A">
              <w:rPr>
                <w:sz w:val="16"/>
                <w:szCs w:val="16"/>
                <w:lang w:val="en-GB"/>
              </w:rPr>
              <w:t>Target (2028):    2</w:t>
            </w:r>
          </w:p>
          <w:p w14:paraId="56BA800D" w14:textId="77777777" w:rsidR="00091D10" w:rsidRPr="0070536A" w:rsidRDefault="00091D10" w:rsidP="000A6AFE">
            <w:pPr>
              <w:jc w:val="both"/>
              <w:rPr>
                <w:sz w:val="16"/>
                <w:szCs w:val="16"/>
                <w:lang w:val="en-GB"/>
              </w:rPr>
            </w:pPr>
            <w:r w:rsidRPr="0070536A">
              <w:rPr>
                <w:sz w:val="16"/>
                <w:szCs w:val="16"/>
                <w:lang w:val="en-GB" w:eastAsia="zh-Hans"/>
              </w:rPr>
              <w:t>Data source: Official Gazette</w:t>
            </w:r>
          </w:p>
          <w:p w14:paraId="4BCF5D7F" w14:textId="77777777" w:rsidR="00091D10" w:rsidRPr="0070536A" w:rsidRDefault="00091D10" w:rsidP="000A6AFE">
            <w:pPr>
              <w:jc w:val="both"/>
              <w:textAlignment w:val="baseline"/>
              <w:rPr>
                <w:sz w:val="16"/>
                <w:szCs w:val="16"/>
                <w:lang w:val="en-GB" w:eastAsia="en-GB"/>
              </w:rPr>
            </w:pPr>
            <w:r w:rsidRPr="0070536A">
              <w:rPr>
                <w:sz w:val="16"/>
                <w:szCs w:val="16"/>
                <w:lang w:val="en-GB"/>
              </w:rPr>
              <w:t>Frequency: Annual</w:t>
            </w:r>
          </w:p>
        </w:tc>
        <w:tc>
          <w:tcPr>
            <w:tcW w:w="1701" w:type="dxa"/>
            <w:vMerge w:val="restart"/>
          </w:tcPr>
          <w:p w14:paraId="6D42A4C1" w14:textId="77777777" w:rsidR="00091D10" w:rsidRPr="0070536A" w:rsidRDefault="00091D10" w:rsidP="000A6AFE">
            <w:pPr>
              <w:spacing w:after="60"/>
              <w:textAlignment w:val="baseline"/>
              <w:rPr>
                <w:sz w:val="16"/>
                <w:szCs w:val="16"/>
                <w:lang w:val="en-GB" w:eastAsia="en-GB"/>
              </w:rPr>
            </w:pPr>
            <w:r w:rsidRPr="0070536A">
              <w:rPr>
                <w:sz w:val="16"/>
                <w:szCs w:val="16"/>
                <w:lang w:val="en-GB" w:eastAsia="en-GB"/>
              </w:rPr>
              <w:t>Ministries of:</w:t>
            </w:r>
          </w:p>
          <w:p w14:paraId="30B7753A" w14:textId="1719568B" w:rsidR="00091D10" w:rsidRPr="0070536A" w:rsidRDefault="00091D10" w:rsidP="000A6AFE">
            <w:pPr>
              <w:spacing w:after="60"/>
              <w:textAlignment w:val="baseline"/>
              <w:rPr>
                <w:sz w:val="16"/>
                <w:szCs w:val="16"/>
                <w:lang w:val="en-GB" w:eastAsia="en-GB"/>
              </w:rPr>
            </w:pPr>
            <w:r w:rsidRPr="0070536A">
              <w:rPr>
                <w:sz w:val="16"/>
                <w:szCs w:val="16"/>
                <w:lang w:val="en-GB" w:eastAsia="en-GB"/>
              </w:rPr>
              <w:t xml:space="preserve">Forest </w:t>
            </w:r>
            <w:r w:rsidR="007A2E70" w:rsidRPr="0070536A">
              <w:rPr>
                <w:sz w:val="16"/>
                <w:szCs w:val="16"/>
                <w:lang w:val="en-GB" w:eastAsia="en-GB"/>
              </w:rPr>
              <w:t>and</w:t>
            </w:r>
            <w:r w:rsidRPr="0070536A">
              <w:rPr>
                <w:sz w:val="16"/>
                <w:szCs w:val="16"/>
                <w:lang w:val="en-GB" w:eastAsia="en-GB"/>
              </w:rPr>
              <w:t xml:space="preserve"> Environment </w:t>
            </w:r>
            <w:r w:rsidR="008527BC" w:rsidRPr="0070536A">
              <w:rPr>
                <w:sz w:val="16"/>
                <w:szCs w:val="16"/>
                <w:lang w:val="en-GB" w:eastAsia="en-GB"/>
              </w:rPr>
              <w:t xml:space="preserve">(MFE) </w:t>
            </w:r>
            <w:r w:rsidRPr="0070536A">
              <w:rPr>
                <w:sz w:val="16"/>
                <w:szCs w:val="16"/>
                <w:lang w:val="en-GB" w:eastAsia="en-GB"/>
              </w:rPr>
              <w:t xml:space="preserve">Agriculture, Livestock </w:t>
            </w:r>
            <w:r w:rsidR="007A2E70" w:rsidRPr="0070536A">
              <w:rPr>
                <w:sz w:val="16"/>
                <w:szCs w:val="16"/>
                <w:lang w:val="en-GB" w:eastAsia="en-GB"/>
              </w:rPr>
              <w:t>and</w:t>
            </w:r>
            <w:r w:rsidRPr="0070536A">
              <w:rPr>
                <w:sz w:val="16"/>
                <w:szCs w:val="16"/>
                <w:lang w:val="en-GB" w:eastAsia="en-GB"/>
              </w:rPr>
              <w:t xml:space="preserve"> Rural Development. </w:t>
            </w:r>
          </w:p>
          <w:p w14:paraId="09190851" w14:textId="77777777" w:rsidR="00091D10" w:rsidRPr="0070536A" w:rsidRDefault="00091D10" w:rsidP="000A6AFE">
            <w:pPr>
              <w:spacing w:after="60"/>
              <w:textAlignment w:val="baseline"/>
              <w:rPr>
                <w:sz w:val="16"/>
                <w:szCs w:val="16"/>
                <w:lang w:val="en-GB" w:eastAsia="en-GB"/>
              </w:rPr>
            </w:pPr>
            <w:r w:rsidRPr="0070536A">
              <w:rPr>
                <w:sz w:val="16"/>
                <w:szCs w:val="16"/>
                <w:lang w:val="en-GB" w:eastAsia="en-GB"/>
              </w:rPr>
              <w:t>Fisheries And Water Resources</w:t>
            </w:r>
          </w:p>
          <w:p w14:paraId="2060C187" w14:textId="7050B30B" w:rsidR="00091D10" w:rsidRPr="0070536A" w:rsidRDefault="00091D10" w:rsidP="000A6AFE">
            <w:pPr>
              <w:spacing w:after="60"/>
              <w:textAlignment w:val="baseline"/>
              <w:rPr>
                <w:sz w:val="16"/>
                <w:szCs w:val="16"/>
                <w:lang w:val="en-GB" w:eastAsia="en-GB"/>
              </w:rPr>
            </w:pPr>
            <w:r w:rsidRPr="0070536A">
              <w:rPr>
                <w:sz w:val="16"/>
                <w:szCs w:val="16"/>
                <w:lang w:val="en-GB" w:eastAsia="en-GB"/>
              </w:rPr>
              <w:t xml:space="preserve">Electricity </w:t>
            </w:r>
            <w:r w:rsidR="007A2E70" w:rsidRPr="0070536A">
              <w:rPr>
                <w:sz w:val="16"/>
                <w:szCs w:val="16"/>
                <w:lang w:val="en-GB" w:eastAsia="en-GB"/>
              </w:rPr>
              <w:t>and</w:t>
            </w:r>
            <w:r w:rsidRPr="0070536A">
              <w:rPr>
                <w:sz w:val="16"/>
                <w:szCs w:val="16"/>
                <w:lang w:val="en-GB" w:eastAsia="en-GB"/>
              </w:rPr>
              <w:t xml:space="preserve"> Renewable Energy</w:t>
            </w:r>
          </w:p>
          <w:p w14:paraId="3AED1110" w14:textId="2AF67A40" w:rsidR="00091D10" w:rsidRPr="0070536A" w:rsidRDefault="00091D10" w:rsidP="000A6AFE">
            <w:pPr>
              <w:spacing w:after="60"/>
              <w:textAlignment w:val="baseline"/>
              <w:rPr>
                <w:sz w:val="16"/>
                <w:szCs w:val="16"/>
                <w:lang w:val="en-GB" w:eastAsia="en-GB"/>
              </w:rPr>
            </w:pPr>
            <w:r w:rsidRPr="0070536A">
              <w:rPr>
                <w:sz w:val="16"/>
                <w:szCs w:val="16"/>
                <w:lang w:val="en-GB" w:eastAsia="en-GB"/>
              </w:rPr>
              <w:t xml:space="preserve">Planning </w:t>
            </w:r>
            <w:r w:rsidR="007A2E70" w:rsidRPr="0070536A">
              <w:rPr>
                <w:sz w:val="16"/>
                <w:szCs w:val="16"/>
                <w:lang w:val="en-GB" w:eastAsia="en-GB"/>
              </w:rPr>
              <w:t xml:space="preserve">and </w:t>
            </w:r>
            <w:r w:rsidRPr="0070536A">
              <w:rPr>
                <w:sz w:val="16"/>
                <w:szCs w:val="16"/>
                <w:lang w:val="en-GB" w:eastAsia="en-GB"/>
              </w:rPr>
              <w:t xml:space="preserve">Economic Diversification. </w:t>
            </w:r>
          </w:p>
          <w:p w14:paraId="33B4756B" w14:textId="4BBF9D61" w:rsidR="00091D10" w:rsidRPr="0070536A" w:rsidRDefault="00091D10" w:rsidP="000A6AFE">
            <w:pPr>
              <w:spacing w:after="60"/>
              <w:textAlignment w:val="baseline"/>
              <w:rPr>
                <w:sz w:val="16"/>
                <w:szCs w:val="16"/>
                <w:lang w:val="en-GB" w:eastAsia="en-GB"/>
              </w:rPr>
            </w:pPr>
            <w:r w:rsidRPr="0070536A">
              <w:rPr>
                <w:sz w:val="16"/>
                <w:szCs w:val="16"/>
                <w:lang w:val="en-GB" w:eastAsia="en-GB"/>
              </w:rPr>
              <w:t xml:space="preserve">Interior </w:t>
            </w:r>
            <w:r w:rsidR="007A2E70" w:rsidRPr="0070536A">
              <w:rPr>
                <w:sz w:val="16"/>
                <w:szCs w:val="16"/>
                <w:lang w:val="en-GB" w:eastAsia="en-GB"/>
              </w:rPr>
              <w:t xml:space="preserve">and </w:t>
            </w:r>
            <w:r w:rsidRPr="0070536A">
              <w:rPr>
                <w:sz w:val="16"/>
                <w:szCs w:val="16"/>
                <w:lang w:val="en-GB" w:eastAsia="en-GB"/>
              </w:rPr>
              <w:t>Local Corporations.</w:t>
            </w:r>
          </w:p>
          <w:p w14:paraId="2D096536" w14:textId="06EA0EAC" w:rsidR="00091D10" w:rsidRPr="0070536A" w:rsidRDefault="00091D10" w:rsidP="000A6AFE">
            <w:pPr>
              <w:spacing w:after="60"/>
              <w:textAlignment w:val="baseline"/>
              <w:rPr>
                <w:sz w:val="16"/>
                <w:szCs w:val="16"/>
                <w:lang w:val="en-GB" w:eastAsia="en-GB"/>
              </w:rPr>
            </w:pPr>
            <w:r w:rsidRPr="0070536A">
              <w:rPr>
                <w:sz w:val="16"/>
                <w:szCs w:val="16"/>
                <w:lang w:val="en-GB" w:eastAsia="en-GB"/>
              </w:rPr>
              <w:t>Land Use Planning</w:t>
            </w:r>
          </w:p>
          <w:p w14:paraId="5C7C8C33" w14:textId="1B49A76E" w:rsidR="00091D10" w:rsidRPr="0070536A" w:rsidRDefault="007A2E70" w:rsidP="000A6AFE">
            <w:pPr>
              <w:spacing w:after="60"/>
              <w:textAlignment w:val="baseline"/>
              <w:rPr>
                <w:sz w:val="16"/>
                <w:szCs w:val="16"/>
                <w:lang w:val="en-GB" w:eastAsia="en-GB"/>
              </w:rPr>
            </w:pPr>
            <w:r w:rsidRPr="0070536A">
              <w:rPr>
                <w:sz w:val="16"/>
                <w:szCs w:val="16"/>
                <w:lang w:val="en-GB" w:eastAsia="en-GB"/>
              </w:rPr>
              <w:lastRenderedPageBreak/>
              <w:t>United Nations Environment Programme (</w:t>
            </w:r>
            <w:r w:rsidR="00091D10" w:rsidRPr="0070536A">
              <w:rPr>
                <w:sz w:val="16"/>
                <w:szCs w:val="16"/>
                <w:lang w:val="en-GB" w:eastAsia="en-GB"/>
              </w:rPr>
              <w:t>UNEP</w:t>
            </w:r>
            <w:r w:rsidRPr="0070536A">
              <w:rPr>
                <w:sz w:val="16"/>
                <w:szCs w:val="16"/>
                <w:lang w:val="en-GB" w:eastAsia="en-GB"/>
              </w:rPr>
              <w:t>)</w:t>
            </w:r>
          </w:p>
          <w:p w14:paraId="311B7A96" w14:textId="77777777" w:rsidR="00091D10" w:rsidRPr="0070536A" w:rsidRDefault="00091D10" w:rsidP="000A6AFE">
            <w:pPr>
              <w:spacing w:after="60"/>
              <w:textAlignment w:val="baseline"/>
              <w:rPr>
                <w:sz w:val="16"/>
                <w:szCs w:val="16"/>
                <w:lang w:val="en-GB" w:eastAsia="en-GB"/>
              </w:rPr>
            </w:pPr>
            <w:r w:rsidRPr="0070536A">
              <w:rPr>
                <w:sz w:val="16"/>
                <w:szCs w:val="16"/>
                <w:lang w:val="en-GB" w:eastAsia="en-GB"/>
              </w:rPr>
              <w:t>FAO</w:t>
            </w:r>
          </w:p>
          <w:p w14:paraId="063AA237" w14:textId="5227BD3B" w:rsidR="00091D10" w:rsidRPr="0070536A" w:rsidRDefault="00E00746" w:rsidP="000A6AFE">
            <w:pPr>
              <w:spacing w:after="60"/>
              <w:textAlignment w:val="baseline"/>
              <w:rPr>
                <w:sz w:val="16"/>
                <w:szCs w:val="16"/>
                <w:lang w:val="en-GB" w:eastAsia="en-GB"/>
              </w:rPr>
            </w:pPr>
            <w:r w:rsidRPr="0070536A">
              <w:rPr>
                <w:sz w:val="16"/>
                <w:szCs w:val="16"/>
                <w:lang w:val="en-GB" w:eastAsia="en-GB"/>
              </w:rPr>
              <w:t>United Nations Industrial Development Organization (</w:t>
            </w:r>
            <w:r w:rsidR="00091D10" w:rsidRPr="0070536A">
              <w:rPr>
                <w:sz w:val="16"/>
                <w:szCs w:val="16"/>
                <w:lang w:val="en-GB" w:eastAsia="en-GB"/>
              </w:rPr>
              <w:t>UNIDO</w:t>
            </w:r>
            <w:r w:rsidRPr="0070536A">
              <w:rPr>
                <w:sz w:val="16"/>
                <w:szCs w:val="16"/>
                <w:lang w:val="en-GB" w:eastAsia="en-GB"/>
              </w:rPr>
              <w:t>)</w:t>
            </w:r>
          </w:p>
          <w:p w14:paraId="126DC3AB" w14:textId="77777777" w:rsidR="00091D10" w:rsidRPr="0070536A" w:rsidRDefault="00091D10" w:rsidP="000A6AFE">
            <w:pPr>
              <w:spacing w:after="60"/>
              <w:textAlignment w:val="baseline"/>
              <w:rPr>
                <w:sz w:val="16"/>
                <w:szCs w:val="16"/>
                <w:lang w:val="en-GB" w:eastAsia="en-GB"/>
              </w:rPr>
            </w:pPr>
            <w:r w:rsidRPr="0070536A">
              <w:rPr>
                <w:sz w:val="16"/>
                <w:szCs w:val="16"/>
                <w:lang w:val="en-GB" w:eastAsia="en-GB"/>
              </w:rPr>
              <w:t>ILO</w:t>
            </w:r>
          </w:p>
          <w:p w14:paraId="17F826A1" w14:textId="74726027" w:rsidR="00091D10" w:rsidRPr="0070536A" w:rsidRDefault="0092035E" w:rsidP="000A6AFE">
            <w:pPr>
              <w:spacing w:after="60"/>
              <w:textAlignment w:val="baseline"/>
              <w:rPr>
                <w:sz w:val="16"/>
                <w:szCs w:val="16"/>
                <w:lang w:val="en-GB" w:eastAsia="en-GB"/>
              </w:rPr>
            </w:pPr>
            <w:r w:rsidRPr="0070536A">
              <w:rPr>
                <w:sz w:val="16"/>
                <w:szCs w:val="16"/>
                <w:lang w:val="en-GB" w:eastAsia="en-GB"/>
              </w:rPr>
              <w:t>International Union for Conservation of Nature</w:t>
            </w:r>
            <w:r w:rsidR="002456A9" w:rsidRPr="0070536A">
              <w:rPr>
                <w:sz w:val="16"/>
                <w:szCs w:val="16"/>
                <w:lang w:val="en-GB" w:eastAsia="en-GB"/>
              </w:rPr>
              <w:t xml:space="preserve"> (</w:t>
            </w:r>
            <w:r w:rsidR="00091D10" w:rsidRPr="0070536A">
              <w:rPr>
                <w:sz w:val="16"/>
                <w:szCs w:val="16"/>
                <w:lang w:val="en-GB" w:eastAsia="en-GB"/>
              </w:rPr>
              <w:t>IUCN</w:t>
            </w:r>
            <w:r w:rsidR="002456A9" w:rsidRPr="0070536A">
              <w:rPr>
                <w:sz w:val="16"/>
                <w:szCs w:val="16"/>
                <w:lang w:val="en-GB" w:eastAsia="en-GB"/>
              </w:rPr>
              <w:t>)</w:t>
            </w:r>
          </w:p>
          <w:p w14:paraId="25EEA81C" w14:textId="3CA37F01" w:rsidR="00091D10" w:rsidRPr="0070536A" w:rsidRDefault="00040C83" w:rsidP="000A6AFE">
            <w:pPr>
              <w:spacing w:after="60"/>
              <w:textAlignment w:val="baseline"/>
              <w:rPr>
                <w:sz w:val="16"/>
                <w:szCs w:val="16"/>
                <w:lang w:val="en-GB" w:eastAsia="en-GB"/>
              </w:rPr>
            </w:pPr>
            <w:r w:rsidRPr="0070536A">
              <w:rPr>
                <w:sz w:val="16"/>
                <w:szCs w:val="16"/>
                <w:lang w:val="en-GB" w:eastAsia="en-GB"/>
              </w:rPr>
              <w:t>United Nations Office for Disaster Risk Reduction (</w:t>
            </w:r>
            <w:r w:rsidR="00091D10" w:rsidRPr="0070536A">
              <w:rPr>
                <w:sz w:val="16"/>
                <w:szCs w:val="16"/>
                <w:lang w:val="en-GB" w:eastAsia="en-GB"/>
              </w:rPr>
              <w:t>UNDRR</w:t>
            </w:r>
            <w:r w:rsidRPr="0070536A">
              <w:rPr>
                <w:sz w:val="16"/>
                <w:szCs w:val="16"/>
                <w:lang w:val="en-GB" w:eastAsia="en-GB"/>
              </w:rPr>
              <w:t>)</w:t>
            </w:r>
          </w:p>
          <w:p w14:paraId="4FB407CC" w14:textId="77777777" w:rsidR="00091D10" w:rsidRPr="0070536A" w:rsidRDefault="00091D10" w:rsidP="000A6AFE">
            <w:pPr>
              <w:spacing w:after="60"/>
              <w:textAlignment w:val="baseline"/>
              <w:rPr>
                <w:sz w:val="16"/>
                <w:szCs w:val="16"/>
                <w:lang w:val="en-GB" w:eastAsia="en-GB"/>
              </w:rPr>
            </w:pPr>
            <w:r w:rsidRPr="0070536A">
              <w:rPr>
                <w:sz w:val="16"/>
                <w:szCs w:val="16"/>
                <w:lang w:val="en-GB" w:eastAsia="en-GB"/>
              </w:rPr>
              <w:t>GCF/GEF</w:t>
            </w:r>
          </w:p>
          <w:p w14:paraId="489BFDD7" w14:textId="77777777" w:rsidR="00091D10" w:rsidRPr="0070536A" w:rsidRDefault="00091D10" w:rsidP="000A6AFE">
            <w:pPr>
              <w:spacing w:after="60"/>
              <w:textAlignment w:val="baseline"/>
              <w:rPr>
                <w:sz w:val="16"/>
                <w:szCs w:val="16"/>
                <w:lang w:val="en-GB" w:eastAsia="en-GB"/>
              </w:rPr>
            </w:pPr>
            <w:r w:rsidRPr="0070536A">
              <w:rPr>
                <w:sz w:val="16"/>
                <w:szCs w:val="16"/>
                <w:lang w:val="en-GB" w:eastAsia="en-GB"/>
              </w:rPr>
              <w:t>UNDP Dakar Hub</w:t>
            </w:r>
          </w:p>
          <w:p w14:paraId="23660E0E" w14:textId="4FC01A10" w:rsidR="00091D10" w:rsidRPr="0070536A" w:rsidRDefault="00091D10" w:rsidP="000A6AFE">
            <w:pPr>
              <w:spacing w:after="60"/>
              <w:textAlignment w:val="baseline"/>
              <w:rPr>
                <w:sz w:val="16"/>
                <w:szCs w:val="16"/>
                <w:lang w:val="en-GB" w:eastAsia="en-GB"/>
              </w:rPr>
            </w:pPr>
            <w:r w:rsidRPr="0070536A">
              <w:rPr>
                <w:sz w:val="16"/>
                <w:szCs w:val="16"/>
                <w:lang w:val="en-GB" w:eastAsia="en-GB"/>
              </w:rPr>
              <w:t>South-</w:t>
            </w:r>
            <w:r w:rsidR="007A2E70" w:rsidRPr="0070536A">
              <w:rPr>
                <w:sz w:val="16"/>
                <w:szCs w:val="16"/>
                <w:lang w:val="en-GB" w:eastAsia="en-GB"/>
              </w:rPr>
              <w:t>S</w:t>
            </w:r>
            <w:r w:rsidRPr="0070536A">
              <w:rPr>
                <w:sz w:val="16"/>
                <w:szCs w:val="16"/>
                <w:lang w:val="en-GB" w:eastAsia="en-GB"/>
              </w:rPr>
              <w:t xml:space="preserve">outh cooperation </w:t>
            </w:r>
            <w:r w:rsidR="007A2E70" w:rsidRPr="0070536A">
              <w:rPr>
                <w:sz w:val="16"/>
                <w:szCs w:val="16"/>
                <w:lang w:val="en-GB" w:eastAsia="en-GB"/>
              </w:rPr>
              <w:t xml:space="preserve">with stakeholders from </w:t>
            </w:r>
            <w:r w:rsidRPr="0070536A">
              <w:rPr>
                <w:sz w:val="16"/>
                <w:szCs w:val="16"/>
                <w:lang w:val="en-GB" w:eastAsia="en-GB"/>
              </w:rPr>
              <w:t xml:space="preserve">Ghana, Kenya, Cameroon, Gabon, Sao Tome and Principe, Cabo Verde, </w:t>
            </w:r>
            <w:r w:rsidR="007A2E70" w:rsidRPr="0070536A">
              <w:rPr>
                <w:sz w:val="16"/>
                <w:szCs w:val="16"/>
                <w:lang w:val="en-GB" w:eastAsia="en-GB"/>
              </w:rPr>
              <w:t>Chad</w:t>
            </w:r>
            <w:r w:rsidRPr="0070536A">
              <w:rPr>
                <w:sz w:val="16"/>
                <w:szCs w:val="16"/>
                <w:lang w:val="en-GB" w:eastAsia="en-GB"/>
              </w:rPr>
              <w:t xml:space="preserve">, </w:t>
            </w:r>
            <w:r w:rsidR="007A2E70" w:rsidRPr="0070536A">
              <w:rPr>
                <w:sz w:val="16"/>
                <w:szCs w:val="16"/>
                <w:lang w:val="en-GB" w:eastAsia="en-GB"/>
              </w:rPr>
              <w:t xml:space="preserve">and </w:t>
            </w:r>
            <w:r w:rsidRPr="0070536A">
              <w:rPr>
                <w:sz w:val="16"/>
                <w:szCs w:val="16"/>
                <w:lang w:val="en-GB" w:eastAsia="en-GB"/>
              </w:rPr>
              <w:t xml:space="preserve">Costa Rica.  </w:t>
            </w:r>
          </w:p>
        </w:tc>
        <w:tc>
          <w:tcPr>
            <w:tcW w:w="1417" w:type="dxa"/>
            <w:vMerge w:val="restart"/>
          </w:tcPr>
          <w:p w14:paraId="1D35E69C" w14:textId="77777777" w:rsidR="00091D10" w:rsidRPr="0070536A" w:rsidRDefault="00091D10" w:rsidP="000A6AFE">
            <w:pPr>
              <w:textAlignment w:val="baseline"/>
              <w:rPr>
                <w:sz w:val="16"/>
                <w:szCs w:val="16"/>
                <w:lang w:val="en-GB" w:eastAsia="en-GB"/>
              </w:rPr>
            </w:pPr>
            <w:r w:rsidRPr="0070536A">
              <w:rPr>
                <w:b/>
                <w:bCs/>
                <w:sz w:val="16"/>
                <w:szCs w:val="16"/>
                <w:lang w:val="en-GB" w:eastAsia="en-GB"/>
              </w:rPr>
              <w:lastRenderedPageBreak/>
              <w:t xml:space="preserve">Regular:  </w:t>
            </w:r>
            <w:r w:rsidRPr="0070536A">
              <w:rPr>
                <w:sz w:val="16"/>
                <w:szCs w:val="16"/>
                <w:lang w:val="en-GB" w:eastAsia="en-GB"/>
              </w:rPr>
              <w:t>$300,000</w:t>
            </w:r>
          </w:p>
          <w:p w14:paraId="37DCB900" w14:textId="77777777" w:rsidR="00091D10" w:rsidRPr="0070536A" w:rsidRDefault="00091D10" w:rsidP="000A6AFE">
            <w:pPr>
              <w:textAlignment w:val="baseline"/>
              <w:rPr>
                <w:sz w:val="16"/>
                <w:szCs w:val="16"/>
                <w:lang w:val="en-GB"/>
              </w:rPr>
            </w:pPr>
          </w:p>
          <w:p w14:paraId="29B21609" w14:textId="77777777" w:rsidR="00091D10" w:rsidRPr="0070536A" w:rsidRDefault="00091D10" w:rsidP="000A6AFE">
            <w:pPr>
              <w:textAlignment w:val="baseline"/>
              <w:rPr>
                <w:sz w:val="16"/>
                <w:szCs w:val="16"/>
                <w:lang w:val="en-GB" w:eastAsia="en-GB"/>
              </w:rPr>
            </w:pPr>
            <w:r w:rsidRPr="0070536A">
              <w:rPr>
                <w:b/>
                <w:bCs/>
                <w:sz w:val="16"/>
                <w:szCs w:val="16"/>
                <w:lang w:val="en-GB"/>
              </w:rPr>
              <w:t>Other:</w:t>
            </w:r>
            <w:r w:rsidRPr="0070536A">
              <w:rPr>
                <w:sz w:val="16"/>
                <w:szCs w:val="16"/>
                <w:lang w:val="en-GB"/>
              </w:rPr>
              <w:t xml:space="preserve"> $5,600,000</w:t>
            </w:r>
          </w:p>
        </w:tc>
      </w:tr>
      <w:tr w:rsidR="00091D10" w:rsidRPr="0070536A" w14:paraId="4527E5B7" w14:textId="77777777" w:rsidTr="00B913BB">
        <w:tblPrEx>
          <w:tblCellMar>
            <w:left w:w="108" w:type="dxa"/>
            <w:right w:w="108" w:type="dxa"/>
          </w:tblCellMar>
        </w:tblPrEx>
        <w:trPr>
          <w:trHeight w:val="3077"/>
          <w:jc w:val="center"/>
        </w:trPr>
        <w:tc>
          <w:tcPr>
            <w:tcW w:w="2405" w:type="dxa"/>
            <w:gridSpan w:val="2"/>
            <w:vMerge/>
          </w:tcPr>
          <w:p w14:paraId="2767A430" w14:textId="77777777" w:rsidR="00091D10" w:rsidRPr="0070536A" w:rsidRDefault="00091D10" w:rsidP="000A6AFE">
            <w:pPr>
              <w:textAlignment w:val="baseline"/>
              <w:rPr>
                <w:i/>
                <w:iCs/>
                <w:sz w:val="16"/>
                <w:szCs w:val="16"/>
                <w:lang w:val="en-GB" w:eastAsia="en-GB"/>
              </w:rPr>
            </w:pPr>
          </w:p>
        </w:tc>
        <w:tc>
          <w:tcPr>
            <w:tcW w:w="1985" w:type="dxa"/>
            <w:vMerge/>
          </w:tcPr>
          <w:p w14:paraId="4E129144" w14:textId="77777777" w:rsidR="00091D10" w:rsidRPr="0070536A" w:rsidRDefault="00091D10" w:rsidP="000A6AFE">
            <w:pPr>
              <w:rPr>
                <w:b/>
                <w:bCs/>
                <w:i/>
                <w:iCs/>
                <w:color w:val="000000"/>
                <w:sz w:val="16"/>
                <w:szCs w:val="16"/>
                <w:lang w:val="en-GB"/>
              </w:rPr>
            </w:pPr>
          </w:p>
        </w:tc>
        <w:tc>
          <w:tcPr>
            <w:tcW w:w="6095" w:type="dxa"/>
          </w:tcPr>
          <w:p w14:paraId="395BB0A6" w14:textId="77CD2719" w:rsidR="00091D10" w:rsidRPr="0070536A" w:rsidRDefault="00091D10" w:rsidP="000A6AFE">
            <w:pPr>
              <w:spacing w:after="120"/>
              <w:jc w:val="both"/>
              <w:textAlignment w:val="baseline"/>
              <w:rPr>
                <w:b/>
                <w:bCs/>
                <w:sz w:val="16"/>
                <w:szCs w:val="16"/>
                <w:lang w:val="en-GB" w:eastAsia="en-GB"/>
              </w:rPr>
            </w:pPr>
            <w:r w:rsidRPr="0070536A">
              <w:rPr>
                <w:b/>
                <w:bCs/>
                <w:sz w:val="16"/>
                <w:szCs w:val="16"/>
                <w:lang w:val="en-GB" w:eastAsia="en-GB"/>
              </w:rPr>
              <w:t>2.2</w:t>
            </w:r>
            <w:r w:rsidR="007A2E70" w:rsidRPr="0070536A">
              <w:rPr>
                <w:b/>
                <w:bCs/>
                <w:sz w:val="16"/>
                <w:szCs w:val="16"/>
                <w:lang w:val="en-GB" w:eastAsia="en-GB"/>
              </w:rPr>
              <w:t>.</w:t>
            </w:r>
            <w:r w:rsidRPr="0070536A">
              <w:rPr>
                <w:b/>
                <w:bCs/>
                <w:sz w:val="16"/>
                <w:szCs w:val="16"/>
                <w:lang w:val="en-GB" w:eastAsia="en-GB"/>
              </w:rPr>
              <w:t xml:space="preserve"> Institutional and community stakeholders design and implement inclusive, integrated and gender sensitive solutions for the management of biodiversity and protected areas.</w:t>
            </w:r>
          </w:p>
          <w:p w14:paraId="0D94AD12" w14:textId="77777777" w:rsidR="00091D10" w:rsidRPr="0070536A" w:rsidRDefault="00091D10" w:rsidP="000A6AFE">
            <w:pPr>
              <w:jc w:val="both"/>
              <w:rPr>
                <w:b/>
                <w:bCs/>
                <w:sz w:val="16"/>
                <w:szCs w:val="16"/>
                <w:lang w:val="en-GB"/>
              </w:rPr>
            </w:pPr>
            <w:r w:rsidRPr="0070536A">
              <w:rPr>
                <w:b/>
                <w:bCs/>
                <w:sz w:val="16"/>
                <w:szCs w:val="16"/>
                <w:lang w:val="en-GB"/>
              </w:rPr>
              <w:t>Indicators:</w:t>
            </w:r>
          </w:p>
          <w:p w14:paraId="1BC03A12" w14:textId="63B8882D" w:rsidR="00091D10" w:rsidRPr="0070536A" w:rsidRDefault="00091D10" w:rsidP="000A6AFE">
            <w:pPr>
              <w:jc w:val="both"/>
              <w:rPr>
                <w:sz w:val="16"/>
                <w:szCs w:val="16"/>
                <w:lang w:val="en-GB"/>
              </w:rPr>
            </w:pPr>
            <w:r w:rsidRPr="0070536A">
              <w:rPr>
                <w:sz w:val="16"/>
                <w:szCs w:val="16"/>
                <w:lang w:val="en-GB"/>
              </w:rPr>
              <w:t>2.2.1</w:t>
            </w:r>
            <w:r w:rsidR="007A2E70" w:rsidRPr="0070536A">
              <w:rPr>
                <w:sz w:val="16"/>
                <w:szCs w:val="16"/>
                <w:lang w:val="en-GB"/>
              </w:rPr>
              <w:t>.</w:t>
            </w:r>
            <w:r w:rsidRPr="0070536A">
              <w:rPr>
                <w:sz w:val="16"/>
                <w:szCs w:val="16"/>
                <w:lang w:val="en-GB"/>
              </w:rPr>
              <w:t xml:space="preserve"> Number of gender-sensitive mechanisms for inclusive management of protected areas management effective.</w:t>
            </w:r>
          </w:p>
          <w:p w14:paraId="388096A9" w14:textId="77777777" w:rsidR="00091D10" w:rsidRPr="0070536A" w:rsidRDefault="00091D10" w:rsidP="000A6AFE">
            <w:pPr>
              <w:jc w:val="both"/>
              <w:rPr>
                <w:sz w:val="16"/>
                <w:szCs w:val="16"/>
                <w:lang w:val="en-GB"/>
              </w:rPr>
            </w:pPr>
            <w:r w:rsidRPr="0070536A">
              <w:rPr>
                <w:sz w:val="16"/>
                <w:szCs w:val="16"/>
                <w:lang w:val="en-GB"/>
              </w:rPr>
              <w:t>Baseline (2023): 2</w:t>
            </w:r>
          </w:p>
          <w:p w14:paraId="3820AE3B" w14:textId="77777777" w:rsidR="00091D10" w:rsidRPr="0070536A" w:rsidRDefault="00091D10" w:rsidP="000A6AFE">
            <w:pPr>
              <w:jc w:val="both"/>
              <w:rPr>
                <w:sz w:val="16"/>
                <w:szCs w:val="16"/>
                <w:lang w:val="en-GB"/>
              </w:rPr>
            </w:pPr>
            <w:r w:rsidRPr="0070536A">
              <w:rPr>
                <w:sz w:val="16"/>
                <w:szCs w:val="16"/>
                <w:lang w:val="en-GB"/>
              </w:rPr>
              <w:t>Target (2028):    7</w:t>
            </w:r>
          </w:p>
          <w:p w14:paraId="58C8E94B" w14:textId="1DF19CF1" w:rsidR="00091D10" w:rsidRPr="0070536A" w:rsidRDefault="00091D10" w:rsidP="000A6AFE">
            <w:pPr>
              <w:jc w:val="both"/>
              <w:rPr>
                <w:sz w:val="16"/>
                <w:szCs w:val="16"/>
                <w:lang w:val="en-GB"/>
              </w:rPr>
            </w:pPr>
            <w:r w:rsidRPr="0070536A">
              <w:rPr>
                <w:sz w:val="16"/>
                <w:szCs w:val="16"/>
                <w:lang w:val="en-GB"/>
              </w:rPr>
              <w:t xml:space="preserve">Data source: </w:t>
            </w:r>
            <w:r w:rsidR="0003326D" w:rsidRPr="0070536A">
              <w:rPr>
                <w:sz w:val="16"/>
                <w:szCs w:val="16"/>
                <w:lang w:val="en-GB"/>
              </w:rPr>
              <w:t>National Institute of Forestry Development and Management of Protected Areas System</w:t>
            </w:r>
            <w:r w:rsidR="00A74553" w:rsidRPr="0070536A">
              <w:rPr>
                <w:sz w:val="16"/>
                <w:szCs w:val="16"/>
                <w:lang w:val="en-GB"/>
              </w:rPr>
              <w:t xml:space="preserve"> Annual Reports</w:t>
            </w:r>
          </w:p>
          <w:p w14:paraId="2EAAD69C" w14:textId="77777777" w:rsidR="00091D10" w:rsidRPr="0070536A" w:rsidRDefault="00091D10" w:rsidP="000A6AFE">
            <w:pPr>
              <w:spacing w:after="120"/>
              <w:jc w:val="both"/>
              <w:rPr>
                <w:sz w:val="16"/>
                <w:szCs w:val="16"/>
                <w:lang w:val="en-GB"/>
              </w:rPr>
            </w:pPr>
            <w:r w:rsidRPr="0070536A">
              <w:rPr>
                <w:sz w:val="16"/>
                <w:szCs w:val="16"/>
                <w:lang w:val="en-GB"/>
              </w:rPr>
              <w:t>Frequency: Annual</w:t>
            </w:r>
          </w:p>
          <w:p w14:paraId="6AF7FBE1" w14:textId="78644076" w:rsidR="00091D10" w:rsidRPr="0070536A" w:rsidRDefault="00091D10" w:rsidP="000A6AFE">
            <w:pPr>
              <w:jc w:val="both"/>
              <w:rPr>
                <w:sz w:val="16"/>
                <w:szCs w:val="16"/>
                <w:lang w:val="en-GB"/>
              </w:rPr>
            </w:pPr>
            <w:r w:rsidRPr="0070536A">
              <w:rPr>
                <w:sz w:val="16"/>
                <w:szCs w:val="16"/>
                <w:lang w:val="en-GB"/>
              </w:rPr>
              <w:t>2.2.2</w:t>
            </w:r>
            <w:r w:rsidR="007A2E70" w:rsidRPr="0070536A">
              <w:rPr>
                <w:sz w:val="16"/>
                <w:szCs w:val="16"/>
                <w:lang w:val="en-GB"/>
              </w:rPr>
              <w:t>.</w:t>
            </w:r>
            <w:r w:rsidRPr="0070536A">
              <w:rPr>
                <w:sz w:val="16"/>
                <w:szCs w:val="16"/>
                <w:lang w:val="en-GB"/>
              </w:rPr>
              <w:t xml:space="preserve"> Area (in hectares) of protected marine areas under improved management practices (IRRF 4.1.2)</w:t>
            </w:r>
            <w:r w:rsidR="007A2E70" w:rsidRPr="0070536A">
              <w:rPr>
                <w:sz w:val="16"/>
                <w:szCs w:val="16"/>
                <w:lang w:val="en-GB"/>
              </w:rPr>
              <w:t>.</w:t>
            </w:r>
          </w:p>
          <w:p w14:paraId="4686E571" w14:textId="77777777" w:rsidR="00091D10" w:rsidRPr="0070536A" w:rsidRDefault="00091D10" w:rsidP="000A6AFE">
            <w:pPr>
              <w:jc w:val="both"/>
              <w:rPr>
                <w:sz w:val="16"/>
                <w:szCs w:val="16"/>
                <w:lang w:val="en-GB"/>
              </w:rPr>
            </w:pPr>
            <w:r w:rsidRPr="0070536A">
              <w:rPr>
                <w:sz w:val="16"/>
                <w:szCs w:val="16"/>
                <w:lang w:val="en-GB"/>
              </w:rPr>
              <w:t>Baseline (2023): 0</w:t>
            </w:r>
          </w:p>
          <w:p w14:paraId="401CFFE2" w14:textId="77777777" w:rsidR="00091D10" w:rsidRPr="0070536A" w:rsidRDefault="00091D10" w:rsidP="000A6AFE">
            <w:pPr>
              <w:jc w:val="both"/>
              <w:rPr>
                <w:sz w:val="16"/>
                <w:szCs w:val="16"/>
                <w:lang w:val="en-GB"/>
              </w:rPr>
            </w:pPr>
            <w:r w:rsidRPr="0070536A">
              <w:rPr>
                <w:sz w:val="16"/>
                <w:szCs w:val="16"/>
                <w:lang w:val="en-GB"/>
              </w:rPr>
              <w:t xml:space="preserve">Target (2028):    405,000   </w:t>
            </w:r>
          </w:p>
          <w:p w14:paraId="33916728" w14:textId="77777777" w:rsidR="00091D10" w:rsidRPr="0070536A" w:rsidRDefault="00091D10" w:rsidP="000A6AFE">
            <w:pPr>
              <w:jc w:val="both"/>
              <w:rPr>
                <w:sz w:val="16"/>
                <w:szCs w:val="16"/>
                <w:lang w:val="en-GB"/>
              </w:rPr>
            </w:pPr>
            <w:r w:rsidRPr="0070536A">
              <w:rPr>
                <w:sz w:val="16"/>
                <w:szCs w:val="16"/>
                <w:lang w:val="en-GB" w:eastAsia="zh-Hans"/>
              </w:rPr>
              <w:t>Data source: INDEFOR-AP annual report.</w:t>
            </w:r>
          </w:p>
          <w:p w14:paraId="6C2F2C24" w14:textId="77777777" w:rsidR="00091D10" w:rsidRPr="0070536A" w:rsidRDefault="00091D10" w:rsidP="000A6AFE">
            <w:pPr>
              <w:spacing w:after="120"/>
              <w:jc w:val="both"/>
              <w:textAlignment w:val="baseline"/>
              <w:rPr>
                <w:sz w:val="16"/>
                <w:szCs w:val="16"/>
                <w:lang w:val="en-GB"/>
              </w:rPr>
            </w:pPr>
            <w:r w:rsidRPr="0070536A">
              <w:rPr>
                <w:sz w:val="16"/>
                <w:szCs w:val="16"/>
                <w:lang w:val="en-GB"/>
              </w:rPr>
              <w:t>Frequency: Annual</w:t>
            </w:r>
          </w:p>
          <w:p w14:paraId="68BD4D46" w14:textId="6FDF4751" w:rsidR="00091D10" w:rsidRPr="0070536A" w:rsidRDefault="00091D10" w:rsidP="000A6AFE">
            <w:pPr>
              <w:jc w:val="both"/>
              <w:rPr>
                <w:sz w:val="16"/>
                <w:szCs w:val="16"/>
                <w:lang w:val="en-GB"/>
              </w:rPr>
            </w:pPr>
            <w:r w:rsidRPr="0070536A">
              <w:rPr>
                <w:sz w:val="16"/>
                <w:szCs w:val="16"/>
                <w:lang w:val="en-GB"/>
              </w:rPr>
              <w:t>2.2.3</w:t>
            </w:r>
            <w:r w:rsidR="007A2E70" w:rsidRPr="0070536A">
              <w:rPr>
                <w:sz w:val="16"/>
                <w:szCs w:val="16"/>
                <w:lang w:val="en-GB"/>
              </w:rPr>
              <w:t>.</w:t>
            </w:r>
            <w:r w:rsidRPr="0070536A">
              <w:rPr>
                <w:sz w:val="16"/>
                <w:szCs w:val="16"/>
                <w:lang w:val="en-GB"/>
              </w:rPr>
              <w:t xml:space="preserve"> Number of blue/green initiatives led by youth and women implemented.</w:t>
            </w:r>
          </w:p>
          <w:p w14:paraId="414A5B5C" w14:textId="77777777" w:rsidR="00091D10" w:rsidRPr="0070536A" w:rsidRDefault="00091D10" w:rsidP="000A6AFE">
            <w:pPr>
              <w:jc w:val="both"/>
              <w:rPr>
                <w:sz w:val="16"/>
                <w:szCs w:val="16"/>
                <w:lang w:val="en-GB"/>
              </w:rPr>
            </w:pPr>
            <w:r w:rsidRPr="0070536A">
              <w:rPr>
                <w:sz w:val="16"/>
                <w:szCs w:val="16"/>
                <w:lang w:val="en-GB"/>
              </w:rPr>
              <w:t>Baseline (2021):   9</w:t>
            </w:r>
          </w:p>
          <w:p w14:paraId="5C9FA599" w14:textId="77777777" w:rsidR="00091D10" w:rsidRPr="0070536A" w:rsidRDefault="00091D10" w:rsidP="000A6AFE">
            <w:pPr>
              <w:jc w:val="both"/>
              <w:rPr>
                <w:sz w:val="16"/>
                <w:szCs w:val="16"/>
                <w:lang w:val="en-GB"/>
              </w:rPr>
            </w:pPr>
            <w:r w:rsidRPr="0070536A">
              <w:rPr>
                <w:sz w:val="16"/>
                <w:szCs w:val="16"/>
                <w:lang w:val="en-GB"/>
              </w:rPr>
              <w:t>Target (2028):    20</w:t>
            </w:r>
          </w:p>
          <w:p w14:paraId="73A0BBDD" w14:textId="77777777" w:rsidR="00091D10" w:rsidRPr="0070536A" w:rsidRDefault="00091D10" w:rsidP="000A6AFE">
            <w:pPr>
              <w:jc w:val="both"/>
              <w:rPr>
                <w:sz w:val="16"/>
                <w:szCs w:val="16"/>
                <w:lang w:val="en-GB"/>
              </w:rPr>
            </w:pPr>
            <w:r w:rsidRPr="0070536A">
              <w:rPr>
                <w:sz w:val="16"/>
                <w:szCs w:val="16"/>
                <w:lang w:val="en-GB" w:eastAsia="zh-Hans"/>
              </w:rPr>
              <w:t>Data source: Project monitoring reports</w:t>
            </w:r>
          </w:p>
          <w:p w14:paraId="785412F4" w14:textId="77777777" w:rsidR="00091D10" w:rsidRPr="0070536A" w:rsidDel="6EFC8872" w:rsidRDefault="00091D10" w:rsidP="000A6AFE">
            <w:pPr>
              <w:spacing w:after="120"/>
              <w:jc w:val="both"/>
              <w:textAlignment w:val="baseline"/>
              <w:rPr>
                <w:sz w:val="16"/>
                <w:szCs w:val="16"/>
                <w:lang w:val="en-GB"/>
              </w:rPr>
            </w:pPr>
            <w:r w:rsidRPr="0070536A">
              <w:rPr>
                <w:sz w:val="16"/>
                <w:szCs w:val="16"/>
                <w:lang w:val="en-GB"/>
              </w:rPr>
              <w:t>Frequency: Annual</w:t>
            </w:r>
          </w:p>
        </w:tc>
        <w:tc>
          <w:tcPr>
            <w:tcW w:w="1701" w:type="dxa"/>
            <w:vMerge/>
          </w:tcPr>
          <w:p w14:paraId="4C681CA4" w14:textId="77777777" w:rsidR="00091D10" w:rsidRPr="0070536A" w:rsidRDefault="00091D10" w:rsidP="000A6AFE">
            <w:pPr>
              <w:spacing w:after="60"/>
              <w:textAlignment w:val="baseline"/>
              <w:rPr>
                <w:sz w:val="16"/>
                <w:szCs w:val="16"/>
                <w:lang w:val="en-GB" w:eastAsia="en-GB"/>
              </w:rPr>
            </w:pPr>
          </w:p>
        </w:tc>
        <w:tc>
          <w:tcPr>
            <w:tcW w:w="1417" w:type="dxa"/>
            <w:vMerge/>
          </w:tcPr>
          <w:p w14:paraId="511F9F1C" w14:textId="77777777" w:rsidR="00091D10" w:rsidRPr="0070536A" w:rsidRDefault="00091D10" w:rsidP="000A6AFE">
            <w:pPr>
              <w:textAlignment w:val="baseline"/>
              <w:rPr>
                <w:b/>
                <w:bCs/>
                <w:sz w:val="16"/>
                <w:szCs w:val="16"/>
                <w:lang w:val="en-GB" w:eastAsia="en-GB"/>
              </w:rPr>
            </w:pPr>
          </w:p>
        </w:tc>
      </w:tr>
      <w:tr w:rsidR="00091D10" w:rsidRPr="0070536A" w14:paraId="6B3B197F" w14:textId="77777777" w:rsidTr="00B913BB">
        <w:tblPrEx>
          <w:tblCellMar>
            <w:left w:w="108" w:type="dxa"/>
            <w:right w:w="108" w:type="dxa"/>
          </w:tblCellMar>
        </w:tblPrEx>
        <w:trPr>
          <w:trHeight w:val="3251"/>
          <w:jc w:val="center"/>
        </w:trPr>
        <w:tc>
          <w:tcPr>
            <w:tcW w:w="2405" w:type="dxa"/>
            <w:gridSpan w:val="2"/>
            <w:vMerge/>
          </w:tcPr>
          <w:p w14:paraId="26A47094" w14:textId="77777777" w:rsidR="00091D10" w:rsidRPr="0070536A" w:rsidRDefault="00091D10" w:rsidP="000A6AFE">
            <w:pPr>
              <w:textAlignment w:val="baseline"/>
              <w:rPr>
                <w:sz w:val="16"/>
                <w:szCs w:val="16"/>
                <w:lang w:val="en-GB" w:eastAsia="en-GB"/>
              </w:rPr>
            </w:pPr>
          </w:p>
        </w:tc>
        <w:tc>
          <w:tcPr>
            <w:tcW w:w="1985" w:type="dxa"/>
            <w:vMerge/>
          </w:tcPr>
          <w:p w14:paraId="0D7FA21B" w14:textId="77777777" w:rsidR="00091D10" w:rsidRPr="0070536A" w:rsidRDefault="00091D10" w:rsidP="000A6AFE">
            <w:pPr>
              <w:textAlignment w:val="baseline"/>
              <w:rPr>
                <w:sz w:val="16"/>
                <w:szCs w:val="16"/>
                <w:lang w:val="en-GB" w:eastAsia="en-GB"/>
              </w:rPr>
            </w:pPr>
          </w:p>
        </w:tc>
        <w:tc>
          <w:tcPr>
            <w:tcW w:w="6095" w:type="dxa"/>
          </w:tcPr>
          <w:p w14:paraId="747A8C18" w14:textId="754BCF5B" w:rsidR="00091D10" w:rsidRPr="0070536A" w:rsidRDefault="00091D10" w:rsidP="000A6AFE">
            <w:pPr>
              <w:spacing w:after="120"/>
              <w:jc w:val="both"/>
              <w:textAlignment w:val="baseline"/>
              <w:rPr>
                <w:b/>
                <w:bCs/>
                <w:sz w:val="16"/>
                <w:szCs w:val="16"/>
                <w:lang w:val="en-GB" w:eastAsia="en-GB"/>
              </w:rPr>
            </w:pPr>
            <w:r w:rsidRPr="0070536A">
              <w:rPr>
                <w:b/>
                <w:bCs/>
                <w:sz w:val="16"/>
                <w:szCs w:val="16"/>
                <w:lang w:val="en-GB" w:eastAsia="en-GB"/>
              </w:rPr>
              <w:t>2.3</w:t>
            </w:r>
            <w:r w:rsidR="007A2E70" w:rsidRPr="0070536A">
              <w:rPr>
                <w:b/>
                <w:bCs/>
                <w:sz w:val="16"/>
                <w:szCs w:val="16"/>
                <w:lang w:val="en-GB" w:eastAsia="en-GB"/>
              </w:rPr>
              <w:t>.</w:t>
            </w:r>
            <w:r w:rsidRPr="0070536A">
              <w:rPr>
                <w:b/>
                <w:bCs/>
                <w:sz w:val="16"/>
                <w:szCs w:val="16"/>
                <w:lang w:val="en-GB" w:eastAsia="en-GB"/>
              </w:rPr>
              <w:t xml:space="preserve"> Local institutions and communities implement gender-responsive, inclusive and resilient climate change adaptation and disaster risk reduction measures.</w:t>
            </w:r>
          </w:p>
          <w:p w14:paraId="1C5D6DF5" w14:textId="77777777" w:rsidR="00091D10" w:rsidRPr="0070536A" w:rsidRDefault="00091D10" w:rsidP="000A6AFE">
            <w:pPr>
              <w:jc w:val="both"/>
              <w:rPr>
                <w:b/>
                <w:bCs/>
                <w:sz w:val="16"/>
                <w:szCs w:val="16"/>
                <w:lang w:val="en-GB"/>
              </w:rPr>
            </w:pPr>
            <w:r w:rsidRPr="0070536A">
              <w:rPr>
                <w:b/>
                <w:bCs/>
                <w:sz w:val="16"/>
                <w:szCs w:val="16"/>
                <w:lang w:val="en-GB"/>
              </w:rPr>
              <w:t>Indicators:</w:t>
            </w:r>
          </w:p>
          <w:p w14:paraId="474FFF95" w14:textId="5F6DBF73" w:rsidR="00091D10" w:rsidRPr="0070536A" w:rsidRDefault="00091D10" w:rsidP="000A6AFE">
            <w:pPr>
              <w:jc w:val="both"/>
              <w:rPr>
                <w:sz w:val="16"/>
                <w:szCs w:val="16"/>
                <w:lang w:val="en-GB"/>
              </w:rPr>
            </w:pPr>
            <w:r w:rsidRPr="0070536A">
              <w:rPr>
                <w:sz w:val="16"/>
                <w:szCs w:val="16"/>
                <w:lang w:val="en-GB"/>
              </w:rPr>
              <w:t>2.3.1</w:t>
            </w:r>
            <w:r w:rsidR="007A2E70" w:rsidRPr="0070536A">
              <w:rPr>
                <w:sz w:val="16"/>
                <w:szCs w:val="16"/>
                <w:lang w:val="en-GB"/>
              </w:rPr>
              <w:t>.</w:t>
            </w:r>
            <w:r w:rsidRPr="0070536A">
              <w:rPr>
                <w:sz w:val="16"/>
                <w:szCs w:val="16"/>
                <w:lang w:val="en-GB"/>
              </w:rPr>
              <w:t xml:space="preserve"> Number of inclusive and gender sensitive national climate adaptation and disaster risk reductions strategies validated.</w:t>
            </w:r>
          </w:p>
          <w:p w14:paraId="630CDE14" w14:textId="77777777" w:rsidR="00091D10" w:rsidRPr="0070536A" w:rsidRDefault="00091D10" w:rsidP="000A6AFE">
            <w:pPr>
              <w:jc w:val="both"/>
              <w:rPr>
                <w:sz w:val="16"/>
                <w:szCs w:val="16"/>
                <w:lang w:val="en-GB"/>
              </w:rPr>
            </w:pPr>
            <w:r w:rsidRPr="0070536A">
              <w:rPr>
                <w:sz w:val="16"/>
                <w:szCs w:val="16"/>
                <w:lang w:val="en-GB"/>
              </w:rPr>
              <w:t>Baseline (2023): 1</w:t>
            </w:r>
          </w:p>
          <w:p w14:paraId="7FB09521" w14:textId="77777777" w:rsidR="00091D10" w:rsidRPr="0070536A" w:rsidRDefault="00091D10" w:rsidP="000A6AFE">
            <w:pPr>
              <w:jc w:val="both"/>
              <w:rPr>
                <w:sz w:val="16"/>
                <w:szCs w:val="16"/>
                <w:lang w:val="en-GB"/>
              </w:rPr>
            </w:pPr>
            <w:r w:rsidRPr="0070536A">
              <w:rPr>
                <w:sz w:val="16"/>
                <w:szCs w:val="16"/>
                <w:lang w:val="en-GB"/>
              </w:rPr>
              <w:t>Target (2028):    3</w:t>
            </w:r>
          </w:p>
          <w:p w14:paraId="34561A76" w14:textId="77777777" w:rsidR="00091D10" w:rsidRPr="0070536A" w:rsidRDefault="00091D10" w:rsidP="000A6AFE">
            <w:pPr>
              <w:jc w:val="both"/>
              <w:rPr>
                <w:sz w:val="16"/>
                <w:szCs w:val="16"/>
                <w:lang w:val="en-GB"/>
              </w:rPr>
            </w:pPr>
            <w:r w:rsidRPr="0070536A">
              <w:rPr>
                <w:sz w:val="16"/>
                <w:szCs w:val="16"/>
                <w:lang w:val="en-GB"/>
              </w:rPr>
              <w:t>Data source: MFE Steering committee minutes.</w:t>
            </w:r>
          </w:p>
          <w:p w14:paraId="6641E3ED" w14:textId="77777777" w:rsidR="00091D10" w:rsidRPr="0070536A" w:rsidRDefault="00091D10" w:rsidP="000A6AFE">
            <w:pPr>
              <w:spacing w:after="120"/>
              <w:jc w:val="both"/>
              <w:rPr>
                <w:sz w:val="16"/>
                <w:szCs w:val="16"/>
                <w:lang w:val="en-GB"/>
              </w:rPr>
            </w:pPr>
            <w:r w:rsidRPr="0070536A">
              <w:rPr>
                <w:sz w:val="16"/>
                <w:szCs w:val="16"/>
                <w:lang w:val="en-GB"/>
              </w:rPr>
              <w:t>Frequency: Annual</w:t>
            </w:r>
          </w:p>
          <w:p w14:paraId="08D1EABF" w14:textId="75202AF3" w:rsidR="00091D10" w:rsidRPr="0070536A" w:rsidRDefault="00091D10" w:rsidP="000A6AFE">
            <w:pPr>
              <w:jc w:val="both"/>
              <w:rPr>
                <w:sz w:val="16"/>
                <w:szCs w:val="16"/>
                <w:lang w:val="en-GB"/>
              </w:rPr>
            </w:pPr>
            <w:r w:rsidRPr="0070536A">
              <w:rPr>
                <w:sz w:val="16"/>
                <w:szCs w:val="16"/>
                <w:lang w:val="en-GB"/>
              </w:rPr>
              <w:t>2.3.2</w:t>
            </w:r>
            <w:r w:rsidR="007A2E70" w:rsidRPr="0070536A">
              <w:rPr>
                <w:sz w:val="16"/>
                <w:szCs w:val="16"/>
                <w:lang w:val="en-GB"/>
              </w:rPr>
              <w:t>.</w:t>
            </w:r>
            <w:r w:rsidRPr="0070536A">
              <w:rPr>
                <w:sz w:val="16"/>
                <w:szCs w:val="16"/>
                <w:lang w:val="en-GB"/>
              </w:rPr>
              <w:t xml:space="preserve"> Number of local communication strategies for climate change adaptation and disaster risk reduction measures implemented</w:t>
            </w:r>
            <w:r w:rsidRPr="0070536A">
              <w:rPr>
                <w:b/>
                <w:bCs/>
                <w:sz w:val="16"/>
                <w:szCs w:val="16"/>
                <w:lang w:val="en-GB"/>
              </w:rPr>
              <w:t>.</w:t>
            </w:r>
          </w:p>
          <w:p w14:paraId="78274739" w14:textId="77777777" w:rsidR="00091D10" w:rsidRPr="0070536A" w:rsidRDefault="00091D10" w:rsidP="000A6AFE">
            <w:pPr>
              <w:jc w:val="both"/>
              <w:rPr>
                <w:sz w:val="16"/>
                <w:szCs w:val="16"/>
                <w:lang w:val="en-GB"/>
              </w:rPr>
            </w:pPr>
            <w:r w:rsidRPr="0070536A">
              <w:rPr>
                <w:sz w:val="16"/>
                <w:szCs w:val="16"/>
                <w:lang w:val="en-GB"/>
              </w:rPr>
              <w:t>Baseline (2023): 0</w:t>
            </w:r>
          </w:p>
          <w:p w14:paraId="15E44B7F" w14:textId="77777777" w:rsidR="00091D10" w:rsidRPr="0070536A" w:rsidRDefault="00091D10" w:rsidP="000A6AFE">
            <w:pPr>
              <w:jc w:val="both"/>
              <w:rPr>
                <w:sz w:val="16"/>
                <w:szCs w:val="16"/>
                <w:lang w:val="en-GB"/>
              </w:rPr>
            </w:pPr>
            <w:r w:rsidRPr="0070536A">
              <w:rPr>
                <w:sz w:val="16"/>
                <w:szCs w:val="16"/>
                <w:lang w:val="en-GB"/>
              </w:rPr>
              <w:t>Target (2028):    3</w:t>
            </w:r>
          </w:p>
          <w:p w14:paraId="72310F4A" w14:textId="77777777" w:rsidR="00091D10" w:rsidRPr="0070536A" w:rsidRDefault="00091D10" w:rsidP="000A6AFE">
            <w:pPr>
              <w:jc w:val="both"/>
              <w:rPr>
                <w:sz w:val="16"/>
                <w:szCs w:val="16"/>
                <w:lang w:val="en-GB"/>
              </w:rPr>
            </w:pPr>
            <w:r w:rsidRPr="0070536A">
              <w:rPr>
                <w:sz w:val="16"/>
                <w:szCs w:val="16"/>
                <w:lang w:val="en-GB" w:eastAsia="zh-Hans"/>
              </w:rPr>
              <w:t>Data source: MFE Steering committee minutes.</w:t>
            </w:r>
          </w:p>
          <w:p w14:paraId="5F248703" w14:textId="77777777" w:rsidR="00091D10" w:rsidRPr="0070536A" w:rsidRDefault="00091D10" w:rsidP="000A6AFE">
            <w:pPr>
              <w:spacing w:after="120"/>
              <w:jc w:val="both"/>
              <w:textAlignment w:val="baseline"/>
              <w:rPr>
                <w:sz w:val="16"/>
                <w:szCs w:val="16"/>
                <w:lang w:val="en-GB" w:eastAsia="en-GB"/>
              </w:rPr>
            </w:pPr>
            <w:r w:rsidRPr="0070536A">
              <w:rPr>
                <w:sz w:val="16"/>
                <w:szCs w:val="16"/>
                <w:lang w:val="en-GB"/>
              </w:rPr>
              <w:t>Frequency: Annual</w:t>
            </w:r>
          </w:p>
        </w:tc>
        <w:tc>
          <w:tcPr>
            <w:tcW w:w="1701" w:type="dxa"/>
            <w:vMerge/>
          </w:tcPr>
          <w:p w14:paraId="175C651E" w14:textId="77777777" w:rsidR="00091D10" w:rsidRPr="0070536A" w:rsidRDefault="00091D10" w:rsidP="000A6AFE">
            <w:pPr>
              <w:spacing w:after="60"/>
              <w:jc w:val="both"/>
              <w:textAlignment w:val="baseline"/>
              <w:rPr>
                <w:sz w:val="16"/>
                <w:szCs w:val="16"/>
                <w:lang w:val="en-GB" w:eastAsia="en-GB"/>
              </w:rPr>
            </w:pPr>
          </w:p>
        </w:tc>
        <w:tc>
          <w:tcPr>
            <w:tcW w:w="1417" w:type="dxa"/>
            <w:vMerge/>
          </w:tcPr>
          <w:p w14:paraId="4EA0005F" w14:textId="77777777" w:rsidR="00091D10" w:rsidRPr="0070536A" w:rsidRDefault="00091D10" w:rsidP="000A6AFE">
            <w:pPr>
              <w:textAlignment w:val="baseline"/>
              <w:rPr>
                <w:sz w:val="16"/>
                <w:szCs w:val="16"/>
                <w:lang w:val="en-GB" w:eastAsia="en-GB"/>
              </w:rPr>
            </w:pPr>
          </w:p>
        </w:tc>
      </w:tr>
      <w:tr w:rsidR="00091D10" w:rsidRPr="0070536A" w14:paraId="05A0D179" w14:textId="77777777" w:rsidTr="00B913BB">
        <w:tblPrEx>
          <w:tblCellMar>
            <w:left w:w="108" w:type="dxa"/>
            <w:right w:w="108" w:type="dxa"/>
          </w:tblCellMar>
        </w:tblPrEx>
        <w:trPr>
          <w:trHeight w:val="3109"/>
          <w:jc w:val="center"/>
        </w:trPr>
        <w:tc>
          <w:tcPr>
            <w:tcW w:w="2405" w:type="dxa"/>
            <w:gridSpan w:val="2"/>
            <w:vMerge/>
          </w:tcPr>
          <w:p w14:paraId="554E06EF" w14:textId="77777777" w:rsidR="00091D10" w:rsidRPr="0070536A" w:rsidRDefault="00091D10" w:rsidP="000A6AFE">
            <w:pPr>
              <w:jc w:val="both"/>
              <w:rPr>
                <w:sz w:val="16"/>
                <w:szCs w:val="16"/>
                <w:lang w:val="en-GB" w:eastAsia="en-GB"/>
              </w:rPr>
            </w:pPr>
          </w:p>
        </w:tc>
        <w:tc>
          <w:tcPr>
            <w:tcW w:w="1985" w:type="dxa"/>
            <w:vMerge/>
          </w:tcPr>
          <w:p w14:paraId="2D6CEAF2" w14:textId="77777777" w:rsidR="00091D10" w:rsidRPr="0070536A" w:rsidRDefault="00091D10" w:rsidP="000A6AFE">
            <w:pPr>
              <w:jc w:val="both"/>
              <w:rPr>
                <w:sz w:val="16"/>
                <w:szCs w:val="16"/>
                <w:lang w:val="en-GB" w:eastAsia="en-GB"/>
              </w:rPr>
            </w:pPr>
          </w:p>
        </w:tc>
        <w:tc>
          <w:tcPr>
            <w:tcW w:w="6095" w:type="dxa"/>
          </w:tcPr>
          <w:p w14:paraId="467E23E0" w14:textId="7DF27797" w:rsidR="00091D10" w:rsidRPr="0070536A" w:rsidRDefault="00091D10" w:rsidP="000A6AFE">
            <w:pPr>
              <w:spacing w:after="120"/>
              <w:jc w:val="both"/>
              <w:rPr>
                <w:b/>
                <w:bCs/>
                <w:sz w:val="16"/>
                <w:szCs w:val="16"/>
                <w:lang w:val="en-GB" w:eastAsia="en-GB"/>
              </w:rPr>
            </w:pPr>
            <w:r w:rsidRPr="0070536A">
              <w:rPr>
                <w:b/>
                <w:bCs/>
                <w:sz w:val="16"/>
                <w:szCs w:val="16"/>
                <w:lang w:val="en-GB" w:eastAsia="en-GB"/>
              </w:rPr>
              <w:t>2.4</w:t>
            </w:r>
            <w:r w:rsidR="005F76C0" w:rsidRPr="0070536A">
              <w:rPr>
                <w:b/>
                <w:bCs/>
                <w:sz w:val="16"/>
                <w:szCs w:val="16"/>
                <w:lang w:val="en-GB" w:eastAsia="en-GB"/>
              </w:rPr>
              <w:t>.</w:t>
            </w:r>
            <w:r w:rsidRPr="0070536A">
              <w:rPr>
                <w:b/>
                <w:bCs/>
                <w:sz w:val="16"/>
                <w:szCs w:val="16"/>
                <w:lang w:val="en-GB" w:eastAsia="en-GB"/>
              </w:rPr>
              <w:t xml:space="preserve"> Access to sustainable and resilient supply of energy improved for poor and vulnerable populations, especially in rural areas.</w:t>
            </w:r>
          </w:p>
          <w:p w14:paraId="703319AB" w14:textId="77777777" w:rsidR="00091D10" w:rsidRPr="0070536A" w:rsidRDefault="00091D10" w:rsidP="000A6AFE">
            <w:pPr>
              <w:jc w:val="both"/>
              <w:rPr>
                <w:b/>
                <w:bCs/>
                <w:sz w:val="16"/>
                <w:szCs w:val="16"/>
                <w:lang w:val="en-GB"/>
              </w:rPr>
            </w:pPr>
            <w:r w:rsidRPr="0070536A">
              <w:rPr>
                <w:b/>
                <w:bCs/>
                <w:sz w:val="16"/>
                <w:szCs w:val="16"/>
                <w:lang w:val="en-GB"/>
              </w:rPr>
              <w:t>Indicators:</w:t>
            </w:r>
          </w:p>
          <w:p w14:paraId="736CB865" w14:textId="55B8B4C3" w:rsidR="00091D10" w:rsidRPr="0070536A" w:rsidRDefault="00091D10" w:rsidP="000A6AFE">
            <w:pPr>
              <w:jc w:val="both"/>
              <w:rPr>
                <w:sz w:val="16"/>
                <w:szCs w:val="16"/>
                <w:lang w:val="en-GB"/>
              </w:rPr>
            </w:pPr>
            <w:r w:rsidRPr="0070536A">
              <w:rPr>
                <w:b/>
                <w:bCs/>
                <w:sz w:val="16"/>
                <w:szCs w:val="16"/>
                <w:lang w:val="en-GB"/>
              </w:rPr>
              <w:t>2.4.1</w:t>
            </w:r>
            <w:r w:rsidR="005F76C0" w:rsidRPr="0070536A">
              <w:rPr>
                <w:b/>
                <w:bCs/>
                <w:sz w:val="16"/>
                <w:szCs w:val="16"/>
                <w:lang w:val="en-GB"/>
              </w:rPr>
              <w:t>.</w:t>
            </w:r>
            <w:r w:rsidRPr="0070536A">
              <w:rPr>
                <w:sz w:val="16"/>
                <w:szCs w:val="16"/>
                <w:lang w:val="en-GB"/>
              </w:rPr>
              <w:t xml:space="preserve"> Increase (in megawatt) in installed renewable energy capacity per technology:  a) Solar (IRRF 5.2.1)</w:t>
            </w:r>
            <w:r w:rsidR="005F76C0" w:rsidRPr="0070536A">
              <w:rPr>
                <w:sz w:val="16"/>
                <w:szCs w:val="16"/>
                <w:lang w:val="en-GB"/>
              </w:rPr>
              <w:t>.</w:t>
            </w:r>
          </w:p>
          <w:p w14:paraId="2CEADD86" w14:textId="77777777" w:rsidR="00091D10" w:rsidRPr="0070536A" w:rsidRDefault="00091D10" w:rsidP="000A6AFE">
            <w:pPr>
              <w:jc w:val="both"/>
              <w:rPr>
                <w:sz w:val="16"/>
                <w:szCs w:val="16"/>
                <w:lang w:val="en-GB"/>
              </w:rPr>
            </w:pPr>
            <w:r w:rsidRPr="0070536A">
              <w:rPr>
                <w:sz w:val="16"/>
                <w:szCs w:val="16"/>
                <w:lang w:val="en-GB"/>
              </w:rPr>
              <w:t xml:space="preserve">Baseline (2023): a) Solar: 0,13 MW </w:t>
            </w:r>
          </w:p>
          <w:p w14:paraId="494127A2" w14:textId="77777777" w:rsidR="00091D10" w:rsidRPr="0070536A" w:rsidRDefault="00091D10" w:rsidP="000A6AFE">
            <w:pPr>
              <w:jc w:val="both"/>
              <w:rPr>
                <w:sz w:val="16"/>
                <w:szCs w:val="16"/>
                <w:lang w:val="en-GB"/>
              </w:rPr>
            </w:pPr>
            <w:r w:rsidRPr="0070536A">
              <w:rPr>
                <w:sz w:val="16"/>
                <w:szCs w:val="16"/>
                <w:lang w:val="en-GB"/>
              </w:rPr>
              <w:t>Target:  a) Solar: 0,15 MW</w:t>
            </w:r>
          </w:p>
          <w:p w14:paraId="639A5667" w14:textId="77777777" w:rsidR="00091D10" w:rsidRPr="0070536A" w:rsidRDefault="00091D10" w:rsidP="000A6AFE">
            <w:pPr>
              <w:jc w:val="both"/>
              <w:rPr>
                <w:sz w:val="16"/>
                <w:szCs w:val="16"/>
                <w:lang w:val="en-GB"/>
              </w:rPr>
            </w:pPr>
            <w:r w:rsidRPr="0070536A">
              <w:rPr>
                <w:sz w:val="16"/>
                <w:szCs w:val="16"/>
                <w:lang w:val="en-GB"/>
              </w:rPr>
              <w:t xml:space="preserve">Data source: Projects reports </w:t>
            </w:r>
          </w:p>
          <w:p w14:paraId="32F1A47B" w14:textId="77777777" w:rsidR="00091D10" w:rsidRPr="0070536A" w:rsidRDefault="00091D10" w:rsidP="000A6AFE">
            <w:pPr>
              <w:spacing w:after="120"/>
              <w:jc w:val="both"/>
              <w:rPr>
                <w:sz w:val="16"/>
                <w:szCs w:val="16"/>
                <w:lang w:val="en-GB"/>
              </w:rPr>
            </w:pPr>
            <w:r w:rsidRPr="0070536A">
              <w:rPr>
                <w:sz w:val="16"/>
                <w:szCs w:val="16"/>
                <w:lang w:val="en-GB"/>
              </w:rPr>
              <w:t>Frequency: Annual</w:t>
            </w:r>
          </w:p>
          <w:p w14:paraId="7B3FCE35" w14:textId="42FEB10B" w:rsidR="00091D10" w:rsidRPr="0070536A" w:rsidRDefault="00091D10" w:rsidP="000A6AFE">
            <w:pPr>
              <w:jc w:val="both"/>
              <w:rPr>
                <w:sz w:val="16"/>
                <w:szCs w:val="16"/>
                <w:lang w:val="en-GB"/>
              </w:rPr>
            </w:pPr>
            <w:r w:rsidRPr="0070536A">
              <w:rPr>
                <w:b/>
                <w:bCs/>
                <w:sz w:val="16"/>
                <w:szCs w:val="16"/>
                <w:lang w:val="en-GB"/>
              </w:rPr>
              <w:t>2.4.2:</w:t>
            </w:r>
            <w:r w:rsidRPr="0070536A">
              <w:rPr>
                <w:sz w:val="16"/>
                <w:szCs w:val="16"/>
                <w:lang w:val="en-GB"/>
              </w:rPr>
              <w:t xml:space="preserve"> Number of people, who gained access to clean, affordable, and sustainable energy in rural area</w:t>
            </w:r>
            <w:r w:rsidRPr="0070536A" w:rsidDel="006616EE">
              <w:rPr>
                <w:sz w:val="16"/>
                <w:szCs w:val="16"/>
                <w:lang w:val="en-GB"/>
              </w:rPr>
              <w:t xml:space="preserve"> </w:t>
            </w:r>
            <w:r w:rsidRPr="0070536A">
              <w:rPr>
                <w:sz w:val="16"/>
                <w:szCs w:val="16"/>
                <w:lang w:val="en-GB"/>
              </w:rPr>
              <w:t>(IRRF 5.1.1)</w:t>
            </w:r>
            <w:r w:rsidR="005F76C0" w:rsidRPr="0070536A">
              <w:rPr>
                <w:sz w:val="16"/>
                <w:szCs w:val="16"/>
                <w:lang w:val="en-GB"/>
              </w:rPr>
              <w:t>.</w:t>
            </w:r>
          </w:p>
          <w:p w14:paraId="59D6CB0D" w14:textId="77777777" w:rsidR="00091D10" w:rsidRPr="0070536A" w:rsidRDefault="00091D10" w:rsidP="000A6AFE">
            <w:pPr>
              <w:jc w:val="both"/>
              <w:rPr>
                <w:sz w:val="16"/>
                <w:szCs w:val="16"/>
                <w:lang w:val="en-GB"/>
              </w:rPr>
            </w:pPr>
            <w:r w:rsidRPr="0070536A">
              <w:rPr>
                <w:sz w:val="16"/>
                <w:szCs w:val="16"/>
                <w:lang w:val="en-GB"/>
              </w:rPr>
              <w:t>Baseline (2023):   200</w:t>
            </w:r>
          </w:p>
          <w:p w14:paraId="20389F0C" w14:textId="77777777" w:rsidR="00091D10" w:rsidRPr="0070536A" w:rsidRDefault="00091D10" w:rsidP="000A6AFE">
            <w:pPr>
              <w:jc w:val="both"/>
              <w:rPr>
                <w:sz w:val="16"/>
                <w:szCs w:val="16"/>
                <w:lang w:val="en-GB"/>
              </w:rPr>
            </w:pPr>
            <w:r w:rsidRPr="0070536A">
              <w:rPr>
                <w:sz w:val="16"/>
                <w:szCs w:val="16"/>
                <w:lang w:val="en-GB"/>
              </w:rPr>
              <w:t xml:space="preserve">Target (2028):    1,500 </w:t>
            </w:r>
          </w:p>
          <w:p w14:paraId="373A435C" w14:textId="77777777" w:rsidR="00091D10" w:rsidRPr="0070536A" w:rsidRDefault="00091D10" w:rsidP="000A6AFE">
            <w:pPr>
              <w:jc w:val="both"/>
              <w:rPr>
                <w:sz w:val="16"/>
                <w:szCs w:val="16"/>
                <w:lang w:val="en-GB"/>
              </w:rPr>
            </w:pPr>
            <w:r w:rsidRPr="0070536A">
              <w:rPr>
                <w:sz w:val="16"/>
                <w:szCs w:val="16"/>
                <w:lang w:val="en-GB" w:eastAsia="zh-Hans"/>
              </w:rPr>
              <w:t>Data source: Ministry for Electricity and Renewable Energy</w:t>
            </w:r>
          </w:p>
          <w:p w14:paraId="5136FC82" w14:textId="77777777" w:rsidR="00091D10" w:rsidRPr="0070536A" w:rsidRDefault="00091D10" w:rsidP="000A6AFE">
            <w:pPr>
              <w:jc w:val="both"/>
              <w:rPr>
                <w:sz w:val="16"/>
                <w:szCs w:val="16"/>
                <w:lang w:val="en-GB"/>
              </w:rPr>
            </w:pPr>
            <w:r w:rsidRPr="0070536A">
              <w:rPr>
                <w:sz w:val="16"/>
                <w:szCs w:val="16"/>
                <w:lang w:val="en-GB"/>
              </w:rPr>
              <w:t>Frequency: Annually</w:t>
            </w:r>
          </w:p>
          <w:p w14:paraId="4581EA22" w14:textId="77777777" w:rsidR="00091D10" w:rsidRPr="0070536A" w:rsidRDefault="00091D10" w:rsidP="000A6AFE">
            <w:pPr>
              <w:jc w:val="both"/>
              <w:rPr>
                <w:sz w:val="16"/>
                <w:szCs w:val="16"/>
                <w:lang w:val="en-GB" w:eastAsia="en-GB"/>
              </w:rPr>
            </w:pPr>
          </w:p>
        </w:tc>
        <w:tc>
          <w:tcPr>
            <w:tcW w:w="1701" w:type="dxa"/>
            <w:vMerge/>
          </w:tcPr>
          <w:p w14:paraId="23FFEB34" w14:textId="77777777" w:rsidR="00091D10" w:rsidRPr="0070536A" w:rsidRDefault="00091D10" w:rsidP="000A6AFE">
            <w:pPr>
              <w:spacing w:after="60"/>
              <w:rPr>
                <w:sz w:val="16"/>
                <w:szCs w:val="16"/>
                <w:lang w:val="en-GB" w:eastAsia="en-GB"/>
              </w:rPr>
            </w:pPr>
          </w:p>
        </w:tc>
        <w:tc>
          <w:tcPr>
            <w:tcW w:w="1417" w:type="dxa"/>
            <w:vMerge/>
          </w:tcPr>
          <w:p w14:paraId="2BEEDCFE" w14:textId="77777777" w:rsidR="00091D10" w:rsidRPr="0070536A" w:rsidRDefault="00091D10" w:rsidP="000A6AFE">
            <w:pPr>
              <w:jc w:val="both"/>
              <w:rPr>
                <w:sz w:val="16"/>
                <w:szCs w:val="16"/>
                <w:lang w:val="en-GB" w:eastAsia="en-GB"/>
              </w:rPr>
            </w:pPr>
          </w:p>
        </w:tc>
      </w:tr>
      <w:tr w:rsidR="00091D10" w:rsidRPr="0070536A" w14:paraId="1AC56D6D" w14:textId="77777777" w:rsidTr="00B913BB">
        <w:tblPrEx>
          <w:tblCellMar>
            <w:left w:w="0" w:type="dxa"/>
            <w:right w:w="0" w:type="dxa"/>
          </w:tblCellMar>
        </w:tblPrEx>
        <w:trPr>
          <w:trHeight w:val="270"/>
          <w:jc w:val="center"/>
        </w:trPr>
        <w:tc>
          <w:tcPr>
            <w:tcW w:w="13603" w:type="dxa"/>
            <w:gridSpan w:val="6"/>
            <w:shd w:val="clear" w:color="auto" w:fill="DBE5F1" w:themeFill="accent1" w:themeFillTint="33"/>
          </w:tcPr>
          <w:p w14:paraId="0590B03B" w14:textId="1CEC8F2F" w:rsidR="00091D10" w:rsidRPr="0070536A" w:rsidRDefault="00091D10" w:rsidP="000A6AFE">
            <w:pPr>
              <w:spacing w:after="120"/>
              <w:ind w:left="90"/>
              <w:textAlignment w:val="baseline"/>
              <w:rPr>
                <w:sz w:val="16"/>
                <w:szCs w:val="16"/>
                <w:lang w:val="en-GB" w:eastAsia="en-GB"/>
              </w:rPr>
            </w:pPr>
            <w:r w:rsidRPr="0070536A">
              <w:rPr>
                <w:b/>
                <w:bCs/>
                <w:sz w:val="16"/>
                <w:szCs w:val="16"/>
                <w:lang w:val="en-GB" w:eastAsia="en-GB"/>
              </w:rPr>
              <w:t>NATIONAL PRIORITY OR GOAL: Build a more just and equitable society</w:t>
            </w:r>
            <w:r w:rsidRPr="0070536A">
              <w:rPr>
                <w:sz w:val="16"/>
                <w:szCs w:val="16"/>
                <w:lang w:val="en-GB" w:eastAsia="en-GB"/>
              </w:rPr>
              <w:t xml:space="preserve"> (Vision 2035, Objective 4)</w:t>
            </w:r>
            <w:r w:rsidR="005F76C0" w:rsidRPr="0070536A">
              <w:rPr>
                <w:sz w:val="16"/>
                <w:szCs w:val="16"/>
                <w:lang w:val="en-GB" w:eastAsia="en-GB"/>
              </w:rPr>
              <w:t>.</w:t>
            </w:r>
          </w:p>
        </w:tc>
      </w:tr>
      <w:tr w:rsidR="00091D10" w:rsidRPr="0070536A" w14:paraId="5DF49E7F" w14:textId="77777777" w:rsidTr="00B913BB">
        <w:tblPrEx>
          <w:tblCellMar>
            <w:left w:w="0" w:type="dxa"/>
            <w:right w:w="0" w:type="dxa"/>
          </w:tblCellMar>
        </w:tblPrEx>
        <w:trPr>
          <w:trHeight w:val="120"/>
          <w:jc w:val="center"/>
        </w:trPr>
        <w:tc>
          <w:tcPr>
            <w:tcW w:w="13603" w:type="dxa"/>
            <w:gridSpan w:val="6"/>
            <w:shd w:val="clear" w:color="auto" w:fill="DBE5F1" w:themeFill="accent1" w:themeFillTint="33"/>
          </w:tcPr>
          <w:p w14:paraId="2303A599" w14:textId="338C10A2" w:rsidR="00091D10" w:rsidRPr="0070536A" w:rsidRDefault="00091D10" w:rsidP="000A6AFE">
            <w:pPr>
              <w:spacing w:after="120"/>
              <w:ind w:left="90"/>
              <w:textAlignment w:val="baseline"/>
              <w:rPr>
                <w:sz w:val="16"/>
                <w:szCs w:val="16"/>
                <w:lang w:val="en-GB" w:eastAsia="en-GB"/>
              </w:rPr>
            </w:pPr>
            <w:r w:rsidRPr="0070536A">
              <w:rPr>
                <w:b/>
                <w:bCs/>
                <w:sz w:val="16"/>
                <w:szCs w:val="16"/>
                <w:lang w:val="en-GB" w:eastAsia="en-GB"/>
              </w:rPr>
              <w:t xml:space="preserve">COOPERATION FRAMEWORK OUTCOME INVOLVING UNDP: </w:t>
            </w:r>
            <w:r w:rsidRPr="0070536A">
              <w:rPr>
                <w:sz w:val="16"/>
                <w:szCs w:val="16"/>
                <w:lang w:val="en-GB" w:eastAsia="en-GB"/>
              </w:rPr>
              <w:t>2</w:t>
            </w:r>
            <w:r w:rsidR="00726B04" w:rsidRPr="0070536A">
              <w:rPr>
                <w:sz w:val="16"/>
                <w:szCs w:val="16"/>
                <w:lang w:val="en-GB" w:eastAsia="en-GB"/>
              </w:rPr>
              <w:t xml:space="preserve"> -</w:t>
            </w:r>
            <w:r w:rsidRPr="0070536A">
              <w:rPr>
                <w:sz w:val="16"/>
                <w:szCs w:val="16"/>
                <w:lang w:val="en-GB" w:eastAsia="en-GB"/>
              </w:rPr>
              <w:t xml:space="preserve"> By 2028, citizens and non-citizens, especially excluded groups, enjoy their rights, and contribute to the development of policies and the performance of public institutions.</w:t>
            </w:r>
          </w:p>
        </w:tc>
      </w:tr>
      <w:tr w:rsidR="00091D10" w:rsidRPr="0070536A" w14:paraId="7089F780" w14:textId="77777777" w:rsidTr="00B913BB">
        <w:tblPrEx>
          <w:tblCellMar>
            <w:left w:w="0" w:type="dxa"/>
            <w:right w:w="0" w:type="dxa"/>
          </w:tblCellMar>
        </w:tblPrEx>
        <w:trPr>
          <w:trHeight w:val="120"/>
          <w:jc w:val="center"/>
        </w:trPr>
        <w:tc>
          <w:tcPr>
            <w:tcW w:w="13603" w:type="dxa"/>
            <w:gridSpan w:val="6"/>
            <w:shd w:val="clear" w:color="auto" w:fill="DBE5F1" w:themeFill="accent1" w:themeFillTint="33"/>
          </w:tcPr>
          <w:p w14:paraId="0C7145A8" w14:textId="6B8A475A" w:rsidR="00091D10" w:rsidRPr="0070536A" w:rsidRDefault="00091D10" w:rsidP="000A6AFE">
            <w:pPr>
              <w:spacing w:after="120"/>
              <w:ind w:left="90"/>
              <w:textAlignment w:val="baseline"/>
              <w:rPr>
                <w:rFonts w:eastAsia="Arial Nova"/>
                <w:sz w:val="16"/>
                <w:szCs w:val="16"/>
                <w:lang w:val="en-GB"/>
              </w:rPr>
            </w:pPr>
            <w:r w:rsidRPr="0070536A">
              <w:rPr>
                <w:b/>
                <w:bCs/>
                <w:sz w:val="16"/>
                <w:szCs w:val="16"/>
                <w:lang w:val="en-GB" w:eastAsia="en-GB"/>
              </w:rPr>
              <w:t xml:space="preserve">RELATED STRATEGIC PLAN OUTCOME: </w:t>
            </w:r>
            <w:r w:rsidRPr="0070536A">
              <w:rPr>
                <w:sz w:val="16"/>
                <w:szCs w:val="16"/>
                <w:lang w:val="en-GB"/>
              </w:rPr>
              <w:t>2</w:t>
            </w:r>
            <w:r w:rsidR="00726B04" w:rsidRPr="0070536A">
              <w:rPr>
                <w:sz w:val="16"/>
                <w:szCs w:val="16"/>
                <w:lang w:val="en-GB"/>
              </w:rPr>
              <w:t xml:space="preserve"> -</w:t>
            </w:r>
            <w:r w:rsidRPr="0070536A">
              <w:rPr>
                <w:sz w:val="16"/>
                <w:szCs w:val="16"/>
                <w:lang w:val="en-GB"/>
              </w:rPr>
              <w:t xml:space="preserve"> No-one left behind centring on equitable access to opportunities and a rights-based approach to human agency and human development</w:t>
            </w:r>
            <w:r w:rsidR="005F76C0" w:rsidRPr="0070536A">
              <w:rPr>
                <w:sz w:val="16"/>
                <w:szCs w:val="16"/>
                <w:lang w:val="en-GB"/>
              </w:rPr>
              <w:t>.</w:t>
            </w:r>
          </w:p>
        </w:tc>
      </w:tr>
      <w:tr w:rsidR="00091D10" w:rsidRPr="0070536A" w14:paraId="22A855E2" w14:textId="77777777" w:rsidTr="00B913BB">
        <w:tblPrEx>
          <w:tblCellMar>
            <w:left w:w="0" w:type="dxa"/>
            <w:right w:w="0" w:type="dxa"/>
          </w:tblCellMar>
        </w:tblPrEx>
        <w:trPr>
          <w:trHeight w:val="315"/>
          <w:jc w:val="center"/>
        </w:trPr>
        <w:tc>
          <w:tcPr>
            <w:tcW w:w="2405" w:type="dxa"/>
            <w:gridSpan w:val="2"/>
            <w:shd w:val="clear" w:color="auto" w:fill="DBE5F1" w:themeFill="accent1" w:themeFillTint="33"/>
            <w:vAlign w:val="center"/>
          </w:tcPr>
          <w:p w14:paraId="77E8CF8D" w14:textId="77777777" w:rsidR="00091D10" w:rsidRPr="0070536A" w:rsidRDefault="00091D10" w:rsidP="000A6AFE">
            <w:pPr>
              <w:jc w:val="center"/>
              <w:textAlignment w:val="baseline"/>
              <w:rPr>
                <w:sz w:val="16"/>
                <w:szCs w:val="16"/>
                <w:lang w:val="en-GB" w:eastAsia="en-GB"/>
              </w:rPr>
            </w:pPr>
            <w:r w:rsidRPr="0070536A">
              <w:rPr>
                <w:b/>
                <w:bCs/>
                <w:sz w:val="16"/>
                <w:szCs w:val="16"/>
                <w:lang w:val="en-GB" w:eastAsia="en-GB"/>
              </w:rPr>
              <w:t>COOPERATION FRAMEWORK OUTCOME INDICATOR(S), BASELINES, TARGET(S)</w:t>
            </w:r>
            <w:r w:rsidRPr="0070536A">
              <w:rPr>
                <w:sz w:val="16"/>
                <w:szCs w:val="16"/>
                <w:lang w:val="en-GB" w:eastAsia="en-GB"/>
              </w:rPr>
              <w:t> </w:t>
            </w:r>
          </w:p>
        </w:tc>
        <w:tc>
          <w:tcPr>
            <w:tcW w:w="1985" w:type="dxa"/>
            <w:shd w:val="clear" w:color="auto" w:fill="DBE5F1" w:themeFill="accent1" w:themeFillTint="33"/>
            <w:vAlign w:val="center"/>
          </w:tcPr>
          <w:p w14:paraId="396F3D59" w14:textId="77777777" w:rsidR="00091D10" w:rsidRPr="0070536A" w:rsidRDefault="00091D10" w:rsidP="000A6AFE">
            <w:pPr>
              <w:jc w:val="center"/>
              <w:textAlignment w:val="baseline"/>
              <w:rPr>
                <w:sz w:val="16"/>
                <w:szCs w:val="16"/>
                <w:lang w:val="en-GB" w:eastAsia="en-GB"/>
              </w:rPr>
            </w:pPr>
            <w:r w:rsidRPr="0070536A">
              <w:rPr>
                <w:b/>
                <w:bCs/>
                <w:sz w:val="16"/>
                <w:szCs w:val="16"/>
                <w:lang w:val="en-GB" w:eastAsia="en-GB"/>
              </w:rPr>
              <w:t>DATA SOURCE AND FREQUENCY OF DATA COLLECTION, AND RESPONSIBILITIES</w:t>
            </w:r>
            <w:r w:rsidRPr="0070536A">
              <w:rPr>
                <w:sz w:val="16"/>
                <w:szCs w:val="16"/>
                <w:lang w:val="en-GB" w:eastAsia="en-GB"/>
              </w:rPr>
              <w:t> </w:t>
            </w:r>
          </w:p>
        </w:tc>
        <w:tc>
          <w:tcPr>
            <w:tcW w:w="6095" w:type="dxa"/>
            <w:shd w:val="clear" w:color="auto" w:fill="DBE5F1" w:themeFill="accent1" w:themeFillTint="33"/>
            <w:vAlign w:val="center"/>
          </w:tcPr>
          <w:p w14:paraId="7B91532C" w14:textId="77777777" w:rsidR="00091D10" w:rsidRPr="0070536A" w:rsidRDefault="00091D10" w:rsidP="000A6AFE">
            <w:pPr>
              <w:jc w:val="center"/>
              <w:textAlignment w:val="baseline"/>
              <w:rPr>
                <w:sz w:val="16"/>
                <w:szCs w:val="16"/>
                <w:lang w:val="en-GB" w:eastAsia="en-GB"/>
              </w:rPr>
            </w:pPr>
            <w:r w:rsidRPr="0070536A">
              <w:rPr>
                <w:b/>
                <w:bCs/>
                <w:sz w:val="16"/>
                <w:szCs w:val="16"/>
                <w:lang w:val="en-GB" w:eastAsia="en-GB"/>
              </w:rPr>
              <w:t xml:space="preserve">INDICATIVE COUNTRY PROGRAMME OUTPUTS </w:t>
            </w:r>
          </w:p>
        </w:tc>
        <w:tc>
          <w:tcPr>
            <w:tcW w:w="1701" w:type="dxa"/>
            <w:shd w:val="clear" w:color="auto" w:fill="DBE5F1" w:themeFill="accent1" w:themeFillTint="33"/>
            <w:vAlign w:val="center"/>
          </w:tcPr>
          <w:p w14:paraId="1130C901" w14:textId="45E9D9C8" w:rsidR="00091D10" w:rsidRPr="0070536A" w:rsidRDefault="00091D10" w:rsidP="000A6AFE">
            <w:pPr>
              <w:jc w:val="center"/>
              <w:textAlignment w:val="baseline"/>
              <w:rPr>
                <w:sz w:val="16"/>
                <w:szCs w:val="16"/>
                <w:lang w:val="en-GB" w:eastAsia="en-GB"/>
              </w:rPr>
            </w:pPr>
            <w:r w:rsidRPr="0070536A">
              <w:rPr>
                <w:b/>
                <w:bCs/>
                <w:sz w:val="16"/>
                <w:szCs w:val="16"/>
                <w:lang w:val="en-GB" w:eastAsia="en-GB"/>
              </w:rPr>
              <w:t>MAJOR PARTNERS/ PARTNERSHIPS</w:t>
            </w:r>
            <w:r w:rsidRPr="0070536A">
              <w:rPr>
                <w:sz w:val="16"/>
                <w:szCs w:val="16"/>
                <w:lang w:val="en-GB" w:eastAsia="en-GB"/>
              </w:rPr>
              <w:t> </w:t>
            </w:r>
          </w:p>
          <w:p w14:paraId="179BF552" w14:textId="77777777" w:rsidR="00091D10" w:rsidRPr="0070536A" w:rsidRDefault="00091D10" w:rsidP="000A6AFE">
            <w:pPr>
              <w:jc w:val="center"/>
              <w:textAlignment w:val="baseline"/>
              <w:rPr>
                <w:sz w:val="16"/>
                <w:szCs w:val="16"/>
                <w:lang w:val="en-GB" w:eastAsia="en-GB"/>
              </w:rPr>
            </w:pPr>
            <w:r w:rsidRPr="0070536A">
              <w:rPr>
                <w:b/>
                <w:bCs/>
                <w:sz w:val="16"/>
                <w:szCs w:val="16"/>
                <w:lang w:val="en-GB" w:eastAsia="en-GB"/>
              </w:rPr>
              <w:t>FRAMEWORKS</w:t>
            </w:r>
            <w:r w:rsidRPr="0070536A">
              <w:rPr>
                <w:sz w:val="16"/>
                <w:szCs w:val="16"/>
                <w:lang w:val="en-GB" w:eastAsia="en-GB"/>
              </w:rPr>
              <w:t> </w:t>
            </w:r>
          </w:p>
        </w:tc>
        <w:tc>
          <w:tcPr>
            <w:tcW w:w="1417" w:type="dxa"/>
            <w:shd w:val="clear" w:color="auto" w:fill="DBE5F1" w:themeFill="accent1" w:themeFillTint="33"/>
            <w:vAlign w:val="center"/>
          </w:tcPr>
          <w:p w14:paraId="551F08FB" w14:textId="77777777" w:rsidR="00091D10" w:rsidRPr="0070536A" w:rsidRDefault="00091D10" w:rsidP="000A6AFE">
            <w:pPr>
              <w:jc w:val="center"/>
              <w:textAlignment w:val="baseline"/>
              <w:rPr>
                <w:sz w:val="16"/>
                <w:szCs w:val="16"/>
                <w:lang w:val="en-GB" w:eastAsia="en-GB"/>
              </w:rPr>
            </w:pPr>
            <w:r w:rsidRPr="0070536A">
              <w:rPr>
                <w:b/>
                <w:bCs/>
                <w:sz w:val="16"/>
                <w:szCs w:val="16"/>
                <w:lang w:val="en-GB" w:eastAsia="en-GB"/>
              </w:rPr>
              <w:t xml:space="preserve">ESTIMATED COST BY OUTCOME </w:t>
            </w:r>
          </w:p>
        </w:tc>
      </w:tr>
      <w:tr w:rsidR="00091D10" w:rsidRPr="0070536A" w14:paraId="23BFA451" w14:textId="77777777" w:rsidTr="00B913BB">
        <w:tblPrEx>
          <w:tblCellMar>
            <w:left w:w="0" w:type="dxa"/>
            <w:right w:w="0" w:type="dxa"/>
          </w:tblCellMar>
        </w:tblPrEx>
        <w:trPr>
          <w:trHeight w:val="411"/>
          <w:jc w:val="center"/>
        </w:trPr>
        <w:tc>
          <w:tcPr>
            <w:tcW w:w="2405" w:type="dxa"/>
            <w:gridSpan w:val="2"/>
            <w:vMerge w:val="restart"/>
            <w:shd w:val="clear" w:color="auto" w:fill="auto"/>
          </w:tcPr>
          <w:p w14:paraId="2EF38AA1" w14:textId="77777777" w:rsidR="00091D10" w:rsidRPr="0070536A" w:rsidRDefault="00091D10" w:rsidP="000A6AFE">
            <w:pPr>
              <w:ind w:left="-8" w:firstLine="8"/>
              <w:rPr>
                <w:b/>
                <w:iCs/>
                <w:sz w:val="16"/>
                <w:szCs w:val="16"/>
                <w:lang w:val="en-GB"/>
              </w:rPr>
            </w:pPr>
          </w:p>
          <w:p w14:paraId="501A1FEC" w14:textId="25E1BD2C" w:rsidR="00091D10" w:rsidRPr="0070536A" w:rsidRDefault="00091D10" w:rsidP="000A6AFE">
            <w:pPr>
              <w:ind w:left="90" w:firstLine="8"/>
              <w:rPr>
                <w:b/>
                <w:iCs/>
                <w:sz w:val="16"/>
                <w:szCs w:val="16"/>
                <w:lang w:val="en-GB"/>
              </w:rPr>
            </w:pPr>
            <w:r w:rsidRPr="0070536A">
              <w:rPr>
                <w:b/>
                <w:iCs/>
                <w:sz w:val="16"/>
                <w:szCs w:val="16"/>
                <w:lang w:val="en-GB"/>
              </w:rPr>
              <w:t>5.6.2</w:t>
            </w:r>
            <w:r w:rsidR="005F76C0" w:rsidRPr="0070536A">
              <w:rPr>
                <w:b/>
                <w:iCs/>
                <w:sz w:val="16"/>
                <w:szCs w:val="16"/>
                <w:lang w:val="en-GB"/>
              </w:rPr>
              <w:t>.</w:t>
            </w:r>
            <w:r w:rsidRPr="0070536A">
              <w:rPr>
                <w:b/>
                <w:iCs/>
                <w:sz w:val="16"/>
                <w:szCs w:val="16"/>
                <w:lang w:val="en-GB"/>
              </w:rPr>
              <w:t xml:space="preserve"> Number</w:t>
            </w:r>
            <w:r w:rsidR="005F76C0" w:rsidRPr="0070536A">
              <w:rPr>
                <w:b/>
                <w:iCs/>
                <w:sz w:val="16"/>
                <w:szCs w:val="16"/>
                <w:lang w:val="en-GB"/>
              </w:rPr>
              <w:t xml:space="preserve"> of</w:t>
            </w:r>
            <w:r w:rsidRPr="0070536A">
              <w:rPr>
                <w:b/>
                <w:iCs/>
                <w:sz w:val="16"/>
                <w:szCs w:val="16"/>
                <w:lang w:val="en-GB"/>
              </w:rPr>
              <w:t xml:space="preserve"> laws and regulations that guarantee full and equal access to women and men aged 15 years and older to sexual and reproductive health care, information and education.</w:t>
            </w:r>
          </w:p>
          <w:p w14:paraId="15478DFC" w14:textId="77777777" w:rsidR="00091D10" w:rsidRPr="0070536A" w:rsidRDefault="00091D10" w:rsidP="000A6AFE">
            <w:pPr>
              <w:ind w:left="90" w:firstLine="8"/>
              <w:rPr>
                <w:bCs/>
                <w:iCs/>
                <w:sz w:val="16"/>
                <w:szCs w:val="16"/>
                <w:lang w:val="en-GB"/>
              </w:rPr>
            </w:pPr>
            <w:r w:rsidRPr="0070536A">
              <w:rPr>
                <w:bCs/>
                <w:iCs/>
                <w:sz w:val="16"/>
                <w:szCs w:val="16"/>
                <w:lang w:val="en-GB"/>
              </w:rPr>
              <w:t>Baseline: (20) n/a</w:t>
            </w:r>
          </w:p>
          <w:p w14:paraId="751EA993" w14:textId="77777777" w:rsidR="00091D10" w:rsidRPr="0070536A" w:rsidRDefault="00091D10" w:rsidP="000A6AFE">
            <w:pPr>
              <w:ind w:left="90" w:firstLine="8"/>
              <w:rPr>
                <w:bCs/>
                <w:iCs/>
                <w:sz w:val="16"/>
                <w:szCs w:val="16"/>
                <w:lang w:val="en-GB"/>
              </w:rPr>
            </w:pPr>
            <w:r w:rsidRPr="0070536A">
              <w:rPr>
                <w:bCs/>
                <w:iCs/>
                <w:sz w:val="16"/>
                <w:szCs w:val="16"/>
                <w:lang w:val="en-GB"/>
              </w:rPr>
              <w:t>Target: (2028) n/a</w:t>
            </w:r>
          </w:p>
          <w:p w14:paraId="345C72F9" w14:textId="77777777" w:rsidR="00091D10" w:rsidRPr="0070536A" w:rsidRDefault="00091D10" w:rsidP="000A6AFE">
            <w:pPr>
              <w:ind w:left="90" w:firstLine="8"/>
              <w:rPr>
                <w:b/>
                <w:iCs/>
                <w:sz w:val="16"/>
                <w:szCs w:val="16"/>
                <w:lang w:val="en-GB"/>
              </w:rPr>
            </w:pPr>
          </w:p>
          <w:p w14:paraId="59B39CFD" w14:textId="3966BD04" w:rsidR="00091D10" w:rsidRPr="0070536A" w:rsidRDefault="00091D10" w:rsidP="000A6AFE">
            <w:pPr>
              <w:ind w:left="90" w:firstLine="8"/>
              <w:rPr>
                <w:b/>
                <w:iCs/>
                <w:sz w:val="16"/>
                <w:szCs w:val="16"/>
                <w:lang w:val="en-GB"/>
              </w:rPr>
            </w:pPr>
            <w:r w:rsidRPr="0070536A">
              <w:rPr>
                <w:b/>
                <w:iCs/>
                <w:sz w:val="16"/>
                <w:szCs w:val="16"/>
                <w:lang w:val="en-GB"/>
              </w:rPr>
              <w:t>17.18.1</w:t>
            </w:r>
            <w:r w:rsidR="005F76C0" w:rsidRPr="0070536A">
              <w:rPr>
                <w:b/>
                <w:iCs/>
                <w:sz w:val="16"/>
                <w:szCs w:val="16"/>
                <w:lang w:val="en-GB"/>
              </w:rPr>
              <w:t>.</w:t>
            </w:r>
            <w:r w:rsidRPr="0070536A">
              <w:rPr>
                <w:b/>
                <w:iCs/>
                <w:sz w:val="16"/>
                <w:szCs w:val="16"/>
                <w:lang w:val="en-GB"/>
              </w:rPr>
              <w:t xml:space="preserve"> Statistical capacity indicator for Sustainable Development Goal monitoring</w:t>
            </w:r>
          </w:p>
          <w:p w14:paraId="5A9A6A47" w14:textId="77777777" w:rsidR="00091D10" w:rsidRPr="0070536A" w:rsidRDefault="00091D10" w:rsidP="000A6AFE">
            <w:pPr>
              <w:ind w:left="90" w:firstLine="8"/>
              <w:rPr>
                <w:bCs/>
                <w:iCs/>
                <w:sz w:val="16"/>
                <w:szCs w:val="16"/>
                <w:lang w:val="en-GB"/>
              </w:rPr>
            </w:pPr>
            <w:r w:rsidRPr="0070536A">
              <w:rPr>
                <w:bCs/>
                <w:iCs/>
                <w:sz w:val="16"/>
                <w:szCs w:val="16"/>
                <w:lang w:val="en-GB"/>
              </w:rPr>
              <w:t>Baseline: (2022) 28.7%</w:t>
            </w:r>
          </w:p>
          <w:p w14:paraId="70EC13DC" w14:textId="77777777" w:rsidR="00091D10" w:rsidRPr="0070536A" w:rsidRDefault="00091D10" w:rsidP="000A6AFE">
            <w:pPr>
              <w:ind w:left="90" w:firstLine="8"/>
              <w:rPr>
                <w:bCs/>
                <w:iCs/>
                <w:sz w:val="16"/>
                <w:szCs w:val="16"/>
                <w:lang w:val="en-GB"/>
              </w:rPr>
            </w:pPr>
            <w:r w:rsidRPr="0070536A">
              <w:rPr>
                <w:bCs/>
                <w:iCs/>
                <w:sz w:val="16"/>
                <w:szCs w:val="16"/>
                <w:lang w:val="en-GB"/>
              </w:rPr>
              <w:t>Target: (2028) n/a</w:t>
            </w:r>
          </w:p>
          <w:p w14:paraId="2BC2D89B" w14:textId="77777777" w:rsidR="00091D10" w:rsidRPr="0070536A" w:rsidRDefault="00091D10" w:rsidP="000A6AFE">
            <w:pPr>
              <w:ind w:left="-8" w:firstLine="8"/>
              <w:rPr>
                <w:b/>
                <w:iCs/>
                <w:sz w:val="16"/>
                <w:szCs w:val="16"/>
                <w:lang w:val="en-GB"/>
              </w:rPr>
            </w:pPr>
          </w:p>
          <w:p w14:paraId="6CFC8B8C" w14:textId="77777777" w:rsidR="00091D10" w:rsidRPr="0070536A" w:rsidRDefault="00091D10" w:rsidP="000A6AFE">
            <w:pPr>
              <w:ind w:left="-8" w:firstLine="8"/>
              <w:rPr>
                <w:b/>
                <w:bCs/>
                <w:iCs/>
                <w:sz w:val="16"/>
                <w:szCs w:val="16"/>
                <w:lang w:val="en-GB" w:eastAsia="en-GB"/>
              </w:rPr>
            </w:pPr>
          </w:p>
        </w:tc>
        <w:tc>
          <w:tcPr>
            <w:tcW w:w="1985" w:type="dxa"/>
            <w:vMerge w:val="restart"/>
            <w:shd w:val="clear" w:color="auto" w:fill="auto"/>
          </w:tcPr>
          <w:p w14:paraId="2F826083" w14:textId="77777777" w:rsidR="00091D10" w:rsidRPr="0070536A" w:rsidRDefault="00091D10" w:rsidP="000A6AFE">
            <w:pPr>
              <w:rPr>
                <w:b/>
                <w:bCs/>
                <w:iCs/>
                <w:color w:val="000000"/>
                <w:sz w:val="16"/>
                <w:szCs w:val="16"/>
                <w:lang w:val="en-GB"/>
              </w:rPr>
            </w:pPr>
          </w:p>
          <w:p w14:paraId="37BD55BC" w14:textId="77777777" w:rsidR="00091D10" w:rsidRPr="0070536A" w:rsidRDefault="00091D10" w:rsidP="000A6AFE">
            <w:pPr>
              <w:ind w:left="108"/>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758EE675" w14:textId="77777777" w:rsidR="00091D10" w:rsidRPr="0070536A" w:rsidRDefault="00091D10" w:rsidP="000A6AFE">
            <w:pPr>
              <w:ind w:left="108"/>
              <w:rPr>
                <w:iCs/>
                <w:color w:val="000000"/>
                <w:sz w:val="16"/>
                <w:szCs w:val="16"/>
                <w:lang w:val="en-GB"/>
              </w:rPr>
            </w:pPr>
            <w:r w:rsidRPr="0070536A">
              <w:rPr>
                <w:b/>
                <w:bCs/>
                <w:iCs/>
                <w:color w:val="000000"/>
                <w:sz w:val="16"/>
                <w:szCs w:val="16"/>
                <w:lang w:val="en-GB"/>
              </w:rPr>
              <w:t xml:space="preserve">Frequency: </w:t>
            </w:r>
            <w:r w:rsidRPr="0070536A">
              <w:rPr>
                <w:iCs/>
                <w:color w:val="000000"/>
                <w:sz w:val="16"/>
                <w:szCs w:val="16"/>
                <w:lang w:val="en-GB"/>
              </w:rPr>
              <w:t>Annual</w:t>
            </w:r>
          </w:p>
          <w:p w14:paraId="062C1C8E" w14:textId="77777777" w:rsidR="00091D10" w:rsidRPr="0070536A" w:rsidRDefault="00091D10" w:rsidP="000A6AFE">
            <w:pPr>
              <w:ind w:left="108"/>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 xml:space="preserve"> n/a</w:t>
            </w:r>
          </w:p>
          <w:p w14:paraId="65502569" w14:textId="77777777" w:rsidR="00091D10" w:rsidRPr="0070536A" w:rsidRDefault="00091D10" w:rsidP="000A6AFE">
            <w:pPr>
              <w:textAlignment w:val="baseline"/>
              <w:rPr>
                <w:iCs/>
                <w:sz w:val="16"/>
                <w:szCs w:val="16"/>
                <w:lang w:val="en-GB" w:eastAsia="en-GB"/>
              </w:rPr>
            </w:pPr>
          </w:p>
          <w:p w14:paraId="4EB82554" w14:textId="77777777" w:rsidR="00091D10" w:rsidRPr="0070536A" w:rsidRDefault="00091D10" w:rsidP="000A6AFE">
            <w:pPr>
              <w:textAlignment w:val="baseline"/>
              <w:rPr>
                <w:iCs/>
                <w:sz w:val="16"/>
                <w:szCs w:val="16"/>
                <w:lang w:val="en-GB" w:eastAsia="en-GB"/>
              </w:rPr>
            </w:pPr>
          </w:p>
          <w:p w14:paraId="097CEED8" w14:textId="77777777" w:rsidR="00091D10" w:rsidRPr="0070536A" w:rsidRDefault="00091D10" w:rsidP="000A6AFE">
            <w:pPr>
              <w:textAlignment w:val="baseline"/>
              <w:rPr>
                <w:iCs/>
                <w:sz w:val="16"/>
                <w:szCs w:val="16"/>
                <w:lang w:val="en-GB" w:eastAsia="en-GB"/>
              </w:rPr>
            </w:pPr>
          </w:p>
          <w:p w14:paraId="18E39A74" w14:textId="77777777" w:rsidR="00091D10" w:rsidRPr="0070536A" w:rsidRDefault="00091D10" w:rsidP="000A6AFE">
            <w:pPr>
              <w:textAlignment w:val="baseline"/>
              <w:rPr>
                <w:iCs/>
                <w:sz w:val="16"/>
                <w:szCs w:val="16"/>
                <w:lang w:val="en-GB" w:eastAsia="en-GB"/>
              </w:rPr>
            </w:pPr>
          </w:p>
          <w:p w14:paraId="6EA920A4" w14:textId="77777777" w:rsidR="00091D10" w:rsidRPr="0070536A" w:rsidRDefault="00091D10" w:rsidP="000A6AFE">
            <w:pPr>
              <w:textAlignment w:val="baseline"/>
              <w:rPr>
                <w:iCs/>
                <w:sz w:val="16"/>
                <w:szCs w:val="16"/>
                <w:lang w:val="en-GB" w:eastAsia="en-GB"/>
              </w:rPr>
            </w:pPr>
          </w:p>
          <w:p w14:paraId="69561EE0" w14:textId="77777777" w:rsidR="00091D10" w:rsidRPr="0070536A" w:rsidRDefault="00091D10" w:rsidP="000A6AFE">
            <w:pPr>
              <w:textAlignment w:val="baseline"/>
              <w:rPr>
                <w:iCs/>
                <w:sz w:val="16"/>
                <w:szCs w:val="16"/>
                <w:lang w:val="en-GB" w:eastAsia="en-GB"/>
              </w:rPr>
            </w:pPr>
          </w:p>
          <w:p w14:paraId="27EB5569" w14:textId="77777777" w:rsidR="00091D10" w:rsidRPr="0070536A" w:rsidRDefault="00091D10" w:rsidP="000A6AFE">
            <w:pPr>
              <w:ind w:left="108"/>
              <w:rPr>
                <w:iCs/>
                <w:color w:val="000000"/>
                <w:sz w:val="16"/>
                <w:szCs w:val="16"/>
                <w:lang w:val="en-GB"/>
              </w:rPr>
            </w:pPr>
            <w:r w:rsidRPr="0070536A">
              <w:rPr>
                <w:b/>
                <w:bCs/>
                <w:iCs/>
                <w:color w:val="000000"/>
                <w:sz w:val="16"/>
                <w:szCs w:val="16"/>
                <w:lang w:val="en-GB"/>
              </w:rPr>
              <w:t>Source:</w:t>
            </w:r>
            <w:r w:rsidRPr="0070536A">
              <w:rPr>
                <w:iCs/>
                <w:sz w:val="16"/>
                <w:szCs w:val="16"/>
                <w:lang w:val="en-GB"/>
              </w:rPr>
              <w:t xml:space="preserve"> VNR</w:t>
            </w:r>
          </w:p>
          <w:p w14:paraId="0A38756A" w14:textId="77777777" w:rsidR="00091D10" w:rsidRPr="0070536A" w:rsidRDefault="00091D10" w:rsidP="000A6AFE">
            <w:pPr>
              <w:ind w:left="108"/>
              <w:rPr>
                <w:iCs/>
                <w:color w:val="000000"/>
                <w:sz w:val="16"/>
                <w:szCs w:val="16"/>
                <w:lang w:val="en-GB"/>
              </w:rPr>
            </w:pPr>
            <w:r w:rsidRPr="0070536A">
              <w:rPr>
                <w:b/>
                <w:bCs/>
                <w:iCs/>
                <w:color w:val="000000"/>
                <w:sz w:val="16"/>
                <w:szCs w:val="16"/>
                <w:lang w:val="en-GB"/>
              </w:rPr>
              <w:t>Frequency:</w:t>
            </w:r>
            <w:r w:rsidRPr="0070536A">
              <w:rPr>
                <w:iCs/>
                <w:color w:val="000000"/>
                <w:sz w:val="16"/>
                <w:szCs w:val="16"/>
                <w:lang w:val="en-GB"/>
              </w:rPr>
              <w:t xml:space="preserve"> Annual  </w:t>
            </w:r>
          </w:p>
          <w:p w14:paraId="32FD15F0" w14:textId="77777777" w:rsidR="00091D10" w:rsidRPr="0070536A" w:rsidRDefault="00091D10" w:rsidP="000A6AFE">
            <w:pPr>
              <w:ind w:left="108"/>
              <w:rPr>
                <w:iCs/>
                <w:color w:val="000000"/>
                <w:sz w:val="16"/>
                <w:szCs w:val="16"/>
                <w:lang w:val="en-GB"/>
              </w:rPr>
            </w:pPr>
            <w:r w:rsidRPr="0070536A">
              <w:rPr>
                <w:b/>
                <w:bCs/>
                <w:iCs/>
                <w:color w:val="000000"/>
                <w:sz w:val="16"/>
                <w:szCs w:val="16"/>
                <w:lang w:val="en-GB"/>
              </w:rPr>
              <w:t xml:space="preserve">Responsible:  </w:t>
            </w:r>
            <w:r w:rsidRPr="0070536A">
              <w:rPr>
                <w:iCs/>
                <w:color w:val="000000"/>
                <w:sz w:val="16"/>
                <w:szCs w:val="16"/>
                <w:lang w:val="en-GB"/>
              </w:rPr>
              <w:t>n/a</w:t>
            </w:r>
          </w:p>
          <w:p w14:paraId="323F5508" w14:textId="77777777" w:rsidR="00091D10" w:rsidRPr="0070536A" w:rsidRDefault="00091D10" w:rsidP="000A6AFE">
            <w:pPr>
              <w:textAlignment w:val="baseline"/>
              <w:rPr>
                <w:iCs/>
                <w:sz w:val="16"/>
                <w:szCs w:val="16"/>
                <w:lang w:val="en-GB" w:eastAsia="en-GB"/>
              </w:rPr>
            </w:pPr>
          </w:p>
        </w:tc>
        <w:tc>
          <w:tcPr>
            <w:tcW w:w="6095" w:type="dxa"/>
            <w:shd w:val="clear" w:color="auto" w:fill="auto"/>
          </w:tcPr>
          <w:p w14:paraId="42ADDA44" w14:textId="70051571" w:rsidR="00091D10" w:rsidRPr="0070536A" w:rsidRDefault="00091D10" w:rsidP="000A6AFE">
            <w:pPr>
              <w:spacing w:after="120"/>
              <w:ind w:left="108"/>
              <w:jc w:val="both"/>
              <w:textAlignment w:val="baseline"/>
              <w:rPr>
                <w:rFonts w:ascii="Times New Roman Bold" w:hAnsi="Times New Roman Bold" w:cs="Times New Roman Bold"/>
                <w:b/>
                <w:bCs/>
                <w:sz w:val="16"/>
                <w:szCs w:val="16"/>
                <w:lang w:val="en-GB" w:eastAsia="en-GB"/>
              </w:rPr>
            </w:pPr>
            <w:r w:rsidRPr="0070536A">
              <w:rPr>
                <w:rFonts w:ascii="Times New Roman Bold" w:hAnsi="Times New Roman Bold" w:cs="Times New Roman Bold"/>
                <w:b/>
                <w:bCs/>
                <w:sz w:val="16"/>
                <w:szCs w:val="16"/>
                <w:lang w:val="en-GB" w:eastAsia="en-GB"/>
              </w:rPr>
              <w:t>3.1</w:t>
            </w:r>
            <w:r w:rsidR="005F76C0" w:rsidRPr="0070536A">
              <w:rPr>
                <w:rFonts w:ascii="Times New Roman Bold" w:hAnsi="Times New Roman Bold" w:cs="Times New Roman Bold"/>
                <w:b/>
                <w:bCs/>
                <w:sz w:val="16"/>
                <w:szCs w:val="16"/>
                <w:lang w:val="en-GB" w:eastAsia="en-GB"/>
              </w:rPr>
              <w:t>.</w:t>
            </w:r>
            <w:r w:rsidRPr="0070536A">
              <w:rPr>
                <w:rFonts w:ascii="Times New Roman Bold" w:hAnsi="Times New Roman Bold" w:cs="Times New Roman Bold"/>
                <w:b/>
                <w:bCs/>
                <w:sz w:val="16"/>
                <w:szCs w:val="16"/>
                <w:lang w:val="en-GB" w:eastAsia="en-GB"/>
              </w:rPr>
              <w:t xml:space="preserve"> Multidimensional, integrated and gender-sensitive data systems enhanced to improve evidence-based policymaking, targeting of groups being left behind and monitoring of progress on the SDGs and the AU Agenda 2063.</w:t>
            </w:r>
          </w:p>
          <w:p w14:paraId="229B2BAF" w14:textId="77777777" w:rsidR="00091D10" w:rsidRPr="0070536A" w:rsidRDefault="00091D10" w:rsidP="000A6AFE">
            <w:pPr>
              <w:ind w:left="108"/>
              <w:jc w:val="both"/>
              <w:rPr>
                <w:b/>
                <w:bCs/>
                <w:sz w:val="16"/>
                <w:szCs w:val="16"/>
                <w:lang w:val="en-GB"/>
              </w:rPr>
            </w:pPr>
            <w:r w:rsidRPr="0070536A">
              <w:rPr>
                <w:b/>
                <w:bCs/>
                <w:sz w:val="16"/>
                <w:szCs w:val="16"/>
                <w:lang w:val="en-GB"/>
              </w:rPr>
              <w:t>Indicators:</w:t>
            </w:r>
          </w:p>
          <w:p w14:paraId="35E7AF44" w14:textId="512EA69D" w:rsidR="00091D10" w:rsidRPr="0070536A" w:rsidRDefault="00091D10" w:rsidP="000A6AFE">
            <w:pPr>
              <w:ind w:left="108"/>
              <w:jc w:val="both"/>
              <w:rPr>
                <w:sz w:val="16"/>
                <w:szCs w:val="16"/>
                <w:lang w:val="en-GB"/>
              </w:rPr>
            </w:pPr>
            <w:r w:rsidRPr="0070536A">
              <w:rPr>
                <w:b/>
                <w:bCs/>
                <w:sz w:val="16"/>
                <w:szCs w:val="16"/>
                <w:lang w:val="en-GB"/>
              </w:rPr>
              <w:t>3.1.1</w:t>
            </w:r>
            <w:r w:rsidR="005F76C0" w:rsidRPr="0070536A">
              <w:rPr>
                <w:b/>
                <w:bCs/>
                <w:sz w:val="16"/>
                <w:szCs w:val="16"/>
                <w:lang w:val="en-GB"/>
              </w:rPr>
              <w:t>.</w:t>
            </w:r>
            <w:r w:rsidRPr="0070536A">
              <w:rPr>
                <w:sz w:val="16"/>
                <w:szCs w:val="16"/>
                <w:lang w:val="en-GB"/>
              </w:rPr>
              <w:t xml:space="preserve"> Number of data collection and/or analysis mechanisms providing disaggregated data to monitor progress towards SDGs and the AU Agenda 2063, installed in public institutions (IRRF 1.1.3.)</w:t>
            </w:r>
          </w:p>
          <w:p w14:paraId="143BA39D" w14:textId="77777777" w:rsidR="00091D10" w:rsidRPr="0070536A" w:rsidRDefault="00091D10" w:rsidP="000A6AFE">
            <w:pPr>
              <w:ind w:left="108"/>
              <w:jc w:val="both"/>
              <w:rPr>
                <w:sz w:val="16"/>
                <w:szCs w:val="16"/>
                <w:lang w:val="en-GB"/>
              </w:rPr>
            </w:pPr>
            <w:r w:rsidRPr="0070536A">
              <w:rPr>
                <w:sz w:val="16"/>
                <w:szCs w:val="16"/>
                <w:lang w:val="en-GB"/>
              </w:rPr>
              <w:t>Baseline (2023): 0</w:t>
            </w:r>
          </w:p>
          <w:p w14:paraId="4F0084B1" w14:textId="77777777" w:rsidR="00091D10" w:rsidRPr="0070536A" w:rsidRDefault="00091D10" w:rsidP="000A6AFE">
            <w:pPr>
              <w:ind w:left="108"/>
              <w:jc w:val="both"/>
              <w:rPr>
                <w:sz w:val="16"/>
                <w:szCs w:val="16"/>
                <w:lang w:val="en-GB"/>
              </w:rPr>
            </w:pPr>
            <w:r w:rsidRPr="0070536A">
              <w:rPr>
                <w:sz w:val="16"/>
                <w:szCs w:val="16"/>
                <w:lang w:val="en-GB"/>
              </w:rPr>
              <w:t>Target (2028): 3</w:t>
            </w:r>
          </w:p>
          <w:p w14:paraId="61EF5F27" w14:textId="77777777" w:rsidR="00091D10" w:rsidRPr="0070536A" w:rsidRDefault="00091D10" w:rsidP="000A6AFE">
            <w:pPr>
              <w:ind w:left="108"/>
              <w:jc w:val="both"/>
              <w:rPr>
                <w:sz w:val="16"/>
                <w:szCs w:val="16"/>
                <w:lang w:val="en-GB"/>
              </w:rPr>
            </w:pPr>
            <w:r w:rsidRPr="0070536A">
              <w:rPr>
                <w:sz w:val="16"/>
                <w:szCs w:val="16"/>
                <w:lang w:val="en-GB" w:eastAsia="zh-Hans"/>
              </w:rPr>
              <w:t>Data source: INEGE</w:t>
            </w:r>
          </w:p>
          <w:p w14:paraId="372247BD" w14:textId="77777777" w:rsidR="00091D10" w:rsidRPr="0070536A" w:rsidRDefault="00091D10" w:rsidP="000A6AFE">
            <w:pPr>
              <w:spacing w:after="120"/>
              <w:ind w:left="108"/>
              <w:jc w:val="both"/>
              <w:textAlignment w:val="baseline"/>
              <w:rPr>
                <w:sz w:val="16"/>
                <w:szCs w:val="16"/>
                <w:lang w:val="en-GB"/>
              </w:rPr>
            </w:pPr>
            <w:r w:rsidRPr="0070536A">
              <w:rPr>
                <w:sz w:val="16"/>
                <w:szCs w:val="16"/>
                <w:lang w:val="en-GB"/>
              </w:rPr>
              <w:t>Frequency: Annual</w:t>
            </w:r>
          </w:p>
          <w:p w14:paraId="3926FF11" w14:textId="5F0FFA8A" w:rsidR="00091D10" w:rsidRPr="0070536A" w:rsidRDefault="00091D10" w:rsidP="000A6AFE">
            <w:pPr>
              <w:ind w:left="108"/>
              <w:jc w:val="both"/>
              <w:rPr>
                <w:sz w:val="16"/>
                <w:szCs w:val="16"/>
                <w:lang w:val="en-GB"/>
              </w:rPr>
            </w:pPr>
            <w:r w:rsidRPr="0070536A">
              <w:rPr>
                <w:b/>
                <w:bCs/>
                <w:sz w:val="16"/>
                <w:szCs w:val="16"/>
                <w:lang w:val="en-GB"/>
              </w:rPr>
              <w:t>3.1.2</w:t>
            </w:r>
            <w:r w:rsidR="005F76C0" w:rsidRPr="0070536A">
              <w:rPr>
                <w:b/>
                <w:bCs/>
                <w:sz w:val="16"/>
                <w:szCs w:val="16"/>
                <w:lang w:val="en-GB"/>
              </w:rPr>
              <w:t>.</w:t>
            </w:r>
            <w:r w:rsidRPr="0070536A">
              <w:rPr>
                <w:sz w:val="16"/>
                <w:szCs w:val="16"/>
                <w:lang w:val="en-GB"/>
              </w:rPr>
              <w:t xml:space="preserve"> Percentage of indicators with reliable data to measure progress on the SDGs.</w:t>
            </w:r>
          </w:p>
          <w:p w14:paraId="28140E1D" w14:textId="77777777" w:rsidR="00091D10" w:rsidRPr="0070536A" w:rsidRDefault="00091D10" w:rsidP="000A6AFE">
            <w:pPr>
              <w:ind w:left="108"/>
              <w:jc w:val="both"/>
              <w:rPr>
                <w:sz w:val="16"/>
                <w:szCs w:val="16"/>
                <w:lang w:val="en-GB"/>
              </w:rPr>
            </w:pPr>
            <w:r w:rsidRPr="0070536A">
              <w:rPr>
                <w:sz w:val="16"/>
                <w:szCs w:val="16"/>
                <w:lang w:val="en-GB"/>
              </w:rPr>
              <w:t>Baseline (2022): 28%</w:t>
            </w:r>
          </w:p>
          <w:p w14:paraId="246E2755" w14:textId="77777777" w:rsidR="00091D10" w:rsidRPr="0070536A" w:rsidRDefault="00091D10" w:rsidP="000A6AFE">
            <w:pPr>
              <w:ind w:left="108"/>
              <w:jc w:val="both"/>
              <w:rPr>
                <w:sz w:val="16"/>
                <w:szCs w:val="16"/>
                <w:lang w:val="en-GB"/>
              </w:rPr>
            </w:pPr>
            <w:r w:rsidRPr="0070536A">
              <w:rPr>
                <w:sz w:val="16"/>
                <w:szCs w:val="16"/>
                <w:lang w:val="en-GB"/>
              </w:rPr>
              <w:t>Target (2028):    40%</w:t>
            </w:r>
          </w:p>
          <w:p w14:paraId="30E7B595" w14:textId="77777777" w:rsidR="00091D10" w:rsidRPr="0070536A" w:rsidRDefault="00091D10" w:rsidP="000A6AFE">
            <w:pPr>
              <w:ind w:left="108"/>
              <w:jc w:val="both"/>
              <w:rPr>
                <w:sz w:val="16"/>
                <w:szCs w:val="16"/>
                <w:lang w:val="en-GB"/>
              </w:rPr>
            </w:pPr>
            <w:r w:rsidRPr="0070536A">
              <w:rPr>
                <w:sz w:val="16"/>
                <w:szCs w:val="16"/>
                <w:lang w:val="en-GB"/>
              </w:rPr>
              <w:t>Data source: INEGE</w:t>
            </w:r>
          </w:p>
          <w:p w14:paraId="442DD677" w14:textId="77777777" w:rsidR="00091D10" w:rsidRPr="0070536A" w:rsidRDefault="00091D10" w:rsidP="000A6AFE">
            <w:pPr>
              <w:spacing w:after="120"/>
              <w:ind w:left="108"/>
              <w:jc w:val="both"/>
              <w:rPr>
                <w:sz w:val="16"/>
                <w:szCs w:val="16"/>
                <w:lang w:val="en-GB"/>
              </w:rPr>
            </w:pPr>
            <w:r w:rsidRPr="0070536A">
              <w:rPr>
                <w:sz w:val="16"/>
                <w:szCs w:val="16"/>
                <w:lang w:val="en-GB"/>
              </w:rPr>
              <w:t xml:space="preserve">Frequency:   Annual </w:t>
            </w:r>
          </w:p>
          <w:p w14:paraId="2D897C0E" w14:textId="0FB1D483" w:rsidR="00091D10" w:rsidRPr="0070536A" w:rsidRDefault="00091D10" w:rsidP="000A6AFE">
            <w:pPr>
              <w:ind w:left="108"/>
              <w:jc w:val="both"/>
              <w:textAlignment w:val="baseline"/>
              <w:rPr>
                <w:sz w:val="16"/>
                <w:szCs w:val="16"/>
                <w:lang w:val="en-GB"/>
              </w:rPr>
            </w:pPr>
            <w:r w:rsidRPr="0070536A">
              <w:rPr>
                <w:b/>
                <w:bCs/>
                <w:sz w:val="16"/>
                <w:szCs w:val="16"/>
                <w:lang w:val="en-GB"/>
              </w:rPr>
              <w:t>3.1.3</w:t>
            </w:r>
            <w:r w:rsidR="005F76C0" w:rsidRPr="0070536A">
              <w:rPr>
                <w:b/>
                <w:bCs/>
                <w:sz w:val="16"/>
                <w:szCs w:val="16"/>
                <w:lang w:val="en-GB"/>
              </w:rPr>
              <w:t>.</w:t>
            </w:r>
            <w:r w:rsidRPr="0070536A">
              <w:rPr>
                <w:sz w:val="16"/>
                <w:szCs w:val="16"/>
                <w:lang w:val="en-GB"/>
              </w:rPr>
              <w:t xml:space="preserve"> Number of civil institutions and/or organizations contributing to public data systems.</w:t>
            </w:r>
          </w:p>
          <w:p w14:paraId="0E690359" w14:textId="77777777" w:rsidR="00091D10" w:rsidRPr="0070536A" w:rsidRDefault="00091D10" w:rsidP="000A6AFE">
            <w:pPr>
              <w:ind w:left="108"/>
              <w:jc w:val="both"/>
              <w:textAlignment w:val="baseline"/>
              <w:rPr>
                <w:sz w:val="16"/>
                <w:szCs w:val="16"/>
                <w:lang w:val="en-GB"/>
              </w:rPr>
            </w:pPr>
            <w:r w:rsidRPr="0070536A">
              <w:rPr>
                <w:sz w:val="16"/>
                <w:szCs w:val="16"/>
                <w:lang w:val="en-GB"/>
              </w:rPr>
              <w:t>Baseline (2023): 0</w:t>
            </w:r>
          </w:p>
          <w:p w14:paraId="6DB23423" w14:textId="77777777" w:rsidR="00091D10" w:rsidRPr="0070536A" w:rsidRDefault="00091D10" w:rsidP="000A6AFE">
            <w:pPr>
              <w:ind w:left="108"/>
              <w:jc w:val="both"/>
              <w:rPr>
                <w:sz w:val="16"/>
                <w:szCs w:val="16"/>
                <w:lang w:val="en-GB"/>
              </w:rPr>
            </w:pPr>
            <w:r w:rsidRPr="0070536A">
              <w:rPr>
                <w:sz w:val="16"/>
                <w:szCs w:val="16"/>
                <w:lang w:val="en-GB"/>
              </w:rPr>
              <w:t>Target (2028): 5</w:t>
            </w:r>
          </w:p>
          <w:p w14:paraId="68871581" w14:textId="77777777" w:rsidR="00091D10" w:rsidRPr="0070536A" w:rsidRDefault="00091D10" w:rsidP="000A6AFE">
            <w:pPr>
              <w:ind w:left="108"/>
              <w:jc w:val="both"/>
              <w:rPr>
                <w:sz w:val="16"/>
                <w:szCs w:val="16"/>
                <w:lang w:val="en-GB"/>
              </w:rPr>
            </w:pPr>
            <w:r w:rsidRPr="0070536A">
              <w:rPr>
                <w:sz w:val="16"/>
                <w:szCs w:val="16"/>
                <w:lang w:val="en-GB" w:eastAsia="zh-Hans"/>
              </w:rPr>
              <w:t>Data source: INEGE</w:t>
            </w:r>
          </w:p>
          <w:p w14:paraId="2150DA32" w14:textId="77777777" w:rsidR="00091D10" w:rsidRPr="0070536A" w:rsidRDefault="00091D10" w:rsidP="000A6AFE">
            <w:pPr>
              <w:spacing w:after="120"/>
              <w:ind w:left="108"/>
              <w:jc w:val="both"/>
              <w:textAlignment w:val="baseline"/>
              <w:rPr>
                <w:sz w:val="16"/>
                <w:szCs w:val="16"/>
                <w:lang w:val="en-GB" w:eastAsia="en-GB"/>
              </w:rPr>
            </w:pPr>
            <w:r w:rsidRPr="0070536A">
              <w:rPr>
                <w:sz w:val="16"/>
                <w:szCs w:val="16"/>
                <w:lang w:val="en-GB"/>
              </w:rPr>
              <w:lastRenderedPageBreak/>
              <w:t>Frequency: Annual:</w:t>
            </w:r>
          </w:p>
        </w:tc>
        <w:tc>
          <w:tcPr>
            <w:tcW w:w="1701" w:type="dxa"/>
            <w:vMerge w:val="restart"/>
            <w:shd w:val="clear" w:color="auto" w:fill="auto"/>
          </w:tcPr>
          <w:p w14:paraId="35CF6BF5"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lastRenderedPageBreak/>
              <w:t>Ministries of:</w:t>
            </w:r>
          </w:p>
          <w:p w14:paraId="716D6DE4"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Economic Planning and Diversification</w:t>
            </w:r>
          </w:p>
          <w:p w14:paraId="0E1DC682" w14:textId="68B9CBD0"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Civil Service and Administrative Reform</w:t>
            </w:r>
            <w:r w:rsidR="000268AF" w:rsidRPr="0070536A">
              <w:rPr>
                <w:sz w:val="16"/>
                <w:szCs w:val="16"/>
                <w:lang w:val="en-GB" w:eastAsia="en-GB"/>
              </w:rPr>
              <w:t xml:space="preserve"> (MINFPYRA)</w:t>
            </w:r>
          </w:p>
          <w:p w14:paraId="27551450"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Transport, Post and Telecommunications</w:t>
            </w:r>
          </w:p>
          <w:p w14:paraId="05F9058D"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Youth and Sports</w:t>
            </w:r>
          </w:p>
          <w:p w14:paraId="3D56A673"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Social Affairs and Gender Equality</w:t>
            </w:r>
          </w:p>
          <w:p w14:paraId="403C5468"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 xml:space="preserve">National Human Rights Commission </w:t>
            </w:r>
          </w:p>
          <w:p w14:paraId="6120CBD8" w14:textId="77777777" w:rsidR="005F76C0" w:rsidRPr="0070536A" w:rsidRDefault="005F76C0" w:rsidP="000A6AFE">
            <w:pPr>
              <w:spacing w:after="120"/>
              <w:ind w:left="132"/>
              <w:textAlignment w:val="baseline"/>
              <w:rPr>
                <w:sz w:val="16"/>
                <w:szCs w:val="16"/>
                <w:lang w:val="en-GB" w:eastAsia="en-GB"/>
              </w:rPr>
            </w:pPr>
          </w:p>
          <w:p w14:paraId="657EF052"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SIGOB-UNDP</w:t>
            </w:r>
          </w:p>
          <w:p w14:paraId="51D67220"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lastRenderedPageBreak/>
              <w:t>University of Oslo</w:t>
            </w:r>
          </w:p>
          <w:p w14:paraId="2AE50487"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National University of Equatorial Guinea</w:t>
            </w:r>
          </w:p>
          <w:p w14:paraId="2EEB6CC9"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Afro-American University of Central Africa (AAUCA)</w:t>
            </w:r>
          </w:p>
          <w:p w14:paraId="18B92846" w14:textId="77777777" w:rsidR="00091D10" w:rsidRPr="0070536A" w:rsidRDefault="00091D10" w:rsidP="000A6AFE">
            <w:pPr>
              <w:spacing w:after="120"/>
              <w:textAlignment w:val="baseline"/>
              <w:rPr>
                <w:sz w:val="16"/>
                <w:szCs w:val="16"/>
                <w:lang w:val="en-GB" w:eastAsia="en-GB"/>
              </w:rPr>
            </w:pPr>
          </w:p>
        </w:tc>
        <w:tc>
          <w:tcPr>
            <w:tcW w:w="1417" w:type="dxa"/>
            <w:vMerge w:val="restart"/>
            <w:shd w:val="clear" w:color="auto" w:fill="auto"/>
          </w:tcPr>
          <w:p w14:paraId="124AC353" w14:textId="77777777" w:rsidR="00091D10" w:rsidRPr="0070536A" w:rsidRDefault="00091D10" w:rsidP="000A6AFE">
            <w:pPr>
              <w:spacing w:line="259" w:lineRule="auto"/>
              <w:ind w:left="48"/>
              <w:rPr>
                <w:sz w:val="16"/>
                <w:szCs w:val="16"/>
                <w:lang w:val="en-GB" w:eastAsia="en-GB"/>
              </w:rPr>
            </w:pPr>
            <w:r w:rsidRPr="0070536A">
              <w:rPr>
                <w:b/>
                <w:bCs/>
                <w:sz w:val="16"/>
                <w:szCs w:val="16"/>
                <w:lang w:val="en-GB" w:eastAsia="en-GB"/>
              </w:rPr>
              <w:lastRenderedPageBreak/>
              <w:t xml:space="preserve"> Regular: </w:t>
            </w:r>
            <w:r w:rsidRPr="0070536A">
              <w:rPr>
                <w:sz w:val="16"/>
                <w:szCs w:val="16"/>
                <w:lang w:val="en-GB" w:eastAsia="en-GB"/>
              </w:rPr>
              <w:t>$400,000</w:t>
            </w:r>
          </w:p>
          <w:p w14:paraId="5933FBFA" w14:textId="77777777" w:rsidR="00091D10" w:rsidRPr="0070536A" w:rsidRDefault="00091D10" w:rsidP="000A6AFE">
            <w:pPr>
              <w:spacing w:line="259" w:lineRule="auto"/>
              <w:ind w:left="48"/>
              <w:rPr>
                <w:sz w:val="16"/>
                <w:szCs w:val="16"/>
                <w:lang w:val="en-GB" w:eastAsia="en-GB"/>
              </w:rPr>
            </w:pPr>
          </w:p>
          <w:p w14:paraId="3A5681D5" w14:textId="77777777" w:rsidR="00091D10" w:rsidRPr="0070536A" w:rsidRDefault="00091D10" w:rsidP="000A6AFE">
            <w:pPr>
              <w:ind w:left="48"/>
              <w:textAlignment w:val="baseline"/>
              <w:rPr>
                <w:sz w:val="16"/>
                <w:szCs w:val="16"/>
                <w:lang w:val="en-GB" w:eastAsia="en-GB"/>
              </w:rPr>
            </w:pPr>
            <w:r w:rsidRPr="0070536A">
              <w:rPr>
                <w:b/>
                <w:bCs/>
                <w:sz w:val="16"/>
                <w:szCs w:val="16"/>
                <w:lang w:val="en-GB" w:eastAsia="en-GB"/>
              </w:rPr>
              <w:t xml:space="preserve"> Other:    </w:t>
            </w:r>
            <w:r w:rsidRPr="0070536A">
              <w:rPr>
                <w:sz w:val="16"/>
                <w:szCs w:val="16"/>
                <w:lang w:val="en-GB" w:eastAsia="en-GB"/>
              </w:rPr>
              <w:t>$16,000,000</w:t>
            </w:r>
            <w:r w:rsidRPr="0070536A">
              <w:rPr>
                <w:b/>
                <w:bCs/>
                <w:sz w:val="16"/>
                <w:szCs w:val="16"/>
                <w:lang w:val="en-GB" w:eastAsia="en-GB"/>
              </w:rPr>
              <w:t xml:space="preserve">  </w:t>
            </w:r>
          </w:p>
        </w:tc>
      </w:tr>
      <w:tr w:rsidR="00091D10" w:rsidRPr="0070536A" w14:paraId="45BA7FDD" w14:textId="77777777" w:rsidTr="00B913BB">
        <w:tblPrEx>
          <w:tblCellMar>
            <w:left w:w="0" w:type="dxa"/>
            <w:right w:w="0" w:type="dxa"/>
          </w:tblCellMar>
        </w:tblPrEx>
        <w:trPr>
          <w:trHeight w:val="694"/>
          <w:jc w:val="center"/>
        </w:trPr>
        <w:tc>
          <w:tcPr>
            <w:tcW w:w="2405" w:type="dxa"/>
            <w:gridSpan w:val="2"/>
            <w:vMerge/>
            <w:vAlign w:val="center"/>
          </w:tcPr>
          <w:p w14:paraId="0A0F8C66" w14:textId="77777777" w:rsidR="00091D10" w:rsidRPr="0070536A" w:rsidRDefault="00091D10" w:rsidP="000A6AFE">
            <w:pPr>
              <w:jc w:val="both"/>
              <w:rPr>
                <w:sz w:val="16"/>
                <w:szCs w:val="16"/>
                <w:lang w:val="en-GB" w:eastAsia="en-GB"/>
              </w:rPr>
            </w:pPr>
          </w:p>
        </w:tc>
        <w:tc>
          <w:tcPr>
            <w:tcW w:w="1985" w:type="dxa"/>
            <w:vMerge/>
            <w:vAlign w:val="center"/>
          </w:tcPr>
          <w:p w14:paraId="1189D7C9" w14:textId="77777777" w:rsidR="00091D10" w:rsidRPr="0070536A" w:rsidRDefault="00091D10" w:rsidP="000A6AFE">
            <w:pPr>
              <w:jc w:val="both"/>
              <w:rPr>
                <w:sz w:val="16"/>
                <w:szCs w:val="16"/>
                <w:lang w:val="en-GB" w:eastAsia="en-GB"/>
              </w:rPr>
            </w:pPr>
          </w:p>
        </w:tc>
        <w:tc>
          <w:tcPr>
            <w:tcW w:w="6095" w:type="dxa"/>
            <w:shd w:val="clear" w:color="auto" w:fill="auto"/>
          </w:tcPr>
          <w:p w14:paraId="7027EC5E" w14:textId="0386CC6B" w:rsidR="00091D10" w:rsidRPr="0070536A" w:rsidRDefault="00091D10" w:rsidP="000A6AFE">
            <w:pPr>
              <w:spacing w:after="120"/>
              <w:ind w:left="108"/>
              <w:jc w:val="both"/>
              <w:textAlignment w:val="baseline"/>
              <w:rPr>
                <w:rFonts w:ascii="Times New Roman Bold" w:hAnsi="Times New Roman Bold" w:cs="Times New Roman Bold"/>
                <w:b/>
                <w:bCs/>
                <w:color w:val="000000" w:themeColor="text1"/>
                <w:sz w:val="16"/>
                <w:szCs w:val="16"/>
                <w:lang w:val="en-GB" w:eastAsia="en-GB"/>
              </w:rPr>
            </w:pPr>
            <w:r w:rsidRPr="0070536A">
              <w:rPr>
                <w:rFonts w:ascii="Times New Roman Bold" w:hAnsi="Times New Roman Bold" w:cs="Times New Roman Bold"/>
                <w:b/>
                <w:bCs/>
                <w:color w:val="000000" w:themeColor="text1"/>
                <w:sz w:val="16"/>
                <w:szCs w:val="16"/>
                <w:lang w:val="en-GB" w:eastAsia="en-GB"/>
              </w:rPr>
              <w:t>3.2</w:t>
            </w:r>
            <w:r w:rsidR="00774683" w:rsidRPr="0070536A">
              <w:rPr>
                <w:rFonts w:ascii="Times New Roman Bold" w:hAnsi="Times New Roman Bold" w:cs="Times New Roman Bold"/>
                <w:b/>
                <w:bCs/>
                <w:color w:val="000000" w:themeColor="text1"/>
                <w:sz w:val="16"/>
                <w:szCs w:val="16"/>
                <w:lang w:val="en-GB" w:eastAsia="en-GB"/>
              </w:rPr>
              <w:t>.</w:t>
            </w:r>
            <w:r w:rsidRPr="0070536A">
              <w:rPr>
                <w:rFonts w:ascii="Times New Roman Bold" w:hAnsi="Times New Roman Bold" w:cs="Times New Roman Bold"/>
                <w:color w:val="000000" w:themeColor="text1"/>
                <w:sz w:val="16"/>
                <w:szCs w:val="16"/>
                <w:lang w:val="en-GB" w:eastAsia="en-GB"/>
              </w:rPr>
              <w:t xml:space="preserve"> </w:t>
            </w:r>
            <w:r w:rsidRPr="0070536A">
              <w:rPr>
                <w:rFonts w:ascii="Times New Roman Bold" w:hAnsi="Times New Roman Bold" w:cs="Times New Roman Bold"/>
                <w:b/>
                <w:bCs/>
                <w:color w:val="000000" w:themeColor="text1"/>
                <w:sz w:val="16"/>
                <w:szCs w:val="16"/>
                <w:lang w:val="en-GB" w:eastAsia="en-GB"/>
              </w:rPr>
              <w:t xml:space="preserve">National youth capacity improved to enable youth participation in decision making, policies and programmes. </w:t>
            </w:r>
          </w:p>
          <w:p w14:paraId="46A3D4C0" w14:textId="77777777" w:rsidR="00091D10" w:rsidRPr="0070536A" w:rsidRDefault="00091D10" w:rsidP="000A6AFE">
            <w:pPr>
              <w:ind w:left="108"/>
              <w:jc w:val="both"/>
              <w:rPr>
                <w:b/>
                <w:bCs/>
                <w:color w:val="000000" w:themeColor="text1"/>
                <w:sz w:val="16"/>
                <w:szCs w:val="16"/>
                <w:lang w:val="en-GB"/>
              </w:rPr>
            </w:pPr>
            <w:r w:rsidRPr="0070536A">
              <w:rPr>
                <w:b/>
                <w:bCs/>
                <w:color w:val="000000" w:themeColor="text1"/>
                <w:sz w:val="16"/>
                <w:szCs w:val="16"/>
                <w:lang w:val="en-GB"/>
              </w:rPr>
              <w:t>Indicators:</w:t>
            </w:r>
          </w:p>
          <w:p w14:paraId="1625944E" w14:textId="1ABCB6DD" w:rsidR="00091D10" w:rsidRPr="0070536A" w:rsidRDefault="00091D10" w:rsidP="000A6AFE">
            <w:pPr>
              <w:ind w:left="108"/>
              <w:jc w:val="both"/>
              <w:rPr>
                <w:color w:val="000000" w:themeColor="text1"/>
                <w:sz w:val="16"/>
                <w:szCs w:val="16"/>
                <w:lang w:val="en-GB"/>
              </w:rPr>
            </w:pPr>
            <w:r w:rsidRPr="0070536A">
              <w:rPr>
                <w:b/>
                <w:bCs/>
                <w:color w:val="000000" w:themeColor="text1"/>
                <w:sz w:val="16"/>
                <w:szCs w:val="16"/>
                <w:lang w:val="en-GB"/>
              </w:rPr>
              <w:t>3.2.1</w:t>
            </w:r>
            <w:r w:rsidR="00774683" w:rsidRPr="0070536A">
              <w:rPr>
                <w:color w:val="000000" w:themeColor="text1"/>
                <w:sz w:val="16"/>
                <w:szCs w:val="16"/>
                <w:lang w:val="en-GB"/>
              </w:rPr>
              <w:t>.</w:t>
            </w:r>
            <w:r w:rsidRPr="0070536A">
              <w:rPr>
                <w:color w:val="000000" w:themeColor="text1"/>
                <w:sz w:val="16"/>
                <w:szCs w:val="16"/>
                <w:lang w:val="en-GB"/>
              </w:rPr>
              <w:t xml:space="preserve"> </w:t>
            </w:r>
            <w:r w:rsidRPr="0070536A">
              <w:rPr>
                <w:b/>
                <w:bCs/>
                <w:color w:val="000000" w:themeColor="text1"/>
                <w:sz w:val="16"/>
                <w:szCs w:val="16"/>
                <w:lang w:val="en-GB"/>
              </w:rPr>
              <w:t xml:space="preserve"> </w:t>
            </w:r>
            <w:r w:rsidRPr="0070536A">
              <w:rPr>
                <w:color w:val="000000" w:themeColor="text1"/>
                <w:sz w:val="16"/>
                <w:szCs w:val="16"/>
                <w:lang w:val="en-GB"/>
              </w:rPr>
              <w:t>Availability of the</w:t>
            </w:r>
            <w:r w:rsidRPr="0070536A">
              <w:rPr>
                <w:b/>
                <w:bCs/>
                <w:color w:val="000000" w:themeColor="text1"/>
                <w:sz w:val="16"/>
                <w:szCs w:val="16"/>
                <w:lang w:val="en-GB"/>
              </w:rPr>
              <w:t xml:space="preserve"> </w:t>
            </w:r>
            <w:r w:rsidRPr="0070536A">
              <w:rPr>
                <w:color w:val="000000" w:themeColor="text1"/>
                <w:sz w:val="16"/>
                <w:szCs w:val="16"/>
                <w:lang w:val="en-GB"/>
              </w:rPr>
              <w:t>National Youth Strategy.</w:t>
            </w:r>
          </w:p>
          <w:p w14:paraId="3AB743E9"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Baseline (2023): 0</w:t>
            </w:r>
          </w:p>
          <w:p w14:paraId="23B517BD"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Target (2028):    3 (on a rating system)</w:t>
            </w:r>
          </w:p>
          <w:p w14:paraId="755C7C2F"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Data source: Ministry of Youth &amp; Sports, Annual Report</w:t>
            </w:r>
          </w:p>
          <w:p w14:paraId="7814FEB2" w14:textId="77777777" w:rsidR="00091D10" w:rsidRPr="0070536A" w:rsidRDefault="00091D10" w:rsidP="000A6AFE">
            <w:pPr>
              <w:spacing w:after="120"/>
              <w:ind w:left="108"/>
              <w:jc w:val="both"/>
              <w:rPr>
                <w:color w:val="000000" w:themeColor="text1"/>
                <w:sz w:val="16"/>
                <w:szCs w:val="16"/>
                <w:lang w:val="en-GB"/>
              </w:rPr>
            </w:pPr>
            <w:r w:rsidRPr="0070536A">
              <w:rPr>
                <w:color w:val="000000" w:themeColor="text1"/>
                <w:sz w:val="16"/>
                <w:szCs w:val="16"/>
                <w:lang w:val="en-GB"/>
              </w:rPr>
              <w:t>Frequency: Annual</w:t>
            </w:r>
          </w:p>
          <w:p w14:paraId="587BFAF5" w14:textId="5ED12A3D" w:rsidR="00091D10" w:rsidRPr="0070536A" w:rsidRDefault="00091D10" w:rsidP="000A6AFE">
            <w:pPr>
              <w:ind w:left="108"/>
              <w:jc w:val="both"/>
              <w:rPr>
                <w:color w:val="000000" w:themeColor="text1"/>
                <w:sz w:val="16"/>
                <w:szCs w:val="16"/>
                <w:lang w:val="en-GB"/>
              </w:rPr>
            </w:pPr>
            <w:r w:rsidRPr="0070536A">
              <w:rPr>
                <w:b/>
                <w:bCs/>
                <w:color w:val="000000" w:themeColor="text1"/>
                <w:sz w:val="16"/>
                <w:szCs w:val="16"/>
                <w:lang w:val="en-GB"/>
              </w:rPr>
              <w:t>3.2.2</w:t>
            </w:r>
            <w:r w:rsidR="00774683" w:rsidRPr="0070536A">
              <w:rPr>
                <w:b/>
                <w:bCs/>
                <w:color w:val="000000" w:themeColor="text1"/>
                <w:sz w:val="16"/>
                <w:szCs w:val="16"/>
                <w:lang w:val="en-GB"/>
              </w:rPr>
              <w:t>.</w:t>
            </w:r>
            <w:r w:rsidRPr="0070536A">
              <w:rPr>
                <w:b/>
                <w:bCs/>
                <w:color w:val="000000" w:themeColor="text1"/>
                <w:sz w:val="16"/>
                <w:szCs w:val="16"/>
                <w:lang w:val="en-GB"/>
              </w:rPr>
              <w:t xml:space="preserve"> </w:t>
            </w:r>
            <w:r w:rsidRPr="0070536A">
              <w:rPr>
                <w:color w:val="000000" w:themeColor="text1"/>
                <w:sz w:val="16"/>
                <w:szCs w:val="16"/>
                <w:lang w:val="en-GB"/>
              </w:rPr>
              <w:t>Number of policies and programmes in which youth participation has been effectively integrated.</w:t>
            </w:r>
          </w:p>
          <w:p w14:paraId="2757726E"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Baseline (2023): 0</w:t>
            </w:r>
          </w:p>
          <w:p w14:paraId="60CDAF3D"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Target (2028):   10</w:t>
            </w:r>
          </w:p>
          <w:p w14:paraId="4DC8A9BA"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Data source: Ministry of Youth and Sports Annual Report</w:t>
            </w:r>
          </w:p>
          <w:p w14:paraId="262413FF" w14:textId="77777777" w:rsidR="00091D10" w:rsidRPr="0070536A" w:rsidRDefault="00091D10" w:rsidP="000A6AFE">
            <w:pPr>
              <w:ind w:left="108"/>
              <w:jc w:val="both"/>
              <w:rPr>
                <w:strike/>
                <w:color w:val="000000" w:themeColor="text1"/>
                <w:sz w:val="16"/>
                <w:szCs w:val="16"/>
                <w:lang w:val="en-GB"/>
              </w:rPr>
            </w:pPr>
            <w:r w:rsidRPr="0070536A">
              <w:rPr>
                <w:color w:val="000000" w:themeColor="text1"/>
                <w:sz w:val="16"/>
                <w:szCs w:val="16"/>
                <w:lang w:val="en-GB"/>
              </w:rPr>
              <w:t>Frequency: Annual</w:t>
            </w:r>
          </w:p>
          <w:p w14:paraId="511FE5CB" w14:textId="77777777" w:rsidR="00091D10" w:rsidRPr="0070536A" w:rsidRDefault="00091D10" w:rsidP="000A6AFE">
            <w:pPr>
              <w:ind w:left="108"/>
              <w:jc w:val="both"/>
              <w:rPr>
                <w:b/>
                <w:bCs/>
                <w:color w:val="000000" w:themeColor="text1"/>
                <w:sz w:val="16"/>
                <w:szCs w:val="16"/>
                <w:lang w:val="en-GB"/>
              </w:rPr>
            </w:pPr>
          </w:p>
          <w:p w14:paraId="4FBF7383" w14:textId="0347EFA8" w:rsidR="00091D10" w:rsidRPr="0070536A" w:rsidRDefault="00091D10" w:rsidP="000A6AFE">
            <w:pPr>
              <w:ind w:left="108"/>
              <w:jc w:val="both"/>
              <w:rPr>
                <w:color w:val="000000" w:themeColor="text1"/>
                <w:sz w:val="16"/>
                <w:szCs w:val="16"/>
                <w:lang w:val="en-GB"/>
              </w:rPr>
            </w:pPr>
            <w:r w:rsidRPr="0070536A">
              <w:rPr>
                <w:b/>
                <w:bCs/>
                <w:color w:val="000000" w:themeColor="text1"/>
                <w:sz w:val="16"/>
                <w:szCs w:val="16"/>
                <w:lang w:val="en-GB"/>
              </w:rPr>
              <w:t>3.2.3</w:t>
            </w:r>
            <w:r w:rsidR="00774683" w:rsidRPr="0070536A">
              <w:rPr>
                <w:color w:val="000000" w:themeColor="text1"/>
                <w:sz w:val="16"/>
                <w:szCs w:val="16"/>
                <w:lang w:val="en-GB"/>
              </w:rPr>
              <w:t>.</w:t>
            </w:r>
            <w:r w:rsidRPr="0070536A">
              <w:rPr>
                <w:color w:val="000000" w:themeColor="text1"/>
                <w:sz w:val="16"/>
                <w:szCs w:val="16"/>
                <w:lang w:val="en-GB"/>
              </w:rPr>
              <w:t xml:space="preserve"> Number of formalized strategic partnerships for meaningful youth engagement.</w:t>
            </w:r>
          </w:p>
          <w:p w14:paraId="7EBF4F76"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Baseline (2023):   0</w:t>
            </w:r>
          </w:p>
          <w:p w14:paraId="0C587122"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rPr>
              <w:t>Target (2028):    10</w:t>
            </w:r>
          </w:p>
          <w:p w14:paraId="37F8E438" w14:textId="77777777" w:rsidR="00091D10" w:rsidRPr="0070536A" w:rsidRDefault="00091D10" w:rsidP="000A6AFE">
            <w:pPr>
              <w:ind w:left="108"/>
              <w:jc w:val="both"/>
              <w:rPr>
                <w:color w:val="000000" w:themeColor="text1"/>
                <w:sz w:val="16"/>
                <w:szCs w:val="16"/>
                <w:lang w:val="en-GB"/>
              </w:rPr>
            </w:pPr>
            <w:r w:rsidRPr="0070536A">
              <w:rPr>
                <w:color w:val="000000" w:themeColor="text1"/>
                <w:sz w:val="16"/>
                <w:szCs w:val="16"/>
                <w:lang w:val="en-GB" w:eastAsia="zh-Hans"/>
              </w:rPr>
              <w:t>Data source: Partnership documentation</w:t>
            </w:r>
          </w:p>
          <w:p w14:paraId="6257FB07" w14:textId="77777777" w:rsidR="00091D10" w:rsidRPr="0070536A" w:rsidRDefault="00091D10" w:rsidP="000A6AFE">
            <w:pPr>
              <w:spacing w:after="120"/>
              <w:ind w:left="108"/>
              <w:jc w:val="both"/>
              <w:textAlignment w:val="baseline"/>
              <w:rPr>
                <w:color w:val="000000" w:themeColor="text1"/>
                <w:sz w:val="16"/>
                <w:szCs w:val="16"/>
                <w:lang w:val="en-GB"/>
              </w:rPr>
            </w:pPr>
            <w:r w:rsidRPr="0070536A">
              <w:rPr>
                <w:color w:val="000000" w:themeColor="text1"/>
                <w:sz w:val="16"/>
                <w:szCs w:val="16"/>
                <w:lang w:val="en-GB"/>
              </w:rPr>
              <w:t>Frequency: Annual</w:t>
            </w:r>
          </w:p>
        </w:tc>
        <w:tc>
          <w:tcPr>
            <w:tcW w:w="1701" w:type="dxa"/>
            <w:vMerge/>
          </w:tcPr>
          <w:p w14:paraId="64462EB5" w14:textId="77777777" w:rsidR="00091D10" w:rsidRPr="0070536A" w:rsidRDefault="00091D10" w:rsidP="000A6AFE">
            <w:pPr>
              <w:spacing w:after="60"/>
              <w:rPr>
                <w:sz w:val="16"/>
                <w:szCs w:val="16"/>
                <w:lang w:val="en-GB" w:eastAsia="en-GB"/>
              </w:rPr>
            </w:pPr>
          </w:p>
        </w:tc>
        <w:tc>
          <w:tcPr>
            <w:tcW w:w="1417" w:type="dxa"/>
            <w:vMerge/>
          </w:tcPr>
          <w:p w14:paraId="737AB68F" w14:textId="77777777" w:rsidR="00091D10" w:rsidRPr="0070536A" w:rsidRDefault="00091D10" w:rsidP="000A6AFE">
            <w:pPr>
              <w:textAlignment w:val="baseline"/>
              <w:rPr>
                <w:b/>
                <w:bCs/>
                <w:sz w:val="16"/>
                <w:szCs w:val="16"/>
                <w:lang w:val="en-GB" w:eastAsia="en-GB"/>
              </w:rPr>
            </w:pPr>
          </w:p>
        </w:tc>
      </w:tr>
      <w:tr w:rsidR="00091D10" w:rsidRPr="0070536A" w14:paraId="7DC56C4B" w14:textId="77777777" w:rsidTr="00B913BB">
        <w:tblPrEx>
          <w:tblCellMar>
            <w:left w:w="0" w:type="dxa"/>
            <w:right w:w="0" w:type="dxa"/>
          </w:tblCellMar>
        </w:tblPrEx>
        <w:trPr>
          <w:trHeight w:val="15"/>
          <w:jc w:val="center"/>
        </w:trPr>
        <w:tc>
          <w:tcPr>
            <w:tcW w:w="13603" w:type="dxa"/>
            <w:gridSpan w:val="6"/>
            <w:shd w:val="clear" w:color="auto" w:fill="DBE5F1" w:themeFill="accent1" w:themeFillTint="33"/>
          </w:tcPr>
          <w:p w14:paraId="1EC81B20" w14:textId="10A14F72" w:rsidR="00091D10" w:rsidRPr="0070536A" w:rsidRDefault="00091D10" w:rsidP="000A6AFE">
            <w:pPr>
              <w:spacing w:after="120"/>
              <w:ind w:left="90"/>
              <w:textAlignment w:val="baseline"/>
              <w:rPr>
                <w:color w:val="000000"/>
                <w:sz w:val="16"/>
                <w:szCs w:val="16"/>
                <w:lang w:val="en-GB"/>
              </w:rPr>
            </w:pPr>
            <w:r w:rsidRPr="0070536A">
              <w:rPr>
                <w:b/>
                <w:bCs/>
                <w:color w:val="000000"/>
                <w:sz w:val="16"/>
                <w:szCs w:val="16"/>
                <w:lang w:val="en-GB"/>
              </w:rPr>
              <w:t>NATIONAL PRIORITY OR GOAL:</w:t>
            </w:r>
            <w:r w:rsidRPr="0070536A">
              <w:rPr>
                <w:color w:val="000000"/>
                <w:sz w:val="16"/>
                <w:szCs w:val="16"/>
                <w:lang w:val="en-GB"/>
              </w:rPr>
              <w:t xml:space="preserve"> Build a more just and equitable society (Vision 2035, Objective 4)</w:t>
            </w:r>
            <w:r w:rsidR="00774683" w:rsidRPr="0070536A">
              <w:rPr>
                <w:color w:val="000000"/>
                <w:sz w:val="16"/>
                <w:szCs w:val="16"/>
                <w:lang w:val="en-GB"/>
              </w:rPr>
              <w:t>.</w:t>
            </w:r>
          </w:p>
        </w:tc>
      </w:tr>
      <w:tr w:rsidR="00091D10" w:rsidRPr="0070536A" w14:paraId="20A6C34D" w14:textId="77777777" w:rsidTr="00B913BB">
        <w:tblPrEx>
          <w:tblCellMar>
            <w:left w:w="0" w:type="dxa"/>
            <w:right w:w="0" w:type="dxa"/>
          </w:tblCellMar>
        </w:tblPrEx>
        <w:trPr>
          <w:trHeight w:val="120"/>
          <w:jc w:val="center"/>
        </w:trPr>
        <w:tc>
          <w:tcPr>
            <w:tcW w:w="13603" w:type="dxa"/>
            <w:gridSpan w:val="6"/>
            <w:shd w:val="clear" w:color="auto" w:fill="DBE5F1" w:themeFill="accent1" w:themeFillTint="33"/>
          </w:tcPr>
          <w:p w14:paraId="19D87900" w14:textId="6A041E7D" w:rsidR="00091D10" w:rsidRPr="0070536A" w:rsidRDefault="00091D10" w:rsidP="000A6AFE">
            <w:pPr>
              <w:spacing w:after="120"/>
              <w:ind w:left="90"/>
              <w:textAlignment w:val="baseline"/>
              <w:rPr>
                <w:sz w:val="16"/>
                <w:szCs w:val="16"/>
                <w:lang w:val="en-GB" w:eastAsia="en-GB"/>
              </w:rPr>
            </w:pPr>
            <w:r w:rsidRPr="0070536A">
              <w:rPr>
                <w:b/>
                <w:bCs/>
                <w:color w:val="000000"/>
                <w:sz w:val="16"/>
                <w:szCs w:val="16"/>
                <w:lang w:val="en-GB"/>
              </w:rPr>
              <w:t xml:space="preserve">COOPERATION FRAMEWORK </w:t>
            </w:r>
            <w:r w:rsidRPr="0070536A">
              <w:rPr>
                <w:b/>
                <w:bCs/>
                <w:sz w:val="16"/>
                <w:szCs w:val="16"/>
                <w:lang w:val="en-GB" w:eastAsia="en-GB"/>
              </w:rPr>
              <w:t xml:space="preserve">OUTCOME INVOLVING UNDP: </w:t>
            </w:r>
            <w:r w:rsidRPr="0070536A">
              <w:rPr>
                <w:sz w:val="16"/>
                <w:szCs w:val="16"/>
                <w:lang w:val="en-GB" w:eastAsia="en-GB"/>
              </w:rPr>
              <w:t>1</w:t>
            </w:r>
            <w:r w:rsidR="00774683" w:rsidRPr="0070536A">
              <w:rPr>
                <w:sz w:val="16"/>
                <w:szCs w:val="16"/>
                <w:lang w:val="en-GB" w:eastAsia="en-GB"/>
              </w:rPr>
              <w:t xml:space="preserve"> -</w:t>
            </w:r>
            <w:r w:rsidRPr="0070536A">
              <w:rPr>
                <w:sz w:val="16"/>
                <w:szCs w:val="16"/>
                <w:lang w:val="en-GB" w:eastAsia="en-GB"/>
              </w:rPr>
              <w:t xml:space="preserve"> By 2028, more people, especially children, women, adolescents, and youth have access to quality social services in an equitable and sustainable manner to reach their full human potential.</w:t>
            </w:r>
          </w:p>
        </w:tc>
      </w:tr>
      <w:tr w:rsidR="00091D10" w:rsidRPr="0070536A" w14:paraId="4E8EFB85" w14:textId="77777777" w:rsidTr="00B913BB">
        <w:tblPrEx>
          <w:tblCellMar>
            <w:left w:w="0" w:type="dxa"/>
            <w:right w:w="0" w:type="dxa"/>
          </w:tblCellMar>
        </w:tblPrEx>
        <w:trPr>
          <w:trHeight w:val="120"/>
          <w:jc w:val="center"/>
        </w:trPr>
        <w:tc>
          <w:tcPr>
            <w:tcW w:w="13603" w:type="dxa"/>
            <w:gridSpan w:val="6"/>
            <w:shd w:val="clear" w:color="auto" w:fill="DBE5F1" w:themeFill="accent1" w:themeFillTint="33"/>
          </w:tcPr>
          <w:p w14:paraId="389F33B2" w14:textId="4DC978D8" w:rsidR="00091D10" w:rsidRPr="0070536A" w:rsidRDefault="00091D10" w:rsidP="000A6AFE">
            <w:pPr>
              <w:spacing w:after="120"/>
              <w:ind w:left="90"/>
              <w:textAlignment w:val="baseline"/>
              <w:rPr>
                <w:sz w:val="16"/>
                <w:szCs w:val="16"/>
                <w:lang w:val="en-GB"/>
              </w:rPr>
            </w:pPr>
            <w:r w:rsidRPr="0070536A">
              <w:rPr>
                <w:b/>
                <w:bCs/>
                <w:color w:val="000000"/>
                <w:sz w:val="16"/>
                <w:szCs w:val="16"/>
                <w:lang w:val="en-GB"/>
              </w:rPr>
              <w:t xml:space="preserve">RELATED STRATEGIC PLAN OUTCOME: </w:t>
            </w:r>
            <w:r w:rsidRPr="0070536A">
              <w:rPr>
                <w:color w:val="000000"/>
                <w:sz w:val="16"/>
                <w:szCs w:val="16"/>
                <w:lang w:val="en-GB"/>
              </w:rPr>
              <w:t>2</w:t>
            </w:r>
            <w:r w:rsidR="00774683" w:rsidRPr="0070536A">
              <w:rPr>
                <w:color w:val="000000"/>
                <w:sz w:val="16"/>
                <w:szCs w:val="16"/>
                <w:lang w:val="en-GB"/>
              </w:rPr>
              <w:t xml:space="preserve"> -</w:t>
            </w:r>
            <w:r w:rsidRPr="0070536A">
              <w:rPr>
                <w:color w:val="000000"/>
                <w:sz w:val="16"/>
                <w:szCs w:val="16"/>
                <w:lang w:val="en-GB"/>
              </w:rPr>
              <w:t xml:space="preserve"> No-one left behind centring on equitable access to opportunities and a rights-based approach to human agency and human development</w:t>
            </w:r>
            <w:r w:rsidR="00774683" w:rsidRPr="0070536A">
              <w:rPr>
                <w:color w:val="000000"/>
                <w:sz w:val="16"/>
                <w:szCs w:val="16"/>
                <w:lang w:val="en-GB"/>
              </w:rPr>
              <w:t>.</w:t>
            </w:r>
          </w:p>
        </w:tc>
      </w:tr>
      <w:tr w:rsidR="00091D10" w:rsidRPr="0070536A" w14:paraId="7BA4FA71" w14:textId="77777777" w:rsidTr="00B913BB">
        <w:tblPrEx>
          <w:tblCellMar>
            <w:left w:w="0" w:type="dxa"/>
            <w:right w:w="0" w:type="dxa"/>
          </w:tblCellMar>
        </w:tblPrEx>
        <w:trPr>
          <w:trHeight w:val="315"/>
          <w:jc w:val="center"/>
        </w:trPr>
        <w:tc>
          <w:tcPr>
            <w:tcW w:w="2250" w:type="dxa"/>
            <w:shd w:val="clear" w:color="auto" w:fill="DBE5F1" w:themeFill="accent1" w:themeFillTint="33"/>
            <w:vAlign w:val="center"/>
          </w:tcPr>
          <w:p w14:paraId="5E53FE92" w14:textId="77777777" w:rsidR="00091D10" w:rsidRPr="0070536A" w:rsidRDefault="00091D10" w:rsidP="000A6AFE">
            <w:pPr>
              <w:jc w:val="center"/>
              <w:textAlignment w:val="baseline"/>
              <w:rPr>
                <w:sz w:val="16"/>
                <w:szCs w:val="16"/>
                <w:lang w:val="en-GB"/>
              </w:rPr>
            </w:pPr>
            <w:r w:rsidRPr="0070536A">
              <w:rPr>
                <w:b/>
                <w:bCs/>
                <w:color w:val="000000"/>
                <w:sz w:val="16"/>
                <w:szCs w:val="16"/>
                <w:lang w:val="en-GB"/>
              </w:rPr>
              <w:t>COOPERATION FRAMEWORK OUTCOME INDICATOR(S), BASELINES, TARGET(S)</w:t>
            </w:r>
            <w:r w:rsidRPr="0070536A">
              <w:rPr>
                <w:color w:val="000000"/>
                <w:sz w:val="16"/>
                <w:szCs w:val="16"/>
                <w:lang w:val="en-GB"/>
              </w:rPr>
              <w:t> </w:t>
            </w:r>
          </w:p>
        </w:tc>
        <w:tc>
          <w:tcPr>
            <w:tcW w:w="2140" w:type="dxa"/>
            <w:gridSpan w:val="2"/>
            <w:shd w:val="clear" w:color="auto" w:fill="DBE5F1" w:themeFill="accent1" w:themeFillTint="33"/>
            <w:vAlign w:val="center"/>
          </w:tcPr>
          <w:p w14:paraId="575A1E66" w14:textId="77777777" w:rsidR="00091D10" w:rsidRPr="0070536A" w:rsidRDefault="00091D10" w:rsidP="000A6AFE">
            <w:pPr>
              <w:jc w:val="center"/>
              <w:textAlignment w:val="baseline"/>
              <w:rPr>
                <w:sz w:val="16"/>
                <w:szCs w:val="16"/>
                <w:lang w:val="en-GB"/>
              </w:rPr>
            </w:pPr>
            <w:r w:rsidRPr="0070536A">
              <w:rPr>
                <w:b/>
                <w:bCs/>
                <w:color w:val="000000"/>
                <w:sz w:val="16"/>
                <w:szCs w:val="16"/>
                <w:lang w:val="en-GB"/>
              </w:rPr>
              <w:t>DATA SOURCE AND FREQUENCY OF DATA COLLECTION, AND RESPONSIBILITIES</w:t>
            </w:r>
            <w:r w:rsidRPr="0070536A">
              <w:rPr>
                <w:color w:val="000000"/>
                <w:sz w:val="16"/>
                <w:szCs w:val="16"/>
                <w:lang w:val="en-GB"/>
              </w:rPr>
              <w:t> </w:t>
            </w:r>
          </w:p>
        </w:tc>
        <w:tc>
          <w:tcPr>
            <w:tcW w:w="6095" w:type="dxa"/>
            <w:shd w:val="clear" w:color="auto" w:fill="DBE5F1" w:themeFill="accent1" w:themeFillTint="33"/>
            <w:vAlign w:val="center"/>
          </w:tcPr>
          <w:p w14:paraId="374D1675" w14:textId="77777777" w:rsidR="00091D10" w:rsidRPr="0070536A" w:rsidRDefault="00091D10" w:rsidP="000A6AFE">
            <w:pPr>
              <w:jc w:val="center"/>
              <w:textAlignment w:val="baseline"/>
              <w:rPr>
                <w:sz w:val="16"/>
                <w:szCs w:val="16"/>
                <w:lang w:val="en-GB"/>
              </w:rPr>
            </w:pPr>
            <w:r w:rsidRPr="0070536A">
              <w:rPr>
                <w:b/>
                <w:bCs/>
                <w:color w:val="000000"/>
                <w:sz w:val="16"/>
                <w:szCs w:val="16"/>
                <w:lang w:val="en-GB"/>
              </w:rPr>
              <w:t xml:space="preserve">INDICATIVE COUNTRY PROGRAMME OUTPUTS </w:t>
            </w:r>
          </w:p>
        </w:tc>
        <w:tc>
          <w:tcPr>
            <w:tcW w:w="1701" w:type="dxa"/>
            <w:shd w:val="clear" w:color="auto" w:fill="DBE5F1" w:themeFill="accent1" w:themeFillTint="33"/>
            <w:vAlign w:val="center"/>
          </w:tcPr>
          <w:p w14:paraId="23635375" w14:textId="1F31F963" w:rsidR="00091D10" w:rsidRPr="0070536A" w:rsidRDefault="00091D10" w:rsidP="000A6AFE">
            <w:pPr>
              <w:jc w:val="center"/>
              <w:textAlignment w:val="baseline"/>
              <w:rPr>
                <w:sz w:val="16"/>
                <w:szCs w:val="16"/>
                <w:lang w:val="en-GB"/>
              </w:rPr>
            </w:pPr>
            <w:r w:rsidRPr="0070536A">
              <w:rPr>
                <w:b/>
                <w:bCs/>
                <w:color w:val="000000"/>
                <w:sz w:val="16"/>
                <w:szCs w:val="16"/>
                <w:lang w:val="en-GB"/>
              </w:rPr>
              <w:t>MAJOR PARTNERS/ PARTNERSHIPS</w:t>
            </w:r>
            <w:r w:rsidRPr="0070536A">
              <w:rPr>
                <w:color w:val="000000"/>
                <w:sz w:val="16"/>
                <w:szCs w:val="16"/>
                <w:lang w:val="en-GB"/>
              </w:rPr>
              <w:t> </w:t>
            </w:r>
          </w:p>
          <w:p w14:paraId="348577E3" w14:textId="77777777" w:rsidR="00091D10" w:rsidRPr="0070536A" w:rsidRDefault="00091D10" w:rsidP="000A6AFE">
            <w:pPr>
              <w:jc w:val="center"/>
              <w:textAlignment w:val="baseline"/>
              <w:rPr>
                <w:sz w:val="16"/>
                <w:szCs w:val="16"/>
                <w:lang w:val="en-GB"/>
              </w:rPr>
            </w:pPr>
            <w:r w:rsidRPr="0070536A">
              <w:rPr>
                <w:b/>
                <w:bCs/>
                <w:color w:val="000000"/>
                <w:sz w:val="16"/>
                <w:szCs w:val="16"/>
                <w:lang w:val="en-GB"/>
              </w:rPr>
              <w:t>FRAMEWORKS</w:t>
            </w:r>
            <w:r w:rsidRPr="0070536A">
              <w:rPr>
                <w:color w:val="000000"/>
                <w:sz w:val="16"/>
                <w:szCs w:val="16"/>
                <w:lang w:val="en-GB"/>
              </w:rPr>
              <w:t> </w:t>
            </w:r>
          </w:p>
        </w:tc>
        <w:tc>
          <w:tcPr>
            <w:tcW w:w="1417" w:type="dxa"/>
            <w:shd w:val="clear" w:color="auto" w:fill="DBE5F1" w:themeFill="accent1" w:themeFillTint="33"/>
            <w:vAlign w:val="center"/>
          </w:tcPr>
          <w:p w14:paraId="7F5504C5" w14:textId="77777777" w:rsidR="00091D10" w:rsidRPr="0070536A" w:rsidRDefault="00091D10" w:rsidP="000A6AFE">
            <w:pPr>
              <w:jc w:val="center"/>
              <w:textAlignment w:val="baseline"/>
              <w:rPr>
                <w:sz w:val="16"/>
                <w:szCs w:val="16"/>
                <w:lang w:val="en-GB"/>
              </w:rPr>
            </w:pPr>
            <w:r w:rsidRPr="0070536A">
              <w:rPr>
                <w:b/>
                <w:bCs/>
                <w:color w:val="000000"/>
                <w:sz w:val="16"/>
                <w:szCs w:val="16"/>
                <w:lang w:val="en-GB"/>
              </w:rPr>
              <w:t xml:space="preserve">ESTIMATED COST BY OUTCOME </w:t>
            </w:r>
          </w:p>
        </w:tc>
      </w:tr>
      <w:tr w:rsidR="00091D10" w:rsidRPr="0070536A" w14:paraId="6DF485A5" w14:textId="77777777" w:rsidTr="00B913BB">
        <w:tblPrEx>
          <w:tblCellMar>
            <w:left w:w="0" w:type="dxa"/>
            <w:right w:w="0" w:type="dxa"/>
          </w:tblCellMar>
        </w:tblPrEx>
        <w:trPr>
          <w:trHeight w:val="4058"/>
          <w:jc w:val="center"/>
        </w:trPr>
        <w:tc>
          <w:tcPr>
            <w:tcW w:w="2250" w:type="dxa"/>
            <w:vMerge w:val="restart"/>
            <w:shd w:val="clear" w:color="auto" w:fill="auto"/>
          </w:tcPr>
          <w:p w14:paraId="0328AB14" w14:textId="77777777" w:rsidR="00091D10" w:rsidRPr="0070536A" w:rsidRDefault="00091D10" w:rsidP="000A6AFE">
            <w:pPr>
              <w:textAlignment w:val="baseline"/>
              <w:rPr>
                <w:b/>
                <w:bCs/>
                <w:sz w:val="16"/>
                <w:szCs w:val="16"/>
                <w:lang w:val="en-GB"/>
              </w:rPr>
            </w:pPr>
          </w:p>
          <w:p w14:paraId="4A37D2A4" w14:textId="2573C50E" w:rsidR="00091D10" w:rsidRPr="0070536A" w:rsidRDefault="00091D10" w:rsidP="000A6AFE">
            <w:pPr>
              <w:ind w:left="90" w:firstLine="8"/>
              <w:rPr>
                <w:b/>
                <w:sz w:val="16"/>
                <w:szCs w:val="16"/>
                <w:lang w:val="en-GB"/>
              </w:rPr>
            </w:pPr>
            <w:r w:rsidRPr="0070536A">
              <w:rPr>
                <w:b/>
                <w:sz w:val="16"/>
                <w:szCs w:val="16"/>
                <w:lang w:val="en-GB"/>
              </w:rPr>
              <w:t>3.3.1</w:t>
            </w:r>
            <w:r w:rsidR="00726B04" w:rsidRPr="0070536A">
              <w:rPr>
                <w:b/>
                <w:sz w:val="16"/>
                <w:szCs w:val="16"/>
                <w:lang w:val="en-GB"/>
              </w:rPr>
              <w:t>.</w:t>
            </w:r>
            <w:r w:rsidRPr="0070536A">
              <w:rPr>
                <w:b/>
                <w:sz w:val="16"/>
                <w:szCs w:val="16"/>
                <w:lang w:val="en-GB"/>
              </w:rPr>
              <w:t xml:space="preserve"> Number of new HIV infections per 1,000 uninfected population, by sex, age and key populations</w:t>
            </w:r>
          </w:p>
          <w:p w14:paraId="5A98B625" w14:textId="77777777" w:rsidR="00091D10" w:rsidRPr="0070536A" w:rsidRDefault="00091D10" w:rsidP="000A6AFE">
            <w:pPr>
              <w:ind w:left="90" w:firstLine="8"/>
              <w:rPr>
                <w:bCs/>
                <w:sz w:val="16"/>
                <w:szCs w:val="16"/>
                <w:lang w:val="en-GB"/>
              </w:rPr>
            </w:pPr>
            <w:r w:rsidRPr="0070536A">
              <w:rPr>
                <w:bCs/>
                <w:sz w:val="16"/>
                <w:szCs w:val="16"/>
                <w:lang w:val="en-GB"/>
              </w:rPr>
              <w:t>Baseline: (2020) 5.3%</w:t>
            </w:r>
          </w:p>
          <w:p w14:paraId="2F908EBF" w14:textId="77777777" w:rsidR="00091D10" w:rsidRPr="0070536A" w:rsidRDefault="00091D10" w:rsidP="000A6AFE">
            <w:pPr>
              <w:ind w:left="90" w:firstLine="8"/>
              <w:rPr>
                <w:bCs/>
                <w:sz w:val="16"/>
                <w:szCs w:val="16"/>
                <w:lang w:val="en-GB"/>
              </w:rPr>
            </w:pPr>
            <w:r w:rsidRPr="0070536A">
              <w:rPr>
                <w:bCs/>
                <w:sz w:val="16"/>
                <w:szCs w:val="16"/>
                <w:lang w:val="en-GB"/>
              </w:rPr>
              <w:t>Target: (2028) n/a</w:t>
            </w:r>
          </w:p>
          <w:p w14:paraId="57C0FF0A" w14:textId="77777777" w:rsidR="00091D10" w:rsidRPr="0070536A" w:rsidRDefault="00091D10" w:rsidP="000A6AFE">
            <w:pPr>
              <w:ind w:left="90" w:firstLine="8"/>
              <w:rPr>
                <w:b/>
                <w:sz w:val="16"/>
                <w:szCs w:val="16"/>
                <w:lang w:val="en-GB"/>
              </w:rPr>
            </w:pPr>
          </w:p>
          <w:p w14:paraId="220511AE" w14:textId="2BCACC30" w:rsidR="00091D10" w:rsidRPr="0070536A" w:rsidRDefault="00091D10" w:rsidP="000A6AFE">
            <w:pPr>
              <w:ind w:left="90" w:firstLine="8"/>
              <w:rPr>
                <w:b/>
                <w:sz w:val="16"/>
                <w:szCs w:val="16"/>
                <w:lang w:val="en-GB"/>
              </w:rPr>
            </w:pPr>
            <w:r w:rsidRPr="0070536A">
              <w:rPr>
                <w:b/>
                <w:sz w:val="16"/>
                <w:szCs w:val="16"/>
                <w:lang w:val="en-GB"/>
              </w:rPr>
              <w:t>5.2.1</w:t>
            </w:r>
            <w:r w:rsidR="00726B04" w:rsidRPr="0070536A">
              <w:rPr>
                <w:b/>
                <w:sz w:val="16"/>
                <w:szCs w:val="16"/>
                <w:lang w:val="en-GB"/>
              </w:rPr>
              <w:t>.</w:t>
            </w:r>
            <w:r w:rsidRPr="0070536A">
              <w:rPr>
                <w:b/>
                <w:sz w:val="16"/>
                <w:szCs w:val="16"/>
                <w:lang w:val="en-GB"/>
              </w:rPr>
              <w:t xml:space="preserve"> Proportion of ever-partnered women and girls aged 15 years and older subjected to physical, sexual or psychological violence by a current or former intimate partner in the previous 12 months, by form of violence and by </w:t>
            </w:r>
            <w:r w:rsidR="00204C3A" w:rsidRPr="0070536A">
              <w:rPr>
                <w:b/>
                <w:sz w:val="16"/>
                <w:szCs w:val="16"/>
                <w:lang w:val="en-GB"/>
              </w:rPr>
              <w:t>age.</w:t>
            </w:r>
          </w:p>
          <w:p w14:paraId="3783FB08" w14:textId="77777777" w:rsidR="00091D10" w:rsidRPr="0070536A" w:rsidRDefault="00091D10" w:rsidP="000A6AFE">
            <w:pPr>
              <w:ind w:left="90" w:firstLine="8"/>
              <w:rPr>
                <w:bCs/>
                <w:sz w:val="16"/>
                <w:szCs w:val="16"/>
                <w:lang w:val="en-GB"/>
              </w:rPr>
            </w:pPr>
            <w:r w:rsidRPr="0070536A">
              <w:rPr>
                <w:bCs/>
                <w:sz w:val="16"/>
                <w:szCs w:val="16"/>
                <w:lang w:val="en-GB"/>
              </w:rPr>
              <w:t>Baseline: (2011) 43.6%</w:t>
            </w:r>
          </w:p>
          <w:p w14:paraId="5D422BEF" w14:textId="77777777" w:rsidR="00091D10" w:rsidRPr="0070536A" w:rsidRDefault="00091D10" w:rsidP="000A6AFE">
            <w:pPr>
              <w:ind w:left="90" w:firstLine="8"/>
              <w:rPr>
                <w:bCs/>
                <w:sz w:val="16"/>
                <w:szCs w:val="16"/>
                <w:lang w:val="en-GB"/>
              </w:rPr>
            </w:pPr>
            <w:r w:rsidRPr="0070536A">
              <w:rPr>
                <w:bCs/>
                <w:sz w:val="16"/>
                <w:szCs w:val="16"/>
                <w:lang w:val="en-GB"/>
              </w:rPr>
              <w:t>Target: (2028) n/a</w:t>
            </w:r>
          </w:p>
          <w:p w14:paraId="4E9C5B59" w14:textId="77777777" w:rsidR="00091D10" w:rsidRPr="0070536A" w:rsidRDefault="00091D10" w:rsidP="000A6AFE">
            <w:pPr>
              <w:ind w:left="-8" w:firstLine="8"/>
              <w:rPr>
                <w:b/>
                <w:sz w:val="16"/>
                <w:szCs w:val="16"/>
                <w:lang w:val="en-GB"/>
              </w:rPr>
            </w:pPr>
          </w:p>
          <w:p w14:paraId="5F6931E8" w14:textId="77777777" w:rsidR="00091D10" w:rsidRPr="0070536A" w:rsidRDefault="00091D10" w:rsidP="000A6AFE">
            <w:pPr>
              <w:textAlignment w:val="baseline"/>
              <w:rPr>
                <w:sz w:val="16"/>
                <w:szCs w:val="16"/>
                <w:lang w:val="en-GB"/>
              </w:rPr>
            </w:pPr>
          </w:p>
        </w:tc>
        <w:tc>
          <w:tcPr>
            <w:tcW w:w="2140" w:type="dxa"/>
            <w:gridSpan w:val="2"/>
            <w:vMerge w:val="restart"/>
            <w:shd w:val="clear" w:color="auto" w:fill="auto"/>
          </w:tcPr>
          <w:p w14:paraId="61AC838C" w14:textId="77777777" w:rsidR="00091D10" w:rsidRPr="0070536A" w:rsidRDefault="00091D10" w:rsidP="000A6AFE">
            <w:pPr>
              <w:rPr>
                <w:b/>
                <w:bCs/>
                <w:color w:val="000000"/>
                <w:sz w:val="16"/>
                <w:szCs w:val="16"/>
                <w:lang w:val="en-GB"/>
              </w:rPr>
            </w:pPr>
          </w:p>
          <w:p w14:paraId="323F6BC6" w14:textId="77777777" w:rsidR="00091D10" w:rsidRPr="0070536A" w:rsidRDefault="00091D10" w:rsidP="000A6AFE">
            <w:pPr>
              <w:ind w:left="84"/>
              <w:rPr>
                <w:color w:val="000000"/>
                <w:sz w:val="16"/>
                <w:szCs w:val="16"/>
                <w:lang w:val="en-GB"/>
              </w:rPr>
            </w:pPr>
            <w:r w:rsidRPr="0070536A">
              <w:rPr>
                <w:b/>
                <w:bCs/>
                <w:color w:val="000000"/>
                <w:sz w:val="16"/>
                <w:szCs w:val="16"/>
                <w:lang w:val="en-GB"/>
              </w:rPr>
              <w:t>Source:</w:t>
            </w:r>
            <w:r w:rsidRPr="0070536A">
              <w:rPr>
                <w:sz w:val="16"/>
                <w:szCs w:val="16"/>
                <w:lang w:val="en-GB"/>
              </w:rPr>
              <w:t xml:space="preserve"> VNR</w:t>
            </w:r>
          </w:p>
          <w:p w14:paraId="46166392" w14:textId="77777777" w:rsidR="00091D10" w:rsidRPr="0070536A" w:rsidRDefault="00091D10" w:rsidP="000A6AFE">
            <w:pPr>
              <w:ind w:left="84"/>
              <w:rPr>
                <w:color w:val="000000"/>
                <w:sz w:val="16"/>
                <w:szCs w:val="16"/>
                <w:lang w:val="en-GB"/>
              </w:rPr>
            </w:pPr>
            <w:r w:rsidRPr="0070536A">
              <w:rPr>
                <w:b/>
                <w:bCs/>
                <w:color w:val="000000"/>
                <w:sz w:val="16"/>
                <w:szCs w:val="16"/>
                <w:lang w:val="en-GB"/>
              </w:rPr>
              <w:t xml:space="preserve">Frequency: </w:t>
            </w:r>
            <w:r w:rsidRPr="0070536A">
              <w:rPr>
                <w:color w:val="000000"/>
                <w:sz w:val="16"/>
                <w:szCs w:val="16"/>
                <w:lang w:val="en-GB"/>
              </w:rPr>
              <w:t>Annual</w:t>
            </w:r>
          </w:p>
          <w:p w14:paraId="63F6AD4E" w14:textId="77777777" w:rsidR="00091D10" w:rsidRPr="0070536A" w:rsidRDefault="00091D10" w:rsidP="000A6AFE">
            <w:pPr>
              <w:ind w:left="84"/>
              <w:rPr>
                <w:color w:val="000000"/>
                <w:sz w:val="16"/>
                <w:szCs w:val="16"/>
                <w:lang w:val="en-GB"/>
              </w:rPr>
            </w:pPr>
            <w:r w:rsidRPr="0070536A">
              <w:rPr>
                <w:b/>
                <w:bCs/>
                <w:color w:val="000000"/>
                <w:sz w:val="16"/>
                <w:szCs w:val="16"/>
                <w:lang w:val="en-GB"/>
              </w:rPr>
              <w:t xml:space="preserve">Responsible:  </w:t>
            </w:r>
            <w:r w:rsidRPr="0070536A">
              <w:rPr>
                <w:color w:val="000000"/>
                <w:sz w:val="16"/>
                <w:szCs w:val="16"/>
                <w:lang w:val="en-GB"/>
              </w:rPr>
              <w:t>n/a</w:t>
            </w:r>
          </w:p>
          <w:p w14:paraId="09637E4D" w14:textId="77777777" w:rsidR="00091D10" w:rsidRPr="0070536A" w:rsidRDefault="00091D10" w:rsidP="000A6AFE">
            <w:pPr>
              <w:rPr>
                <w:sz w:val="16"/>
                <w:szCs w:val="16"/>
                <w:highlight w:val="yellow"/>
                <w:lang w:val="en-GB"/>
              </w:rPr>
            </w:pPr>
          </w:p>
          <w:p w14:paraId="48F11834" w14:textId="77777777" w:rsidR="00091D10" w:rsidRPr="0070536A" w:rsidRDefault="00091D10" w:rsidP="000A6AFE">
            <w:pPr>
              <w:rPr>
                <w:sz w:val="16"/>
                <w:szCs w:val="16"/>
                <w:highlight w:val="yellow"/>
                <w:lang w:val="en-GB"/>
              </w:rPr>
            </w:pPr>
          </w:p>
          <w:p w14:paraId="643A60A0" w14:textId="77777777" w:rsidR="00091D10" w:rsidRPr="0070536A" w:rsidRDefault="00091D10" w:rsidP="000A6AFE">
            <w:pPr>
              <w:rPr>
                <w:sz w:val="16"/>
                <w:szCs w:val="16"/>
                <w:highlight w:val="yellow"/>
                <w:lang w:val="en-GB"/>
              </w:rPr>
            </w:pPr>
          </w:p>
          <w:p w14:paraId="2E99BCE2" w14:textId="77777777" w:rsidR="00091D10" w:rsidRPr="0070536A" w:rsidRDefault="00091D10" w:rsidP="000A6AFE">
            <w:pPr>
              <w:rPr>
                <w:sz w:val="16"/>
                <w:szCs w:val="16"/>
                <w:highlight w:val="yellow"/>
                <w:lang w:val="en-GB"/>
              </w:rPr>
            </w:pPr>
          </w:p>
          <w:p w14:paraId="5AEFED03" w14:textId="77777777" w:rsidR="00091D10" w:rsidRPr="0070536A" w:rsidRDefault="00091D10" w:rsidP="000A6AFE">
            <w:pPr>
              <w:ind w:left="84"/>
              <w:rPr>
                <w:color w:val="000000"/>
                <w:sz w:val="16"/>
                <w:szCs w:val="16"/>
                <w:lang w:val="en-GB"/>
              </w:rPr>
            </w:pPr>
            <w:r w:rsidRPr="0070536A">
              <w:rPr>
                <w:b/>
                <w:bCs/>
                <w:color w:val="000000"/>
                <w:sz w:val="16"/>
                <w:szCs w:val="16"/>
                <w:lang w:val="en-GB"/>
              </w:rPr>
              <w:t>Source:</w:t>
            </w:r>
            <w:r w:rsidRPr="0070536A">
              <w:rPr>
                <w:sz w:val="16"/>
                <w:szCs w:val="16"/>
                <w:lang w:val="en-GB"/>
              </w:rPr>
              <w:t xml:space="preserve"> VNR</w:t>
            </w:r>
          </w:p>
          <w:p w14:paraId="41646DCC" w14:textId="77777777" w:rsidR="00091D10" w:rsidRPr="0070536A" w:rsidRDefault="00091D10" w:rsidP="000A6AFE">
            <w:pPr>
              <w:ind w:left="84"/>
              <w:rPr>
                <w:color w:val="000000"/>
                <w:sz w:val="16"/>
                <w:szCs w:val="16"/>
                <w:lang w:val="en-GB"/>
              </w:rPr>
            </w:pPr>
            <w:r w:rsidRPr="0070536A">
              <w:rPr>
                <w:b/>
                <w:bCs/>
                <w:color w:val="000000"/>
                <w:sz w:val="16"/>
                <w:szCs w:val="16"/>
                <w:lang w:val="en-GB"/>
              </w:rPr>
              <w:t xml:space="preserve">Frequency: </w:t>
            </w:r>
            <w:r w:rsidRPr="0070536A">
              <w:rPr>
                <w:color w:val="000000"/>
                <w:sz w:val="16"/>
                <w:szCs w:val="16"/>
                <w:lang w:val="en-GB"/>
              </w:rPr>
              <w:t xml:space="preserve">Annual   </w:t>
            </w:r>
          </w:p>
          <w:p w14:paraId="44D4FF8E" w14:textId="77777777" w:rsidR="00091D10" w:rsidRPr="0070536A" w:rsidRDefault="00091D10" w:rsidP="000A6AFE">
            <w:pPr>
              <w:ind w:left="84"/>
              <w:rPr>
                <w:color w:val="000000"/>
                <w:sz w:val="16"/>
                <w:szCs w:val="16"/>
                <w:lang w:val="en-GB"/>
              </w:rPr>
            </w:pPr>
            <w:r w:rsidRPr="0070536A">
              <w:rPr>
                <w:b/>
                <w:bCs/>
                <w:color w:val="000000"/>
                <w:sz w:val="16"/>
                <w:szCs w:val="16"/>
                <w:lang w:val="en-GB"/>
              </w:rPr>
              <w:t xml:space="preserve">Responsible:   </w:t>
            </w:r>
            <w:r w:rsidRPr="0070536A">
              <w:rPr>
                <w:color w:val="000000"/>
                <w:sz w:val="16"/>
                <w:szCs w:val="16"/>
                <w:lang w:val="en-GB"/>
              </w:rPr>
              <w:t>n/a</w:t>
            </w:r>
          </w:p>
          <w:p w14:paraId="3A5CB943" w14:textId="77777777" w:rsidR="00091D10" w:rsidRPr="0070536A" w:rsidRDefault="00091D10" w:rsidP="000A6AFE">
            <w:pPr>
              <w:rPr>
                <w:sz w:val="16"/>
                <w:szCs w:val="16"/>
                <w:highlight w:val="yellow"/>
                <w:lang w:val="en-GB"/>
              </w:rPr>
            </w:pPr>
          </w:p>
        </w:tc>
        <w:tc>
          <w:tcPr>
            <w:tcW w:w="6095" w:type="dxa"/>
            <w:shd w:val="clear" w:color="auto" w:fill="auto"/>
          </w:tcPr>
          <w:p w14:paraId="123C0E8B" w14:textId="46476FCF" w:rsidR="00091D10" w:rsidRPr="0070536A" w:rsidRDefault="00091D10" w:rsidP="000A6AFE">
            <w:pPr>
              <w:spacing w:after="120"/>
              <w:ind w:left="108"/>
              <w:jc w:val="both"/>
              <w:textAlignment w:val="baseline"/>
              <w:rPr>
                <w:rFonts w:ascii="Times New Roman Bold" w:hAnsi="Times New Roman Bold" w:cs="Times New Roman Bold"/>
                <w:b/>
                <w:bCs/>
                <w:sz w:val="16"/>
                <w:szCs w:val="16"/>
                <w:lang w:val="en-GB"/>
              </w:rPr>
            </w:pPr>
            <w:r w:rsidRPr="0070536A">
              <w:rPr>
                <w:rFonts w:ascii="Times New Roman Bold" w:hAnsi="Times New Roman Bold" w:cs="Times New Roman Bold"/>
                <w:b/>
                <w:bCs/>
                <w:sz w:val="16"/>
                <w:szCs w:val="16"/>
                <w:lang w:val="en-GB"/>
              </w:rPr>
              <w:t>4.1</w:t>
            </w:r>
            <w:r w:rsidR="00726B04" w:rsidRPr="0070536A">
              <w:rPr>
                <w:rFonts w:ascii="Times New Roman Bold" w:hAnsi="Times New Roman Bold" w:cs="Times New Roman Bold"/>
                <w:b/>
                <w:bCs/>
                <w:sz w:val="16"/>
                <w:szCs w:val="16"/>
                <w:lang w:val="en-GB"/>
              </w:rPr>
              <w:t>.</w:t>
            </w:r>
            <w:r w:rsidRPr="0070536A">
              <w:rPr>
                <w:rFonts w:ascii="Times New Roman Bold" w:hAnsi="Times New Roman Bold" w:cs="Times New Roman Bold"/>
                <w:b/>
                <w:bCs/>
                <w:sz w:val="16"/>
                <w:szCs w:val="16"/>
                <w:lang w:val="en-GB"/>
              </w:rPr>
              <w:t xml:space="preserve"> Women, youth, people with disabilities and other vulnerable groups have improved access to health, justice and social protection services including through digitalization.</w:t>
            </w:r>
          </w:p>
          <w:p w14:paraId="25069DC0" w14:textId="77777777" w:rsidR="00091D10" w:rsidRPr="0070536A" w:rsidRDefault="00091D10" w:rsidP="000A6AFE">
            <w:pPr>
              <w:ind w:left="108"/>
              <w:jc w:val="both"/>
              <w:rPr>
                <w:b/>
                <w:bCs/>
                <w:sz w:val="16"/>
                <w:szCs w:val="16"/>
                <w:lang w:val="en-GB"/>
              </w:rPr>
            </w:pPr>
            <w:r w:rsidRPr="0070536A">
              <w:rPr>
                <w:b/>
                <w:bCs/>
                <w:sz w:val="16"/>
                <w:szCs w:val="16"/>
                <w:lang w:val="en-GB"/>
              </w:rPr>
              <w:t>Indicators:</w:t>
            </w:r>
          </w:p>
          <w:p w14:paraId="09DE8B85" w14:textId="30A77891" w:rsidR="00091D10" w:rsidRPr="0070536A" w:rsidRDefault="00091D10" w:rsidP="000A6AFE">
            <w:pPr>
              <w:ind w:left="108"/>
              <w:jc w:val="both"/>
              <w:rPr>
                <w:sz w:val="16"/>
                <w:szCs w:val="16"/>
                <w:lang w:val="en-GB"/>
              </w:rPr>
            </w:pPr>
            <w:r w:rsidRPr="0070536A">
              <w:rPr>
                <w:b/>
                <w:bCs/>
                <w:sz w:val="16"/>
                <w:szCs w:val="16"/>
                <w:lang w:val="en-GB"/>
              </w:rPr>
              <w:t>4.1.1</w:t>
            </w:r>
            <w:r w:rsidR="00726B04" w:rsidRPr="0070536A">
              <w:rPr>
                <w:b/>
                <w:bCs/>
                <w:sz w:val="16"/>
                <w:szCs w:val="16"/>
                <w:lang w:val="en-GB"/>
              </w:rPr>
              <w:t>.</w:t>
            </w:r>
            <w:r w:rsidRPr="0070536A">
              <w:rPr>
                <w:sz w:val="16"/>
                <w:szCs w:val="16"/>
                <w:lang w:val="en-GB"/>
              </w:rPr>
              <w:t xml:space="preserve"> Number of digital solutions introduced to strengthen health systems. (IRRF 1.4.2. a.)</w:t>
            </w:r>
          </w:p>
          <w:p w14:paraId="399B2CB5" w14:textId="77777777" w:rsidR="00091D10" w:rsidRPr="0070536A" w:rsidRDefault="00091D10" w:rsidP="000A6AFE">
            <w:pPr>
              <w:ind w:left="108"/>
              <w:jc w:val="both"/>
              <w:rPr>
                <w:sz w:val="16"/>
                <w:szCs w:val="16"/>
                <w:lang w:val="en-GB"/>
              </w:rPr>
            </w:pPr>
            <w:r w:rsidRPr="0070536A">
              <w:rPr>
                <w:sz w:val="16"/>
                <w:szCs w:val="16"/>
                <w:lang w:val="en-GB"/>
              </w:rPr>
              <w:t xml:space="preserve">Baseline (2023): 1 </w:t>
            </w:r>
          </w:p>
          <w:p w14:paraId="110EE8DC" w14:textId="77777777" w:rsidR="00091D10" w:rsidRPr="0070536A" w:rsidRDefault="00091D10" w:rsidP="000A6AFE">
            <w:pPr>
              <w:ind w:left="108"/>
              <w:jc w:val="both"/>
              <w:rPr>
                <w:sz w:val="16"/>
                <w:szCs w:val="16"/>
                <w:lang w:val="en-GB"/>
              </w:rPr>
            </w:pPr>
            <w:r w:rsidRPr="0070536A">
              <w:rPr>
                <w:sz w:val="16"/>
                <w:szCs w:val="16"/>
                <w:lang w:val="en-GB"/>
              </w:rPr>
              <w:t>Target (2028):</w:t>
            </w:r>
            <w:r w:rsidRPr="0070536A">
              <w:rPr>
                <w:i/>
                <w:iCs/>
                <w:sz w:val="16"/>
                <w:szCs w:val="16"/>
                <w:lang w:val="en-GB"/>
              </w:rPr>
              <w:t xml:space="preserve">    </w:t>
            </w:r>
            <w:r w:rsidRPr="0070536A">
              <w:rPr>
                <w:sz w:val="16"/>
                <w:szCs w:val="16"/>
                <w:lang w:val="en-GB"/>
              </w:rPr>
              <w:t>5</w:t>
            </w:r>
          </w:p>
          <w:p w14:paraId="0407EFE1" w14:textId="77777777" w:rsidR="00091D10" w:rsidRPr="0070536A" w:rsidRDefault="00091D10" w:rsidP="000A6AFE">
            <w:pPr>
              <w:ind w:left="108"/>
              <w:jc w:val="both"/>
              <w:rPr>
                <w:sz w:val="16"/>
                <w:szCs w:val="16"/>
                <w:lang w:val="en-GB"/>
              </w:rPr>
            </w:pPr>
            <w:r w:rsidRPr="0070536A">
              <w:rPr>
                <w:sz w:val="16"/>
                <w:szCs w:val="16"/>
                <w:lang w:val="en-GB" w:eastAsia="zh-Hans"/>
              </w:rPr>
              <w:t>Data source: MINSABS</w:t>
            </w:r>
          </w:p>
          <w:p w14:paraId="3F8A47CE" w14:textId="77777777" w:rsidR="00091D10" w:rsidRPr="0070536A" w:rsidRDefault="00091D10" w:rsidP="000A6AFE">
            <w:pPr>
              <w:spacing w:after="120"/>
              <w:ind w:left="108"/>
              <w:jc w:val="both"/>
              <w:rPr>
                <w:sz w:val="16"/>
                <w:szCs w:val="16"/>
                <w:lang w:val="en-GB"/>
              </w:rPr>
            </w:pPr>
            <w:r w:rsidRPr="0070536A">
              <w:rPr>
                <w:sz w:val="16"/>
                <w:szCs w:val="16"/>
                <w:lang w:val="en-GB"/>
              </w:rPr>
              <w:t>Frequency: Annual</w:t>
            </w:r>
          </w:p>
          <w:p w14:paraId="36F18519" w14:textId="2920A91C" w:rsidR="00091D10" w:rsidRPr="0070536A" w:rsidRDefault="00091D10" w:rsidP="000A6AFE">
            <w:pPr>
              <w:ind w:left="108"/>
              <w:jc w:val="both"/>
              <w:rPr>
                <w:sz w:val="16"/>
                <w:szCs w:val="16"/>
                <w:lang w:val="en-GB"/>
              </w:rPr>
            </w:pPr>
            <w:r w:rsidRPr="0070536A">
              <w:rPr>
                <w:b/>
                <w:bCs/>
                <w:sz w:val="16"/>
                <w:szCs w:val="16"/>
                <w:lang w:val="en-GB"/>
              </w:rPr>
              <w:t>4.1.2</w:t>
            </w:r>
            <w:r w:rsidR="00726B04" w:rsidRPr="0070536A">
              <w:rPr>
                <w:b/>
                <w:bCs/>
                <w:sz w:val="16"/>
                <w:szCs w:val="16"/>
                <w:lang w:val="en-GB"/>
              </w:rPr>
              <w:t>.</w:t>
            </w:r>
            <w:r w:rsidRPr="0070536A">
              <w:rPr>
                <w:sz w:val="16"/>
                <w:szCs w:val="16"/>
                <w:lang w:val="en-GB"/>
              </w:rPr>
              <w:t xml:space="preserve"> Number of persons with digital access to (a) the social protection system, and) b) justice disaggregated by sex and degree of vulnerability.</w:t>
            </w:r>
          </w:p>
          <w:p w14:paraId="6A8BF30F" w14:textId="77777777" w:rsidR="00091D10" w:rsidRPr="0070536A" w:rsidRDefault="00091D10" w:rsidP="000A6AFE">
            <w:pPr>
              <w:ind w:left="108"/>
              <w:jc w:val="both"/>
              <w:rPr>
                <w:sz w:val="16"/>
                <w:szCs w:val="16"/>
                <w:lang w:val="en-GB"/>
              </w:rPr>
            </w:pPr>
            <w:r w:rsidRPr="0070536A">
              <w:rPr>
                <w:sz w:val="16"/>
                <w:szCs w:val="16"/>
                <w:lang w:val="en-GB"/>
              </w:rPr>
              <w:t>Baseline (2023):    0</w:t>
            </w:r>
          </w:p>
          <w:p w14:paraId="15F884A2" w14:textId="3B449CDA" w:rsidR="00091D10" w:rsidRPr="0070536A" w:rsidRDefault="00091D10" w:rsidP="000A6AFE">
            <w:pPr>
              <w:ind w:left="108"/>
              <w:jc w:val="both"/>
              <w:rPr>
                <w:sz w:val="16"/>
                <w:szCs w:val="16"/>
                <w:lang w:val="en-GB"/>
              </w:rPr>
            </w:pPr>
            <w:r w:rsidRPr="0070536A">
              <w:rPr>
                <w:sz w:val="16"/>
                <w:szCs w:val="16"/>
                <w:lang w:val="en-GB"/>
              </w:rPr>
              <w:t>Target (2028):   a) 500</w:t>
            </w:r>
            <w:r w:rsidR="00726B04" w:rsidRPr="0070536A">
              <w:rPr>
                <w:sz w:val="16"/>
                <w:szCs w:val="16"/>
                <w:lang w:val="en-GB"/>
              </w:rPr>
              <w:t xml:space="preserve"> and</w:t>
            </w:r>
            <w:r w:rsidRPr="0070536A">
              <w:rPr>
                <w:sz w:val="16"/>
                <w:szCs w:val="16"/>
                <w:lang w:val="en-GB"/>
              </w:rPr>
              <w:t xml:space="preserve"> b) 300 (40% women, 40% from vulnerable groups) </w:t>
            </w:r>
          </w:p>
          <w:p w14:paraId="7A04E9D4" w14:textId="6E83E58C" w:rsidR="00091D10" w:rsidRPr="0070536A" w:rsidRDefault="00091D10" w:rsidP="000A6AFE">
            <w:pPr>
              <w:ind w:left="108"/>
              <w:jc w:val="both"/>
              <w:rPr>
                <w:sz w:val="16"/>
                <w:szCs w:val="16"/>
                <w:lang w:val="en-GB"/>
              </w:rPr>
            </w:pPr>
            <w:r w:rsidRPr="0070536A">
              <w:rPr>
                <w:sz w:val="16"/>
                <w:szCs w:val="16"/>
                <w:lang w:val="en-GB" w:eastAsia="zh-Hans"/>
              </w:rPr>
              <w:t xml:space="preserve">Data source: </w:t>
            </w:r>
            <w:r w:rsidR="008527BC" w:rsidRPr="0070536A">
              <w:rPr>
                <w:sz w:val="16"/>
                <w:szCs w:val="16"/>
                <w:lang w:val="en-GB" w:eastAsia="zh-Hans"/>
              </w:rPr>
              <w:t>National Institute for Social Security</w:t>
            </w:r>
            <w:r w:rsidR="005139AD" w:rsidRPr="0070536A">
              <w:rPr>
                <w:sz w:val="16"/>
                <w:szCs w:val="16"/>
                <w:lang w:val="en-GB" w:eastAsia="zh-Hans"/>
              </w:rPr>
              <w:t xml:space="preserve"> (</w:t>
            </w:r>
            <w:r w:rsidRPr="0070536A">
              <w:rPr>
                <w:sz w:val="16"/>
                <w:szCs w:val="16"/>
                <w:lang w:val="en-GB" w:eastAsia="zh-Hans"/>
              </w:rPr>
              <w:t>INSESO</w:t>
            </w:r>
            <w:r w:rsidR="005139AD" w:rsidRPr="0070536A">
              <w:rPr>
                <w:sz w:val="16"/>
                <w:szCs w:val="16"/>
                <w:lang w:val="en-GB" w:eastAsia="zh-Hans"/>
              </w:rPr>
              <w:t>)</w:t>
            </w:r>
          </w:p>
          <w:p w14:paraId="298B65F3" w14:textId="77777777" w:rsidR="00091D10" w:rsidRPr="0070536A" w:rsidRDefault="00091D10" w:rsidP="000A6AFE">
            <w:pPr>
              <w:spacing w:after="120"/>
              <w:ind w:left="108"/>
              <w:jc w:val="both"/>
              <w:rPr>
                <w:sz w:val="16"/>
                <w:szCs w:val="16"/>
                <w:lang w:val="en-GB"/>
              </w:rPr>
            </w:pPr>
            <w:r w:rsidRPr="0070536A">
              <w:rPr>
                <w:sz w:val="16"/>
                <w:szCs w:val="16"/>
                <w:lang w:val="en-GB"/>
              </w:rPr>
              <w:t>Frequency: Annual</w:t>
            </w:r>
          </w:p>
          <w:p w14:paraId="63D2DF89" w14:textId="79E40B6D" w:rsidR="00091D10" w:rsidRPr="0070536A" w:rsidRDefault="00091D10" w:rsidP="000A6AFE">
            <w:pPr>
              <w:ind w:left="108"/>
              <w:jc w:val="both"/>
              <w:rPr>
                <w:sz w:val="16"/>
                <w:szCs w:val="16"/>
                <w:lang w:val="en-GB"/>
              </w:rPr>
            </w:pPr>
            <w:r w:rsidRPr="0070536A">
              <w:rPr>
                <w:b/>
                <w:bCs/>
                <w:sz w:val="16"/>
                <w:szCs w:val="16"/>
                <w:lang w:val="en-GB"/>
              </w:rPr>
              <w:t>4.1.3</w:t>
            </w:r>
            <w:r w:rsidR="00726B04" w:rsidRPr="0070536A">
              <w:rPr>
                <w:b/>
                <w:bCs/>
                <w:sz w:val="16"/>
                <w:szCs w:val="16"/>
                <w:lang w:val="en-GB"/>
              </w:rPr>
              <w:t>.</w:t>
            </w:r>
            <w:r w:rsidRPr="0070536A">
              <w:rPr>
                <w:sz w:val="16"/>
                <w:szCs w:val="16"/>
                <w:lang w:val="en-GB"/>
              </w:rPr>
              <w:t xml:space="preserve"> Number of institutions with digitalized public information management systems</w:t>
            </w:r>
          </w:p>
          <w:p w14:paraId="2BD676D1" w14:textId="77777777" w:rsidR="00091D10" w:rsidRPr="0070536A" w:rsidRDefault="00091D10" w:rsidP="000A6AFE">
            <w:pPr>
              <w:ind w:left="108"/>
              <w:jc w:val="both"/>
              <w:rPr>
                <w:sz w:val="16"/>
                <w:szCs w:val="16"/>
                <w:lang w:val="en-GB"/>
              </w:rPr>
            </w:pPr>
            <w:r w:rsidRPr="0070536A">
              <w:rPr>
                <w:sz w:val="16"/>
                <w:szCs w:val="16"/>
                <w:lang w:val="en-GB"/>
              </w:rPr>
              <w:t>Baseline (2023): 1</w:t>
            </w:r>
          </w:p>
          <w:p w14:paraId="5D9906EB" w14:textId="77777777" w:rsidR="00091D10" w:rsidRPr="0070536A" w:rsidRDefault="00091D10" w:rsidP="000A6AFE">
            <w:pPr>
              <w:ind w:left="108"/>
              <w:jc w:val="both"/>
              <w:rPr>
                <w:sz w:val="16"/>
                <w:szCs w:val="16"/>
                <w:lang w:val="en-GB"/>
              </w:rPr>
            </w:pPr>
            <w:r w:rsidRPr="0070536A">
              <w:rPr>
                <w:sz w:val="16"/>
                <w:szCs w:val="16"/>
                <w:lang w:val="en-GB"/>
              </w:rPr>
              <w:t>Target (2028):    5</w:t>
            </w:r>
          </w:p>
          <w:p w14:paraId="52AB3ACA" w14:textId="77777777" w:rsidR="00091D10" w:rsidRPr="0070536A" w:rsidRDefault="00091D10" w:rsidP="000A6AFE">
            <w:pPr>
              <w:ind w:left="108"/>
              <w:jc w:val="both"/>
              <w:rPr>
                <w:sz w:val="16"/>
                <w:szCs w:val="16"/>
                <w:lang w:val="en-GB"/>
              </w:rPr>
            </w:pPr>
            <w:r w:rsidRPr="0070536A">
              <w:rPr>
                <w:sz w:val="16"/>
                <w:szCs w:val="16"/>
                <w:lang w:val="en-GB" w:eastAsia="zh-Hans"/>
              </w:rPr>
              <w:t>Data source: MINFPYRA</w:t>
            </w:r>
          </w:p>
          <w:p w14:paraId="0DFB33EC" w14:textId="77777777" w:rsidR="00091D10" w:rsidRPr="0070536A" w:rsidRDefault="00091D10" w:rsidP="000A6AFE">
            <w:pPr>
              <w:spacing w:after="120"/>
              <w:ind w:left="108"/>
              <w:jc w:val="both"/>
              <w:rPr>
                <w:sz w:val="16"/>
                <w:szCs w:val="16"/>
                <w:lang w:val="en-GB"/>
              </w:rPr>
            </w:pPr>
            <w:r w:rsidRPr="0070536A">
              <w:rPr>
                <w:sz w:val="16"/>
                <w:szCs w:val="16"/>
                <w:lang w:val="en-GB"/>
              </w:rPr>
              <w:t>Frequency: Annual</w:t>
            </w:r>
          </w:p>
        </w:tc>
        <w:tc>
          <w:tcPr>
            <w:tcW w:w="1701" w:type="dxa"/>
            <w:vMerge w:val="restart"/>
            <w:shd w:val="clear" w:color="auto" w:fill="auto"/>
          </w:tcPr>
          <w:p w14:paraId="7903A4B8"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Ministries of:</w:t>
            </w:r>
          </w:p>
          <w:p w14:paraId="1BD32BB2"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Health and Social Welfare</w:t>
            </w:r>
          </w:p>
          <w:p w14:paraId="0F400117"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Justice and Penitentiary Institutions</w:t>
            </w:r>
          </w:p>
          <w:p w14:paraId="25769664"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Third Vice-Premier in charge of Human Rights</w:t>
            </w:r>
          </w:p>
          <w:p w14:paraId="37E9B32B" w14:textId="77777777" w:rsidR="00726B04" w:rsidRPr="0070536A" w:rsidRDefault="00726B04" w:rsidP="000A6AFE">
            <w:pPr>
              <w:spacing w:after="120"/>
              <w:ind w:left="132"/>
              <w:textAlignment w:val="baseline"/>
              <w:rPr>
                <w:sz w:val="16"/>
                <w:szCs w:val="16"/>
                <w:lang w:val="en-GB" w:eastAsia="en-GB"/>
              </w:rPr>
            </w:pPr>
          </w:p>
          <w:p w14:paraId="5174354C" w14:textId="6AE703EE"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 xml:space="preserve">UNICEF </w:t>
            </w:r>
          </w:p>
          <w:p w14:paraId="722D7C93" w14:textId="4DCAC8D1"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 xml:space="preserve">UNFPA </w:t>
            </w:r>
          </w:p>
          <w:p w14:paraId="5610F6AE" w14:textId="3BAF4815" w:rsidR="00091D10" w:rsidRPr="0070536A" w:rsidRDefault="00726B04" w:rsidP="000A6AFE">
            <w:pPr>
              <w:spacing w:after="120"/>
              <w:ind w:left="132"/>
              <w:textAlignment w:val="baseline"/>
              <w:rPr>
                <w:sz w:val="16"/>
                <w:szCs w:val="16"/>
                <w:lang w:val="en-GB" w:eastAsia="en-GB"/>
              </w:rPr>
            </w:pPr>
            <w:r w:rsidRPr="0070536A">
              <w:rPr>
                <w:sz w:val="16"/>
                <w:szCs w:val="16"/>
                <w:lang w:val="en-GB" w:eastAsia="en-GB"/>
              </w:rPr>
              <w:t>World Health Organization (</w:t>
            </w:r>
            <w:r w:rsidR="00091D10" w:rsidRPr="0070536A">
              <w:rPr>
                <w:sz w:val="16"/>
                <w:szCs w:val="16"/>
                <w:lang w:val="en-GB" w:eastAsia="en-GB"/>
              </w:rPr>
              <w:t>WHO</w:t>
            </w:r>
            <w:r w:rsidRPr="0070536A">
              <w:rPr>
                <w:sz w:val="16"/>
                <w:szCs w:val="16"/>
                <w:lang w:val="en-GB" w:eastAsia="en-GB"/>
              </w:rPr>
              <w:t>)</w:t>
            </w:r>
          </w:p>
          <w:p w14:paraId="63D464F9" w14:textId="77777777" w:rsidR="00091D10" w:rsidRPr="0070536A" w:rsidRDefault="00091D10" w:rsidP="000A6AFE">
            <w:pPr>
              <w:spacing w:after="120"/>
              <w:ind w:left="132"/>
              <w:textAlignment w:val="baseline"/>
              <w:rPr>
                <w:sz w:val="16"/>
                <w:szCs w:val="16"/>
                <w:lang w:val="en-GB" w:eastAsia="en-GB"/>
              </w:rPr>
            </w:pPr>
            <w:r w:rsidRPr="0070536A">
              <w:rPr>
                <w:sz w:val="16"/>
                <w:szCs w:val="16"/>
                <w:lang w:val="en-GB" w:eastAsia="en-GB"/>
              </w:rPr>
              <w:t>UNAIDS</w:t>
            </w:r>
          </w:p>
          <w:p w14:paraId="663296A5" w14:textId="77777777" w:rsidR="00091D10" w:rsidRPr="0070536A" w:rsidRDefault="00091D10" w:rsidP="000A6AFE">
            <w:pPr>
              <w:spacing w:after="120"/>
              <w:textAlignment w:val="baseline"/>
              <w:rPr>
                <w:sz w:val="16"/>
                <w:szCs w:val="16"/>
                <w:lang w:val="en-GB"/>
              </w:rPr>
            </w:pPr>
          </w:p>
        </w:tc>
        <w:tc>
          <w:tcPr>
            <w:tcW w:w="1417" w:type="dxa"/>
            <w:vMerge w:val="restart"/>
            <w:shd w:val="clear" w:color="auto" w:fill="auto"/>
          </w:tcPr>
          <w:p w14:paraId="3DCA3140" w14:textId="01700A10" w:rsidR="00091D10" w:rsidRPr="0070536A" w:rsidRDefault="00091D10" w:rsidP="000A6AFE">
            <w:pPr>
              <w:ind w:left="138"/>
              <w:textAlignment w:val="baseline"/>
              <w:rPr>
                <w:color w:val="000000"/>
                <w:sz w:val="16"/>
                <w:szCs w:val="16"/>
                <w:lang w:val="en-GB"/>
              </w:rPr>
            </w:pPr>
            <w:r w:rsidRPr="0070536A">
              <w:rPr>
                <w:b/>
                <w:bCs/>
                <w:color w:val="000000"/>
                <w:sz w:val="16"/>
                <w:szCs w:val="16"/>
                <w:lang w:val="en-GB"/>
              </w:rPr>
              <w:t xml:space="preserve">Regular: </w:t>
            </w:r>
            <w:r w:rsidRPr="0070536A">
              <w:rPr>
                <w:color w:val="000000"/>
                <w:sz w:val="16"/>
                <w:szCs w:val="16"/>
                <w:lang w:val="en-GB"/>
              </w:rPr>
              <w:t>$</w:t>
            </w:r>
            <w:r w:rsidR="00F672F7" w:rsidRPr="0070536A">
              <w:rPr>
                <w:color w:val="000000"/>
                <w:sz w:val="16"/>
                <w:szCs w:val="16"/>
                <w:lang w:val="en-GB"/>
              </w:rPr>
              <w:t>345</w:t>
            </w:r>
            <w:r w:rsidRPr="0070536A">
              <w:rPr>
                <w:color w:val="000000"/>
                <w:sz w:val="16"/>
                <w:szCs w:val="16"/>
                <w:lang w:val="en-GB"/>
              </w:rPr>
              <w:t>,000</w:t>
            </w:r>
          </w:p>
          <w:p w14:paraId="10D04104" w14:textId="77777777" w:rsidR="00091D10" w:rsidRPr="0070536A" w:rsidRDefault="00091D10" w:rsidP="000A6AFE">
            <w:pPr>
              <w:spacing w:line="257" w:lineRule="auto"/>
              <w:ind w:left="138"/>
              <w:textAlignment w:val="baseline"/>
              <w:rPr>
                <w:rFonts w:eastAsia="Calibri"/>
                <w:sz w:val="16"/>
                <w:szCs w:val="16"/>
                <w:lang w:val="en-GB"/>
              </w:rPr>
            </w:pPr>
            <w:r w:rsidRPr="0070536A">
              <w:rPr>
                <w:rFonts w:eastAsia="Calibri"/>
                <w:sz w:val="16"/>
                <w:szCs w:val="16"/>
                <w:lang w:val="en-GB"/>
              </w:rPr>
              <w:t xml:space="preserve"> </w:t>
            </w:r>
          </w:p>
          <w:p w14:paraId="205AE4FC" w14:textId="77777777" w:rsidR="00091D10" w:rsidRPr="0070536A" w:rsidRDefault="00091D10" w:rsidP="000A6AFE">
            <w:pPr>
              <w:spacing w:line="257" w:lineRule="auto"/>
              <w:ind w:left="138"/>
              <w:textAlignment w:val="baseline"/>
              <w:rPr>
                <w:rFonts w:eastAsia="Calibri"/>
                <w:b/>
                <w:bCs/>
                <w:sz w:val="16"/>
                <w:szCs w:val="16"/>
                <w:lang w:val="en-GB"/>
              </w:rPr>
            </w:pPr>
            <w:r w:rsidRPr="0070536A">
              <w:rPr>
                <w:rFonts w:eastAsia="Calibri"/>
                <w:b/>
                <w:bCs/>
                <w:sz w:val="16"/>
                <w:szCs w:val="16"/>
                <w:lang w:val="en-GB"/>
              </w:rPr>
              <w:t xml:space="preserve">Other:   </w:t>
            </w:r>
            <w:r w:rsidRPr="0070536A">
              <w:rPr>
                <w:rFonts w:eastAsia="Calibri"/>
                <w:sz w:val="16"/>
                <w:szCs w:val="16"/>
                <w:lang w:val="en-GB"/>
              </w:rPr>
              <w:t xml:space="preserve"> $25,000,000    </w:t>
            </w:r>
          </w:p>
          <w:p w14:paraId="5A0F69AB" w14:textId="77777777" w:rsidR="00091D10" w:rsidRPr="0070536A" w:rsidRDefault="00091D10" w:rsidP="000A6AFE">
            <w:pPr>
              <w:spacing w:line="257" w:lineRule="auto"/>
              <w:ind w:left="138"/>
              <w:textAlignment w:val="baseline"/>
              <w:rPr>
                <w:rFonts w:eastAsia="Calibri"/>
                <w:sz w:val="16"/>
                <w:szCs w:val="16"/>
                <w:lang w:val="en-GB"/>
              </w:rPr>
            </w:pPr>
            <w:r w:rsidRPr="0070536A">
              <w:rPr>
                <w:rFonts w:eastAsia="Calibri"/>
                <w:sz w:val="16"/>
                <w:szCs w:val="16"/>
                <w:lang w:val="en-GB"/>
              </w:rPr>
              <w:t xml:space="preserve"> </w:t>
            </w:r>
          </w:p>
          <w:p w14:paraId="1C55A1F6" w14:textId="77777777" w:rsidR="00091D10" w:rsidRPr="0070536A" w:rsidRDefault="00091D10" w:rsidP="000A6AFE">
            <w:pPr>
              <w:spacing w:line="257" w:lineRule="auto"/>
              <w:textAlignment w:val="baseline"/>
              <w:rPr>
                <w:rFonts w:eastAsia="Calibri"/>
                <w:b/>
                <w:bCs/>
                <w:sz w:val="16"/>
                <w:szCs w:val="16"/>
                <w:lang w:val="en-GB"/>
              </w:rPr>
            </w:pPr>
          </w:p>
          <w:p w14:paraId="1C330FDE" w14:textId="77777777" w:rsidR="00091D10" w:rsidRPr="0070536A" w:rsidRDefault="00091D10" w:rsidP="000A6AFE">
            <w:pPr>
              <w:spacing w:line="257" w:lineRule="auto"/>
              <w:textAlignment w:val="baseline"/>
              <w:rPr>
                <w:rFonts w:eastAsia="Calibri"/>
                <w:b/>
                <w:bCs/>
                <w:sz w:val="16"/>
                <w:szCs w:val="16"/>
                <w:lang w:val="en-GB"/>
              </w:rPr>
            </w:pPr>
          </w:p>
        </w:tc>
      </w:tr>
      <w:tr w:rsidR="00091D10" w:rsidRPr="0070536A" w14:paraId="379CA0EE" w14:textId="77777777" w:rsidTr="00B913BB">
        <w:tblPrEx>
          <w:tblCellMar>
            <w:left w:w="0" w:type="dxa"/>
            <w:right w:w="0" w:type="dxa"/>
          </w:tblCellMar>
        </w:tblPrEx>
        <w:trPr>
          <w:trHeight w:val="3959"/>
          <w:jc w:val="center"/>
        </w:trPr>
        <w:tc>
          <w:tcPr>
            <w:tcW w:w="2250" w:type="dxa"/>
            <w:vMerge/>
          </w:tcPr>
          <w:p w14:paraId="58B80E84" w14:textId="77777777" w:rsidR="00091D10" w:rsidRPr="0070536A" w:rsidRDefault="00091D10" w:rsidP="000A6AFE">
            <w:pPr>
              <w:textAlignment w:val="baseline"/>
              <w:rPr>
                <w:sz w:val="16"/>
                <w:szCs w:val="16"/>
                <w:lang w:val="en-GB"/>
              </w:rPr>
            </w:pPr>
          </w:p>
        </w:tc>
        <w:tc>
          <w:tcPr>
            <w:tcW w:w="2140" w:type="dxa"/>
            <w:gridSpan w:val="2"/>
            <w:vMerge/>
          </w:tcPr>
          <w:p w14:paraId="2811B64C" w14:textId="77777777" w:rsidR="00091D10" w:rsidRPr="0070536A" w:rsidRDefault="00091D10" w:rsidP="000A6AFE">
            <w:pPr>
              <w:textAlignment w:val="baseline"/>
              <w:rPr>
                <w:color w:val="000000"/>
                <w:sz w:val="16"/>
                <w:szCs w:val="16"/>
                <w:lang w:val="en-GB"/>
              </w:rPr>
            </w:pPr>
          </w:p>
        </w:tc>
        <w:tc>
          <w:tcPr>
            <w:tcW w:w="6095" w:type="dxa"/>
            <w:shd w:val="clear" w:color="auto" w:fill="auto"/>
          </w:tcPr>
          <w:p w14:paraId="4A8B3B01" w14:textId="05B2EB78" w:rsidR="00091D10" w:rsidRPr="0070536A" w:rsidRDefault="00091D10" w:rsidP="000A6AFE">
            <w:pPr>
              <w:spacing w:after="120"/>
              <w:ind w:left="108"/>
              <w:jc w:val="both"/>
              <w:rPr>
                <w:rFonts w:ascii="Times New Roman Bold" w:hAnsi="Times New Roman Bold" w:cs="Times New Roman Bold"/>
                <w:b/>
                <w:bCs/>
                <w:sz w:val="16"/>
                <w:szCs w:val="16"/>
                <w:lang w:val="en-GB"/>
              </w:rPr>
            </w:pPr>
            <w:r w:rsidRPr="0070536A">
              <w:rPr>
                <w:b/>
                <w:bCs/>
                <w:sz w:val="16"/>
                <w:szCs w:val="16"/>
                <w:lang w:val="en-GB"/>
              </w:rPr>
              <w:t>Output 4.2</w:t>
            </w:r>
            <w:r w:rsidR="00153D42" w:rsidRPr="0070536A">
              <w:rPr>
                <w:b/>
                <w:bCs/>
                <w:sz w:val="16"/>
                <w:szCs w:val="16"/>
                <w:lang w:val="en-GB"/>
              </w:rPr>
              <w:t>.</w:t>
            </w:r>
            <w:r w:rsidRPr="0070536A">
              <w:rPr>
                <w:b/>
                <w:bCs/>
                <w:sz w:val="16"/>
                <w:szCs w:val="16"/>
                <w:lang w:val="en-GB"/>
              </w:rPr>
              <w:t> The rights of women and girls, especially victims of gender-based violence, and other vulnerable groups are protected through integrated, inclusive, and resilient services.</w:t>
            </w:r>
          </w:p>
          <w:p w14:paraId="5A637472" w14:textId="77777777" w:rsidR="00091D10" w:rsidRPr="0070536A" w:rsidRDefault="00091D10" w:rsidP="000A6AFE">
            <w:pPr>
              <w:ind w:left="108"/>
              <w:jc w:val="both"/>
              <w:rPr>
                <w:b/>
                <w:bCs/>
                <w:sz w:val="16"/>
                <w:szCs w:val="16"/>
                <w:lang w:val="en-GB"/>
              </w:rPr>
            </w:pPr>
            <w:r w:rsidRPr="0070536A">
              <w:rPr>
                <w:b/>
                <w:bCs/>
                <w:sz w:val="16"/>
                <w:szCs w:val="16"/>
                <w:lang w:val="en-GB"/>
              </w:rPr>
              <w:t>Indicators:</w:t>
            </w:r>
          </w:p>
          <w:p w14:paraId="34772683" w14:textId="71F657F8" w:rsidR="00091D10" w:rsidRPr="0070536A" w:rsidRDefault="00091D10" w:rsidP="000A6AFE">
            <w:pPr>
              <w:ind w:left="108"/>
              <w:jc w:val="both"/>
              <w:rPr>
                <w:sz w:val="16"/>
                <w:szCs w:val="16"/>
                <w:lang w:val="en-GB"/>
              </w:rPr>
            </w:pPr>
            <w:r w:rsidRPr="0070536A">
              <w:rPr>
                <w:b/>
                <w:bCs/>
                <w:sz w:val="16"/>
                <w:szCs w:val="16"/>
                <w:lang w:val="en-GB"/>
              </w:rPr>
              <w:t>4.2.1</w:t>
            </w:r>
            <w:r w:rsidR="00153D42" w:rsidRPr="0070536A">
              <w:rPr>
                <w:b/>
                <w:bCs/>
                <w:sz w:val="16"/>
                <w:szCs w:val="16"/>
                <w:lang w:val="en-GB"/>
              </w:rPr>
              <w:t>.</w:t>
            </w:r>
            <w:r w:rsidRPr="0070536A">
              <w:rPr>
                <w:sz w:val="16"/>
                <w:szCs w:val="16"/>
                <w:lang w:val="en-GB"/>
              </w:rPr>
              <w:t xml:space="preserve"> Number of laws and instruments to prevent and address SGBV.</w:t>
            </w:r>
          </w:p>
          <w:p w14:paraId="5A0D350C" w14:textId="77777777" w:rsidR="00091D10" w:rsidRPr="0070536A" w:rsidRDefault="00091D10" w:rsidP="000A6AFE">
            <w:pPr>
              <w:ind w:left="108"/>
              <w:jc w:val="both"/>
              <w:rPr>
                <w:sz w:val="16"/>
                <w:szCs w:val="16"/>
                <w:lang w:val="en-GB"/>
              </w:rPr>
            </w:pPr>
            <w:r w:rsidRPr="0070536A">
              <w:rPr>
                <w:sz w:val="16"/>
                <w:szCs w:val="16"/>
                <w:lang w:val="en-GB"/>
              </w:rPr>
              <w:t>Baseline (2023): 0</w:t>
            </w:r>
          </w:p>
          <w:p w14:paraId="47B8F5CF" w14:textId="77777777" w:rsidR="00091D10" w:rsidRPr="0070536A" w:rsidRDefault="00091D10" w:rsidP="000A6AFE">
            <w:pPr>
              <w:ind w:left="108"/>
              <w:jc w:val="both"/>
              <w:rPr>
                <w:sz w:val="16"/>
                <w:szCs w:val="16"/>
                <w:lang w:val="en-GB"/>
              </w:rPr>
            </w:pPr>
            <w:r w:rsidRPr="0070536A">
              <w:rPr>
                <w:sz w:val="16"/>
                <w:szCs w:val="16"/>
                <w:lang w:val="en-GB"/>
              </w:rPr>
              <w:t>Target (2028):    4</w:t>
            </w:r>
          </w:p>
          <w:p w14:paraId="1DBAE7FC" w14:textId="77777777" w:rsidR="00091D10" w:rsidRPr="0070536A" w:rsidRDefault="00091D10" w:rsidP="000A6AFE">
            <w:pPr>
              <w:ind w:left="108"/>
              <w:jc w:val="both"/>
              <w:rPr>
                <w:sz w:val="16"/>
                <w:szCs w:val="16"/>
                <w:lang w:val="en-GB"/>
              </w:rPr>
            </w:pPr>
            <w:r w:rsidRPr="0070536A">
              <w:rPr>
                <w:sz w:val="16"/>
                <w:szCs w:val="16"/>
                <w:lang w:val="en-GB"/>
              </w:rPr>
              <w:t>Data source: Parliament/Ministry of Social Affairs and Gender Equality</w:t>
            </w:r>
          </w:p>
          <w:p w14:paraId="26626399" w14:textId="77777777" w:rsidR="00091D10" w:rsidRPr="0070536A" w:rsidRDefault="00091D10" w:rsidP="000A6AFE">
            <w:pPr>
              <w:spacing w:after="120"/>
              <w:ind w:left="108"/>
              <w:jc w:val="both"/>
              <w:rPr>
                <w:sz w:val="16"/>
                <w:szCs w:val="16"/>
                <w:lang w:val="en-GB"/>
              </w:rPr>
            </w:pPr>
            <w:r w:rsidRPr="0070536A">
              <w:rPr>
                <w:sz w:val="16"/>
                <w:szCs w:val="16"/>
                <w:lang w:val="en-GB"/>
              </w:rPr>
              <w:t xml:space="preserve">Frequency: Annual </w:t>
            </w:r>
          </w:p>
          <w:p w14:paraId="2793AF23" w14:textId="7EF89B44" w:rsidR="00091D10" w:rsidRPr="0070536A" w:rsidRDefault="00091D10" w:rsidP="000A6AFE">
            <w:pPr>
              <w:ind w:left="108"/>
              <w:jc w:val="both"/>
              <w:rPr>
                <w:sz w:val="16"/>
                <w:szCs w:val="16"/>
                <w:lang w:val="en-GB"/>
              </w:rPr>
            </w:pPr>
            <w:r w:rsidRPr="0070536A">
              <w:rPr>
                <w:b/>
                <w:bCs/>
                <w:sz w:val="16"/>
                <w:szCs w:val="16"/>
                <w:lang w:val="en-GB"/>
              </w:rPr>
              <w:t>4.2.2</w:t>
            </w:r>
            <w:r w:rsidR="00153D42" w:rsidRPr="0070536A">
              <w:rPr>
                <w:sz w:val="16"/>
                <w:szCs w:val="16"/>
                <w:lang w:val="en-GB"/>
              </w:rPr>
              <w:t>.</w:t>
            </w:r>
            <w:r w:rsidRPr="0070536A">
              <w:rPr>
                <w:sz w:val="16"/>
                <w:szCs w:val="16"/>
                <w:lang w:val="en-GB"/>
              </w:rPr>
              <w:t xml:space="preserve"> </w:t>
            </w:r>
            <w:r w:rsidRPr="0070536A">
              <w:rPr>
                <w:b/>
                <w:bCs/>
                <w:sz w:val="16"/>
                <w:szCs w:val="16"/>
                <w:lang w:val="en-GB"/>
              </w:rPr>
              <w:t xml:space="preserve"> </w:t>
            </w:r>
            <w:r w:rsidRPr="0070536A">
              <w:rPr>
                <w:sz w:val="16"/>
                <w:szCs w:val="16"/>
                <w:lang w:val="en-GB"/>
              </w:rPr>
              <w:t>Number of entities with strengthened capacities to implement legislation, policies, action plans and initiatives to prevent and respond to GBV (IRRF 6.3.3).</w:t>
            </w:r>
          </w:p>
          <w:p w14:paraId="67B2A149" w14:textId="77777777" w:rsidR="00091D10" w:rsidRPr="0070536A" w:rsidRDefault="00091D10" w:rsidP="000A6AFE">
            <w:pPr>
              <w:ind w:left="108"/>
              <w:jc w:val="both"/>
              <w:rPr>
                <w:sz w:val="16"/>
                <w:szCs w:val="16"/>
                <w:lang w:val="en-GB"/>
              </w:rPr>
            </w:pPr>
            <w:r w:rsidRPr="0070536A">
              <w:rPr>
                <w:sz w:val="16"/>
                <w:szCs w:val="16"/>
                <w:lang w:val="en-GB"/>
              </w:rPr>
              <w:t>Baseline (2023): 0</w:t>
            </w:r>
          </w:p>
          <w:p w14:paraId="4AE269FA" w14:textId="77777777" w:rsidR="00091D10" w:rsidRPr="0070536A" w:rsidRDefault="00091D10" w:rsidP="000A6AFE">
            <w:pPr>
              <w:ind w:left="108"/>
              <w:jc w:val="both"/>
              <w:rPr>
                <w:sz w:val="16"/>
                <w:szCs w:val="16"/>
                <w:lang w:val="en-GB"/>
              </w:rPr>
            </w:pPr>
            <w:r w:rsidRPr="0070536A">
              <w:rPr>
                <w:sz w:val="16"/>
                <w:szCs w:val="16"/>
                <w:lang w:val="en-GB"/>
              </w:rPr>
              <w:t>Target (2028):    4</w:t>
            </w:r>
          </w:p>
          <w:p w14:paraId="6B086A58" w14:textId="77777777" w:rsidR="00091D10" w:rsidRPr="0070536A" w:rsidRDefault="00091D10" w:rsidP="000A6AFE">
            <w:pPr>
              <w:ind w:left="108"/>
              <w:jc w:val="both"/>
              <w:rPr>
                <w:sz w:val="16"/>
                <w:szCs w:val="16"/>
                <w:lang w:val="en-GB"/>
              </w:rPr>
            </w:pPr>
            <w:r w:rsidRPr="0070536A">
              <w:rPr>
                <w:sz w:val="16"/>
                <w:szCs w:val="16"/>
                <w:lang w:val="en-GB"/>
              </w:rPr>
              <w:t>Data source: Project monitoring reports</w:t>
            </w:r>
          </w:p>
          <w:p w14:paraId="3CE49998" w14:textId="77777777" w:rsidR="00091D10" w:rsidRPr="0070536A" w:rsidRDefault="00091D10" w:rsidP="000A6AFE">
            <w:pPr>
              <w:spacing w:after="120"/>
              <w:ind w:left="108"/>
              <w:jc w:val="both"/>
              <w:rPr>
                <w:sz w:val="16"/>
                <w:szCs w:val="16"/>
                <w:lang w:val="en-GB"/>
              </w:rPr>
            </w:pPr>
            <w:r w:rsidRPr="0070536A">
              <w:rPr>
                <w:sz w:val="16"/>
                <w:szCs w:val="16"/>
                <w:lang w:val="en-GB"/>
              </w:rPr>
              <w:t>Frequency: Annual</w:t>
            </w:r>
          </w:p>
          <w:p w14:paraId="28E53E27" w14:textId="7ED17621" w:rsidR="00091D10" w:rsidRPr="0070536A" w:rsidRDefault="00091D10" w:rsidP="000A6AFE">
            <w:pPr>
              <w:ind w:left="108"/>
              <w:jc w:val="both"/>
              <w:rPr>
                <w:b/>
                <w:bCs/>
                <w:sz w:val="16"/>
                <w:szCs w:val="16"/>
                <w:lang w:val="en-GB"/>
              </w:rPr>
            </w:pPr>
            <w:r w:rsidRPr="0070536A">
              <w:rPr>
                <w:b/>
                <w:bCs/>
                <w:sz w:val="16"/>
                <w:szCs w:val="16"/>
                <w:lang w:val="en-GB"/>
              </w:rPr>
              <w:t>4.2.3</w:t>
            </w:r>
            <w:r w:rsidR="00153D42" w:rsidRPr="0070536A">
              <w:rPr>
                <w:b/>
                <w:bCs/>
                <w:sz w:val="16"/>
                <w:szCs w:val="16"/>
                <w:lang w:val="en-GB"/>
              </w:rPr>
              <w:t>.</w:t>
            </w:r>
            <w:r w:rsidRPr="0070536A">
              <w:rPr>
                <w:b/>
                <w:bCs/>
                <w:sz w:val="16"/>
                <w:szCs w:val="16"/>
                <w:lang w:val="en-GB"/>
              </w:rPr>
              <w:t xml:space="preserve"> </w:t>
            </w:r>
            <w:r w:rsidRPr="0070536A">
              <w:rPr>
                <w:sz w:val="16"/>
                <w:szCs w:val="16"/>
                <w:lang w:val="en-GB"/>
              </w:rPr>
              <w:t>Percentage of victims of GBV who access integrated care services.</w:t>
            </w:r>
          </w:p>
          <w:p w14:paraId="7D8E2127" w14:textId="77777777" w:rsidR="00091D10" w:rsidRPr="0070536A" w:rsidRDefault="00091D10" w:rsidP="000A6AFE">
            <w:pPr>
              <w:ind w:left="108"/>
              <w:jc w:val="both"/>
              <w:rPr>
                <w:sz w:val="16"/>
                <w:szCs w:val="16"/>
                <w:lang w:val="en-GB"/>
              </w:rPr>
            </w:pPr>
            <w:r w:rsidRPr="0070536A">
              <w:rPr>
                <w:sz w:val="16"/>
                <w:szCs w:val="16"/>
                <w:lang w:val="en-GB"/>
              </w:rPr>
              <w:t>Baseline (2023):   0</w:t>
            </w:r>
          </w:p>
          <w:p w14:paraId="509ABDD8" w14:textId="77777777" w:rsidR="00091D10" w:rsidRPr="0070536A" w:rsidRDefault="00091D10" w:rsidP="000A6AFE">
            <w:pPr>
              <w:ind w:left="108"/>
              <w:jc w:val="both"/>
              <w:rPr>
                <w:sz w:val="16"/>
                <w:szCs w:val="16"/>
                <w:lang w:val="en-GB"/>
              </w:rPr>
            </w:pPr>
            <w:r w:rsidRPr="0070536A">
              <w:rPr>
                <w:sz w:val="16"/>
                <w:szCs w:val="16"/>
                <w:lang w:val="en-GB"/>
              </w:rPr>
              <w:t>Target (2028):    50% (disaggregated by age)</w:t>
            </w:r>
          </w:p>
          <w:p w14:paraId="5B71D7DE" w14:textId="77777777" w:rsidR="00091D10" w:rsidRPr="0070536A" w:rsidRDefault="00091D10" w:rsidP="000A6AFE">
            <w:pPr>
              <w:ind w:left="108"/>
              <w:jc w:val="both"/>
              <w:rPr>
                <w:sz w:val="16"/>
                <w:szCs w:val="16"/>
                <w:lang w:val="en-GB"/>
              </w:rPr>
            </w:pPr>
            <w:r w:rsidRPr="0070536A">
              <w:rPr>
                <w:sz w:val="16"/>
                <w:szCs w:val="16"/>
                <w:lang w:val="en-GB"/>
              </w:rPr>
              <w:t>Data source: Ministry of Social Affairs and Gender Equality records</w:t>
            </w:r>
          </w:p>
          <w:p w14:paraId="397335AB" w14:textId="77777777" w:rsidR="00091D10" w:rsidRPr="0070536A" w:rsidRDefault="00091D10" w:rsidP="000A6AFE">
            <w:pPr>
              <w:ind w:left="108"/>
              <w:jc w:val="both"/>
              <w:rPr>
                <w:sz w:val="16"/>
                <w:szCs w:val="16"/>
                <w:lang w:val="en-GB"/>
              </w:rPr>
            </w:pPr>
            <w:r w:rsidRPr="0070536A">
              <w:rPr>
                <w:sz w:val="16"/>
                <w:szCs w:val="16"/>
                <w:lang w:val="en-GB"/>
              </w:rPr>
              <w:t>Frequency: Annual.</w:t>
            </w:r>
          </w:p>
          <w:p w14:paraId="13DEA8AE" w14:textId="77777777" w:rsidR="00091D10" w:rsidRPr="0070536A" w:rsidRDefault="00091D10" w:rsidP="000A6AFE">
            <w:pPr>
              <w:ind w:left="108"/>
              <w:jc w:val="both"/>
              <w:textAlignment w:val="baseline"/>
              <w:rPr>
                <w:i/>
                <w:iCs/>
                <w:color w:val="000000"/>
                <w:sz w:val="16"/>
                <w:szCs w:val="16"/>
                <w:lang w:val="en-GB"/>
              </w:rPr>
            </w:pPr>
          </w:p>
        </w:tc>
        <w:tc>
          <w:tcPr>
            <w:tcW w:w="1701" w:type="dxa"/>
            <w:vMerge/>
            <w:vAlign w:val="center"/>
          </w:tcPr>
          <w:p w14:paraId="5FF9E098" w14:textId="77777777" w:rsidR="00091D10" w:rsidRPr="0070536A" w:rsidRDefault="00091D10" w:rsidP="000A6AFE">
            <w:pPr>
              <w:rPr>
                <w:color w:val="000000"/>
                <w:sz w:val="16"/>
                <w:szCs w:val="16"/>
                <w:lang w:val="en-GB"/>
              </w:rPr>
            </w:pPr>
          </w:p>
        </w:tc>
        <w:tc>
          <w:tcPr>
            <w:tcW w:w="1417" w:type="dxa"/>
            <w:vMerge/>
          </w:tcPr>
          <w:p w14:paraId="102A08B4" w14:textId="77777777" w:rsidR="00091D10" w:rsidRPr="0070536A" w:rsidRDefault="00091D10" w:rsidP="000A6AFE">
            <w:pPr>
              <w:textAlignment w:val="baseline"/>
              <w:rPr>
                <w:color w:val="000000"/>
                <w:sz w:val="16"/>
                <w:szCs w:val="16"/>
                <w:lang w:val="en-GB"/>
              </w:rPr>
            </w:pPr>
          </w:p>
        </w:tc>
      </w:tr>
    </w:tbl>
    <w:p w14:paraId="2440D4A0" w14:textId="77777777" w:rsidR="00125010" w:rsidRPr="0070536A" w:rsidRDefault="00125010" w:rsidP="00125010">
      <w:pPr>
        <w:rPr>
          <w:color w:val="000000"/>
          <w:lang w:val="en-GB"/>
        </w:rPr>
      </w:pPr>
    </w:p>
    <w:p w14:paraId="0BFCE2E5" w14:textId="36FA172D" w:rsidR="00D6679C" w:rsidRPr="0070536A" w:rsidRDefault="00D63630" w:rsidP="00D63630">
      <w:pPr>
        <w:jc w:val="center"/>
        <w:rPr>
          <w:color w:val="000000"/>
          <w:lang w:val="en-GB"/>
        </w:rPr>
      </w:pPr>
      <w:r w:rsidRPr="0070536A">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70536A"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ED4A" w14:textId="77777777" w:rsidR="006D66FD" w:rsidRDefault="006D66FD" w:rsidP="00441061">
      <w:r>
        <w:separator/>
      </w:r>
    </w:p>
  </w:endnote>
  <w:endnote w:type="continuationSeparator" w:id="0">
    <w:p w14:paraId="0ED98210" w14:textId="77777777" w:rsidR="006D66FD" w:rsidRDefault="006D66FD" w:rsidP="00441061">
      <w:r>
        <w:continuationSeparator/>
      </w:r>
    </w:p>
  </w:endnote>
  <w:endnote w:type="continuationNotice" w:id="1">
    <w:p w14:paraId="6722658A" w14:textId="77777777" w:rsidR="006D66FD" w:rsidRDefault="006D6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3D3682" w:rsidRPr="00BC69D9" w:rsidRDefault="00BC69D9"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3D3682" w:rsidRPr="00CE2A86" w:rsidRDefault="00CE2A86"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461411" w:rsidRPr="00BC69D9" w:rsidRDefault="00461411"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461411" w:rsidRPr="00CE2A86" w:rsidRDefault="00461411"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3FB6" w14:textId="77777777" w:rsidR="006D66FD" w:rsidRDefault="006D66FD" w:rsidP="00441061">
      <w:r>
        <w:separator/>
      </w:r>
    </w:p>
  </w:footnote>
  <w:footnote w:type="continuationSeparator" w:id="0">
    <w:p w14:paraId="4FB4CF8D" w14:textId="77777777" w:rsidR="006D66FD" w:rsidRDefault="006D66FD" w:rsidP="00441061">
      <w:r>
        <w:continuationSeparator/>
      </w:r>
    </w:p>
  </w:footnote>
  <w:footnote w:type="continuationNotice" w:id="1">
    <w:p w14:paraId="05F6FC07" w14:textId="77777777" w:rsidR="006D66FD" w:rsidRDefault="006D66FD"/>
  </w:footnote>
  <w:footnote w:id="2">
    <w:p w14:paraId="10E025ED" w14:textId="2EB295BB" w:rsidR="00091D10" w:rsidRPr="007A7F0B" w:rsidRDefault="00091D10" w:rsidP="00091D10">
      <w:pPr>
        <w:pStyle w:val="FootnoteText"/>
        <w:ind w:left="426"/>
        <w:rPr>
          <w:rFonts w:ascii="Times New Roman" w:hAnsi="Times New Roman"/>
          <w:sz w:val="16"/>
          <w:szCs w:val="16"/>
        </w:rPr>
      </w:pPr>
      <w:r w:rsidRPr="007A7F0B">
        <w:rPr>
          <w:rStyle w:val="FootnoteReference"/>
          <w:rFonts w:ascii="Times New Roman" w:hAnsi="Times New Roman"/>
          <w:sz w:val="16"/>
          <w:szCs w:val="16"/>
        </w:rPr>
        <w:footnoteRef/>
      </w:r>
      <w:r w:rsidRPr="007A7F0B">
        <w:rPr>
          <w:rFonts w:ascii="Times New Roman" w:hAnsi="Times New Roman"/>
          <w:sz w:val="16"/>
          <w:szCs w:val="16"/>
        </w:rPr>
        <w:t xml:space="preserve">    National Institute of Statistics (INEGE), Statistical Yearbook, 2021</w:t>
      </w:r>
      <w:r w:rsidR="00814A38">
        <w:rPr>
          <w:rFonts w:ascii="Times New Roman" w:hAnsi="Times New Roman"/>
          <w:sz w:val="16"/>
          <w:szCs w:val="16"/>
        </w:rPr>
        <w:t>.</w:t>
      </w:r>
    </w:p>
  </w:footnote>
  <w:footnote w:id="3">
    <w:p w14:paraId="021BB012" w14:textId="042E69DB" w:rsidR="00091D10" w:rsidRPr="00C4572B" w:rsidRDefault="00091D10" w:rsidP="00091D10">
      <w:pPr>
        <w:pStyle w:val="FootnoteText"/>
        <w:ind w:left="426"/>
        <w:rPr>
          <w:rFonts w:ascii="Times New Roman" w:hAnsi="Times New Roman"/>
          <w:sz w:val="16"/>
          <w:szCs w:val="16"/>
        </w:rPr>
      </w:pPr>
      <w:r w:rsidRPr="007A7F0B">
        <w:rPr>
          <w:rStyle w:val="FootnoteReference"/>
          <w:rFonts w:ascii="Times New Roman" w:hAnsi="Times New Roman"/>
          <w:sz w:val="16"/>
          <w:szCs w:val="16"/>
        </w:rPr>
        <w:footnoteRef/>
      </w:r>
      <w:r w:rsidRPr="007A7F0B">
        <w:rPr>
          <w:rFonts w:ascii="Times New Roman" w:hAnsi="Times New Roman"/>
          <w:sz w:val="16"/>
          <w:szCs w:val="16"/>
        </w:rPr>
        <w:t xml:space="preserve">    </w:t>
      </w:r>
      <w:r w:rsidR="00814A38">
        <w:rPr>
          <w:rFonts w:ascii="Times New Roman" w:hAnsi="Times New Roman"/>
          <w:sz w:val="16"/>
          <w:szCs w:val="16"/>
        </w:rPr>
        <w:t xml:space="preserve">United Nations </w:t>
      </w:r>
      <w:r w:rsidRPr="007A7F0B">
        <w:rPr>
          <w:rFonts w:ascii="Times New Roman" w:hAnsi="Times New Roman"/>
          <w:sz w:val="16"/>
          <w:szCs w:val="16"/>
        </w:rPr>
        <w:t>Independent Country Programme Evaluation</w:t>
      </w:r>
      <w:r w:rsidR="00814A38">
        <w:rPr>
          <w:rFonts w:ascii="Times New Roman" w:hAnsi="Times New Roman"/>
          <w:sz w:val="16"/>
          <w:szCs w:val="16"/>
        </w:rPr>
        <w:t xml:space="preserve"> (UNIEO) 2022</w:t>
      </w:r>
      <w:r w:rsidRPr="007A7F0B">
        <w:rPr>
          <w:rFonts w:ascii="Times New Roman" w:hAnsi="Times New Roman"/>
          <w:sz w:val="16"/>
          <w:szCs w:val="16"/>
        </w:rPr>
        <w:t>, Equatorial Guinea (unpublished).</w:t>
      </w:r>
    </w:p>
  </w:footnote>
  <w:footnote w:id="4">
    <w:p w14:paraId="7B3E5423" w14:textId="46793477" w:rsidR="00091D10" w:rsidRPr="00C4572B" w:rsidRDefault="00091D10" w:rsidP="00091D10">
      <w:pPr>
        <w:pStyle w:val="FootnoteText"/>
        <w:ind w:left="426"/>
        <w:rPr>
          <w:rFonts w:ascii="Times New Roman" w:hAnsi="Times New Roman"/>
          <w:sz w:val="16"/>
          <w:szCs w:val="16"/>
        </w:rPr>
      </w:pPr>
      <w:r w:rsidRPr="00C4572B">
        <w:rPr>
          <w:rStyle w:val="FootnoteReference"/>
          <w:rFonts w:ascii="Times New Roman" w:hAnsi="Times New Roman"/>
          <w:sz w:val="16"/>
          <w:szCs w:val="16"/>
        </w:rPr>
        <w:footnoteRef/>
      </w:r>
      <w:r w:rsidRPr="00C4572B">
        <w:rPr>
          <w:rFonts w:ascii="Times New Roman" w:hAnsi="Times New Roman"/>
          <w:sz w:val="16"/>
          <w:szCs w:val="16"/>
        </w:rPr>
        <w:t xml:space="preserve">   </w:t>
      </w:r>
      <w:bookmarkStart w:id="2" w:name="_Hlk130387977"/>
      <w:r>
        <w:rPr>
          <w:rFonts w:ascii="Times New Roman" w:hAnsi="Times New Roman"/>
          <w:sz w:val="16"/>
          <w:szCs w:val="16"/>
        </w:rPr>
        <w:t xml:space="preserve"> </w:t>
      </w:r>
      <w:r w:rsidRPr="00C4572B">
        <w:rPr>
          <w:rFonts w:ascii="Times New Roman" w:hAnsi="Times New Roman"/>
          <w:sz w:val="16"/>
          <w:szCs w:val="16"/>
        </w:rPr>
        <w:t>Government of Equatorial Guinea</w:t>
      </w:r>
      <w:r w:rsidR="00814A38">
        <w:rPr>
          <w:rFonts w:ascii="Times New Roman" w:hAnsi="Times New Roman"/>
          <w:sz w:val="16"/>
          <w:szCs w:val="16"/>
        </w:rPr>
        <w:t xml:space="preserve">, </w:t>
      </w:r>
      <w:r w:rsidRPr="00C4572B">
        <w:rPr>
          <w:rFonts w:ascii="Times New Roman" w:hAnsi="Times New Roman"/>
          <w:sz w:val="16"/>
          <w:szCs w:val="16"/>
        </w:rPr>
        <w:t>2023</w:t>
      </w:r>
      <w:r w:rsidR="00814A38">
        <w:rPr>
          <w:rFonts w:ascii="Times New Roman" w:hAnsi="Times New Roman"/>
          <w:sz w:val="16"/>
          <w:szCs w:val="16"/>
        </w:rPr>
        <w:t xml:space="preserve">. </w:t>
      </w:r>
      <w:bookmarkEnd w:id="2"/>
      <w:r w:rsidRPr="00C4572B">
        <w:rPr>
          <w:rFonts w:ascii="Times New Roman" w:hAnsi="Times New Roman"/>
          <w:sz w:val="16"/>
          <w:szCs w:val="16"/>
        </w:rPr>
        <w:t>Voluntary National Review, 2022, a decline in per capita GDP of 8.9 per</w:t>
      </w:r>
      <w:r w:rsidR="00814A38">
        <w:rPr>
          <w:rFonts w:ascii="Times New Roman" w:hAnsi="Times New Roman"/>
          <w:sz w:val="16"/>
          <w:szCs w:val="16"/>
        </w:rPr>
        <w:t xml:space="preserve"> </w:t>
      </w:r>
      <w:r w:rsidRPr="00C4572B">
        <w:rPr>
          <w:rFonts w:ascii="Times New Roman" w:hAnsi="Times New Roman"/>
          <w:sz w:val="16"/>
          <w:szCs w:val="16"/>
        </w:rPr>
        <w:t>cent</w:t>
      </w:r>
      <w:r w:rsidR="00814A38">
        <w:rPr>
          <w:rFonts w:ascii="Times New Roman" w:hAnsi="Times New Roman"/>
          <w:sz w:val="16"/>
          <w:szCs w:val="16"/>
        </w:rPr>
        <w:t>.</w:t>
      </w:r>
    </w:p>
  </w:footnote>
  <w:footnote w:id="5">
    <w:p w14:paraId="212ECC5D" w14:textId="2469B30D" w:rsidR="00091D10" w:rsidRPr="00C4572B" w:rsidRDefault="00091D10" w:rsidP="00091D10">
      <w:pPr>
        <w:pStyle w:val="FootnoteText"/>
        <w:ind w:left="426"/>
        <w:rPr>
          <w:rFonts w:ascii="Times New Roman" w:hAnsi="Times New Roman"/>
          <w:sz w:val="16"/>
          <w:szCs w:val="16"/>
          <w:lang w:val="en-GB"/>
        </w:rPr>
      </w:pPr>
      <w:r w:rsidRPr="00C4572B">
        <w:rPr>
          <w:rStyle w:val="FootnoteReference"/>
          <w:rFonts w:ascii="Times New Roman" w:hAnsi="Times New Roman"/>
          <w:sz w:val="16"/>
          <w:szCs w:val="16"/>
        </w:rPr>
        <w:footnoteRef/>
      </w:r>
      <w:r w:rsidRPr="00C4572B">
        <w:rPr>
          <w:rFonts w:ascii="Times New Roman" w:hAnsi="Times New Roman"/>
          <w:sz w:val="16"/>
          <w:szCs w:val="16"/>
        </w:rPr>
        <w:t xml:space="preserve"> </w:t>
      </w:r>
      <w:r>
        <w:rPr>
          <w:rFonts w:ascii="Times New Roman" w:hAnsi="Times New Roman"/>
          <w:sz w:val="16"/>
          <w:szCs w:val="16"/>
        </w:rPr>
        <w:t xml:space="preserve">   </w:t>
      </w:r>
      <w:r w:rsidRPr="00C4572B">
        <w:rPr>
          <w:rFonts w:ascii="Times New Roman" w:hAnsi="Times New Roman"/>
          <w:sz w:val="16"/>
          <w:szCs w:val="16"/>
        </w:rPr>
        <w:t>In E</w:t>
      </w:r>
      <w:r>
        <w:rPr>
          <w:rFonts w:ascii="Times New Roman" w:hAnsi="Times New Roman"/>
          <w:sz w:val="16"/>
          <w:szCs w:val="16"/>
        </w:rPr>
        <w:t>quatorial Guinea</w:t>
      </w:r>
      <w:r w:rsidRPr="00C4572B">
        <w:rPr>
          <w:rFonts w:ascii="Times New Roman" w:hAnsi="Times New Roman"/>
          <w:sz w:val="16"/>
          <w:szCs w:val="16"/>
        </w:rPr>
        <w:t>, deforestation increased by 8</w:t>
      </w:r>
      <w:r w:rsidR="00814A38">
        <w:rPr>
          <w:rFonts w:ascii="Times New Roman" w:hAnsi="Times New Roman"/>
          <w:sz w:val="16"/>
          <w:szCs w:val="16"/>
        </w:rPr>
        <w:t xml:space="preserve"> per cent</w:t>
      </w:r>
      <w:r w:rsidRPr="00C4572B">
        <w:rPr>
          <w:rFonts w:ascii="Times New Roman" w:hAnsi="Times New Roman"/>
          <w:sz w:val="16"/>
          <w:szCs w:val="16"/>
        </w:rPr>
        <w:t xml:space="preserve"> between 2018 and 2020</w:t>
      </w:r>
      <w:r w:rsidR="00814A38">
        <w:rPr>
          <w:rFonts w:ascii="Times New Roman" w:hAnsi="Times New Roman"/>
          <w:sz w:val="16"/>
          <w:szCs w:val="16"/>
        </w:rPr>
        <w:t xml:space="preserve">; </w:t>
      </w:r>
      <w:r w:rsidRPr="00C4572B">
        <w:rPr>
          <w:rFonts w:ascii="Times New Roman" w:hAnsi="Times New Roman"/>
          <w:sz w:val="16"/>
          <w:szCs w:val="16"/>
        </w:rPr>
        <w:t>Congo Basin Regional Assessment 2022</w:t>
      </w:r>
      <w:r w:rsidR="00814A38">
        <w:rPr>
          <w:rFonts w:ascii="Times New Roman" w:hAnsi="Times New Roman"/>
          <w:sz w:val="16"/>
          <w:szCs w:val="16"/>
        </w:rPr>
        <w:t>,</w:t>
      </w:r>
      <w:r w:rsidRPr="00C4572B">
        <w:rPr>
          <w:rFonts w:ascii="Times New Roman" w:hAnsi="Times New Roman"/>
          <w:sz w:val="16"/>
          <w:szCs w:val="16"/>
        </w:rPr>
        <w:t xml:space="preserve"> pp</w:t>
      </w:r>
      <w:r w:rsidR="00814A38">
        <w:rPr>
          <w:rFonts w:ascii="Times New Roman" w:hAnsi="Times New Roman"/>
          <w:sz w:val="16"/>
          <w:szCs w:val="16"/>
        </w:rPr>
        <w:t>.</w:t>
      </w:r>
      <w:r w:rsidRPr="00C4572B">
        <w:rPr>
          <w:rFonts w:ascii="Times New Roman" w:hAnsi="Times New Roman"/>
          <w:sz w:val="16"/>
          <w:szCs w:val="16"/>
        </w:rPr>
        <w:t xml:space="preserve"> 40</w:t>
      </w:r>
      <w:r w:rsidR="00814A38">
        <w:rPr>
          <w:rFonts w:ascii="Times New Roman" w:hAnsi="Times New Roman"/>
          <w:sz w:val="16"/>
          <w:szCs w:val="16"/>
        </w:rPr>
        <w:t>.</w:t>
      </w:r>
    </w:p>
  </w:footnote>
  <w:footnote w:id="6">
    <w:p w14:paraId="1B62C9C1" w14:textId="19415080" w:rsidR="00091D10" w:rsidRPr="003132EE" w:rsidRDefault="00091D10" w:rsidP="00091D10">
      <w:pPr>
        <w:pStyle w:val="FootnoteText"/>
        <w:ind w:left="426"/>
        <w:rPr>
          <w:rFonts w:ascii="Times New Roman" w:hAnsi="Times New Roman"/>
          <w:sz w:val="16"/>
          <w:szCs w:val="16"/>
        </w:rPr>
      </w:pPr>
      <w:r w:rsidRPr="003132EE">
        <w:rPr>
          <w:rStyle w:val="FootnoteReference"/>
          <w:rFonts w:ascii="Times New Roman" w:hAnsi="Times New Roman"/>
          <w:sz w:val="16"/>
          <w:szCs w:val="16"/>
        </w:rPr>
        <w:footnoteRef/>
      </w:r>
      <w:r w:rsidRPr="003132EE">
        <w:rPr>
          <w:rFonts w:ascii="Times New Roman" w:hAnsi="Times New Roman"/>
          <w:sz w:val="16"/>
          <w:szCs w:val="16"/>
        </w:rPr>
        <w:t xml:space="preserve"> </w:t>
      </w:r>
      <w:r>
        <w:rPr>
          <w:rFonts w:ascii="Times New Roman" w:hAnsi="Times New Roman"/>
          <w:sz w:val="16"/>
          <w:szCs w:val="16"/>
        </w:rPr>
        <w:t xml:space="preserve">   </w:t>
      </w:r>
      <w:r w:rsidRPr="003132EE">
        <w:rPr>
          <w:rFonts w:ascii="Times New Roman" w:hAnsi="Times New Roman"/>
          <w:sz w:val="16"/>
          <w:szCs w:val="16"/>
        </w:rPr>
        <w:t xml:space="preserve">UNDP Human Development Report 2021: Equatorial Guinea. </w:t>
      </w:r>
    </w:p>
  </w:footnote>
  <w:footnote w:id="7">
    <w:p w14:paraId="37E2ACE8" w14:textId="66CF13D6" w:rsidR="00091D10" w:rsidRPr="003132EE" w:rsidRDefault="00091D10" w:rsidP="00091D10">
      <w:pPr>
        <w:pStyle w:val="FootnoteText"/>
        <w:ind w:left="426"/>
        <w:rPr>
          <w:rFonts w:ascii="Times New Roman" w:hAnsi="Times New Roman"/>
          <w:sz w:val="16"/>
          <w:szCs w:val="16"/>
          <w:lang w:val="en-GB"/>
        </w:rPr>
      </w:pPr>
      <w:r w:rsidRPr="003132EE">
        <w:rPr>
          <w:rStyle w:val="FootnoteReference"/>
          <w:rFonts w:ascii="Times New Roman" w:hAnsi="Times New Roman"/>
          <w:sz w:val="16"/>
          <w:szCs w:val="16"/>
        </w:rPr>
        <w:footnoteRef/>
      </w:r>
      <w:r w:rsidRPr="003132EE">
        <w:rPr>
          <w:rFonts w:ascii="Times New Roman" w:hAnsi="Times New Roman"/>
          <w:sz w:val="16"/>
          <w:szCs w:val="16"/>
        </w:rPr>
        <w:t xml:space="preserve"> </w:t>
      </w:r>
      <w:bookmarkStart w:id="3" w:name="_Hlk129340522"/>
      <w:bookmarkStart w:id="4" w:name="_Hlk129339703"/>
      <w:r w:rsidRPr="003132EE">
        <w:rPr>
          <w:rFonts w:ascii="Times New Roman" w:hAnsi="Times New Roman"/>
          <w:sz w:val="16"/>
          <w:szCs w:val="16"/>
        </w:rPr>
        <w:t xml:space="preserve">  </w:t>
      </w:r>
      <w:r>
        <w:rPr>
          <w:rFonts w:ascii="Times New Roman" w:hAnsi="Times New Roman"/>
          <w:sz w:val="16"/>
          <w:szCs w:val="16"/>
        </w:rPr>
        <w:t xml:space="preserve"> </w:t>
      </w:r>
      <w:r w:rsidRPr="003132EE">
        <w:rPr>
          <w:rFonts w:ascii="Times New Roman" w:hAnsi="Times New Roman"/>
          <w:sz w:val="16"/>
          <w:szCs w:val="16"/>
        </w:rPr>
        <w:t>Government of Equatorial Guinea, 2023</w:t>
      </w:r>
      <w:bookmarkEnd w:id="3"/>
      <w:bookmarkEnd w:id="4"/>
      <w:r w:rsidR="00814A38">
        <w:rPr>
          <w:rFonts w:ascii="Times New Roman" w:hAnsi="Times New Roman"/>
          <w:sz w:val="16"/>
          <w:szCs w:val="16"/>
        </w:rPr>
        <w:t>.</w:t>
      </w:r>
    </w:p>
  </w:footnote>
  <w:footnote w:id="8">
    <w:p w14:paraId="0E10182D" w14:textId="0540680C" w:rsidR="00091D10" w:rsidRPr="003132EE" w:rsidRDefault="00091D10" w:rsidP="00091D10">
      <w:pPr>
        <w:pStyle w:val="FootnoteText"/>
        <w:ind w:left="426"/>
        <w:rPr>
          <w:rFonts w:ascii="Times New Roman" w:hAnsi="Times New Roman"/>
          <w:sz w:val="16"/>
          <w:szCs w:val="16"/>
          <w:lang w:val="en-GB"/>
        </w:rPr>
      </w:pPr>
      <w:r w:rsidRPr="003132EE">
        <w:rPr>
          <w:rStyle w:val="FootnoteReference"/>
          <w:rFonts w:ascii="Times New Roman" w:hAnsi="Times New Roman"/>
          <w:sz w:val="16"/>
          <w:szCs w:val="16"/>
        </w:rPr>
        <w:footnoteRef/>
      </w:r>
      <w:r w:rsidRPr="003132EE">
        <w:rPr>
          <w:rFonts w:ascii="Times New Roman" w:hAnsi="Times New Roman"/>
          <w:sz w:val="16"/>
          <w:szCs w:val="16"/>
        </w:rPr>
        <w:t xml:space="preserve">   </w:t>
      </w:r>
      <w:bookmarkStart w:id="7" w:name="_Hlk132281287"/>
      <w:r>
        <w:rPr>
          <w:rFonts w:ascii="Times New Roman" w:hAnsi="Times New Roman"/>
          <w:sz w:val="16"/>
          <w:szCs w:val="16"/>
        </w:rPr>
        <w:t xml:space="preserve"> </w:t>
      </w:r>
      <w:r w:rsidRPr="003132EE">
        <w:rPr>
          <w:rFonts w:ascii="Times New Roman" w:hAnsi="Times New Roman"/>
          <w:sz w:val="16"/>
          <w:szCs w:val="16"/>
          <w:lang w:val="en-GB"/>
        </w:rPr>
        <w:t>Data-Pop Alliance</w:t>
      </w:r>
      <w:r w:rsidR="00814A38">
        <w:rPr>
          <w:rFonts w:ascii="Times New Roman" w:hAnsi="Times New Roman"/>
          <w:sz w:val="16"/>
          <w:szCs w:val="16"/>
          <w:lang w:val="en-GB"/>
        </w:rPr>
        <w:t xml:space="preserve">, </w:t>
      </w:r>
      <w:r w:rsidRPr="003132EE">
        <w:rPr>
          <w:rFonts w:ascii="Times New Roman" w:hAnsi="Times New Roman"/>
          <w:sz w:val="16"/>
          <w:szCs w:val="16"/>
          <w:lang w:val="en-GB"/>
        </w:rPr>
        <w:t>2022</w:t>
      </w:r>
      <w:r w:rsidR="00814A38">
        <w:rPr>
          <w:rFonts w:ascii="Times New Roman" w:hAnsi="Times New Roman"/>
          <w:sz w:val="16"/>
          <w:szCs w:val="16"/>
          <w:lang w:val="en-GB"/>
        </w:rPr>
        <w:t>.</w:t>
      </w:r>
      <w:r w:rsidRPr="003132EE">
        <w:rPr>
          <w:rFonts w:ascii="Times New Roman" w:hAnsi="Times New Roman"/>
          <w:sz w:val="16"/>
          <w:szCs w:val="16"/>
          <w:lang w:val="en-GB"/>
        </w:rPr>
        <w:t xml:space="preserve"> </w:t>
      </w:r>
      <w:bookmarkEnd w:id="7"/>
      <w:r w:rsidRPr="003132EE">
        <w:rPr>
          <w:rFonts w:ascii="Times New Roman" w:hAnsi="Times New Roman"/>
          <w:sz w:val="16"/>
          <w:szCs w:val="16"/>
          <w:lang w:val="en-GB"/>
        </w:rPr>
        <w:t>Leave No One Behind in Equatorial Guinea.</w:t>
      </w:r>
    </w:p>
  </w:footnote>
  <w:footnote w:id="9">
    <w:p w14:paraId="1A7C2C4C" w14:textId="28D43386" w:rsidR="00091D10" w:rsidRPr="003132EE" w:rsidRDefault="00091D10" w:rsidP="00091D10">
      <w:pPr>
        <w:pStyle w:val="FootnoteText"/>
        <w:ind w:left="426"/>
        <w:rPr>
          <w:rFonts w:ascii="Times New Roman" w:hAnsi="Times New Roman"/>
          <w:sz w:val="16"/>
          <w:szCs w:val="16"/>
          <w:lang w:val="en-GB"/>
        </w:rPr>
      </w:pPr>
      <w:r w:rsidRPr="003132EE">
        <w:rPr>
          <w:rStyle w:val="FootnoteReference"/>
          <w:rFonts w:ascii="Times New Roman" w:hAnsi="Times New Roman"/>
          <w:sz w:val="16"/>
          <w:szCs w:val="16"/>
        </w:rPr>
        <w:footnoteRef/>
      </w:r>
      <w:r w:rsidRPr="003132EE">
        <w:rPr>
          <w:rFonts w:ascii="Times New Roman" w:hAnsi="Times New Roman"/>
          <w:sz w:val="16"/>
          <w:szCs w:val="16"/>
        </w:rPr>
        <w:t xml:space="preserve">  </w:t>
      </w:r>
      <w:r>
        <w:rPr>
          <w:rFonts w:ascii="Times New Roman" w:hAnsi="Times New Roman"/>
          <w:sz w:val="16"/>
          <w:szCs w:val="16"/>
        </w:rPr>
        <w:t xml:space="preserve">  </w:t>
      </w:r>
      <w:r w:rsidR="009114C2">
        <w:rPr>
          <w:rFonts w:ascii="Times New Roman" w:hAnsi="Times New Roman"/>
          <w:sz w:val="16"/>
          <w:szCs w:val="16"/>
        </w:rPr>
        <w:t>J</w:t>
      </w:r>
      <w:r w:rsidR="009114C2" w:rsidRPr="009114C2">
        <w:rPr>
          <w:rFonts w:ascii="Times New Roman" w:hAnsi="Times New Roman"/>
          <w:sz w:val="16"/>
          <w:szCs w:val="16"/>
        </w:rPr>
        <w:t>oint United Nations Programme on HIV/AIDS</w:t>
      </w:r>
      <w:r w:rsidR="009114C2">
        <w:rPr>
          <w:rFonts w:ascii="Times New Roman" w:hAnsi="Times New Roman"/>
          <w:sz w:val="16"/>
          <w:szCs w:val="16"/>
        </w:rPr>
        <w:t xml:space="preserve"> (</w:t>
      </w:r>
      <w:r w:rsidRPr="003132EE">
        <w:rPr>
          <w:rFonts w:ascii="Times New Roman" w:hAnsi="Times New Roman"/>
          <w:sz w:val="16"/>
          <w:szCs w:val="16"/>
        </w:rPr>
        <w:t>UNAIDS</w:t>
      </w:r>
      <w:r w:rsidR="009114C2">
        <w:rPr>
          <w:rFonts w:ascii="Times New Roman" w:hAnsi="Times New Roman"/>
          <w:sz w:val="16"/>
          <w:szCs w:val="16"/>
        </w:rPr>
        <w:t>)</w:t>
      </w:r>
      <w:r w:rsidRPr="003132EE">
        <w:rPr>
          <w:rFonts w:ascii="Times New Roman" w:hAnsi="Times New Roman"/>
          <w:sz w:val="16"/>
          <w:szCs w:val="16"/>
        </w:rPr>
        <w:t xml:space="preserve"> 2022</w:t>
      </w:r>
      <w:r w:rsidR="009114C2">
        <w:rPr>
          <w:rFonts w:ascii="Times New Roman" w:hAnsi="Times New Roman"/>
          <w:sz w:val="16"/>
          <w:szCs w:val="16"/>
        </w:rPr>
        <w:t>,</w:t>
      </w:r>
      <w:r w:rsidRPr="003132EE">
        <w:rPr>
          <w:rFonts w:ascii="Times New Roman" w:hAnsi="Times New Roman"/>
          <w:sz w:val="16"/>
          <w:szCs w:val="16"/>
        </w:rPr>
        <w:t xml:space="preserve"> and Data-Pop Alliance 2022</w:t>
      </w:r>
      <w:r w:rsidR="009E0EBF">
        <w:rPr>
          <w:rFonts w:ascii="Times New Roman" w:hAnsi="Times New Roman"/>
          <w:sz w:val="16"/>
          <w:szCs w:val="16"/>
        </w:rPr>
        <w:t>.</w:t>
      </w:r>
    </w:p>
  </w:footnote>
  <w:footnote w:id="10">
    <w:p w14:paraId="28BC310F" w14:textId="40F2A4F3" w:rsidR="00091D10" w:rsidRPr="003132EE" w:rsidRDefault="00091D10" w:rsidP="00091D10">
      <w:pPr>
        <w:pStyle w:val="FootnoteText"/>
        <w:ind w:left="426"/>
        <w:rPr>
          <w:rFonts w:ascii="Times New Roman" w:hAnsi="Times New Roman"/>
          <w:sz w:val="16"/>
          <w:szCs w:val="16"/>
        </w:rPr>
      </w:pPr>
      <w:r w:rsidRPr="003132EE">
        <w:rPr>
          <w:rStyle w:val="FootnoteReference"/>
          <w:rFonts w:ascii="Times New Roman" w:hAnsi="Times New Roman"/>
          <w:sz w:val="16"/>
          <w:szCs w:val="16"/>
        </w:rPr>
        <w:footnoteRef/>
      </w:r>
      <w:r w:rsidRPr="003132EE">
        <w:rPr>
          <w:rFonts w:ascii="Times New Roman" w:hAnsi="Times New Roman"/>
          <w:sz w:val="16"/>
          <w:szCs w:val="16"/>
        </w:rPr>
        <w:t xml:space="preserve">  </w:t>
      </w:r>
      <w:r>
        <w:rPr>
          <w:rFonts w:ascii="Times New Roman" w:hAnsi="Times New Roman"/>
          <w:sz w:val="16"/>
          <w:szCs w:val="16"/>
        </w:rPr>
        <w:t xml:space="preserve">  </w:t>
      </w:r>
      <w:r w:rsidRPr="003132EE">
        <w:rPr>
          <w:rFonts w:ascii="Times New Roman" w:hAnsi="Times New Roman"/>
          <w:sz w:val="16"/>
          <w:szCs w:val="16"/>
        </w:rPr>
        <w:t>Ibrahim Index on African Governance, 2022</w:t>
      </w:r>
      <w:r w:rsidR="00F265D3">
        <w:rPr>
          <w:rFonts w:ascii="Times New Roman" w:hAnsi="Times New Roman"/>
          <w:sz w:val="16"/>
          <w:szCs w:val="16"/>
        </w:rPr>
        <w:t>.</w:t>
      </w:r>
      <w:r w:rsidRPr="003132EE">
        <w:rPr>
          <w:rFonts w:ascii="Times New Roman" w:hAnsi="Times New Roman"/>
          <w:sz w:val="16"/>
          <w:szCs w:val="16"/>
        </w:rPr>
        <w:t xml:space="preserve"> Profile of Equatorial Guinea.</w:t>
      </w:r>
    </w:p>
  </w:footnote>
  <w:footnote w:id="11">
    <w:p w14:paraId="56B2D0EF" w14:textId="30743946" w:rsidR="00091D10" w:rsidRPr="003132EE" w:rsidRDefault="00091D10" w:rsidP="00091D10">
      <w:pPr>
        <w:pStyle w:val="FootnoteText"/>
        <w:ind w:left="426"/>
        <w:rPr>
          <w:rFonts w:ascii="Times New Roman" w:hAnsi="Times New Roman"/>
          <w:sz w:val="16"/>
          <w:szCs w:val="16"/>
        </w:rPr>
      </w:pPr>
      <w:r w:rsidRPr="003132EE">
        <w:rPr>
          <w:rStyle w:val="FootnoteReference"/>
          <w:rFonts w:ascii="Times New Roman" w:hAnsi="Times New Roman"/>
          <w:sz w:val="16"/>
          <w:szCs w:val="16"/>
        </w:rPr>
        <w:footnoteRef/>
      </w:r>
      <w:r w:rsidRPr="003132EE">
        <w:rPr>
          <w:rFonts w:ascii="Times New Roman" w:hAnsi="Times New Roman"/>
          <w:sz w:val="16"/>
          <w:szCs w:val="16"/>
        </w:rPr>
        <w:t xml:space="preserve"> </w:t>
      </w:r>
      <w:r>
        <w:rPr>
          <w:rFonts w:ascii="Times New Roman" w:hAnsi="Times New Roman"/>
          <w:sz w:val="16"/>
          <w:szCs w:val="16"/>
        </w:rPr>
        <w:t xml:space="preserve"> </w:t>
      </w:r>
      <w:r w:rsidRPr="003132EE">
        <w:rPr>
          <w:rFonts w:ascii="Times New Roman" w:hAnsi="Times New Roman"/>
          <w:sz w:val="16"/>
          <w:szCs w:val="16"/>
        </w:rPr>
        <w:t>Government of Equatorial Guinea, 2023</w:t>
      </w:r>
      <w:r w:rsidR="00F265D3">
        <w:rPr>
          <w:rFonts w:ascii="Times New Roman" w:hAnsi="Times New Roman"/>
          <w:sz w:val="16"/>
          <w:szCs w:val="16"/>
        </w:rPr>
        <w:t>.</w:t>
      </w:r>
    </w:p>
  </w:footnote>
  <w:footnote w:id="12">
    <w:p w14:paraId="25063B6A" w14:textId="0A20C177" w:rsidR="00091D10" w:rsidRPr="002900F4" w:rsidRDefault="00091D10" w:rsidP="00091D10">
      <w:pPr>
        <w:pStyle w:val="FootnoteText"/>
        <w:ind w:left="426"/>
        <w:rPr>
          <w:rFonts w:ascii="Times New Roman" w:hAnsi="Times New Roman"/>
          <w:sz w:val="16"/>
          <w:szCs w:val="16"/>
        </w:rPr>
      </w:pPr>
      <w:r w:rsidRPr="002900F4">
        <w:rPr>
          <w:rStyle w:val="FootnoteReference"/>
          <w:rFonts w:ascii="Times New Roman" w:hAnsi="Times New Roman"/>
          <w:sz w:val="16"/>
          <w:szCs w:val="16"/>
        </w:rPr>
        <w:footnoteRef/>
      </w:r>
      <w:r w:rsidRPr="002900F4">
        <w:rPr>
          <w:rFonts w:ascii="Times New Roman" w:hAnsi="Times New Roman"/>
          <w:sz w:val="16"/>
          <w:szCs w:val="16"/>
        </w:rPr>
        <w:t xml:space="preserve"> </w:t>
      </w:r>
      <w:r>
        <w:rPr>
          <w:rFonts w:ascii="Times New Roman" w:hAnsi="Times New Roman"/>
          <w:sz w:val="16"/>
          <w:szCs w:val="16"/>
        </w:rPr>
        <w:t xml:space="preserve"> </w:t>
      </w:r>
      <w:r w:rsidRPr="002900F4">
        <w:rPr>
          <w:rFonts w:ascii="Times New Roman" w:hAnsi="Times New Roman"/>
          <w:sz w:val="16"/>
          <w:szCs w:val="16"/>
          <w:lang w:val="en-GB"/>
        </w:rPr>
        <w:t>Data-Pop Alliance 2022, and UPR</w:t>
      </w:r>
      <w:r>
        <w:rPr>
          <w:rFonts w:ascii="Times New Roman" w:hAnsi="Times New Roman"/>
          <w:sz w:val="16"/>
          <w:szCs w:val="16"/>
          <w:lang w:val="en-GB"/>
        </w:rPr>
        <w:t xml:space="preserve"> 2019</w:t>
      </w:r>
      <w:r w:rsidR="00F265D3">
        <w:rPr>
          <w:rFonts w:ascii="Times New Roman" w:hAnsi="Times New Roman"/>
          <w:sz w:val="16"/>
          <w:szCs w:val="16"/>
          <w:lang w:val="en-GB"/>
        </w:rPr>
        <w:t xml:space="preserve"> (see</w:t>
      </w:r>
      <w:r w:rsidRPr="002900F4">
        <w:rPr>
          <w:rFonts w:ascii="Times New Roman" w:hAnsi="Times New Roman"/>
          <w:sz w:val="16"/>
          <w:szCs w:val="16"/>
          <w:lang w:val="en-GB"/>
        </w:rPr>
        <w:t xml:space="preserve"> </w:t>
      </w:r>
      <w:hyperlink r:id="rId1" w:history="1">
        <w:r w:rsidR="00F265D3" w:rsidRPr="00D51A77">
          <w:rPr>
            <w:rStyle w:val="Hyperlink"/>
            <w:rFonts w:ascii="Times New Roman" w:hAnsi="Times New Roman"/>
            <w:sz w:val="16"/>
            <w:szCs w:val="16"/>
            <w:lang w:val="en-GB"/>
          </w:rPr>
          <w:t>https://www.ohchr.org/en/hr-bodies/upr/gq-index</w:t>
        </w:r>
      </w:hyperlink>
      <w:r w:rsidR="00F265D3">
        <w:rPr>
          <w:rFonts w:ascii="Times New Roman" w:hAnsi="Times New Roman"/>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C69D9" w:rsidRPr="00657A41" w14:paraId="6C8F084B" w14:textId="77777777" w:rsidTr="00CE2A86">
      <w:trPr>
        <w:trHeight w:hRule="exact" w:val="864"/>
      </w:trPr>
      <w:tc>
        <w:tcPr>
          <w:tcW w:w="4668" w:type="dxa"/>
          <w:shd w:val="clear" w:color="auto" w:fill="auto"/>
          <w:vAlign w:val="bottom"/>
        </w:tcPr>
        <w:p w14:paraId="51B1F22D" w14:textId="629D062A" w:rsidR="00BC69D9" w:rsidRPr="00657A41" w:rsidRDefault="00BC69D9" w:rsidP="00BC69D9">
          <w:pPr>
            <w:tabs>
              <w:tab w:val="center" w:pos="4320"/>
              <w:tab w:val="right" w:pos="8640"/>
            </w:tabs>
            <w:spacing w:after="80"/>
            <w:rPr>
              <w:b/>
              <w:noProof/>
              <w:sz w:val="17"/>
            </w:rPr>
          </w:pPr>
          <w:bookmarkStart w:id="13" w:name="_Hlk72161445"/>
          <w:r w:rsidRPr="00657A41">
            <w:rPr>
              <w:b/>
              <w:noProof/>
              <w:sz w:val="17"/>
            </w:rPr>
            <w:t>DP/DCP/</w:t>
          </w:r>
          <w:r>
            <w:rPr>
              <w:b/>
              <w:noProof/>
              <w:sz w:val="17"/>
            </w:rPr>
            <w:t>G</w:t>
          </w:r>
          <w:r w:rsidR="00091D10">
            <w:rPr>
              <w:b/>
              <w:noProof/>
              <w:sz w:val="17"/>
            </w:rPr>
            <w:t>NQ</w:t>
          </w:r>
          <w:r w:rsidRPr="00657A41">
            <w:rPr>
              <w:b/>
              <w:noProof/>
              <w:sz w:val="17"/>
            </w:rPr>
            <w:t>/4</w:t>
          </w:r>
        </w:p>
      </w:tc>
      <w:tc>
        <w:tcPr>
          <w:tcW w:w="4872" w:type="dxa"/>
          <w:shd w:val="clear" w:color="auto" w:fill="auto"/>
          <w:vAlign w:val="bottom"/>
        </w:tcPr>
        <w:p w14:paraId="32A484FF" w14:textId="77777777" w:rsidR="00BC69D9" w:rsidRPr="00657A41" w:rsidRDefault="00BC69D9" w:rsidP="00BC69D9">
          <w:pPr>
            <w:tabs>
              <w:tab w:val="center" w:pos="4320"/>
              <w:tab w:val="right" w:pos="8640"/>
            </w:tabs>
            <w:jc w:val="right"/>
            <w:rPr>
              <w:b/>
              <w:noProof/>
              <w:sz w:val="17"/>
            </w:rPr>
          </w:pPr>
        </w:p>
      </w:tc>
    </w:tr>
    <w:bookmarkEnd w:id="13"/>
  </w:tbl>
  <w:p w14:paraId="00066E83" w14:textId="77777777" w:rsidR="00BC69D9" w:rsidRPr="00BC69D9" w:rsidRDefault="00BC69D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BC69D9" w:rsidRPr="00657A41" w14:paraId="0B6927BD" w14:textId="77777777" w:rsidTr="00BC69D9">
      <w:trPr>
        <w:trHeight w:hRule="exact" w:val="864"/>
      </w:trPr>
      <w:tc>
        <w:tcPr>
          <w:tcW w:w="4838" w:type="dxa"/>
          <w:shd w:val="clear" w:color="auto" w:fill="auto"/>
          <w:vAlign w:val="bottom"/>
        </w:tcPr>
        <w:p w14:paraId="05BAF8E6" w14:textId="77777777" w:rsidR="00BC69D9" w:rsidRPr="00657A41" w:rsidRDefault="00BC69D9" w:rsidP="00BC69D9">
          <w:pPr>
            <w:tabs>
              <w:tab w:val="center" w:pos="4320"/>
              <w:tab w:val="right" w:pos="8640"/>
            </w:tabs>
            <w:spacing w:after="80"/>
            <w:rPr>
              <w:b/>
              <w:noProof/>
              <w:sz w:val="17"/>
            </w:rPr>
          </w:pPr>
        </w:p>
      </w:tc>
      <w:tc>
        <w:tcPr>
          <w:tcW w:w="4764" w:type="dxa"/>
          <w:shd w:val="clear" w:color="auto" w:fill="auto"/>
          <w:vAlign w:val="bottom"/>
        </w:tcPr>
        <w:p w14:paraId="70EB3BFC" w14:textId="7253C4F6" w:rsidR="00BC69D9" w:rsidRPr="00657A41" w:rsidRDefault="00BC69D9" w:rsidP="00BC69D9">
          <w:pPr>
            <w:tabs>
              <w:tab w:val="center" w:pos="4320"/>
              <w:tab w:val="right" w:pos="8640"/>
            </w:tabs>
            <w:jc w:val="right"/>
            <w:rPr>
              <w:b/>
              <w:noProof/>
              <w:sz w:val="17"/>
            </w:rPr>
          </w:pPr>
          <w:r w:rsidRPr="00657A41">
            <w:rPr>
              <w:b/>
              <w:noProof/>
              <w:sz w:val="17"/>
            </w:rPr>
            <w:t>DP/DCP/</w:t>
          </w:r>
          <w:r>
            <w:rPr>
              <w:b/>
              <w:noProof/>
              <w:sz w:val="17"/>
            </w:rPr>
            <w:t>G</w:t>
          </w:r>
          <w:r w:rsidR="00091D10">
            <w:rPr>
              <w:b/>
              <w:noProof/>
              <w:sz w:val="17"/>
            </w:rPr>
            <w:t>NQ</w:t>
          </w:r>
          <w:r w:rsidRPr="00657A41">
            <w:rPr>
              <w:b/>
              <w:noProof/>
              <w:sz w:val="17"/>
            </w:rPr>
            <w:t>/4</w:t>
          </w:r>
        </w:p>
      </w:tc>
    </w:tr>
  </w:tbl>
  <w:p w14:paraId="1A102CF2" w14:textId="77777777" w:rsidR="00BC69D9" w:rsidRPr="00BC69D9" w:rsidRDefault="00BC69D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D9" w:rsidRPr="00091D10" w14:paraId="001207A7" w14:textId="77777777" w:rsidTr="00B9471B">
      <w:trPr>
        <w:trHeight w:hRule="exact" w:val="864"/>
      </w:trPr>
      <w:tc>
        <w:tcPr>
          <w:tcW w:w="1267" w:type="dxa"/>
          <w:tcBorders>
            <w:bottom w:val="single" w:sz="4" w:space="0" w:color="auto"/>
          </w:tcBorders>
          <w:shd w:val="clear" w:color="auto" w:fill="auto"/>
          <w:vAlign w:val="bottom"/>
        </w:tcPr>
        <w:p w14:paraId="3F188231" w14:textId="77777777" w:rsidR="00BC69D9" w:rsidRPr="00091D10" w:rsidRDefault="00BC69D9" w:rsidP="00BC69D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2A47723C" w14:textId="77777777" w:rsidR="00BC69D9" w:rsidRPr="00091D10"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091D10">
            <w:rPr>
              <w:spacing w:val="2"/>
              <w:w w:val="96"/>
              <w:kern w:val="14"/>
              <w:sz w:val="28"/>
              <w:lang w:val="en-GB"/>
            </w:rPr>
            <w:t>United Nations</w:t>
          </w:r>
        </w:p>
      </w:tc>
      <w:tc>
        <w:tcPr>
          <w:tcW w:w="245" w:type="dxa"/>
          <w:tcBorders>
            <w:bottom w:val="single" w:sz="4" w:space="0" w:color="auto"/>
          </w:tcBorders>
          <w:shd w:val="clear" w:color="auto" w:fill="auto"/>
          <w:vAlign w:val="bottom"/>
        </w:tcPr>
        <w:p w14:paraId="11F638DF" w14:textId="77777777" w:rsidR="00BC69D9" w:rsidRPr="00091D10" w:rsidRDefault="00BC69D9" w:rsidP="00BC69D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2DF08B05" w14:textId="2671ED22" w:rsidR="00BC69D9" w:rsidRPr="00091D10" w:rsidRDefault="00BC69D9" w:rsidP="00BC69D9">
          <w:pPr>
            <w:suppressAutoHyphens/>
            <w:spacing w:after="80"/>
            <w:jc w:val="right"/>
            <w:rPr>
              <w:spacing w:val="4"/>
              <w:w w:val="103"/>
              <w:kern w:val="14"/>
              <w:position w:val="-4"/>
              <w:lang w:val="en-GB"/>
            </w:rPr>
          </w:pPr>
          <w:r w:rsidRPr="00091D10">
            <w:rPr>
              <w:spacing w:val="4"/>
              <w:w w:val="103"/>
              <w:kern w:val="14"/>
              <w:position w:val="-4"/>
              <w:sz w:val="40"/>
              <w:lang w:val="en-GB"/>
            </w:rPr>
            <w:t>DP</w:t>
          </w:r>
          <w:r w:rsidRPr="00091D10">
            <w:rPr>
              <w:spacing w:val="4"/>
              <w:w w:val="103"/>
              <w:kern w:val="14"/>
              <w:position w:val="-4"/>
              <w:lang w:val="en-GB"/>
            </w:rPr>
            <w:t>/DCP/G</w:t>
          </w:r>
          <w:r w:rsidR="00091D10" w:rsidRPr="00091D10">
            <w:rPr>
              <w:spacing w:val="4"/>
              <w:w w:val="103"/>
              <w:kern w:val="14"/>
              <w:position w:val="-4"/>
              <w:lang w:val="en-GB"/>
            </w:rPr>
            <w:t>NQ</w:t>
          </w:r>
          <w:r w:rsidRPr="00091D10">
            <w:rPr>
              <w:spacing w:val="4"/>
              <w:w w:val="103"/>
              <w:kern w:val="14"/>
              <w:position w:val="-4"/>
              <w:lang w:val="en-GB"/>
            </w:rPr>
            <w:t>/4</w:t>
          </w:r>
        </w:p>
      </w:tc>
    </w:tr>
    <w:tr w:rsidR="00BC69D9" w:rsidRPr="00091D10" w14:paraId="46C5DFD1" w14:textId="77777777" w:rsidTr="00B9471B">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BC69D9" w:rsidRPr="00091D10" w:rsidRDefault="00BC69D9" w:rsidP="00BC69D9">
          <w:pPr>
            <w:tabs>
              <w:tab w:val="center" w:pos="4320"/>
              <w:tab w:val="right" w:pos="8640"/>
            </w:tabs>
            <w:spacing w:before="109"/>
            <w:rPr>
              <w:sz w:val="17"/>
              <w:lang w:val="en-GB"/>
            </w:rPr>
          </w:pPr>
          <w:r w:rsidRPr="00091D10">
            <w:rPr>
              <w:sz w:val="17"/>
              <w:lang w:val="en-GB"/>
            </w:rPr>
            <w:t xml:space="preserve"> </w:t>
          </w:r>
          <w:r w:rsidRPr="00091D10">
            <w:rPr>
              <w:noProof/>
              <w:sz w:val="17"/>
              <w:lang w:val="en-GB" w:eastAsia="en-GB"/>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BC69D9" w:rsidRPr="00091D10" w:rsidRDefault="00BC69D9" w:rsidP="00BC69D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55CA1CE0" w14:textId="33E2BBBE" w:rsidR="00BC69D9" w:rsidRPr="00091D10" w:rsidRDefault="00F8489E"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lang w:val="en-GB"/>
            </w:rPr>
          </w:pPr>
          <w:r w:rsidRPr="00091D10">
            <w:rPr>
              <w:b/>
              <w:bCs/>
              <w:sz w:val="34"/>
              <w:lang w:val="en-GB"/>
            </w:rPr>
            <w:t>Executive Board of the</w:t>
          </w:r>
          <w:r w:rsidRPr="00091D10">
            <w:rPr>
              <w:b/>
              <w:bCs/>
              <w:sz w:val="34"/>
              <w:lang w:val="en-GB"/>
            </w:rPr>
            <w:br/>
            <w:t>United Nations Development</w:t>
          </w:r>
          <w:r w:rsidRPr="00091D10">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BC69D9" w:rsidRPr="00091D10" w:rsidRDefault="00BC69D9" w:rsidP="00BC69D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547AD2CD" w14:textId="77777777" w:rsidR="00BC69D9" w:rsidRPr="00091D10" w:rsidRDefault="00BC69D9" w:rsidP="00BC69D9">
          <w:pPr>
            <w:suppressAutoHyphens/>
            <w:spacing w:before="240" w:line="240" w:lineRule="exact"/>
            <w:rPr>
              <w:spacing w:val="4"/>
              <w:w w:val="103"/>
              <w:kern w:val="14"/>
              <w:lang w:val="en-GB"/>
            </w:rPr>
          </w:pPr>
          <w:r w:rsidRPr="00091D10">
            <w:rPr>
              <w:spacing w:val="4"/>
              <w:w w:val="103"/>
              <w:kern w:val="14"/>
              <w:lang w:val="en-GB"/>
            </w:rPr>
            <w:t>Distr.: General</w:t>
          </w:r>
        </w:p>
        <w:p w14:paraId="06F5D2F3" w14:textId="40628940" w:rsidR="00BC69D9" w:rsidRPr="00091D10" w:rsidRDefault="0070536A" w:rsidP="00BC69D9">
          <w:pPr>
            <w:suppressAutoHyphens/>
            <w:spacing w:line="240" w:lineRule="exact"/>
            <w:rPr>
              <w:spacing w:val="4"/>
              <w:w w:val="103"/>
              <w:kern w:val="14"/>
              <w:lang w:val="en-GB"/>
            </w:rPr>
          </w:pPr>
          <w:r>
            <w:rPr>
              <w:spacing w:val="4"/>
              <w:w w:val="103"/>
              <w:kern w:val="14"/>
              <w:lang w:val="en-GB"/>
            </w:rPr>
            <w:t>29</w:t>
          </w:r>
          <w:r w:rsidR="00145CB0" w:rsidRPr="00091D10">
            <w:rPr>
              <w:spacing w:val="4"/>
              <w:w w:val="103"/>
              <w:kern w:val="14"/>
              <w:lang w:val="en-GB"/>
            </w:rPr>
            <w:t xml:space="preserve"> June</w:t>
          </w:r>
          <w:r w:rsidR="00BC69D9" w:rsidRPr="00091D10">
            <w:rPr>
              <w:spacing w:val="4"/>
              <w:w w:val="103"/>
              <w:kern w:val="14"/>
              <w:lang w:val="en-GB"/>
            </w:rPr>
            <w:t xml:space="preserve"> 202</w:t>
          </w:r>
          <w:r w:rsidR="00091D10" w:rsidRPr="00091D10">
            <w:rPr>
              <w:spacing w:val="4"/>
              <w:w w:val="103"/>
              <w:kern w:val="14"/>
              <w:lang w:val="en-GB"/>
            </w:rPr>
            <w:t>3</w:t>
          </w:r>
        </w:p>
        <w:p w14:paraId="1FAA6AE7" w14:textId="77777777" w:rsidR="00BC69D9" w:rsidRPr="00091D10" w:rsidRDefault="00BC69D9" w:rsidP="00BC69D9">
          <w:pPr>
            <w:suppressAutoHyphens/>
            <w:spacing w:line="240" w:lineRule="exact"/>
            <w:rPr>
              <w:spacing w:val="4"/>
              <w:w w:val="103"/>
              <w:kern w:val="14"/>
              <w:lang w:val="en-GB"/>
            </w:rPr>
          </w:pPr>
        </w:p>
        <w:p w14:paraId="67D3E35A" w14:textId="77777777" w:rsidR="00BC69D9" w:rsidRPr="00091D10" w:rsidRDefault="00BC69D9" w:rsidP="00BC69D9">
          <w:pPr>
            <w:suppressAutoHyphens/>
            <w:spacing w:line="240" w:lineRule="exact"/>
            <w:rPr>
              <w:spacing w:val="4"/>
              <w:w w:val="103"/>
              <w:kern w:val="14"/>
              <w:lang w:val="en-GB"/>
            </w:rPr>
          </w:pPr>
          <w:r w:rsidRPr="00091D10">
            <w:rPr>
              <w:spacing w:val="4"/>
              <w:w w:val="103"/>
              <w:kern w:val="14"/>
              <w:lang w:val="en-GB"/>
            </w:rPr>
            <w:t>Original: English</w:t>
          </w:r>
        </w:p>
      </w:tc>
    </w:tr>
  </w:tbl>
  <w:p w14:paraId="7C7F644D" w14:textId="77777777" w:rsidR="00BC69D9" w:rsidRPr="00091D10" w:rsidRDefault="00BC69D9">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3D3682" w:rsidRDefault="00BD085F">
    <w:pPr>
      <w:pStyle w:val="Header"/>
    </w:pPr>
    <w:r>
      <w:rPr>
        <w:noProof/>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3F9D40FA"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091D10">
                                  <w:rPr>
                                    <w:rFonts w:ascii="Times New Roman" w:hAnsi="Times New Roman"/>
                                    <w:b/>
                                    <w:sz w:val="17"/>
                                    <w:szCs w:val="17"/>
                                    <w:lang w:val="en-US" w:eastAsia="en-US"/>
                                  </w:rPr>
                                  <w:t>GNQ</w:t>
                                </w:r>
                                <w:r w:rsidR="00461411">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3F9D40FA"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091D10">
                            <w:rPr>
                              <w:rFonts w:ascii="Times New Roman" w:hAnsi="Times New Roman"/>
                              <w:b/>
                              <w:sz w:val="17"/>
                              <w:szCs w:val="17"/>
                              <w:lang w:val="en-US" w:eastAsia="en-US"/>
                            </w:rPr>
                            <w:t>GNQ</w:t>
                          </w:r>
                          <w:r w:rsidR="00461411">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CE2A86" w:rsidRPr="00657A41" w14:paraId="0755F833" w14:textId="77777777" w:rsidTr="00E022B9">
      <w:trPr>
        <w:trHeight w:hRule="exact" w:val="864"/>
      </w:trPr>
      <w:tc>
        <w:tcPr>
          <w:tcW w:w="4668" w:type="dxa"/>
          <w:shd w:val="clear" w:color="auto" w:fill="auto"/>
          <w:vAlign w:val="bottom"/>
        </w:tcPr>
        <w:p w14:paraId="74A7251A" w14:textId="77777777" w:rsidR="00CE2A86" w:rsidRPr="00657A41" w:rsidRDefault="00CE2A86" w:rsidP="00BC69D9">
          <w:pPr>
            <w:tabs>
              <w:tab w:val="center" w:pos="4320"/>
              <w:tab w:val="right" w:pos="8640"/>
            </w:tabs>
            <w:spacing w:after="80"/>
            <w:rPr>
              <w:b/>
              <w:noProof/>
              <w:sz w:val="17"/>
            </w:rPr>
          </w:pPr>
        </w:p>
      </w:tc>
      <w:tc>
        <w:tcPr>
          <w:tcW w:w="8382" w:type="dxa"/>
          <w:shd w:val="clear" w:color="auto" w:fill="auto"/>
          <w:vAlign w:val="bottom"/>
        </w:tcPr>
        <w:p w14:paraId="4B473F58" w14:textId="0568C2BA" w:rsidR="00CE2A86" w:rsidRPr="00657A41" w:rsidRDefault="00CE2A86" w:rsidP="00993C3D">
          <w:pPr>
            <w:tabs>
              <w:tab w:val="center" w:pos="4320"/>
              <w:tab w:val="right" w:pos="8392"/>
            </w:tabs>
            <w:jc w:val="right"/>
            <w:rPr>
              <w:b/>
              <w:noProof/>
              <w:sz w:val="17"/>
            </w:rPr>
          </w:pPr>
          <w:r w:rsidRPr="00657A41">
            <w:rPr>
              <w:b/>
              <w:noProof/>
              <w:sz w:val="17"/>
            </w:rPr>
            <w:t>DP/DCP/</w:t>
          </w:r>
          <w:r>
            <w:rPr>
              <w:b/>
              <w:noProof/>
              <w:sz w:val="17"/>
            </w:rPr>
            <w:t>G</w:t>
          </w:r>
          <w:r w:rsidR="00091D10">
            <w:rPr>
              <w:b/>
              <w:noProof/>
              <w:sz w:val="17"/>
            </w:rPr>
            <w:t>NQ</w:t>
          </w:r>
          <w:r w:rsidRPr="00657A41">
            <w:rPr>
              <w:b/>
              <w:noProof/>
              <w:sz w:val="17"/>
            </w:rPr>
            <w:t>/4</w:t>
          </w:r>
        </w:p>
      </w:tc>
    </w:tr>
  </w:tbl>
  <w:p w14:paraId="081F7F38" w14:textId="77777777" w:rsidR="00CE2A86" w:rsidRPr="00BC69D9" w:rsidRDefault="00CE2A8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3"/>
    <w:multiLevelType w:val="hybridMultilevel"/>
    <w:tmpl w:val="C80AE2B6"/>
    <w:lvl w:ilvl="0" w:tplc="0016ADC0">
      <w:start w:val="1"/>
      <w:numFmt w:val="decimal"/>
      <w:lvlText w:val="%1."/>
      <w:lvlJc w:val="left"/>
      <w:pPr>
        <w:ind w:left="720" w:hanging="360"/>
      </w:pPr>
      <w:rPr>
        <w:rFonts w:ascii="Times New Roman" w:hAnsi="Times New Roman" w:cs="Times New Roman" w:hint="default"/>
        <w:b w:val="0"/>
        <w:bCs w:val="0"/>
        <w:color w:val="auto"/>
      </w:rPr>
    </w:lvl>
    <w:lvl w:ilvl="1" w:tplc="04090019">
      <w:start w:val="1"/>
      <w:numFmt w:val="lowerLetter"/>
      <w:lvlText w:val="%2."/>
      <w:lvlJc w:val="left"/>
      <w:pPr>
        <w:ind w:left="1440" w:hanging="360"/>
      </w:pPr>
    </w:lvl>
    <w:lvl w:ilvl="2" w:tplc="0409000F">
      <w:start w:val="1"/>
      <w:numFmt w:val="decimal"/>
      <w:lvlText w:val="%3."/>
      <w:lvlJc w:val="lef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58422A"/>
    <w:multiLevelType w:val="hybridMultilevel"/>
    <w:tmpl w:val="EB1E5E0E"/>
    <w:lvl w:ilvl="0" w:tplc="BA60911C">
      <w:start w:val="10"/>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62525"/>
    <w:multiLevelType w:val="hybridMultilevel"/>
    <w:tmpl w:val="4A5C2B84"/>
    <w:lvl w:ilvl="0" w:tplc="3606095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61E8F"/>
    <w:multiLevelType w:val="hybridMultilevel"/>
    <w:tmpl w:val="1D0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2" w15:restartNumberingAfterBreak="0">
    <w:nsid w:val="201E5C14"/>
    <w:multiLevelType w:val="hybridMultilevel"/>
    <w:tmpl w:val="9F367D90"/>
    <w:lvl w:ilvl="0" w:tplc="0409001B">
      <w:start w:val="1"/>
      <w:numFmt w:val="lowerRoman"/>
      <w:lvlText w:val="%1."/>
      <w:lvlJc w:val="right"/>
      <w:pPr>
        <w:ind w:left="1648" w:hanging="720"/>
      </w:pPr>
      <w:rPr>
        <w:rFont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266A6F84"/>
    <w:multiLevelType w:val="hybridMultilevel"/>
    <w:tmpl w:val="FA1EDD9E"/>
    <w:lvl w:ilvl="0" w:tplc="A92EF7B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9"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37626662"/>
    <w:multiLevelType w:val="hybridMultilevel"/>
    <w:tmpl w:val="387A0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6"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42160598"/>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7263D"/>
    <w:multiLevelType w:val="multilevel"/>
    <w:tmpl w:val="1CFC5F14"/>
    <w:lvl w:ilvl="0">
      <w:start w:val="4"/>
      <w:numFmt w:val="upperRoman"/>
      <w:lvlText w:val="%1."/>
      <w:lvlJc w:val="left"/>
      <w:pPr>
        <w:ind w:left="1987" w:hanging="720"/>
      </w:pPr>
      <w:rPr>
        <w:rFonts w:hint="default"/>
      </w:rPr>
    </w:lvl>
    <w:lvl w:ilvl="1">
      <w:start w:val="1"/>
      <w:numFmt w:val="decimal"/>
      <w:isLgl/>
      <w:lvlText w:val="%1.%2."/>
      <w:lvlJc w:val="left"/>
      <w:pPr>
        <w:ind w:left="1672" w:hanging="405"/>
      </w:pPr>
      <w:rPr>
        <w:rFonts w:hint="default"/>
      </w:rPr>
    </w:lvl>
    <w:lvl w:ilvl="2">
      <w:start w:val="4"/>
      <w:numFmt w:val="decimal"/>
      <w:isLgl/>
      <w:lvlText w:val="%1.%2.%3."/>
      <w:lvlJc w:val="left"/>
      <w:pPr>
        <w:ind w:left="1672" w:hanging="405"/>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1987" w:hanging="72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347" w:hanging="1080"/>
      </w:pPr>
      <w:rPr>
        <w:rFonts w:hint="default"/>
      </w:rPr>
    </w:lvl>
    <w:lvl w:ilvl="8">
      <w:start w:val="1"/>
      <w:numFmt w:val="decimal"/>
      <w:isLgl/>
      <w:lvlText w:val="%1.%2.%3.%4.%5.%6.%7.%8.%9."/>
      <w:lvlJc w:val="left"/>
      <w:pPr>
        <w:ind w:left="2347" w:hanging="1080"/>
      </w:pPr>
      <w:rPr>
        <w:rFonts w:hint="default"/>
      </w:rPr>
    </w:lvl>
  </w:abstractNum>
  <w:abstractNum w:abstractNumId="35" w15:restartNumberingAfterBreak="0">
    <w:nsid w:val="4CDD7C0A"/>
    <w:multiLevelType w:val="hybridMultilevel"/>
    <w:tmpl w:val="9A88D390"/>
    <w:lvl w:ilvl="0" w:tplc="9EA6DC24">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27CB3"/>
    <w:multiLevelType w:val="hybridMultilevel"/>
    <w:tmpl w:val="A404D00E"/>
    <w:lvl w:ilvl="0" w:tplc="FFFFFFFF">
      <w:start w:val="1"/>
      <w:numFmt w:val="decimal"/>
      <w:lvlText w:val="%1."/>
      <w:lvlJc w:val="left"/>
      <w:pPr>
        <w:ind w:left="720" w:hanging="360"/>
      </w:pPr>
      <w:rPr>
        <w:rFonts w:ascii="Times New Roman" w:hAnsi="Times New Roman" w:cs="Times New Roman" w:hint="default"/>
        <w:b w:val="0"/>
        <w:bCs w:val="0"/>
        <w:color w:val="auto"/>
      </w:rPr>
    </w:lvl>
    <w:lvl w:ilvl="1" w:tplc="FFFFFFFF">
      <w:start w:val="1"/>
      <w:numFmt w:val="lowerLetter"/>
      <w:lvlText w:val="%2."/>
      <w:lvlJc w:val="left"/>
      <w:pPr>
        <w:ind w:left="1440" w:hanging="360"/>
      </w:pPr>
    </w:lvl>
    <w:lvl w:ilvl="2" w:tplc="FFFFFFFF">
      <w:start w:val="1"/>
      <w:numFmt w:val="decimal"/>
      <w:lvlText w:val="%3."/>
      <w:lvlJc w:val="left"/>
      <w:pPr>
        <w:ind w:left="27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1" w15:restartNumberingAfterBreak="0">
    <w:nsid w:val="56CF7C21"/>
    <w:multiLevelType w:val="hybridMultilevel"/>
    <w:tmpl w:val="43E62AC2"/>
    <w:lvl w:ilvl="0" w:tplc="04090013">
      <w:start w:val="1"/>
      <w:numFmt w:val="upp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AC54D6"/>
    <w:multiLevelType w:val="multilevel"/>
    <w:tmpl w:val="0792C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5"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6"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9"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51"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53"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4"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6"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3294488"/>
    <w:multiLevelType w:val="hybridMultilevel"/>
    <w:tmpl w:val="8D5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E5E298B"/>
    <w:multiLevelType w:val="hybridMultilevel"/>
    <w:tmpl w:val="0BD8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3897">
    <w:abstractNumId w:val="26"/>
  </w:num>
  <w:num w:numId="2" w16cid:durableId="2065179990">
    <w:abstractNumId w:val="47"/>
  </w:num>
  <w:num w:numId="3" w16cid:durableId="594946374">
    <w:abstractNumId w:val="37"/>
  </w:num>
  <w:num w:numId="4" w16cid:durableId="1442452478">
    <w:abstractNumId w:val="52"/>
  </w:num>
  <w:num w:numId="5" w16cid:durableId="1403066092">
    <w:abstractNumId w:val="39"/>
  </w:num>
  <w:num w:numId="6" w16cid:durableId="749734039">
    <w:abstractNumId w:val="1"/>
  </w:num>
  <w:num w:numId="7" w16cid:durableId="1449004889">
    <w:abstractNumId w:val="23"/>
  </w:num>
  <w:num w:numId="8" w16cid:durableId="930813721">
    <w:abstractNumId w:val="48"/>
  </w:num>
  <w:num w:numId="9" w16cid:durableId="1837915182">
    <w:abstractNumId w:val="61"/>
  </w:num>
  <w:num w:numId="10" w16cid:durableId="508718485">
    <w:abstractNumId w:val="51"/>
  </w:num>
  <w:num w:numId="11" w16cid:durableId="803817516">
    <w:abstractNumId w:val="60"/>
  </w:num>
  <w:num w:numId="12" w16cid:durableId="255402164">
    <w:abstractNumId w:val="32"/>
  </w:num>
  <w:num w:numId="13" w16cid:durableId="1219823831">
    <w:abstractNumId w:val="11"/>
  </w:num>
  <w:num w:numId="14" w16cid:durableId="992489688">
    <w:abstractNumId w:val="22"/>
  </w:num>
  <w:num w:numId="15" w16cid:durableId="281112310">
    <w:abstractNumId w:val="55"/>
  </w:num>
  <w:num w:numId="16" w16cid:durableId="663512979">
    <w:abstractNumId w:val="15"/>
  </w:num>
  <w:num w:numId="17" w16cid:durableId="243222260">
    <w:abstractNumId w:val="19"/>
  </w:num>
  <w:num w:numId="18" w16cid:durableId="1932663131">
    <w:abstractNumId w:val="25"/>
  </w:num>
  <w:num w:numId="19" w16cid:durableId="695231806">
    <w:abstractNumId w:val="58"/>
  </w:num>
  <w:num w:numId="20" w16cid:durableId="504396762">
    <w:abstractNumId w:val="14"/>
  </w:num>
  <w:num w:numId="21" w16cid:durableId="607932113">
    <w:abstractNumId w:val="13"/>
  </w:num>
  <w:num w:numId="22" w16cid:durableId="546181340">
    <w:abstractNumId w:val="56"/>
  </w:num>
  <w:num w:numId="23" w16cid:durableId="1586693980">
    <w:abstractNumId w:val="21"/>
  </w:num>
  <w:num w:numId="24" w16cid:durableId="1479571592">
    <w:abstractNumId w:val="6"/>
  </w:num>
  <w:num w:numId="25" w16cid:durableId="284313853">
    <w:abstractNumId w:val="53"/>
  </w:num>
  <w:num w:numId="26" w16cid:durableId="181551528">
    <w:abstractNumId w:val="50"/>
  </w:num>
  <w:num w:numId="27" w16cid:durableId="100148387">
    <w:abstractNumId w:val="43"/>
  </w:num>
  <w:num w:numId="28" w16cid:durableId="817917487">
    <w:abstractNumId w:val="3"/>
  </w:num>
  <w:num w:numId="29" w16cid:durableId="1728186620">
    <w:abstractNumId w:val="33"/>
  </w:num>
  <w:num w:numId="30" w16cid:durableId="1806121936">
    <w:abstractNumId w:val="42"/>
  </w:num>
  <w:num w:numId="31" w16cid:durableId="1572622591">
    <w:abstractNumId w:val="18"/>
  </w:num>
  <w:num w:numId="32" w16cid:durableId="77944122">
    <w:abstractNumId w:val="7"/>
  </w:num>
  <w:num w:numId="33" w16cid:durableId="582030835">
    <w:abstractNumId w:val="31"/>
  </w:num>
  <w:num w:numId="34" w16cid:durableId="79687506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0206162">
    <w:abstractNumId w:val="29"/>
  </w:num>
  <w:num w:numId="36" w16cid:durableId="1894921893">
    <w:abstractNumId w:val="9"/>
  </w:num>
  <w:num w:numId="37" w16cid:durableId="1040284448">
    <w:abstractNumId w:val="40"/>
  </w:num>
  <w:num w:numId="38" w16cid:durableId="1049718564">
    <w:abstractNumId w:val="17"/>
  </w:num>
  <w:num w:numId="39" w16cid:durableId="358817409">
    <w:abstractNumId w:val="4"/>
  </w:num>
  <w:num w:numId="40" w16cid:durableId="2032149131">
    <w:abstractNumId w:val="28"/>
  </w:num>
  <w:num w:numId="41" w16cid:durableId="1623725175">
    <w:abstractNumId w:val="8"/>
  </w:num>
  <w:num w:numId="42" w16cid:durableId="607471133">
    <w:abstractNumId w:val="24"/>
  </w:num>
  <w:num w:numId="43" w16cid:durableId="2000038569">
    <w:abstractNumId w:val="54"/>
  </w:num>
  <w:num w:numId="44" w16cid:durableId="947738272">
    <w:abstractNumId w:val="49"/>
  </w:num>
  <w:num w:numId="45" w16cid:durableId="441268402">
    <w:abstractNumId w:val="36"/>
  </w:num>
  <w:num w:numId="46" w16cid:durableId="728462544">
    <w:abstractNumId w:val="57"/>
  </w:num>
  <w:num w:numId="47" w16cid:durableId="1783063829">
    <w:abstractNumId w:val="59"/>
  </w:num>
  <w:num w:numId="48" w16cid:durableId="1681159384">
    <w:abstractNumId w:val="62"/>
  </w:num>
  <w:num w:numId="49" w16cid:durableId="175924997">
    <w:abstractNumId w:val="10"/>
  </w:num>
  <w:num w:numId="50" w16cid:durableId="1776291250">
    <w:abstractNumId w:val="0"/>
  </w:num>
  <w:num w:numId="51" w16cid:durableId="1838770055">
    <w:abstractNumId w:val="27"/>
  </w:num>
  <w:num w:numId="52" w16cid:durableId="738866132">
    <w:abstractNumId w:val="20"/>
  </w:num>
  <w:num w:numId="53" w16cid:durableId="1366522211">
    <w:abstractNumId w:val="38"/>
  </w:num>
  <w:num w:numId="54" w16cid:durableId="309527827">
    <w:abstractNumId w:val="16"/>
  </w:num>
  <w:num w:numId="55" w16cid:durableId="1756514684">
    <w:abstractNumId w:val="46"/>
  </w:num>
  <w:num w:numId="56" w16cid:durableId="339048504">
    <w:abstractNumId w:val="30"/>
  </w:num>
  <w:num w:numId="57" w16cid:durableId="1398554098">
    <w:abstractNumId w:val="34"/>
  </w:num>
  <w:num w:numId="58" w16cid:durableId="690952900">
    <w:abstractNumId w:val="41"/>
  </w:num>
  <w:num w:numId="59" w16cid:durableId="341202780">
    <w:abstractNumId w:val="44"/>
  </w:num>
  <w:num w:numId="60" w16cid:durableId="619921415">
    <w:abstractNumId w:val="35"/>
  </w:num>
  <w:num w:numId="61" w16cid:durableId="345207074">
    <w:abstractNumId w:val="12"/>
  </w:num>
  <w:num w:numId="62" w16cid:durableId="2075473034">
    <w:abstractNumId w:val="2"/>
  </w:num>
  <w:num w:numId="63" w16cid:durableId="1523742687">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7D05"/>
    <w:rsid w:val="000200CF"/>
    <w:rsid w:val="000205F1"/>
    <w:rsid w:val="00022047"/>
    <w:rsid w:val="00023A8F"/>
    <w:rsid w:val="00023AEE"/>
    <w:rsid w:val="000268AF"/>
    <w:rsid w:val="000274B9"/>
    <w:rsid w:val="0002758B"/>
    <w:rsid w:val="000276A0"/>
    <w:rsid w:val="00031B92"/>
    <w:rsid w:val="00031E57"/>
    <w:rsid w:val="0003257C"/>
    <w:rsid w:val="000330DB"/>
    <w:rsid w:val="0003326D"/>
    <w:rsid w:val="0003429F"/>
    <w:rsid w:val="00034740"/>
    <w:rsid w:val="0003562A"/>
    <w:rsid w:val="00036095"/>
    <w:rsid w:val="000362E8"/>
    <w:rsid w:val="000367E0"/>
    <w:rsid w:val="00036AF4"/>
    <w:rsid w:val="000372D6"/>
    <w:rsid w:val="00040C83"/>
    <w:rsid w:val="00041C10"/>
    <w:rsid w:val="0004202A"/>
    <w:rsid w:val="000430D9"/>
    <w:rsid w:val="00043804"/>
    <w:rsid w:val="000441A1"/>
    <w:rsid w:val="00044448"/>
    <w:rsid w:val="000449B5"/>
    <w:rsid w:val="00050869"/>
    <w:rsid w:val="00051E3C"/>
    <w:rsid w:val="00055596"/>
    <w:rsid w:val="00056014"/>
    <w:rsid w:val="000561C1"/>
    <w:rsid w:val="00056204"/>
    <w:rsid w:val="00056D08"/>
    <w:rsid w:val="000570D1"/>
    <w:rsid w:val="000571A9"/>
    <w:rsid w:val="00060243"/>
    <w:rsid w:val="00060290"/>
    <w:rsid w:val="000611AB"/>
    <w:rsid w:val="00063E24"/>
    <w:rsid w:val="00064848"/>
    <w:rsid w:val="000652EB"/>
    <w:rsid w:val="000657A1"/>
    <w:rsid w:val="00067466"/>
    <w:rsid w:val="00072229"/>
    <w:rsid w:val="000728F8"/>
    <w:rsid w:val="00073CF1"/>
    <w:rsid w:val="00074BD0"/>
    <w:rsid w:val="00074D9A"/>
    <w:rsid w:val="00074DB9"/>
    <w:rsid w:val="000753C4"/>
    <w:rsid w:val="00075DF0"/>
    <w:rsid w:val="000762CA"/>
    <w:rsid w:val="000800C0"/>
    <w:rsid w:val="000803A4"/>
    <w:rsid w:val="000805AE"/>
    <w:rsid w:val="000806E3"/>
    <w:rsid w:val="00080805"/>
    <w:rsid w:val="0008114A"/>
    <w:rsid w:val="00081604"/>
    <w:rsid w:val="00081E9F"/>
    <w:rsid w:val="0008339E"/>
    <w:rsid w:val="000905D9"/>
    <w:rsid w:val="00090AD1"/>
    <w:rsid w:val="00090F4F"/>
    <w:rsid w:val="0009132A"/>
    <w:rsid w:val="00091476"/>
    <w:rsid w:val="00091984"/>
    <w:rsid w:val="00091D10"/>
    <w:rsid w:val="00092879"/>
    <w:rsid w:val="00094E87"/>
    <w:rsid w:val="00095ACB"/>
    <w:rsid w:val="00097B45"/>
    <w:rsid w:val="00097FB2"/>
    <w:rsid w:val="000A0A05"/>
    <w:rsid w:val="000A151D"/>
    <w:rsid w:val="000A1CA0"/>
    <w:rsid w:val="000A24C5"/>
    <w:rsid w:val="000A2967"/>
    <w:rsid w:val="000A2ABD"/>
    <w:rsid w:val="000A30A1"/>
    <w:rsid w:val="000A3683"/>
    <w:rsid w:val="000A3A38"/>
    <w:rsid w:val="000A3F7F"/>
    <w:rsid w:val="000A47FD"/>
    <w:rsid w:val="000A5DFF"/>
    <w:rsid w:val="000A6697"/>
    <w:rsid w:val="000A7192"/>
    <w:rsid w:val="000B0228"/>
    <w:rsid w:val="000B083D"/>
    <w:rsid w:val="000B2E16"/>
    <w:rsid w:val="000B3A13"/>
    <w:rsid w:val="000B4BB2"/>
    <w:rsid w:val="000B6379"/>
    <w:rsid w:val="000B739B"/>
    <w:rsid w:val="000B75D8"/>
    <w:rsid w:val="000C1E8D"/>
    <w:rsid w:val="000C4E54"/>
    <w:rsid w:val="000C58E0"/>
    <w:rsid w:val="000C76B0"/>
    <w:rsid w:val="000C7BBE"/>
    <w:rsid w:val="000D0A55"/>
    <w:rsid w:val="000D2475"/>
    <w:rsid w:val="000D2A21"/>
    <w:rsid w:val="000D442C"/>
    <w:rsid w:val="000D4DC4"/>
    <w:rsid w:val="000D7680"/>
    <w:rsid w:val="000E204A"/>
    <w:rsid w:val="000E55D6"/>
    <w:rsid w:val="000E5DE5"/>
    <w:rsid w:val="000E612D"/>
    <w:rsid w:val="000E6AB1"/>
    <w:rsid w:val="000E6CED"/>
    <w:rsid w:val="000E737D"/>
    <w:rsid w:val="000E745A"/>
    <w:rsid w:val="000E7E9E"/>
    <w:rsid w:val="000F0044"/>
    <w:rsid w:val="000F093A"/>
    <w:rsid w:val="000F0EFD"/>
    <w:rsid w:val="000F1D15"/>
    <w:rsid w:val="000F5541"/>
    <w:rsid w:val="000F703B"/>
    <w:rsid w:val="000F72ED"/>
    <w:rsid w:val="000F7A4C"/>
    <w:rsid w:val="00103698"/>
    <w:rsid w:val="00103EA9"/>
    <w:rsid w:val="001057EF"/>
    <w:rsid w:val="00106EF8"/>
    <w:rsid w:val="001079BC"/>
    <w:rsid w:val="001079CD"/>
    <w:rsid w:val="001101A2"/>
    <w:rsid w:val="00110B74"/>
    <w:rsid w:val="00111489"/>
    <w:rsid w:val="00111792"/>
    <w:rsid w:val="00111797"/>
    <w:rsid w:val="00111B19"/>
    <w:rsid w:val="00114A64"/>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E6E"/>
    <w:rsid w:val="00136ABC"/>
    <w:rsid w:val="0013761A"/>
    <w:rsid w:val="001379F1"/>
    <w:rsid w:val="0014350A"/>
    <w:rsid w:val="00143896"/>
    <w:rsid w:val="0014423A"/>
    <w:rsid w:val="00145CB0"/>
    <w:rsid w:val="00147042"/>
    <w:rsid w:val="001471A7"/>
    <w:rsid w:val="001503C8"/>
    <w:rsid w:val="001506F6"/>
    <w:rsid w:val="001508E6"/>
    <w:rsid w:val="00153D42"/>
    <w:rsid w:val="00154032"/>
    <w:rsid w:val="001547D3"/>
    <w:rsid w:val="0015573A"/>
    <w:rsid w:val="001557A9"/>
    <w:rsid w:val="001557F6"/>
    <w:rsid w:val="001559BD"/>
    <w:rsid w:val="00157F09"/>
    <w:rsid w:val="00157F79"/>
    <w:rsid w:val="00163240"/>
    <w:rsid w:val="00163E84"/>
    <w:rsid w:val="00165A12"/>
    <w:rsid w:val="001668AA"/>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CBF"/>
    <w:rsid w:val="001874A7"/>
    <w:rsid w:val="001876C5"/>
    <w:rsid w:val="00187BA9"/>
    <w:rsid w:val="00187D68"/>
    <w:rsid w:val="00190155"/>
    <w:rsid w:val="001906B5"/>
    <w:rsid w:val="001913A7"/>
    <w:rsid w:val="00192198"/>
    <w:rsid w:val="00194163"/>
    <w:rsid w:val="00194359"/>
    <w:rsid w:val="00194881"/>
    <w:rsid w:val="00194C0B"/>
    <w:rsid w:val="00194FEB"/>
    <w:rsid w:val="001970A4"/>
    <w:rsid w:val="00197AD1"/>
    <w:rsid w:val="001A17DA"/>
    <w:rsid w:val="001A24AE"/>
    <w:rsid w:val="001A31ED"/>
    <w:rsid w:val="001A60A7"/>
    <w:rsid w:val="001B0020"/>
    <w:rsid w:val="001B3F87"/>
    <w:rsid w:val="001B4026"/>
    <w:rsid w:val="001B56AD"/>
    <w:rsid w:val="001B598C"/>
    <w:rsid w:val="001B6419"/>
    <w:rsid w:val="001B6A8B"/>
    <w:rsid w:val="001B6E76"/>
    <w:rsid w:val="001B76A6"/>
    <w:rsid w:val="001C07F8"/>
    <w:rsid w:val="001C1147"/>
    <w:rsid w:val="001C1BBD"/>
    <w:rsid w:val="001C2D7D"/>
    <w:rsid w:val="001C2F59"/>
    <w:rsid w:val="001C6C08"/>
    <w:rsid w:val="001C73D8"/>
    <w:rsid w:val="001D0646"/>
    <w:rsid w:val="001D1B55"/>
    <w:rsid w:val="001D2056"/>
    <w:rsid w:val="001D220F"/>
    <w:rsid w:val="001D42D1"/>
    <w:rsid w:val="001D48A2"/>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7421"/>
    <w:rsid w:val="00200195"/>
    <w:rsid w:val="00200B5F"/>
    <w:rsid w:val="00201EEF"/>
    <w:rsid w:val="00202476"/>
    <w:rsid w:val="00202B58"/>
    <w:rsid w:val="002032DC"/>
    <w:rsid w:val="002047C8"/>
    <w:rsid w:val="00204C3A"/>
    <w:rsid w:val="002052B3"/>
    <w:rsid w:val="00205453"/>
    <w:rsid w:val="002058F9"/>
    <w:rsid w:val="0020650A"/>
    <w:rsid w:val="0020799B"/>
    <w:rsid w:val="00207F32"/>
    <w:rsid w:val="00212B1F"/>
    <w:rsid w:val="00213340"/>
    <w:rsid w:val="00213D7C"/>
    <w:rsid w:val="00214513"/>
    <w:rsid w:val="002146B0"/>
    <w:rsid w:val="00214EC6"/>
    <w:rsid w:val="002155B7"/>
    <w:rsid w:val="002156BB"/>
    <w:rsid w:val="00215FB6"/>
    <w:rsid w:val="0021766A"/>
    <w:rsid w:val="00217E0A"/>
    <w:rsid w:val="00220C88"/>
    <w:rsid w:val="002225D3"/>
    <w:rsid w:val="00222A35"/>
    <w:rsid w:val="0022301D"/>
    <w:rsid w:val="002236F0"/>
    <w:rsid w:val="00223F49"/>
    <w:rsid w:val="00224B2C"/>
    <w:rsid w:val="00226052"/>
    <w:rsid w:val="00226E3A"/>
    <w:rsid w:val="00226F3A"/>
    <w:rsid w:val="002272E2"/>
    <w:rsid w:val="00227E55"/>
    <w:rsid w:val="00232AA0"/>
    <w:rsid w:val="00232C75"/>
    <w:rsid w:val="00234CDF"/>
    <w:rsid w:val="00236B91"/>
    <w:rsid w:val="00236BF6"/>
    <w:rsid w:val="002413D3"/>
    <w:rsid w:val="00241D6B"/>
    <w:rsid w:val="002424C0"/>
    <w:rsid w:val="00242617"/>
    <w:rsid w:val="00242CAA"/>
    <w:rsid w:val="0024503B"/>
    <w:rsid w:val="002456A9"/>
    <w:rsid w:val="0024573D"/>
    <w:rsid w:val="00245D74"/>
    <w:rsid w:val="00246D03"/>
    <w:rsid w:val="00246DDF"/>
    <w:rsid w:val="002470FF"/>
    <w:rsid w:val="00247854"/>
    <w:rsid w:val="00252E23"/>
    <w:rsid w:val="00254256"/>
    <w:rsid w:val="002573CC"/>
    <w:rsid w:val="0026022B"/>
    <w:rsid w:val="00260FAA"/>
    <w:rsid w:val="00262338"/>
    <w:rsid w:val="00263694"/>
    <w:rsid w:val="00263938"/>
    <w:rsid w:val="002646D7"/>
    <w:rsid w:val="00264990"/>
    <w:rsid w:val="00264C57"/>
    <w:rsid w:val="0026538D"/>
    <w:rsid w:val="002671D7"/>
    <w:rsid w:val="0027259C"/>
    <w:rsid w:val="0027268F"/>
    <w:rsid w:val="00272D73"/>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458F"/>
    <w:rsid w:val="00294E89"/>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4D62"/>
    <w:rsid w:val="002B6341"/>
    <w:rsid w:val="002C031A"/>
    <w:rsid w:val="002C03C6"/>
    <w:rsid w:val="002C0526"/>
    <w:rsid w:val="002C27A8"/>
    <w:rsid w:val="002C333E"/>
    <w:rsid w:val="002C36C8"/>
    <w:rsid w:val="002C42E9"/>
    <w:rsid w:val="002C51A0"/>
    <w:rsid w:val="002C57E0"/>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F03F2"/>
    <w:rsid w:val="002F0758"/>
    <w:rsid w:val="002F1D9E"/>
    <w:rsid w:val="002F2C6E"/>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72A6"/>
    <w:rsid w:val="003273CB"/>
    <w:rsid w:val="00327FB4"/>
    <w:rsid w:val="0033125E"/>
    <w:rsid w:val="003323CE"/>
    <w:rsid w:val="00332ED2"/>
    <w:rsid w:val="0033325E"/>
    <w:rsid w:val="00335C99"/>
    <w:rsid w:val="00336913"/>
    <w:rsid w:val="0033718C"/>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580F"/>
    <w:rsid w:val="00357B24"/>
    <w:rsid w:val="00357CB4"/>
    <w:rsid w:val="003604EE"/>
    <w:rsid w:val="0036139C"/>
    <w:rsid w:val="00361842"/>
    <w:rsid w:val="00361CEE"/>
    <w:rsid w:val="0036286B"/>
    <w:rsid w:val="00363371"/>
    <w:rsid w:val="00364989"/>
    <w:rsid w:val="00365504"/>
    <w:rsid w:val="0036601B"/>
    <w:rsid w:val="003664C0"/>
    <w:rsid w:val="00366769"/>
    <w:rsid w:val="00367A28"/>
    <w:rsid w:val="00367E04"/>
    <w:rsid w:val="00370210"/>
    <w:rsid w:val="00370CCD"/>
    <w:rsid w:val="00370F9A"/>
    <w:rsid w:val="0037250A"/>
    <w:rsid w:val="00375B64"/>
    <w:rsid w:val="00375ED2"/>
    <w:rsid w:val="003761F2"/>
    <w:rsid w:val="00376A05"/>
    <w:rsid w:val="003774FE"/>
    <w:rsid w:val="00377DA4"/>
    <w:rsid w:val="003815EB"/>
    <w:rsid w:val="00383F9B"/>
    <w:rsid w:val="0038525F"/>
    <w:rsid w:val="00390E30"/>
    <w:rsid w:val="00392823"/>
    <w:rsid w:val="003938AC"/>
    <w:rsid w:val="00393ABE"/>
    <w:rsid w:val="00393DCA"/>
    <w:rsid w:val="00393EB3"/>
    <w:rsid w:val="0039458D"/>
    <w:rsid w:val="00394D61"/>
    <w:rsid w:val="00395201"/>
    <w:rsid w:val="00395B45"/>
    <w:rsid w:val="00395B84"/>
    <w:rsid w:val="00395BDC"/>
    <w:rsid w:val="0039607A"/>
    <w:rsid w:val="003967E5"/>
    <w:rsid w:val="00397D36"/>
    <w:rsid w:val="003A05FC"/>
    <w:rsid w:val="003A1F5A"/>
    <w:rsid w:val="003A20C4"/>
    <w:rsid w:val="003A2ECE"/>
    <w:rsid w:val="003A3606"/>
    <w:rsid w:val="003A4252"/>
    <w:rsid w:val="003A42A7"/>
    <w:rsid w:val="003A539A"/>
    <w:rsid w:val="003A62A4"/>
    <w:rsid w:val="003A7476"/>
    <w:rsid w:val="003A7D82"/>
    <w:rsid w:val="003A7D86"/>
    <w:rsid w:val="003B0AA1"/>
    <w:rsid w:val="003B243D"/>
    <w:rsid w:val="003B271D"/>
    <w:rsid w:val="003B304F"/>
    <w:rsid w:val="003B36D6"/>
    <w:rsid w:val="003B40C5"/>
    <w:rsid w:val="003B45DD"/>
    <w:rsid w:val="003B5D18"/>
    <w:rsid w:val="003B6928"/>
    <w:rsid w:val="003B795D"/>
    <w:rsid w:val="003C26A6"/>
    <w:rsid w:val="003C26C1"/>
    <w:rsid w:val="003C3467"/>
    <w:rsid w:val="003C5C11"/>
    <w:rsid w:val="003C6A5A"/>
    <w:rsid w:val="003C6AAD"/>
    <w:rsid w:val="003C76E4"/>
    <w:rsid w:val="003D1D4D"/>
    <w:rsid w:val="003D2D68"/>
    <w:rsid w:val="003D3682"/>
    <w:rsid w:val="003D37DD"/>
    <w:rsid w:val="003D45BA"/>
    <w:rsid w:val="003D45DF"/>
    <w:rsid w:val="003D47C6"/>
    <w:rsid w:val="003D4ED8"/>
    <w:rsid w:val="003D57ED"/>
    <w:rsid w:val="003D7E38"/>
    <w:rsid w:val="003D7EAC"/>
    <w:rsid w:val="003E0A71"/>
    <w:rsid w:val="003E1AFA"/>
    <w:rsid w:val="003E2D1D"/>
    <w:rsid w:val="003E375F"/>
    <w:rsid w:val="003E379A"/>
    <w:rsid w:val="003E52B0"/>
    <w:rsid w:val="003E641F"/>
    <w:rsid w:val="003E64DC"/>
    <w:rsid w:val="003E7A43"/>
    <w:rsid w:val="003F0B58"/>
    <w:rsid w:val="003F0D40"/>
    <w:rsid w:val="003F0EFA"/>
    <w:rsid w:val="003F2236"/>
    <w:rsid w:val="003F27B7"/>
    <w:rsid w:val="003F39B2"/>
    <w:rsid w:val="003F4051"/>
    <w:rsid w:val="003F5812"/>
    <w:rsid w:val="003F625A"/>
    <w:rsid w:val="003F6AA4"/>
    <w:rsid w:val="003F6EA1"/>
    <w:rsid w:val="00400E4A"/>
    <w:rsid w:val="004028E7"/>
    <w:rsid w:val="00402E9A"/>
    <w:rsid w:val="004030BD"/>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D5E"/>
    <w:rsid w:val="00424A78"/>
    <w:rsid w:val="004254DB"/>
    <w:rsid w:val="00427EEA"/>
    <w:rsid w:val="00431836"/>
    <w:rsid w:val="004321E6"/>
    <w:rsid w:val="004323A9"/>
    <w:rsid w:val="0043278E"/>
    <w:rsid w:val="004327FB"/>
    <w:rsid w:val="004332A4"/>
    <w:rsid w:val="004360AC"/>
    <w:rsid w:val="004367E0"/>
    <w:rsid w:val="004369FE"/>
    <w:rsid w:val="00436B83"/>
    <w:rsid w:val="00437C10"/>
    <w:rsid w:val="00437DC3"/>
    <w:rsid w:val="00441061"/>
    <w:rsid w:val="004411A3"/>
    <w:rsid w:val="00443886"/>
    <w:rsid w:val="00443AB3"/>
    <w:rsid w:val="00444C90"/>
    <w:rsid w:val="0044560C"/>
    <w:rsid w:val="004501C9"/>
    <w:rsid w:val="0045086C"/>
    <w:rsid w:val="00450C70"/>
    <w:rsid w:val="00451F02"/>
    <w:rsid w:val="00452612"/>
    <w:rsid w:val="00453344"/>
    <w:rsid w:val="00453F32"/>
    <w:rsid w:val="00454E76"/>
    <w:rsid w:val="00455E48"/>
    <w:rsid w:val="00456297"/>
    <w:rsid w:val="00457080"/>
    <w:rsid w:val="00460891"/>
    <w:rsid w:val="00461411"/>
    <w:rsid w:val="0046245F"/>
    <w:rsid w:val="00463969"/>
    <w:rsid w:val="004649C3"/>
    <w:rsid w:val="00464FB2"/>
    <w:rsid w:val="00465356"/>
    <w:rsid w:val="004660A4"/>
    <w:rsid w:val="004662A8"/>
    <w:rsid w:val="00466CDC"/>
    <w:rsid w:val="0046745E"/>
    <w:rsid w:val="004725ED"/>
    <w:rsid w:val="004736BE"/>
    <w:rsid w:val="0047556D"/>
    <w:rsid w:val="00475789"/>
    <w:rsid w:val="00475B5A"/>
    <w:rsid w:val="00476170"/>
    <w:rsid w:val="00477243"/>
    <w:rsid w:val="004801D4"/>
    <w:rsid w:val="00480284"/>
    <w:rsid w:val="004820B0"/>
    <w:rsid w:val="00482117"/>
    <w:rsid w:val="00482E2F"/>
    <w:rsid w:val="00484BE0"/>
    <w:rsid w:val="004859B4"/>
    <w:rsid w:val="00486ACD"/>
    <w:rsid w:val="00487210"/>
    <w:rsid w:val="004876A1"/>
    <w:rsid w:val="00490B8D"/>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2A28"/>
    <w:rsid w:val="004B3171"/>
    <w:rsid w:val="004B3CFB"/>
    <w:rsid w:val="004B5105"/>
    <w:rsid w:val="004B5D6B"/>
    <w:rsid w:val="004B76F8"/>
    <w:rsid w:val="004C1327"/>
    <w:rsid w:val="004C1FA6"/>
    <w:rsid w:val="004C2869"/>
    <w:rsid w:val="004C3C88"/>
    <w:rsid w:val="004C45FF"/>
    <w:rsid w:val="004C4A0F"/>
    <w:rsid w:val="004C5CFD"/>
    <w:rsid w:val="004C7777"/>
    <w:rsid w:val="004D12C0"/>
    <w:rsid w:val="004D18EA"/>
    <w:rsid w:val="004D2B29"/>
    <w:rsid w:val="004D30EE"/>
    <w:rsid w:val="004D31E6"/>
    <w:rsid w:val="004D3713"/>
    <w:rsid w:val="004D44AA"/>
    <w:rsid w:val="004D59D7"/>
    <w:rsid w:val="004D6254"/>
    <w:rsid w:val="004D70FD"/>
    <w:rsid w:val="004D7E99"/>
    <w:rsid w:val="004E00CE"/>
    <w:rsid w:val="004E13C8"/>
    <w:rsid w:val="004E2BDB"/>
    <w:rsid w:val="004E307B"/>
    <w:rsid w:val="004F02E0"/>
    <w:rsid w:val="004F0966"/>
    <w:rsid w:val="004F14D8"/>
    <w:rsid w:val="004F3B24"/>
    <w:rsid w:val="004F435F"/>
    <w:rsid w:val="004F50AF"/>
    <w:rsid w:val="004F590C"/>
    <w:rsid w:val="004F681D"/>
    <w:rsid w:val="004F6E14"/>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9AD"/>
    <w:rsid w:val="00513A5C"/>
    <w:rsid w:val="00514A55"/>
    <w:rsid w:val="00514EF5"/>
    <w:rsid w:val="0051782D"/>
    <w:rsid w:val="0052087E"/>
    <w:rsid w:val="00521BC4"/>
    <w:rsid w:val="0052315E"/>
    <w:rsid w:val="005238AE"/>
    <w:rsid w:val="00523B73"/>
    <w:rsid w:val="00530ED3"/>
    <w:rsid w:val="00531A4C"/>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32F1"/>
    <w:rsid w:val="00564418"/>
    <w:rsid w:val="005644AD"/>
    <w:rsid w:val="00565FB1"/>
    <w:rsid w:val="005662FB"/>
    <w:rsid w:val="00567781"/>
    <w:rsid w:val="00567ECC"/>
    <w:rsid w:val="0057019C"/>
    <w:rsid w:val="005713B1"/>
    <w:rsid w:val="0057363E"/>
    <w:rsid w:val="00575904"/>
    <w:rsid w:val="0057624B"/>
    <w:rsid w:val="0057644D"/>
    <w:rsid w:val="0057649A"/>
    <w:rsid w:val="00583090"/>
    <w:rsid w:val="005835F4"/>
    <w:rsid w:val="00583631"/>
    <w:rsid w:val="00583EFE"/>
    <w:rsid w:val="00584076"/>
    <w:rsid w:val="005841A3"/>
    <w:rsid w:val="00585D54"/>
    <w:rsid w:val="00586D9A"/>
    <w:rsid w:val="00590EAE"/>
    <w:rsid w:val="0059112A"/>
    <w:rsid w:val="0059116B"/>
    <w:rsid w:val="005914FD"/>
    <w:rsid w:val="00591B65"/>
    <w:rsid w:val="00591DD0"/>
    <w:rsid w:val="005929F6"/>
    <w:rsid w:val="00592A14"/>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3AEF"/>
    <w:rsid w:val="005A40AF"/>
    <w:rsid w:val="005A6064"/>
    <w:rsid w:val="005A64BF"/>
    <w:rsid w:val="005A72CC"/>
    <w:rsid w:val="005B0565"/>
    <w:rsid w:val="005B15A4"/>
    <w:rsid w:val="005B4421"/>
    <w:rsid w:val="005B513F"/>
    <w:rsid w:val="005B7483"/>
    <w:rsid w:val="005B7929"/>
    <w:rsid w:val="005C0643"/>
    <w:rsid w:val="005C23AF"/>
    <w:rsid w:val="005C25D1"/>
    <w:rsid w:val="005C35A9"/>
    <w:rsid w:val="005C464B"/>
    <w:rsid w:val="005C4E5F"/>
    <w:rsid w:val="005C74A0"/>
    <w:rsid w:val="005D052C"/>
    <w:rsid w:val="005D08AE"/>
    <w:rsid w:val="005D16FE"/>
    <w:rsid w:val="005D323F"/>
    <w:rsid w:val="005D4084"/>
    <w:rsid w:val="005D4777"/>
    <w:rsid w:val="005D4C2B"/>
    <w:rsid w:val="005D5784"/>
    <w:rsid w:val="005D6B2B"/>
    <w:rsid w:val="005D6E0A"/>
    <w:rsid w:val="005E22CD"/>
    <w:rsid w:val="005E37AB"/>
    <w:rsid w:val="005E384D"/>
    <w:rsid w:val="005E4A4D"/>
    <w:rsid w:val="005E4F4F"/>
    <w:rsid w:val="005E51FB"/>
    <w:rsid w:val="005E6B93"/>
    <w:rsid w:val="005E6F30"/>
    <w:rsid w:val="005E7953"/>
    <w:rsid w:val="005E7E82"/>
    <w:rsid w:val="005F2C42"/>
    <w:rsid w:val="005F5039"/>
    <w:rsid w:val="005F6BAB"/>
    <w:rsid w:val="005F6C28"/>
    <w:rsid w:val="005F717D"/>
    <w:rsid w:val="005F76C0"/>
    <w:rsid w:val="005F7AB6"/>
    <w:rsid w:val="005F7E3C"/>
    <w:rsid w:val="00600FA8"/>
    <w:rsid w:val="0060111D"/>
    <w:rsid w:val="006039A6"/>
    <w:rsid w:val="00604A08"/>
    <w:rsid w:val="006063DA"/>
    <w:rsid w:val="00606CD0"/>
    <w:rsid w:val="00606CE3"/>
    <w:rsid w:val="00607251"/>
    <w:rsid w:val="006119F8"/>
    <w:rsid w:val="00611DD3"/>
    <w:rsid w:val="00611EF0"/>
    <w:rsid w:val="00612219"/>
    <w:rsid w:val="00612E04"/>
    <w:rsid w:val="0061629E"/>
    <w:rsid w:val="006173A4"/>
    <w:rsid w:val="00617C44"/>
    <w:rsid w:val="00620086"/>
    <w:rsid w:val="00621639"/>
    <w:rsid w:val="00622074"/>
    <w:rsid w:val="00622CE4"/>
    <w:rsid w:val="006234A7"/>
    <w:rsid w:val="00623F8E"/>
    <w:rsid w:val="00625917"/>
    <w:rsid w:val="0062789F"/>
    <w:rsid w:val="006278BD"/>
    <w:rsid w:val="00627AB5"/>
    <w:rsid w:val="006301BE"/>
    <w:rsid w:val="0063096E"/>
    <w:rsid w:val="0063183C"/>
    <w:rsid w:val="00631D93"/>
    <w:rsid w:val="00632DB2"/>
    <w:rsid w:val="00633349"/>
    <w:rsid w:val="006337AF"/>
    <w:rsid w:val="00633D61"/>
    <w:rsid w:val="0063402B"/>
    <w:rsid w:val="00634E8B"/>
    <w:rsid w:val="006364A9"/>
    <w:rsid w:val="00636570"/>
    <w:rsid w:val="00636F40"/>
    <w:rsid w:val="00637859"/>
    <w:rsid w:val="00637901"/>
    <w:rsid w:val="00637E1B"/>
    <w:rsid w:val="006402DF"/>
    <w:rsid w:val="0064164B"/>
    <w:rsid w:val="0064416A"/>
    <w:rsid w:val="00644468"/>
    <w:rsid w:val="00645F5E"/>
    <w:rsid w:val="00647B1E"/>
    <w:rsid w:val="00647C55"/>
    <w:rsid w:val="0065008B"/>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67AAC"/>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0B66"/>
    <w:rsid w:val="006821E3"/>
    <w:rsid w:val="00683AD6"/>
    <w:rsid w:val="006842AE"/>
    <w:rsid w:val="006866C9"/>
    <w:rsid w:val="006875BA"/>
    <w:rsid w:val="0069097D"/>
    <w:rsid w:val="00693FEA"/>
    <w:rsid w:val="006945EC"/>
    <w:rsid w:val="00694C68"/>
    <w:rsid w:val="00694E8A"/>
    <w:rsid w:val="00695BC7"/>
    <w:rsid w:val="00696C36"/>
    <w:rsid w:val="006A0952"/>
    <w:rsid w:val="006A286C"/>
    <w:rsid w:val="006A511D"/>
    <w:rsid w:val="006A5773"/>
    <w:rsid w:val="006A5804"/>
    <w:rsid w:val="006A58F0"/>
    <w:rsid w:val="006A6262"/>
    <w:rsid w:val="006A7CE7"/>
    <w:rsid w:val="006B0372"/>
    <w:rsid w:val="006B0764"/>
    <w:rsid w:val="006B081C"/>
    <w:rsid w:val="006B4467"/>
    <w:rsid w:val="006B6C46"/>
    <w:rsid w:val="006B6E78"/>
    <w:rsid w:val="006B7026"/>
    <w:rsid w:val="006B76AB"/>
    <w:rsid w:val="006B7970"/>
    <w:rsid w:val="006C0039"/>
    <w:rsid w:val="006C1927"/>
    <w:rsid w:val="006C2213"/>
    <w:rsid w:val="006C2585"/>
    <w:rsid w:val="006C4008"/>
    <w:rsid w:val="006C4E2C"/>
    <w:rsid w:val="006C5931"/>
    <w:rsid w:val="006C73EF"/>
    <w:rsid w:val="006D1723"/>
    <w:rsid w:val="006D3B21"/>
    <w:rsid w:val="006D5D3F"/>
    <w:rsid w:val="006D5D99"/>
    <w:rsid w:val="006D60ED"/>
    <w:rsid w:val="006D66FD"/>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536A"/>
    <w:rsid w:val="00706B71"/>
    <w:rsid w:val="00707102"/>
    <w:rsid w:val="0071022A"/>
    <w:rsid w:val="00711062"/>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203D8"/>
    <w:rsid w:val="007206A8"/>
    <w:rsid w:val="0072070F"/>
    <w:rsid w:val="0072116D"/>
    <w:rsid w:val="0072226F"/>
    <w:rsid w:val="00722B3F"/>
    <w:rsid w:val="0072318D"/>
    <w:rsid w:val="00725618"/>
    <w:rsid w:val="00725B78"/>
    <w:rsid w:val="00726B04"/>
    <w:rsid w:val="00727082"/>
    <w:rsid w:val="0072790E"/>
    <w:rsid w:val="00731936"/>
    <w:rsid w:val="0073233C"/>
    <w:rsid w:val="00732D0C"/>
    <w:rsid w:val="00733EAD"/>
    <w:rsid w:val="00734A93"/>
    <w:rsid w:val="00734F54"/>
    <w:rsid w:val="007358C1"/>
    <w:rsid w:val="00736D93"/>
    <w:rsid w:val="00737C04"/>
    <w:rsid w:val="00737F64"/>
    <w:rsid w:val="007400BB"/>
    <w:rsid w:val="007422C9"/>
    <w:rsid w:val="00742553"/>
    <w:rsid w:val="00743EC6"/>
    <w:rsid w:val="00744110"/>
    <w:rsid w:val="00744595"/>
    <w:rsid w:val="00744C3C"/>
    <w:rsid w:val="0074695A"/>
    <w:rsid w:val="007473EB"/>
    <w:rsid w:val="00747A52"/>
    <w:rsid w:val="00750F1E"/>
    <w:rsid w:val="00751AE4"/>
    <w:rsid w:val="00751C12"/>
    <w:rsid w:val="00752691"/>
    <w:rsid w:val="007528F2"/>
    <w:rsid w:val="007543C1"/>
    <w:rsid w:val="007575C4"/>
    <w:rsid w:val="00757D63"/>
    <w:rsid w:val="00760699"/>
    <w:rsid w:val="00760987"/>
    <w:rsid w:val="00760C36"/>
    <w:rsid w:val="007610D4"/>
    <w:rsid w:val="00762A1B"/>
    <w:rsid w:val="00762D6D"/>
    <w:rsid w:val="00763700"/>
    <w:rsid w:val="0076427C"/>
    <w:rsid w:val="00765217"/>
    <w:rsid w:val="007655C0"/>
    <w:rsid w:val="007659AA"/>
    <w:rsid w:val="00766334"/>
    <w:rsid w:val="007667DA"/>
    <w:rsid w:val="007670F2"/>
    <w:rsid w:val="00767F22"/>
    <w:rsid w:val="00771A6A"/>
    <w:rsid w:val="0077266C"/>
    <w:rsid w:val="00772802"/>
    <w:rsid w:val="00772DE3"/>
    <w:rsid w:val="00774683"/>
    <w:rsid w:val="00775066"/>
    <w:rsid w:val="00776406"/>
    <w:rsid w:val="007770EE"/>
    <w:rsid w:val="0078005A"/>
    <w:rsid w:val="00781B6F"/>
    <w:rsid w:val="00781F9C"/>
    <w:rsid w:val="007820ED"/>
    <w:rsid w:val="00782A7C"/>
    <w:rsid w:val="00782DFD"/>
    <w:rsid w:val="00784424"/>
    <w:rsid w:val="00784499"/>
    <w:rsid w:val="00785474"/>
    <w:rsid w:val="00787235"/>
    <w:rsid w:val="0078772C"/>
    <w:rsid w:val="00787B99"/>
    <w:rsid w:val="0079046A"/>
    <w:rsid w:val="007907C8"/>
    <w:rsid w:val="00791D3F"/>
    <w:rsid w:val="007925B6"/>
    <w:rsid w:val="00792ABF"/>
    <w:rsid w:val="007934F5"/>
    <w:rsid w:val="0079421C"/>
    <w:rsid w:val="0079526D"/>
    <w:rsid w:val="00795A2C"/>
    <w:rsid w:val="00797309"/>
    <w:rsid w:val="00797390"/>
    <w:rsid w:val="007A0015"/>
    <w:rsid w:val="007A05B6"/>
    <w:rsid w:val="007A1C0A"/>
    <w:rsid w:val="007A1C59"/>
    <w:rsid w:val="007A1D4E"/>
    <w:rsid w:val="007A2E70"/>
    <w:rsid w:val="007A4397"/>
    <w:rsid w:val="007A5B41"/>
    <w:rsid w:val="007A6CB6"/>
    <w:rsid w:val="007B15B4"/>
    <w:rsid w:val="007B3372"/>
    <w:rsid w:val="007B3A76"/>
    <w:rsid w:val="007B5792"/>
    <w:rsid w:val="007B6AAE"/>
    <w:rsid w:val="007C1032"/>
    <w:rsid w:val="007C2934"/>
    <w:rsid w:val="007C31E2"/>
    <w:rsid w:val="007C3402"/>
    <w:rsid w:val="007C5A5C"/>
    <w:rsid w:val="007C5CE1"/>
    <w:rsid w:val="007C5F8D"/>
    <w:rsid w:val="007C6F85"/>
    <w:rsid w:val="007C746F"/>
    <w:rsid w:val="007D0569"/>
    <w:rsid w:val="007D16B1"/>
    <w:rsid w:val="007D19E4"/>
    <w:rsid w:val="007D2001"/>
    <w:rsid w:val="007D2C1F"/>
    <w:rsid w:val="007D3A64"/>
    <w:rsid w:val="007D5591"/>
    <w:rsid w:val="007D7400"/>
    <w:rsid w:val="007D7761"/>
    <w:rsid w:val="007D79FF"/>
    <w:rsid w:val="007E02A7"/>
    <w:rsid w:val="007E283B"/>
    <w:rsid w:val="007E468A"/>
    <w:rsid w:val="007E4CA1"/>
    <w:rsid w:val="007E51A5"/>
    <w:rsid w:val="007E557A"/>
    <w:rsid w:val="007E5629"/>
    <w:rsid w:val="007E5E62"/>
    <w:rsid w:val="007E69E6"/>
    <w:rsid w:val="007E79F1"/>
    <w:rsid w:val="007E7F4C"/>
    <w:rsid w:val="007F067D"/>
    <w:rsid w:val="007F2EC6"/>
    <w:rsid w:val="007F3018"/>
    <w:rsid w:val="007F3BD5"/>
    <w:rsid w:val="007F3D70"/>
    <w:rsid w:val="007F5E06"/>
    <w:rsid w:val="007F6862"/>
    <w:rsid w:val="008013FC"/>
    <w:rsid w:val="0080497C"/>
    <w:rsid w:val="008060C3"/>
    <w:rsid w:val="008063A1"/>
    <w:rsid w:val="008079CD"/>
    <w:rsid w:val="00807F00"/>
    <w:rsid w:val="00812095"/>
    <w:rsid w:val="008134BD"/>
    <w:rsid w:val="008139A5"/>
    <w:rsid w:val="00814656"/>
    <w:rsid w:val="00814A38"/>
    <w:rsid w:val="008169A8"/>
    <w:rsid w:val="00816DA8"/>
    <w:rsid w:val="00820E45"/>
    <w:rsid w:val="00821E2C"/>
    <w:rsid w:val="00822835"/>
    <w:rsid w:val="00823836"/>
    <w:rsid w:val="0082459B"/>
    <w:rsid w:val="00824902"/>
    <w:rsid w:val="00826758"/>
    <w:rsid w:val="00826A13"/>
    <w:rsid w:val="00827EC9"/>
    <w:rsid w:val="008313D1"/>
    <w:rsid w:val="00831F5E"/>
    <w:rsid w:val="00833045"/>
    <w:rsid w:val="00833261"/>
    <w:rsid w:val="008344AE"/>
    <w:rsid w:val="00834A7F"/>
    <w:rsid w:val="00834CEC"/>
    <w:rsid w:val="008353E0"/>
    <w:rsid w:val="008365F0"/>
    <w:rsid w:val="00836AF0"/>
    <w:rsid w:val="00836B6F"/>
    <w:rsid w:val="00841534"/>
    <w:rsid w:val="008423C3"/>
    <w:rsid w:val="00843F2E"/>
    <w:rsid w:val="008462C7"/>
    <w:rsid w:val="008462F1"/>
    <w:rsid w:val="00846930"/>
    <w:rsid w:val="0085066C"/>
    <w:rsid w:val="00850FDE"/>
    <w:rsid w:val="008527BC"/>
    <w:rsid w:val="00852876"/>
    <w:rsid w:val="008543F5"/>
    <w:rsid w:val="00855004"/>
    <w:rsid w:val="00855994"/>
    <w:rsid w:val="00855CD1"/>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669A1"/>
    <w:rsid w:val="008703B3"/>
    <w:rsid w:val="00871F13"/>
    <w:rsid w:val="0087202F"/>
    <w:rsid w:val="00872B72"/>
    <w:rsid w:val="008749AE"/>
    <w:rsid w:val="00875665"/>
    <w:rsid w:val="00876985"/>
    <w:rsid w:val="008771AF"/>
    <w:rsid w:val="008808E6"/>
    <w:rsid w:val="00883780"/>
    <w:rsid w:val="00883856"/>
    <w:rsid w:val="00883B99"/>
    <w:rsid w:val="00885066"/>
    <w:rsid w:val="00885AAD"/>
    <w:rsid w:val="00885F85"/>
    <w:rsid w:val="0088665E"/>
    <w:rsid w:val="008876DF"/>
    <w:rsid w:val="00887F48"/>
    <w:rsid w:val="00891C4E"/>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2F49"/>
    <w:rsid w:val="008A2FB3"/>
    <w:rsid w:val="008A352C"/>
    <w:rsid w:val="008A398B"/>
    <w:rsid w:val="008A39AD"/>
    <w:rsid w:val="008A42D7"/>
    <w:rsid w:val="008A4A79"/>
    <w:rsid w:val="008A5601"/>
    <w:rsid w:val="008A58EB"/>
    <w:rsid w:val="008A59AD"/>
    <w:rsid w:val="008B0EEB"/>
    <w:rsid w:val="008B431D"/>
    <w:rsid w:val="008B4504"/>
    <w:rsid w:val="008B4DD0"/>
    <w:rsid w:val="008B51FD"/>
    <w:rsid w:val="008B6269"/>
    <w:rsid w:val="008B6766"/>
    <w:rsid w:val="008B70F5"/>
    <w:rsid w:val="008B7186"/>
    <w:rsid w:val="008B7192"/>
    <w:rsid w:val="008B7D40"/>
    <w:rsid w:val="008C1939"/>
    <w:rsid w:val="008C2130"/>
    <w:rsid w:val="008C3396"/>
    <w:rsid w:val="008C4162"/>
    <w:rsid w:val="008C621C"/>
    <w:rsid w:val="008C697C"/>
    <w:rsid w:val="008C7448"/>
    <w:rsid w:val="008C75ED"/>
    <w:rsid w:val="008C7649"/>
    <w:rsid w:val="008C7AC7"/>
    <w:rsid w:val="008E01B3"/>
    <w:rsid w:val="008E03B0"/>
    <w:rsid w:val="008E0991"/>
    <w:rsid w:val="008E1FCD"/>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770"/>
    <w:rsid w:val="009019FB"/>
    <w:rsid w:val="00902AA5"/>
    <w:rsid w:val="009052B7"/>
    <w:rsid w:val="00905B05"/>
    <w:rsid w:val="0090753C"/>
    <w:rsid w:val="00907579"/>
    <w:rsid w:val="0090759D"/>
    <w:rsid w:val="009114C2"/>
    <w:rsid w:val="0091156F"/>
    <w:rsid w:val="00911B66"/>
    <w:rsid w:val="009122D4"/>
    <w:rsid w:val="00912A7E"/>
    <w:rsid w:val="00915330"/>
    <w:rsid w:val="00916E69"/>
    <w:rsid w:val="00917525"/>
    <w:rsid w:val="0091777D"/>
    <w:rsid w:val="00917C39"/>
    <w:rsid w:val="0092035E"/>
    <w:rsid w:val="0092057D"/>
    <w:rsid w:val="00920E6D"/>
    <w:rsid w:val="0092113B"/>
    <w:rsid w:val="009218DE"/>
    <w:rsid w:val="00922D00"/>
    <w:rsid w:val="009233CC"/>
    <w:rsid w:val="00923F17"/>
    <w:rsid w:val="009266DA"/>
    <w:rsid w:val="00927F35"/>
    <w:rsid w:val="00930DE8"/>
    <w:rsid w:val="009318DD"/>
    <w:rsid w:val="009352A6"/>
    <w:rsid w:val="009352C3"/>
    <w:rsid w:val="00935413"/>
    <w:rsid w:val="009355C2"/>
    <w:rsid w:val="00935F5D"/>
    <w:rsid w:val="0093669F"/>
    <w:rsid w:val="009368E0"/>
    <w:rsid w:val="00936DAB"/>
    <w:rsid w:val="0094187F"/>
    <w:rsid w:val="0094260B"/>
    <w:rsid w:val="00942661"/>
    <w:rsid w:val="00945307"/>
    <w:rsid w:val="0094558D"/>
    <w:rsid w:val="0094697C"/>
    <w:rsid w:val="00946FCE"/>
    <w:rsid w:val="00950334"/>
    <w:rsid w:val="009515BC"/>
    <w:rsid w:val="0095349A"/>
    <w:rsid w:val="00953B5B"/>
    <w:rsid w:val="00953ED0"/>
    <w:rsid w:val="0095492E"/>
    <w:rsid w:val="00955F7D"/>
    <w:rsid w:val="009607A1"/>
    <w:rsid w:val="00960FDF"/>
    <w:rsid w:val="0096242F"/>
    <w:rsid w:val="00962E3B"/>
    <w:rsid w:val="00962FF5"/>
    <w:rsid w:val="0096341C"/>
    <w:rsid w:val="00964A4E"/>
    <w:rsid w:val="00965B02"/>
    <w:rsid w:val="00965C07"/>
    <w:rsid w:val="00965D2D"/>
    <w:rsid w:val="00967C86"/>
    <w:rsid w:val="009709A7"/>
    <w:rsid w:val="00970A16"/>
    <w:rsid w:val="00971847"/>
    <w:rsid w:val="00972964"/>
    <w:rsid w:val="0097762F"/>
    <w:rsid w:val="00977B11"/>
    <w:rsid w:val="00977C0A"/>
    <w:rsid w:val="009806D2"/>
    <w:rsid w:val="009816B8"/>
    <w:rsid w:val="00983B45"/>
    <w:rsid w:val="00983B5C"/>
    <w:rsid w:val="00985E6B"/>
    <w:rsid w:val="00986177"/>
    <w:rsid w:val="0098709A"/>
    <w:rsid w:val="0098766F"/>
    <w:rsid w:val="00987864"/>
    <w:rsid w:val="00993912"/>
    <w:rsid w:val="00993ABC"/>
    <w:rsid w:val="00993C3D"/>
    <w:rsid w:val="00994050"/>
    <w:rsid w:val="0099556F"/>
    <w:rsid w:val="009962CF"/>
    <w:rsid w:val="009969D6"/>
    <w:rsid w:val="009A0CF2"/>
    <w:rsid w:val="009A12D7"/>
    <w:rsid w:val="009A2DDD"/>
    <w:rsid w:val="009A4268"/>
    <w:rsid w:val="009A4543"/>
    <w:rsid w:val="009A5DB1"/>
    <w:rsid w:val="009A7C5A"/>
    <w:rsid w:val="009A7E51"/>
    <w:rsid w:val="009B2040"/>
    <w:rsid w:val="009B21B9"/>
    <w:rsid w:val="009B2FAD"/>
    <w:rsid w:val="009B2FFB"/>
    <w:rsid w:val="009B3494"/>
    <w:rsid w:val="009B4CD0"/>
    <w:rsid w:val="009B4DA7"/>
    <w:rsid w:val="009C21C6"/>
    <w:rsid w:val="009C383B"/>
    <w:rsid w:val="009C3A80"/>
    <w:rsid w:val="009C41EC"/>
    <w:rsid w:val="009C45B8"/>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E0EBF"/>
    <w:rsid w:val="009E16E6"/>
    <w:rsid w:val="009E1C0D"/>
    <w:rsid w:val="009E1E62"/>
    <w:rsid w:val="009E2953"/>
    <w:rsid w:val="009E30CE"/>
    <w:rsid w:val="009E3414"/>
    <w:rsid w:val="009E4BA2"/>
    <w:rsid w:val="009E4CDF"/>
    <w:rsid w:val="009E64F3"/>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C96"/>
    <w:rsid w:val="00A02E65"/>
    <w:rsid w:val="00A0340A"/>
    <w:rsid w:val="00A0394C"/>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3DFA"/>
    <w:rsid w:val="00A24133"/>
    <w:rsid w:val="00A24B81"/>
    <w:rsid w:val="00A262BF"/>
    <w:rsid w:val="00A27809"/>
    <w:rsid w:val="00A30533"/>
    <w:rsid w:val="00A3087F"/>
    <w:rsid w:val="00A3122E"/>
    <w:rsid w:val="00A317B0"/>
    <w:rsid w:val="00A31BF6"/>
    <w:rsid w:val="00A34591"/>
    <w:rsid w:val="00A34E44"/>
    <w:rsid w:val="00A35B8F"/>
    <w:rsid w:val="00A3640F"/>
    <w:rsid w:val="00A37ECF"/>
    <w:rsid w:val="00A40CE2"/>
    <w:rsid w:val="00A41F05"/>
    <w:rsid w:val="00A42FAE"/>
    <w:rsid w:val="00A430FC"/>
    <w:rsid w:val="00A43175"/>
    <w:rsid w:val="00A43553"/>
    <w:rsid w:val="00A47176"/>
    <w:rsid w:val="00A475C5"/>
    <w:rsid w:val="00A4768C"/>
    <w:rsid w:val="00A47E50"/>
    <w:rsid w:val="00A50A68"/>
    <w:rsid w:val="00A50D3B"/>
    <w:rsid w:val="00A50E38"/>
    <w:rsid w:val="00A510C6"/>
    <w:rsid w:val="00A518AA"/>
    <w:rsid w:val="00A525E7"/>
    <w:rsid w:val="00A52C60"/>
    <w:rsid w:val="00A52F9E"/>
    <w:rsid w:val="00A53251"/>
    <w:rsid w:val="00A539ED"/>
    <w:rsid w:val="00A54658"/>
    <w:rsid w:val="00A56348"/>
    <w:rsid w:val="00A5703F"/>
    <w:rsid w:val="00A57D39"/>
    <w:rsid w:val="00A60B95"/>
    <w:rsid w:val="00A61825"/>
    <w:rsid w:val="00A61E2D"/>
    <w:rsid w:val="00A6316B"/>
    <w:rsid w:val="00A633C6"/>
    <w:rsid w:val="00A65316"/>
    <w:rsid w:val="00A674FF"/>
    <w:rsid w:val="00A70F69"/>
    <w:rsid w:val="00A72113"/>
    <w:rsid w:val="00A72611"/>
    <w:rsid w:val="00A7312E"/>
    <w:rsid w:val="00A73ABB"/>
    <w:rsid w:val="00A74553"/>
    <w:rsid w:val="00A751A1"/>
    <w:rsid w:val="00A76D2C"/>
    <w:rsid w:val="00A77746"/>
    <w:rsid w:val="00A806AA"/>
    <w:rsid w:val="00A81830"/>
    <w:rsid w:val="00A8224E"/>
    <w:rsid w:val="00A83594"/>
    <w:rsid w:val="00A8363B"/>
    <w:rsid w:val="00A83BF6"/>
    <w:rsid w:val="00A84BAC"/>
    <w:rsid w:val="00A84CBA"/>
    <w:rsid w:val="00A85BA3"/>
    <w:rsid w:val="00A87B4F"/>
    <w:rsid w:val="00A87F31"/>
    <w:rsid w:val="00A90D27"/>
    <w:rsid w:val="00A9103B"/>
    <w:rsid w:val="00A91284"/>
    <w:rsid w:val="00A918A7"/>
    <w:rsid w:val="00A92871"/>
    <w:rsid w:val="00A950DA"/>
    <w:rsid w:val="00A955EB"/>
    <w:rsid w:val="00A9591E"/>
    <w:rsid w:val="00AA1F49"/>
    <w:rsid w:val="00AA3A2E"/>
    <w:rsid w:val="00AA4099"/>
    <w:rsid w:val="00AA4619"/>
    <w:rsid w:val="00AA4D5A"/>
    <w:rsid w:val="00AA6835"/>
    <w:rsid w:val="00AA688A"/>
    <w:rsid w:val="00AA6913"/>
    <w:rsid w:val="00AB00F3"/>
    <w:rsid w:val="00AB0650"/>
    <w:rsid w:val="00AB1D9C"/>
    <w:rsid w:val="00AB2190"/>
    <w:rsid w:val="00AB2CA0"/>
    <w:rsid w:val="00AB39EB"/>
    <w:rsid w:val="00AB3F27"/>
    <w:rsid w:val="00AB3FD9"/>
    <w:rsid w:val="00AB7DE7"/>
    <w:rsid w:val="00AC01D4"/>
    <w:rsid w:val="00AC03AB"/>
    <w:rsid w:val="00AC0650"/>
    <w:rsid w:val="00AC07E0"/>
    <w:rsid w:val="00AC1BE7"/>
    <w:rsid w:val="00AC1F02"/>
    <w:rsid w:val="00AC2176"/>
    <w:rsid w:val="00AC275F"/>
    <w:rsid w:val="00AC2F53"/>
    <w:rsid w:val="00AC3ADE"/>
    <w:rsid w:val="00AC3EE4"/>
    <w:rsid w:val="00AC4D72"/>
    <w:rsid w:val="00AC50A4"/>
    <w:rsid w:val="00AC5647"/>
    <w:rsid w:val="00AC5A95"/>
    <w:rsid w:val="00AC6074"/>
    <w:rsid w:val="00AC6471"/>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33B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AF6FBE"/>
    <w:rsid w:val="00B00BBE"/>
    <w:rsid w:val="00B016C9"/>
    <w:rsid w:val="00B02F19"/>
    <w:rsid w:val="00B04449"/>
    <w:rsid w:val="00B0456E"/>
    <w:rsid w:val="00B06A05"/>
    <w:rsid w:val="00B06BF6"/>
    <w:rsid w:val="00B06F7F"/>
    <w:rsid w:val="00B100F0"/>
    <w:rsid w:val="00B13078"/>
    <w:rsid w:val="00B1402E"/>
    <w:rsid w:val="00B142FD"/>
    <w:rsid w:val="00B14865"/>
    <w:rsid w:val="00B1561B"/>
    <w:rsid w:val="00B15BBE"/>
    <w:rsid w:val="00B178E2"/>
    <w:rsid w:val="00B206A5"/>
    <w:rsid w:val="00B20B93"/>
    <w:rsid w:val="00B21D50"/>
    <w:rsid w:val="00B229BE"/>
    <w:rsid w:val="00B22F9B"/>
    <w:rsid w:val="00B23747"/>
    <w:rsid w:val="00B23E0A"/>
    <w:rsid w:val="00B24090"/>
    <w:rsid w:val="00B254E8"/>
    <w:rsid w:val="00B257E3"/>
    <w:rsid w:val="00B260C7"/>
    <w:rsid w:val="00B27494"/>
    <w:rsid w:val="00B279B9"/>
    <w:rsid w:val="00B27BFD"/>
    <w:rsid w:val="00B304BF"/>
    <w:rsid w:val="00B307CA"/>
    <w:rsid w:val="00B30B24"/>
    <w:rsid w:val="00B30FD0"/>
    <w:rsid w:val="00B34F48"/>
    <w:rsid w:val="00B36531"/>
    <w:rsid w:val="00B37F84"/>
    <w:rsid w:val="00B4117C"/>
    <w:rsid w:val="00B4135D"/>
    <w:rsid w:val="00B4151A"/>
    <w:rsid w:val="00B44A7E"/>
    <w:rsid w:val="00B45DF2"/>
    <w:rsid w:val="00B47780"/>
    <w:rsid w:val="00B51BA0"/>
    <w:rsid w:val="00B52C31"/>
    <w:rsid w:val="00B535BD"/>
    <w:rsid w:val="00B53701"/>
    <w:rsid w:val="00B53910"/>
    <w:rsid w:val="00B539F7"/>
    <w:rsid w:val="00B5509D"/>
    <w:rsid w:val="00B56A26"/>
    <w:rsid w:val="00B56C5F"/>
    <w:rsid w:val="00B573E6"/>
    <w:rsid w:val="00B6110A"/>
    <w:rsid w:val="00B6176A"/>
    <w:rsid w:val="00B6301A"/>
    <w:rsid w:val="00B63454"/>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609"/>
    <w:rsid w:val="00B76F6C"/>
    <w:rsid w:val="00B8080B"/>
    <w:rsid w:val="00B811EF"/>
    <w:rsid w:val="00B81568"/>
    <w:rsid w:val="00B82740"/>
    <w:rsid w:val="00B8310D"/>
    <w:rsid w:val="00B831B9"/>
    <w:rsid w:val="00B8431A"/>
    <w:rsid w:val="00B85791"/>
    <w:rsid w:val="00B86EF1"/>
    <w:rsid w:val="00B87671"/>
    <w:rsid w:val="00B90487"/>
    <w:rsid w:val="00B90674"/>
    <w:rsid w:val="00B913BB"/>
    <w:rsid w:val="00B91F77"/>
    <w:rsid w:val="00B91FFF"/>
    <w:rsid w:val="00B934E3"/>
    <w:rsid w:val="00B93B40"/>
    <w:rsid w:val="00B93CCF"/>
    <w:rsid w:val="00B94323"/>
    <w:rsid w:val="00B94444"/>
    <w:rsid w:val="00B9566B"/>
    <w:rsid w:val="00B95F92"/>
    <w:rsid w:val="00B961B7"/>
    <w:rsid w:val="00B963D4"/>
    <w:rsid w:val="00B96E10"/>
    <w:rsid w:val="00B975C8"/>
    <w:rsid w:val="00B9772B"/>
    <w:rsid w:val="00BA1C01"/>
    <w:rsid w:val="00BA2DEF"/>
    <w:rsid w:val="00BA35F2"/>
    <w:rsid w:val="00BA3880"/>
    <w:rsid w:val="00BA42FB"/>
    <w:rsid w:val="00BA4768"/>
    <w:rsid w:val="00BA4861"/>
    <w:rsid w:val="00BA4A92"/>
    <w:rsid w:val="00BA516F"/>
    <w:rsid w:val="00BA628C"/>
    <w:rsid w:val="00BA7059"/>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35E1"/>
    <w:rsid w:val="00BD3A56"/>
    <w:rsid w:val="00BD54FC"/>
    <w:rsid w:val="00BD63C3"/>
    <w:rsid w:val="00BD67CE"/>
    <w:rsid w:val="00BD76A4"/>
    <w:rsid w:val="00BE0186"/>
    <w:rsid w:val="00BE1C8A"/>
    <w:rsid w:val="00BE2069"/>
    <w:rsid w:val="00BE4857"/>
    <w:rsid w:val="00BE5847"/>
    <w:rsid w:val="00BE5BE0"/>
    <w:rsid w:val="00BE5D1D"/>
    <w:rsid w:val="00BE697B"/>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0FE7"/>
    <w:rsid w:val="00C12A51"/>
    <w:rsid w:val="00C12C65"/>
    <w:rsid w:val="00C12CD1"/>
    <w:rsid w:val="00C1591E"/>
    <w:rsid w:val="00C15EDD"/>
    <w:rsid w:val="00C173EE"/>
    <w:rsid w:val="00C20D36"/>
    <w:rsid w:val="00C21038"/>
    <w:rsid w:val="00C2286B"/>
    <w:rsid w:val="00C2396B"/>
    <w:rsid w:val="00C26865"/>
    <w:rsid w:val="00C26E4B"/>
    <w:rsid w:val="00C2785F"/>
    <w:rsid w:val="00C30BA6"/>
    <w:rsid w:val="00C30FDC"/>
    <w:rsid w:val="00C31035"/>
    <w:rsid w:val="00C31467"/>
    <w:rsid w:val="00C32E6D"/>
    <w:rsid w:val="00C33B06"/>
    <w:rsid w:val="00C33CB1"/>
    <w:rsid w:val="00C33F0C"/>
    <w:rsid w:val="00C34B8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323"/>
    <w:rsid w:val="00C53F9A"/>
    <w:rsid w:val="00C5400B"/>
    <w:rsid w:val="00C546C0"/>
    <w:rsid w:val="00C54D8C"/>
    <w:rsid w:val="00C55296"/>
    <w:rsid w:val="00C55398"/>
    <w:rsid w:val="00C55987"/>
    <w:rsid w:val="00C56828"/>
    <w:rsid w:val="00C56AF6"/>
    <w:rsid w:val="00C56F43"/>
    <w:rsid w:val="00C56F74"/>
    <w:rsid w:val="00C57493"/>
    <w:rsid w:val="00C605E6"/>
    <w:rsid w:val="00C63C0C"/>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339F"/>
    <w:rsid w:val="00C95976"/>
    <w:rsid w:val="00C96618"/>
    <w:rsid w:val="00C96A10"/>
    <w:rsid w:val="00C9753B"/>
    <w:rsid w:val="00CA0C87"/>
    <w:rsid w:val="00CA19CD"/>
    <w:rsid w:val="00CA1F28"/>
    <w:rsid w:val="00CA20F3"/>
    <w:rsid w:val="00CA2747"/>
    <w:rsid w:val="00CA2BE4"/>
    <w:rsid w:val="00CA4A62"/>
    <w:rsid w:val="00CA561E"/>
    <w:rsid w:val="00CA5B58"/>
    <w:rsid w:val="00CA659E"/>
    <w:rsid w:val="00CA6A39"/>
    <w:rsid w:val="00CA7DAD"/>
    <w:rsid w:val="00CB0E83"/>
    <w:rsid w:val="00CB23DD"/>
    <w:rsid w:val="00CB2517"/>
    <w:rsid w:val="00CB2757"/>
    <w:rsid w:val="00CB2FE7"/>
    <w:rsid w:val="00CB3B57"/>
    <w:rsid w:val="00CB42AE"/>
    <w:rsid w:val="00CB5100"/>
    <w:rsid w:val="00CB552F"/>
    <w:rsid w:val="00CB6768"/>
    <w:rsid w:val="00CB768F"/>
    <w:rsid w:val="00CC0848"/>
    <w:rsid w:val="00CC17DB"/>
    <w:rsid w:val="00CC20D5"/>
    <w:rsid w:val="00CC2CF9"/>
    <w:rsid w:val="00CC2F01"/>
    <w:rsid w:val="00CC5661"/>
    <w:rsid w:val="00CC586C"/>
    <w:rsid w:val="00CC5BCB"/>
    <w:rsid w:val="00CC6453"/>
    <w:rsid w:val="00CD2D8A"/>
    <w:rsid w:val="00CD31EA"/>
    <w:rsid w:val="00CD4B6F"/>
    <w:rsid w:val="00CD4E3E"/>
    <w:rsid w:val="00CD5817"/>
    <w:rsid w:val="00CD692F"/>
    <w:rsid w:val="00CE0392"/>
    <w:rsid w:val="00CE184D"/>
    <w:rsid w:val="00CE2303"/>
    <w:rsid w:val="00CE2604"/>
    <w:rsid w:val="00CE2A86"/>
    <w:rsid w:val="00CE34B8"/>
    <w:rsid w:val="00CE392B"/>
    <w:rsid w:val="00CE46E3"/>
    <w:rsid w:val="00CE5481"/>
    <w:rsid w:val="00CE5866"/>
    <w:rsid w:val="00CE58DF"/>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781"/>
    <w:rsid w:val="00D1045D"/>
    <w:rsid w:val="00D133AA"/>
    <w:rsid w:val="00D13B0B"/>
    <w:rsid w:val="00D13CCF"/>
    <w:rsid w:val="00D13DEA"/>
    <w:rsid w:val="00D14787"/>
    <w:rsid w:val="00D14CF7"/>
    <w:rsid w:val="00D1576E"/>
    <w:rsid w:val="00D15943"/>
    <w:rsid w:val="00D15BBC"/>
    <w:rsid w:val="00D15E67"/>
    <w:rsid w:val="00D170C5"/>
    <w:rsid w:val="00D17767"/>
    <w:rsid w:val="00D17F09"/>
    <w:rsid w:val="00D2057B"/>
    <w:rsid w:val="00D20ABB"/>
    <w:rsid w:val="00D22CFE"/>
    <w:rsid w:val="00D24756"/>
    <w:rsid w:val="00D24AEE"/>
    <w:rsid w:val="00D25315"/>
    <w:rsid w:val="00D26A33"/>
    <w:rsid w:val="00D27CA4"/>
    <w:rsid w:val="00D3073E"/>
    <w:rsid w:val="00D30EC2"/>
    <w:rsid w:val="00D31676"/>
    <w:rsid w:val="00D316C8"/>
    <w:rsid w:val="00D337D5"/>
    <w:rsid w:val="00D33FB9"/>
    <w:rsid w:val="00D34817"/>
    <w:rsid w:val="00D3504E"/>
    <w:rsid w:val="00D365BB"/>
    <w:rsid w:val="00D36F8C"/>
    <w:rsid w:val="00D3795A"/>
    <w:rsid w:val="00D37AB5"/>
    <w:rsid w:val="00D404D9"/>
    <w:rsid w:val="00D40C74"/>
    <w:rsid w:val="00D43282"/>
    <w:rsid w:val="00D43EA4"/>
    <w:rsid w:val="00D44508"/>
    <w:rsid w:val="00D44776"/>
    <w:rsid w:val="00D44C2B"/>
    <w:rsid w:val="00D476E4"/>
    <w:rsid w:val="00D47810"/>
    <w:rsid w:val="00D50FB8"/>
    <w:rsid w:val="00D5128E"/>
    <w:rsid w:val="00D52DEF"/>
    <w:rsid w:val="00D52FD0"/>
    <w:rsid w:val="00D535E4"/>
    <w:rsid w:val="00D53C9E"/>
    <w:rsid w:val="00D53D9D"/>
    <w:rsid w:val="00D54385"/>
    <w:rsid w:val="00D606D9"/>
    <w:rsid w:val="00D60B03"/>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3E45"/>
    <w:rsid w:val="00D842C5"/>
    <w:rsid w:val="00D842CD"/>
    <w:rsid w:val="00D8495C"/>
    <w:rsid w:val="00D86737"/>
    <w:rsid w:val="00D8696A"/>
    <w:rsid w:val="00D90419"/>
    <w:rsid w:val="00D90551"/>
    <w:rsid w:val="00D90F5A"/>
    <w:rsid w:val="00D9153B"/>
    <w:rsid w:val="00D9160A"/>
    <w:rsid w:val="00D9193A"/>
    <w:rsid w:val="00D95903"/>
    <w:rsid w:val="00D95D78"/>
    <w:rsid w:val="00DA0810"/>
    <w:rsid w:val="00DA0CEE"/>
    <w:rsid w:val="00DA12D6"/>
    <w:rsid w:val="00DA37B7"/>
    <w:rsid w:val="00DA3FCE"/>
    <w:rsid w:val="00DA4B42"/>
    <w:rsid w:val="00DA57DA"/>
    <w:rsid w:val="00DA7865"/>
    <w:rsid w:val="00DB0673"/>
    <w:rsid w:val="00DB2BE7"/>
    <w:rsid w:val="00DB40EF"/>
    <w:rsid w:val="00DB4203"/>
    <w:rsid w:val="00DB428C"/>
    <w:rsid w:val="00DB6B88"/>
    <w:rsid w:val="00DB6CCB"/>
    <w:rsid w:val="00DB7CA1"/>
    <w:rsid w:val="00DC094F"/>
    <w:rsid w:val="00DC24B5"/>
    <w:rsid w:val="00DC25DA"/>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E042D"/>
    <w:rsid w:val="00DE0476"/>
    <w:rsid w:val="00DE1189"/>
    <w:rsid w:val="00DE1B2F"/>
    <w:rsid w:val="00DE1C5A"/>
    <w:rsid w:val="00DE2AAC"/>
    <w:rsid w:val="00DE3889"/>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6280"/>
    <w:rsid w:val="00DF7B14"/>
    <w:rsid w:val="00DF7B16"/>
    <w:rsid w:val="00E00009"/>
    <w:rsid w:val="00E00746"/>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BC4"/>
    <w:rsid w:val="00E21114"/>
    <w:rsid w:val="00E22B84"/>
    <w:rsid w:val="00E25363"/>
    <w:rsid w:val="00E25E8A"/>
    <w:rsid w:val="00E26045"/>
    <w:rsid w:val="00E26BDB"/>
    <w:rsid w:val="00E26DF9"/>
    <w:rsid w:val="00E27298"/>
    <w:rsid w:val="00E27304"/>
    <w:rsid w:val="00E304D5"/>
    <w:rsid w:val="00E30CC7"/>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6CA7"/>
    <w:rsid w:val="00E4747A"/>
    <w:rsid w:val="00E47C56"/>
    <w:rsid w:val="00E50B82"/>
    <w:rsid w:val="00E5135E"/>
    <w:rsid w:val="00E5155E"/>
    <w:rsid w:val="00E51630"/>
    <w:rsid w:val="00E53A30"/>
    <w:rsid w:val="00E542AD"/>
    <w:rsid w:val="00E543FB"/>
    <w:rsid w:val="00E54CCA"/>
    <w:rsid w:val="00E552CC"/>
    <w:rsid w:val="00E55808"/>
    <w:rsid w:val="00E559EA"/>
    <w:rsid w:val="00E55EFC"/>
    <w:rsid w:val="00E5696D"/>
    <w:rsid w:val="00E56C91"/>
    <w:rsid w:val="00E56E45"/>
    <w:rsid w:val="00E6161C"/>
    <w:rsid w:val="00E62DEC"/>
    <w:rsid w:val="00E63233"/>
    <w:rsid w:val="00E63FE6"/>
    <w:rsid w:val="00E65960"/>
    <w:rsid w:val="00E65F8A"/>
    <w:rsid w:val="00E66ECB"/>
    <w:rsid w:val="00E67486"/>
    <w:rsid w:val="00E7055E"/>
    <w:rsid w:val="00E71139"/>
    <w:rsid w:val="00E727CE"/>
    <w:rsid w:val="00E73D84"/>
    <w:rsid w:val="00E749E1"/>
    <w:rsid w:val="00E8007A"/>
    <w:rsid w:val="00E803C0"/>
    <w:rsid w:val="00E80578"/>
    <w:rsid w:val="00E80B43"/>
    <w:rsid w:val="00E82872"/>
    <w:rsid w:val="00E833CB"/>
    <w:rsid w:val="00E83995"/>
    <w:rsid w:val="00E83CBA"/>
    <w:rsid w:val="00E83D2E"/>
    <w:rsid w:val="00E83FB2"/>
    <w:rsid w:val="00E844D4"/>
    <w:rsid w:val="00E85FEA"/>
    <w:rsid w:val="00E90615"/>
    <w:rsid w:val="00E916E6"/>
    <w:rsid w:val="00E91FE0"/>
    <w:rsid w:val="00E95AC2"/>
    <w:rsid w:val="00E96BD7"/>
    <w:rsid w:val="00E97167"/>
    <w:rsid w:val="00E97787"/>
    <w:rsid w:val="00E97DBB"/>
    <w:rsid w:val="00EA0169"/>
    <w:rsid w:val="00EA093A"/>
    <w:rsid w:val="00EA3781"/>
    <w:rsid w:val="00EA4040"/>
    <w:rsid w:val="00EA5017"/>
    <w:rsid w:val="00EA5023"/>
    <w:rsid w:val="00EA7061"/>
    <w:rsid w:val="00EA74ED"/>
    <w:rsid w:val="00EA7C5B"/>
    <w:rsid w:val="00EB13FE"/>
    <w:rsid w:val="00EB15BE"/>
    <w:rsid w:val="00EB21E4"/>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2C26"/>
    <w:rsid w:val="00ED3898"/>
    <w:rsid w:val="00ED38BF"/>
    <w:rsid w:val="00ED3AFB"/>
    <w:rsid w:val="00ED5DB2"/>
    <w:rsid w:val="00ED5EC2"/>
    <w:rsid w:val="00EE009D"/>
    <w:rsid w:val="00EE0A9C"/>
    <w:rsid w:val="00EE0DF2"/>
    <w:rsid w:val="00EE1124"/>
    <w:rsid w:val="00EE21DD"/>
    <w:rsid w:val="00EE4036"/>
    <w:rsid w:val="00EE4131"/>
    <w:rsid w:val="00EE56DF"/>
    <w:rsid w:val="00EE587F"/>
    <w:rsid w:val="00EE5ED7"/>
    <w:rsid w:val="00EE64CC"/>
    <w:rsid w:val="00EE6D6B"/>
    <w:rsid w:val="00EE70C7"/>
    <w:rsid w:val="00EF1A24"/>
    <w:rsid w:val="00EF1BF1"/>
    <w:rsid w:val="00EF35FC"/>
    <w:rsid w:val="00EF5716"/>
    <w:rsid w:val="00EF71E1"/>
    <w:rsid w:val="00EF7F11"/>
    <w:rsid w:val="00F003B9"/>
    <w:rsid w:val="00F00A18"/>
    <w:rsid w:val="00F01BD5"/>
    <w:rsid w:val="00F01D2A"/>
    <w:rsid w:val="00F024E3"/>
    <w:rsid w:val="00F0264E"/>
    <w:rsid w:val="00F02815"/>
    <w:rsid w:val="00F041B2"/>
    <w:rsid w:val="00F0505F"/>
    <w:rsid w:val="00F05EAF"/>
    <w:rsid w:val="00F0656F"/>
    <w:rsid w:val="00F069F3"/>
    <w:rsid w:val="00F06D7C"/>
    <w:rsid w:val="00F079F3"/>
    <w:rsid w:val="00F1049D"/>
    <w:rsid w:val="00F1157B"/>
    <w:rsid w:val="00F119F0"/>
    <w:rsid w:val="00F14495"/>
    <w:rsid w:val="00F147FD"/>
    <w:rsid w:val="00F1559F"/>
    <w:rsid w:val="00F15C8C"/>
    <w:rsid w:val="00F15FC1"/>
    <w:rsid w:val="00F166CE"/>
    <w:rsid w:val="00F16D07"/>
    <w:rsid w:val="00F17762"/>
    <w:rsid w:val="00F23C5A"/>
    <w:rsid w:val="00F23E91"/>
    <w:rsid w:val="00F24852"/>
    <w:rsid w:val="00F24F77"/>
    <w:rsid w:val="00F261BC"/>
    <w:rsid w:val="00F265D3"/>
    <w:rsid w:val="00F277D4"/>
    <w:rsid w:val="00F30466"/>
    <w:rsid w:val="00F30A70"/>
    <w:rsid w:val="00F31104"/>
    <w:rsid w:val="00F31D17"/>
    <w:rsid w:val="00F33E65"/>
    <w:rsid w:val="00F34E93"/>
    <w:rsid w:val="00F358F0"/>
    <w:rsid w:val="00F43F5A"/>
    <w:rsid w:val="00F44511"/>
    <w:rsid w:val="00F4474B"/>
    <w:rsid w:val="00F44FCF"/>
    <w:rsid w:val="00F45197"/>
    <w:rsid w:val="00F45708"/>
    <w:rsid w:val="00F475FD"/>
    <w:rsid w:val="00F5097D"/>
    <w:rsid w:val="00F50FD4"/>
    <w:rsid w:val="00F513E5"/>
    <w:rsid w:val="00F5219B"/>
    <w:rsid w:val="00F527A6"/>
    <w:rsid w:val="00F53138"/>
    <w:rsid w:val="00F534C0"/>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2F7"/>
    <w:rsid w:val="00F67B1D"/>
    <w:rsid w:val="00F708D9"/>
    <w:rsid w:val="00F70F76"/>
    <w:rsid w:val="00F720FB"/>
    <w:rsid w:val="00F721C2"/>
    <w:rsid w:val="00F73DFB"/>
    <w:rsid w:val="00F75E45"/>
    <w:rsid w:val="00F80602"/>
    <w:rsid w:val="00F81376"/>
    <w:rsid w:val="00F814DF"/>
    <w:rsid w:val="00F81E48"/>
    <w:rsid w:val="00F83AF1"/>
    <w:rsid w:val="00F8489E"/>
    <w:rsid w:val="00F84C20"/>
    <w:rsid w:val="00F85D2B"/>
    <w:rsid w:val="00F87614"/>
    <w:rsid w:val="00F87F8F"/>
    <w:rsid w:val="00F91FFB"/>
    <w:rsid w:val="00F92112"/>
    <w:rsid w:val="00F9230A"/>
    <w:rsid w:val="00F92366"/>
    <w:rsid w:val="00F92753"/>
    <w:rsid w:val="00F9598E"/>
    <w:rsid w:val="00F96B32"/>
    <w:rsid w:val="00F96F49"/>
    <w:rsid w:val="00F9735A"/>
    <w:rsid w:val="00FA1AB7"/>
    <w:rsid w:val="00FA42F4"/>
    <w:rsid w:val="00FA4DD5"/>
    <w:rsid w:val="00FA4EBA"/>
    <w:rsid w:val="00FA6502"/>
    <w:rsid w:val="00FA6AFC"/>
    <w:rsid w:val="00FA7B72"/>
    <w:rsid w:val="00FB0139"/>
    <w:rsid w:val="00FB0730"/>
    <w:rsid w:val="00FB0BC1"/>
    <w:rsid w:val="00FB14A0"/>
    <w:rsid w:val="00FB1542"/>
    <w:rsid w:val="00FB1FAA"/>
    <w:rsid w:val="00FB34A3"/>
    <w:rsid w:val="00FB3EF1"/>
    <w:rsid w:val="00FB4E4A"/>
    <w:rsid w:val="00FB6D3A"/>
    <w:rsid w:val="00FB760E"/>
    <w:rsid w:val="00FB7924"/>
    <w:rsid w:val="00FB7B83"/>
    <w:rsid w:val="00FB7F35"/>
    <w:rsid w:val="00FC11D6"/>
    <w:rsid w:val="00FC4155"/>
    <w:rsid w:val="00FC48DD"/>
    <w:rsid w:val="00FC569E"/>
    <w:rsid w:val="00FC67E5"/>
    <w:rsid w:val="00FC6BFF"/>
    <w:rsid w:val="00FC7B5F"/>
    <w:rsid w:val="00FD04EB"/>
    <w:rsid w:val="00FD0D03"/>
    <w:rsid w:val="00FD1036"/>
    <w:rsid w:val="00FD1062"/>
    <w:rsid w:val="00FD131D"/>
    <w:rsid w:val="00FD15D6"/>
    <w:rsid w:val="00FD1865"/>
    <w:rsid w:val="00FD1BE6"/>
    <w:rsid w:val="00FD3049"/>
    <w:rsid w:val="00FD3151"/>
    <w:rsid w:val="00FD5177"/>
    <w:rsid w:val="00FD5398"/>
    <w:rsid w:val="00FD6A47"/>
    <w:rsid w:val="00FE0E12"/>
    <w:rsid w:val="00FE1AF4"/>
    <w:rsid w:val="00FE2F1E"/>
    <w:rsid w:val="00FE35E1"/>
    <w:rsid w:val="00FE3AFC"/>
    <w:rsid w:val="00FE4D5E"/>
    <w:rsid w:val="00FE6D86"/>
    <w:rsid w:val="00FE7385"/>
    <w:rsid w:val="00FE7FB0"/>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ft,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4_G"/>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Bull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character" w:customStyle="1" w:styleId="BalloonTextChar">
    <w:name w:val="Balloon Text Char"/>
    <w:basedOn w:val="DefaultParagraphFont"/>
    <w:link w:val="BalloonText"/>
    <w:uiPriority w:val="99"/>
    <w:semiHidden/>
    <w:rsid w:val="00091D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9556016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upr/gq-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4.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6444</Words>
  <Characters>36736</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21</cp:revision>
  <cp:lastPrinted>2014-09-17T01:01:00Z</cp:lastPrinted>
  <dcterms:created xsi:type="dcterms:W3CDTF">2023-06-05T11:31:00Z</dcterms:created>
  <dcterms:modified xsi:type="dcterms:W3CDTF">2023-06-29T18:08:00Z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