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9684F" w14:textId="2B1B7A9F" w:rsidR="00461411" w:rsidRPr="00A07978" w:rsidRDefault="00461411" w:rsidP="00CA6702">
      <w:pPr>
        <w:tabs>
          <w:tab w:val="left" w:pos="8789"/>
        </w:tabs>
        <w:spacing w:before="60"/>
        <w:ind w:left="-426" w:right="288"/>
        <w:rPr>
          <w:b/>
          <w:color w:val="000000"/>
          <w:lang w:val="en-GB"/>
        </w:rPr>
      </w:pPr>
      <w:r w:rsidRPr="00A07978">
        <w:rPr>
          <w:b/>
          <w:color w:val="000000"/>
          <w:lang w:val="en-GB"/>
        </w:rPr>
        <w:t>Second regular session 202</w:t>
      </w:r>
      <w:r w:rsidR="00CA6702" w:rsidRPr="00A07978">
        <w:rPr>
          <w:b/>
          <w:color w:val="000000"/>
          <w:lang w:val="en-GB"/>
        </w:rPr>
        <w:t>3</w:t>
      </w:r>
    </w:p>
    <w:p w14:paraId="3C138055" w14:textId="45BB6BE7" w:rsidR="00461411" w:rsidRPr="00A07978" w:rsidRDefault="00B1561B" w:rsidP="00CA670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426" w:right="1260"/>
        <w:rPr>
          <w:color w:val="000000"/>
          <w:lang w:val="en-GB"/>
        </w:rPr>
      </w:pPr>
      <w:r w:rsidRPr="00A07978">
        <w:rPr>
          <w:color w:val="000000"/>
          <w:lang w:val="en-GB"/>
        </w:rPr>
        <w:t>2</w:t>
      </w:r>
      <w:r w:rsidR="00CA6702" w:rsidRPr="00A07978">
        <w:rPr>
          <w:color w:val="000000"/>
          <w:lang w:val="en-GB"/>
        </w:rPr>
        <w:t xml:space="preserve">8 </w:t>
      </w:r>
      <w:r w:rsidRPr="00A07978">
        <w:rPr>
          <w:color w:val="000000"/>
          <w:lang w:val="en-GB"/>
        </w:rPr>
        <w:t xml:space="preserve">August to </w:t>
      </w:r>
      <w:r w:rsidR="00145CB0" w:rsidRPr="00A07978">
        <w:rPr>
          <w:color w:val="000000"/>
          <w:lang w:val="en-GB"/>
        </w:rPr>
        <w:t>1</w:t>
      </w:r>
      <w:r w:rsidRPr="00A07978">
        <w:rPr>
          <w:color w:val="000000"/>
          <w:lang w:val="en-GB"/>
        </w:rPr>
        <w:t xml:space="preserve"> </w:t>
      </w:r>
      <w:r w:rsidR="00461411" w:rsidRPr="00A07978">
        <w:rPr>
          <w:color w:val="000000"/>
          <w:lang w:val="en-GB"/>
        </w:rPr>
        <w:t>September 202</w:t>
      </w:r>
      <w:r w:rsidR="00CA6702" w:rsidRPr="00A07978">
        <w:rPr>
          <w:color w:val="000000"/>
          <w:lang w:val="en-GB"/>
        </w:rPr>
        <w:t>3</w:t>
      </w:r>
      <w:r w:rsidR="00461411" w:rsidRPr="00A07978">
        <w:rPr>
          <w:color w:val="000000"/>
          <w:lang w:val="en-GB"/>
        </w:rPr>
        <w:t>, New York</w:t>
      </w:r>
    </w:p>
    <w:p w14:paraId="532F0A5B" w14:textId="1A5E8B18" w:rsidR="00461411" w:rsidRPr="00A07978" w:rsidRDefault="00461411" w:rsidP="00CA670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426" w:right="1260"/>
        <w:rPr>
          <w:color w:val="000000"/>
          <w:lang w:val="en-GB"/>
        </w:rPr>
      </w:pPr>
      <w:r w:rsidRPr="00A07978">
        <w:rPr>
          <w:color w:val="000000"/>
          <w:lang w:val="en-GB"/>
        </w:rPr>
        <w:t xml:space="preserve">Item </w:t>
      </w:r>
      <w:r w:rsidR="00145CB0" w:rsidRPr="00A07978">
        <w:rPr>
          <w:color w:val="000000"/>
          <w:lang w:val="en-GB"/>
        </w:rPr>
        <w:t>3</w:t>
      </w:r>
      <w:r w:rsidRPr="00A07978">
        <w:rPr>
          <w:color w:val="000000"/>
          <w:lang w:val="en-GB"/>
        </w:rPr>
        <w:t xml:space="preserve"> of the provisional agenda</w:t>
      </w:r>
    </w:p>
    <w:p w14:paraId="4EAD17DB" w14:textId="77777777" w:rsidR="00461411" w:rsidRPr="00A07978" w:rsidRDefault="00461411" w:rsidP="00CA6702">
      <w:pPr>
        <w:ind w:left="-426" w:right="1260"/>
        <w:rPr>
          <w:b/>
          <w:color w:val="000000"/>
          <w:lang w:val="en-GB"/>
        </w:rPr>
      </w:pPr>
      <w:r w:rsidRPr="00A07978">
        <w:rPr>
          <w:b/>
          <w:color w:val="000000"/>
          <w:lang w:val="en-GB"/>
        </w:rPr>
        <w:t>Country programmes and related matters</w:t>
      </w:r>
    </w:p>
    <w:p w14:paraId="6178FB62" w14:textId="77777777" w:rsidR="00461411" w:rsidRPr="00A07978" w:rsidRDefault="00461411" w:rsidP="00461411">
      <w:pPr>
        <w:jc w:val="both"/>
        <w:rPr>
          <w:b/>
          <w:lang w:val="en-GB"/>
        </w:rPr>
      </w:pPr>
    </w:p>
    <w:p w14:paraId="7950BBBC" w14:textId="77777777" w:rsidR="00461411" w:rsidRPr="00A07978" w:rsidRDefault="00461411" w:rsidP="00461411">
      <w:pPr>
        <w:keepNext/>
        <w:keepLines/>
        <w:pBdr>
          <w:top w:val="nil"/>
          <w:left w:val="nil"/>
          <w:bottom w:val="nil"/>
          <w:right w:val="nil"/>
          <w:between w:val="nil"/>
        </w:pBd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uto"/>
        <w:ind w:left="1267" w:right="1260" w:hanging="1267"/>
        <w:rPr>
          <w:b/>
          <w:sz w:val="28"/>
          <w:szCs w:val="28"/>
          <w:lang w:val="en-GB"/>
        </w:rPr>
      </w:pPr>
    </w:p>
    <w:p w14:paraId="293F1309" w14:textId="386DE280" w:rsidR="00461411" w:rsidRPr="00A07978" w:rsidRDefault="00461411" w:rsidP="00461411">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jc w:val="center"/>
        <w:outlineLvl w:val="0"/>
        <w:rPr>
          <w:color w:val="000000"/>
          <w:kern w:val="14"/>
          <w:sz w:val="28"/>
          <w:lang w:val="en-GB" w:eastAsia="fr-FR"/>
        </w:rPr>
      </w:pPr>
      <w:r w:rsidRPr="00A07978">
        <w:rPr>
          <w:b/>
          <w:sz w:val="28"/>
          <w:szCs w:val="28"/>
          <w:lang w:val="en-GB"/>
        </w:rPr>
        <w:t xml:space="preserve">Draft country programme document for </w:t>
      </w:r>
      <w:r w:rsidR="00CA6702" w:rsidRPr="00A07978">
        <w:rPr>
          <w:b/>
          <w:sz w:val="28"/>
          <w:szCs w:val="28"/>
          <w:lang w:val="en-GB"/>
        </w:rPr>
        <w:t>Burundi</w:t>
      </w:r>
      <w:r w:rsidRPr="00A07978">
        <w:rPr>
          <w:b/>
          <w:sz w:val="28"/>
          <w:szCs w:val="28"/>
          <w:lang w:val="en-GB"/>
        </w:rPr>
        <w:t xml:space="preserve"> (202</w:t>
      </w:r>
      <w:r w:rsidR="00CA6702" w:rsidRPr="00A07978">
        <w:rPr>
          <w:b/>
          <w:sz w:val="28"/>
          <w:szCs w:val="28"/>
          <w:lang w:val="en-GB"/>
        </w:rPr>
        <w:t>4</w:t>
      </w:r>
      <w:r w:rsidRPr="00A07978">
        <w:rPr>
          <w:b/>
          <w:sz w:val="28"/>
          <w:szCs w:val="28"/>
          <w:lang w:val="en-GB"/>
        </w:rPr>
        <w:t>-2027)</w:t>
      </w:r>
      <w:r w:rsidRPr="00A07978">
        <w:rPr>
          <w:b/>
          <w:sz w:val="28"/>
          <w:szCs w:val="28"/>
          <w:lang w:val="en-GB"/>
        </w:rPr>
        <w:br/>
      </w:r>
    </w:p>
    <w:p w14:paraId="73C9FDEF" w14:textId="77777777" w:rsidR="00461411" w:rsidRPr="00A07978" w:rsidRDefault="00461411" w:rsidP="00461411">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left="720" w:right="328"/>
        <w:outlineLvl w:val="0"/>
        <w:rPr>
          <w:color w:val="000000"/>
          <w:kern w:val="14"/>
          <w:sz w:val="28"/>
          <w:lang w:val="en-GB" w:eastAsia="fr-FR"/>
        </w:rPr>
      </w:pPr>
    </w:p>
    <w:p w14:paraId="271FA679" w14:textId="77777777" w:rsidR="00461411" w:rsidRPr="00A07978" w:rsidRDefault="00461411" w:rsidP="00461411">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color w:val="000000"/>
          <w:lang w:val="en-GB" w:eastAsia="fr-FR"/>
        </w:rPr>
      </w:pPr>
      <w:r w:rsidRPr="00A07978">
        <w:rPr>
          <w:color w:val="000000"/>
          <w:kern w:val="14"/>
          <w:sz w:val="28"/>
          <w:lang w:val="en-GB" w:eastAsia="fr-FR"/>
        </w:rPr>
        <w:t>Contents</w:t>
      </w:r>
    </w:p>
    <w:tbl>
      <w:tblPr>
        <w:tblpPr w:leftFromText="180" w:rightFromText="180" w:vertAnchor="text" w:horzAnchor="margin" w:tblpXSpec="center" w:tblpY="68"/>
        <w:tblOverlap w:val="never"/>
        <w:tblW w:w="9902" w:type="dxa"/>
        <w:tblLayout w:type="fixed"/>
        <w:tblCellMar>
          <w:left w:w="0" w:type="dxa"/>
          <w:right w:w="0" w:type="dxa"/>
        </w:tblCellMar>
        <w:tblLook w:val="0000" w:firstRow="0" w:lastRow="0" w:firstColumn="0" w:lastColumn="0" w:noHBand="0" w:noVBand="0"/>
      </w:tblPr>
      <w:tblGrid>
        <w:gridCol w:w="1260"/>
        <w:gridCol w:w="8109"/>
        <w:gridCol w:w="171"/>
        <w:gridCol w:w="362"/>
      </w:tblGrid>
      <w:tr w:rsidR="00461411" w:rsidRPr="00A07978" w14:paraId="06110C97" w14:textId="77777777" w:rsidTr="00B9471B">
        <w:tc>
          <w:tcPr>
            <w:tcW w:w="1260" w:type="dxa"/>
            <w:shd w:val="clear" w:color="auto" w:fill="auto"/>
          </w:tcPr>
          <w:p w14:paraId="0442321F" w14:textId="77777777" w:rsidR="00461411" w:rsidRPr="00A07978" w:rsidRDefault="00461411" w:rsidP="00B9471B">
            <w:pPr>
              <w:tabs>
                <w:tab w:val="left" w:pos="1620"/>
              </w:tabs>
              <w:suppressAutoHyphens/>
              <w:spacing w:after="120"/>
              <w:jc w:val="right"/>
              <w:rPr>
                <w:i/>
                <w:color w:val="000000"/>
                <w:spacing w:val="4"/>
                <w:w w:val="103"/>
                <w:kern w:val="14"/>
                <w:sz w:val="14"/>
                <w:lang w:val="en-GB" w:eastAsia="fr-FR"/>
              </w:rPr>
            </w:pPr>
            <w:r w:rsidRPr="00A07978">
              <w:rPr>
                <w:i/>
                <w:color w:val="000000"/>
                <w:spacing w:val="4"/>
                <w:w w:val="103"/>
                <w:kern w:val="14"/>
                <w:sz w:val="14"/>
                <w:lang w:val="en-GB" w:eastAsia="fr-FR"/>
              </w:rPr>
              <w:t>Chapter</w:t>
            </w:r>
          </w:p>
        </w:tc>
        <w:tc>
          <w:tcPr>
            <w:tcW w:w="8280" w:type="dxa"/>
            <w:gridSpan w:val="2"/>
            <w:shd w:val="clear" w:color="auto" w:fill="auto"/>
          </w:tcPr>
          <w:p w14:paraId="7A8991A5" w14:textId="77777777" w:rsidR="00461411" w:rsidRPr="00A07978" w:rsidRDefault="00461411" w:rsidP="00B9471B">
            <w:pPr>
              <w:tabs>
                <w:tab w:val="left" w:pos="1620"/>
              </w:tabs>
              <w:suppressAutoHyphens/>
              <w:spacing w:after="120"/>
              <w:rPr>
                <w:i/>
                <w:color w:val="000000"/>
                <w:spacing w:val="4"/>
                <w:w w:val="103"/>
                <w:kern w:val="14"/>
                <w:sz w:val="14"/>
                <w:lang w:val="en-GB" w:eastAsia="fr-FR"/>
              </w:rPr>
            </w:pPr>
          </w:p>
        </w:tc>
        <w:tc>
          <w:tcPr>
            <w:tcW w:w="362" w:type="dxa"/>
            <w:shd w:val="clear" w:color="auto" w:fill="auto"/>
          </w:tcPr>
          <w:p w14:paraId="0AA5649A" w14:textId="77777777" w:rsidR="00461411" w:rsidRPr="00A07978" w:rsidRDefault="00461411" w:rsidP="00B9471B">
            <w:pPr>
              <w:tabs>
                <w:tab w:val="left" w:pos="1620"/>
              </w:tabs>
              <w:suppressAutoHyphens/>
              <w:spacing w:after="120"/>
              <w:jc w:val="right"/>
              <w:rPr>
                <w:i/>
                <w:color w:val="000000"/>
                <w:spacing w:val="4"/>
                <w:w w:val="103"/>
                <w:kern w:val="14"/>
                <w:sz w:val="14"/>
                <w:lang w:val="en-GB" w:eastAsia="fr-FR"/>
              </w:rPr>
            </w:pPr>
            <w:r w:rsidRPr="00A07978">
              <w:rPr>
                <w:i/>
                <w:iCs/>
                <w:color w:val="000000"/>
                <w:kern w:val="14"/>
                <w:sz w:val="14"/>
                <w:lang w:val="en-GB" w:eastAsia="fr-FR"/>
              </w:rPr>
              <w:t>Page</w:t>
            </w:r>
          </w:p>
        </w:tc>
      </w:tr>
      <w:tr w:rsidR="00461411" w:rsidRPr="00A07978" w14:paraId="196D92D0" w14:textId="77777777" w:rsidTr="00B9471B">
        <w:tc>
          <w:tcPr>
            <w:tcW w:w="9540" w:type="dxa"/>
            <w:gridSpan w:val="3"/>
            <w:shd w:val="clear" w:color="auto" w:fill="auto"/>
          </w:tcPr>
          <w:p w14:paraId="571CA983" w14:textId="77777777" w:rsidR="00461411" w:rsidRPr="00A07978" w:rsidRDefault="00461411" w:rsidP="00461411">
            <w:pPr>
              <w:numPr>
                <w:ilvl w:val="0"/>
                <w:numId w:val="56"/>
              </w:numPr>
              <w:tabs>
                <w:tab w:val="right" w:pos="1080"/>
                <w:tab w:val="left" w:pos="1296"/>
                <w:tab w:val="left" w:pos="1620"/>
                <w:tab w:val="left" w:pos="2160"/>
                <w:tab w:val="left" w:pos="2592"/>
                <w:tab w:val="right" w:leader="dot" w:pos="9090"/>
              </w:tabs>
              <w:suppressAutoHyphens/>
              <w:spacing w:after="120" w:line="240" w:lineRule="exact"/>
              <w:jc w:val="both"/>
              <w:rPr>
                <w:color w:val="000000"/>
                <w:spacing w:val="4"/>
                <w:w w:val="103"/>
                <w:kern w:val="14"/>
                <w:lang w:val="en-GB" w:eastAsia="fr-FR"/>
              </w:rPr>
            </w:pPr>
            <w:r w:rsidRPr="00A07978">
              <w:rPr>
                <w:color w:val="000000"/>
                <w:kern w:val="14"/>
                <w:lang w:val="en-GB" w:eastAsia="fr-FR"/>
              </w:rPr>
              <w:tab/>
              <w:t xml:space="preserve">UNDP within the </w:t>
            </w:r>
            <w:bookmarkStart w:id="0" w:name="_Hlk102471570"/>
            <w:r w:rsidRPr="00A07978">
              <w:rPr>
                <w:color w:val="000000"/>
                <w:kern w:val="14"/>
                <w:lang w:val="en-GB" w:eastAsia="fr-FR"/>
              </w:rPr>
              <w:t>United Nations Sustainable Development Cooperation Framework</w:t>
            </w:r>
            <w:bookmarkEnd w:id="0"/>
            <w:r w:rsidRPr="00A07978">
              <w:rPr>
                <w:color w:val="000000"/>
                <w:sz w:val="24"/>
                <w:szCs w:val="24"/>
                <w:lang w:val="en-GB" w:eastAsia="fr-FR"/>
              </w:rPr>
              <w:tab/>
            </w:r>
          </w:p>
        </w:tc>
        <w:tc>
          <w:tcPr>
            <w:tcW w:w="362" w:type="dxa"/>
            <w:vMerge w:val="restart"/>
            <w:shd w:val="clear" w:color="auto" w:fill="auto"/>
            <w:vAlign w:val="bottom"/>
          </w:tcPr>
          <w:p w14:paraId="019FEA53" w14:textId="77777777" w:rsidR="00461411" w:rsidRPr="00A07978" w:rsidRDefault="00461411" w:rsidP="00B9471B">
            <w:pPr>
              <w:tabs>
                <w:tab w:val="left" w:pos="1620"/>
              </w:tabs>
              <w:suppressAutoHyphens/>
              <w:spacing w:after="120" w:line="240" w:lineRule="exact"/>
              <w:jc w:val="right"/>
              <w:rPr>
                <w:color w:val="000000"/>
                <w:spacing w:val="4"/>
                <w:w w:val="103"/>
                <w:kern w:val="14"/>
                <w:lang w:val="en-GB" w:eastAsia="fr-FR"/>
              </w:rPr>
            </w:pPr>
            <w:r w:rsidRPr="00A07978">
              <w:rPr>
                <w:color w:val="000000"/>
                <w:kern w:val="14"/>
                <w:lang w:val="en-GB" w:eastAsia="fr-FR"/>
              </w:rPr>
              <w:t>2</w:t>
            </w:r>
          </w:p>
          <w:p w14:paraId="6EED1C8F" w14:textId="559DC46F" w:rsidR="00461411" w:rsidRPr="00A07978" w:rsidRDefault="00A35FE5" w:rsidP="00B9471B">
            <w:pPr>
              <w:tabs>
                <w:tab w:val="left" w:pos="1620"/>
              </w:tabs>
              <w:suppressAutoHyphens/>
              <w:spacing w:after="120" w:line="240" w:lineRule="exact"/>
              <w:jc w:val="right"/>
              <w:rPr>
                <w:color w:val="000000"/>
                <w:spacing w:val="4"/>
                <w:w w:val="103"/>
                <w:kern w:val="14"/>
                <w:lang w:val="en-GB" w:eastAsia="fr-FR"/>
              </w:rPr>
            </w:pPr>
            <w:r>
              <w:rPr>
                <w:color w:val="000000"/>
                <w:spacing w:val="4"/>
                <w:w w:val="103"/>
                <w:kern w:val="14"/>
                <w:lang w:val="en-GB" w:eastAsia="fr-FR"/>
              </w:rPr>
              <w:t>4</w:t>
            </w:r>
          </w:p>
        </w:tc>
      </w:tr>
      <w:tr w:rsidR="00461411" w:rsidRPr="00A07978" w14:paraId="59501F8B" w14:textId="77777777" w:rsidTr="00B9471B">
        <w:tc>
          <w:tcPr>
            <w:tcW w:w="9540" w:type="dxa"/>
            <w:gridSpan w:val="3"/>
            <w:shd w:val="clear" w:color="auto" w:fill="auto"/>
          </w:tcPr>
          <w:p w14:paraId="1BA5F421" w14:textId="77777777" w:rsidR="00461411" w:rsidRPr="00A07978" w:rsidRDefault="00461411" w:rsidP="00461411">
            <w:pPr>
              <w:numPr>
                <w:ilvl w:val="0"/>
                <w:numId w:val="56"/>
              </w:numPr>
              <w:tabs>
                <w:tab w:val="right" w:pos="1080"/>
                <w:tab w:val="left" w:pos="1296"/>
                <w:tab w:val="left" w:pos="1620"/>
                <w:tab w:val="left" w:pos="2160"/>
                <w:tab w:val="left" w:pos="2592"/>
                <w:tab w:val="left" w:pos="3024"/>
                <w:tab w:val="left" w:pos="3456"/>
                <w:tab w:val="left" w:pos="3888"/>
                <w:tab w:val="left" w:pos="4320"/>
                <w:tab w:val="left" w:pos="8220"/>
                <w:tab w:val="right" w:leader="dot" w:pos="9090"/>
              </w:tabs>
              <w:suppressAutoHyphens/>
              <w:spacing w:after="120" w:line="240" w:lineRule="exact"/>
              <w:jc w:val="both"/>
              <w:rPr>
                <w:color w:val="000000"/>
                <w:spacing w:val="4"/>
                <w:w w:val="103"/>
                <w:kern w:val="14"/>
                <w:lang w:val="en-GB" w:eastAsia="fr-FR"/>
              </w:rPr>
            </w:pPr>
            <w:r w:rsidRPr="00A07978">
              <w:rPr>
                <w:color w:val="000000"/>
                <w:kern w:val="14"/>
                <w:lang w:val="en-GB" w:eastAsia="fr-FR"/>
              </w:rPr>
              <w:tab/>
              <w:t>Programme priorities and partnerships</w:t>
            </w:r>
            <w:r w:rsidRPr="00A07978">
              <w:rPr>
                <w:color w:val="000000"/>
                <w:lang w:val="en-GB" w:eastAsia="fr-FR"/>
              </w:rPr>
              <w:t>………………………………………………….</w:t>
            </w:r>
            <w:r w:rsidRPr="00A07978">
              <w:rPr>
                <w:color w:val="000000"/>
                <w:lang w:val="en-GB" w:eastAsia="fr-FR"/>
              </w:rPr>
              <w:tab/>
              <w:t>……….…</w:t>
            </w:r>
          </w:p>
        </w:tc>
        <w:tc>
          <w:tcPr>
            <w:tcW w:w="362" w:type="dxa"/>
            <w:vMerge/>
            <w:shd w:val="clear" w:color="auto" w:fill="auto"/>
            <w:vAlign w:val="bottom"/>
          </w:tcPr>
          <w:p w14:paraId="4893632A" w14:textId="77777777" w:rsidR="00461411" w:rsidRPr="00A07978" w:rsidRDefault="00461411" w:rsidP="00B9471B">
            <w:pPr>
              <w:tabs>
                <w:tab w:val="left" w:pos="1620"/>
              </w:tabs>
              <w:suppressAutoHyphens/>
              <w:spacing w:after="120" w:line="240" w:lineRule="exact"/>
              <w:jc w:val="right"/>
              <w:rPr>
                <w:color w:val="000000"/>
                <w:spacing w:val="4"/>
                <w:w w:val="103"/>
                <w:kern w:val="14"/>
                <w:lang w:val="en-GB" w:eastAsia="fr-FR"/>
              </w:rPr>
            </w:pPr>
          </w:p>
        </w:tc>
      </w:tr>
      <w:tr w:rsidR="00461411" w:rsidRPr="00A07978" w14:paraId="5E92E0F3" w14:textId="77777777" w:rsidTr="00B9471B">
        <w:tc>
          <w:tcPr>
            <w:tcW w:w="9540" w:type="dxa"/>
            <w:gridSpan w:val="3"/>
            <w:shd w:val="clear" w:color="auto" w:fill="auto"/>
          </w:tcPr>
          <w:p w14:paraId="71D6F6CD" w14:textId="77777777" w:rsidR="00461411" w:rsidRPr="00A07978" w:rsidRDefault="00461411" w:rsidP="00461411">
            <w:pPr>
              <w:numPr>
                <w:ilvl w:val="0"/>
                <w:numId w:val="56"/>
              </w:numPr>
              <w:tabs>
                <w:tab w:val="right" w:pos="1080"/>
                <w:tab w:val="left" w:pos="1296"/>
                <w:tab w:val="left" w:pos="1620"/>
                <w:tab w:val="left" w:pos="2160"/>
                <w:tab w:val="left" w:pos="2592"/>
                <w:tab w:val="left" w:pos="3024"/>
                <w:tab w:val="right" w:leader="dot" w:pos="9090"/>
              </w:tabs>
              <w:suppressAutoHyphens/>
              <w:spacing w:after="120" w:line="240" w:lineRule="exact"/>
              <w:jc w:val="both"/>
              <w:rPr>
                <w:color w:val="000000"/>
                <w:spacing w:val="4"/>
                <w:w w:val="103"/>
                <w:kern w:val="14"/>
                <w:lang w:val="en-GB" w:eastAsia="fr-FR"/>
              </w:rPr>
            </w:pPr>
            <w:r w:rsidRPr="00A07978">
              <w:rPr>
                <w:color w:val="000000"/>
                <w:kern w:val="14"/>
                <w:lang w:val="en-GB" w:eastAsia="fr-FR"/>
              </w:rPr>
              <w:tab/>
              <w:t xml:space="preserve">Programme and risk management </w:t>
            </w:r>
            <w:r w:rsidRPr="00A07978">
              <w:rPr>
                <w:color w:val="000000"/>
                <w:lang w:val="en-GB" w:eastAsia="fr-FR"/>
              </w:rPr>
              <w:t>……………………………………………….…………………</w:t>
            </w:r>
          </w:p>
        </w:tc>
        <w:tc>
          <w:tcPr>
            <w:tcW w:w="362" w:type="dxa"/>
            <w:vMerge w:val="restart"/>
            <w:shd w:val="clear" w:color="auto" w:fill="auto"/>
            <w:vAlign w:val="bottom"/>
          </w:tcPr>
          <w:p w14:paraId="5EC71879" w14:textId="4567BA0C" w:rsidR="00461411" w:rsidRPr="00A07978" w:rsidRDefault="00A35FE5" w:rsidP="00B9471B">
            <w:pPr>
              <w:tabs>
                <w:tab w:val="left" w:pos="1620"/>
              </w:tabs>
              <w:suppressAutoHyphens/>
              <w:spacing w:after="120" w:line="240" w:lineRule="exact"/>
              <w:jc w:val="right"/>
              <w:rPr>
                <w:color w:val="000000"/>
                <w:spacing w:val="4"/>
                <w:w w:val="103"/>
                <w:kern w:val="14"/>
                <w:lang w:val="en-GB" w:eastAsia="fr-FR"/>
              </w:rPr>
            </w:pPr>
            <w:r>
              <w:rPr>
                <w:color w:val="000000"/>
                <w:spacing w:val="4"/>
                <w:w w:val="103"/>
                <w:kern w:val="14"/>
                <w:lang w:val="en-GB" w:eastAsia="fr-FR"/>
              </w:rPr>
              <w:t>6</w:t>
            </w:r>
          </w:p>
          <w:p w14:paraId="1702B97E" w14:textId="5599115E" w:rsidR="00461411" w:rsidRPr="00A07978" w:rsidRDefault="00187BA9" w:rsidP="00B9471B">
            <w:pPr>
              <w:tabs>
                <w:tab w:val="left" w:pos="1620"/>
              </w:tabs>
              <w:suppressAutoHyphens/>
              <w:spacing w:after="120" w:line="240" w:lineRule="exact"/>
              <w:jc w:val="right"/>
              <w:rPr>
                <w:color w:val="000000"/>
                <w:spacing w:val="4"/>
                <w:w w:val="103"/>
                <w:kern w:val="14"/>
                <w:lang w:val="en-GB" w:eastAsia="fr-FR"/>
              </w:rPr>
            </w:pPr>
            <w:r w:rsidRPr="00A07978">
              <w:rPr>
                <w:color w:val="000000"/>
                <w:spacing w:val="4"/>
                <w:w w:val="103"/>
                <w:kern w:val="14"/>
                <w:lang w:val="en-GB" w:eastAsia="fr-FR"/>
              </w:rPr>
              <w:t>7</w:t>
            </w:r>
          </w:p>
        </w:tc>
      </w:tr>
      <w:tr w:rsidR="00461411" w:rsidRPr="00A07978" w14:paraId="77201C49" w14:textId="77777777" w:rsidTr="00B9471B">
        <w:tc>
          <w:tcPr>
            <w:tcW w:w="9540" w:type="dxa"/>
            <w:gridSpan w:val="3"/>
            <w:shd w:val="clear" w:color="auto" w:fill="auto"/>
          </w:tcPr>
          <w:p w14:paraId="43CCC3BC" w14:textId="77777777" w:rsidR="00461411" w:rsidRPr="00A07978" w:rsidRDefault="00461411" w:rsidP="00461411">
            <w:pPr>
              <w:numPr>
                <w:ilvl w:val="0"/>
                <w:numId w:val="56"/>
              </w:numPr>
              <w:tabs>
                <w:tab w:val="right" w:pos="1080"/>
                <w:tab w:val="left" w:pos="1296"/>
                <w:tab w:val="left" w:pos="1620"/>
                <w:tab w:val="left" w:pos="2160"/>
                <w:tab w:val="left" w:pos="2592"/>
                <w:tab w:val="left" w:pos="3024"/>
                <w:tab w:val="left" w:pos="3420"/>
                <w:tab w:val="left" w:pos="3456"/>
                <w:tab w:val="left" w:pos="9090"/>
              </w:tabs>
              <w:suppressAutoHyphens/>
              <w:spacing w:after="120" w:line="240" w:lineRule="exact"/>
              <w:jc w:val="both"/>
              <w:rPr>
                <w:color w:val="000000"/>
                <w:spacing w:val="4"/>
                <w:w w:val="103"/>
                <w:kern w:val="14"/>
                <w:lang w:val="en-GB" w:eastAsia="fr-FR"/>
              </w:rPr>
            </w:pPr>
            <w:r w:rsidRPr="00A07978">
              <w:rPr>
                <w:color w:val="000000"/>
                <w:kern w:val="14"/>
                <w:lang w:val="en-GB" w:eastAsia="fr-FR"/>
              </w:rPr>
              <w:tab/>
              <w:t>Monitoring and evaluation</w:t>
            </w:r>
            <w:r w:rsidRPr="00A07978">
              <w:rPr>
                <w:color w:val="000000"/>
                <w:sz w:val="24"/>
                <w:szCs w:val="24"/>
                <w:lang w:val="en-GB" w:eastAsia="fr-FR"/>
              </w:rPr>
              <w:tab/>
            </w:r>
            <w:r w:rsidRPr="00A07978">
              <w:rPr>
                <w:color w:val="000000"/>
                <w:lang w:val="en-GB" w:eastAsia="fr-FR"/>
              </w:rPr>
              <w:t>…………………………………………………….……………………</w:t>
            </w:r>
          </w:p>
        </w:tc>
        <w:tc>
          <w:tcPr>
            <w:tcW w:w="362" w:type="dxa"/>
            <w:vMerge/>
            <w:shd w:val="clear" w:color="auto" w:fill="auto"/>
            <w:vAlign w:val="bottom"/>
          </w:tcPr>
          <w:p w14:paraId="217DEDFF" w14:textId="77777777" w:rsidR="00461411" w:rsidRPr="00A07978" w:rsidRDefault="00461411" w:rsidP="00B9471B">
            <w:pPr>
              <w:tabs>
                <w:tab w:val="left" w:pos="1620"/>
              </w:tabs>
              <w:suppressAutoHyphens/>
              <w:spacing w:after="120" w:line="240" w:lineRule="exact"/>
              <w:jc w:val="right"/>
              <w:rPr>
                <w:color w:val="000000"/>
                <w:spacing w:val="4"/>
                <w:w w:val="103"/>
                <w:kern w:val="14"/>
                <w:lang w:val="en-GB" w:eastAsia="fr-FR"/>
              </w:rPr>
            </w:pPr>
          </w:p>
        </w:tc>
      </w:tr>
      <w:tr w:rsidR="00461411" w:rsidRPr="00A07978" w14:paraId="6D51F709" w14:textId="77777777" w:rsidTr="00B9471B">
        <w:tc>
          <w:tcPr>
            <w:tcW w:w="9369" w:type="dxa"/>
            <w:gridSpan w:val="2"/>
            <w:shd w:val="clear" w:color="auto" w:fill="auto"/>
          </w:tcPr>
          <w:p w14:paraId="25EA15C1" w14:textId="77777777" w:rsidR="00461411" w:rsidRPr="00A07978" w:rsidRDefault="00461411" w:rsidP="00B9471B">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color w:val="000000"/>
                <w:spacing w:val="4"/>
                <w:w w:val="103"/>
                <w:kern w:val="14"/>
                <w:lang w:val="en-GB" w:eastAsia="fr-FR"/>
              </w:rPr>
            </w:pPr>
            <w:r w:rsidRPr="00A07978">
              <w:rPr>
                <w:color w:val="000000"/>
                <w:kern w:val="14"/>
                <w:lang w:val="en-GB" w:eastAsia="fr-FR"/>
              </w:rPr>
              <w:t>Annex</w:t>
            </w:r>
          </w:p>
        </w:tc>
        <w:tc>
          <w:tcPr>
            <w:tcW w:w="533" w:type="dxa"/>
            <w:gridSpan w:val="2"/>
            <w:shd w:val="clear" w:color="auto" w:fill="auto"/>
            <w:vAlign w:val="bottom"/>
          </w:tcPr>
          <w:p w14:paraId="2051630F" w14:textId="77777777" w:rsidR="00461411" w:rsidRPr="00A07978" w:rsidRDefault="00461411" w:rsidP="00B9471B">
            <w:pPr>
              <w:tabs>
                <w:tab w:val="left" w:pos="1620"/>
              </w:tabs>
              <w:suppressAutoHyphens/>
              <w:spacing w:after="120" w:line="240" w:lineRule="exact"/>
              <w:jc w:val="right"/>
              <w:rPr>
                <w:color w:val="000000"/>
                <w:spacing w:val="4"/>
                <w:w w:val="103"/>
                <w:kern w:val="14"/>
                <w:lang w:val="en-GB" w:eastAsia="fr-FR"/>
              </w:rPr>
            </w:pPr>
          </w:p>
        </w:tc>
      </w:tr>
      <w:tr w:rsidR="00461411" w:rsidRPr="00A07978" w14:paraId="230CA8A9" w14:textId="77777777" w:rsidTr="00B9471B">
        <w:tc>
          <w:tcPr>
            <w:tcW w:w="9369" w:type="dxa"/>
            <w:gridSpan w:val="2"/>
            <w:shd w:val="clear" w:color="auto" w:fill="auto"/>
          </w:tcPr>
          <w:p w14:paraId="7C7F0422" w14:textId="7EA71242" w:rsidR="00461411" w:rsidRPr="00A07978" w:rsidRDefault="00461411" w:rsidP="00B9471B">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490"/>
                <w:tab w:val="left" w:pos="5580"/>
                <w:tab w:val="left" w:pos="5616"/>
                <w:tab w:val="right" w:leader="dot" w:pos="9360"/>
              </w:tabs>
              <w:suppressAutoHyphens/>
              <w:spacing w:after="120" w:line="240" w:lineRule="exact"/>
              <w:ind w:left="1296"/>
              <w:rPr>
                <w:color w:val="000000"/>
                <w:spacing w:val="60"/>
                <w:w w:val="103"/>
                <w:kern w:val="14"/>
                <w:sz w:val="17"/>
                <w:lang w:val="en-GB" w:eastAsia="fr-FR"/>
              </w:rPr>
            </w:pPr>
            <w:r w:rsidRPr="00A07978">
              <w:rPr>
                <w:color w:val="000000"/>
                <w:kern w:val="14"/>
                <w:lang w:val="en-GB" w:eastAsia="fr-FR"/>
              </w:rPr>
              <w:t xml:space="preserve">Results and resources framework for </w:t>
            </w:r>
            <w:r w:rsidR="00B16767" w:rsidRPr="00A07978">
              <w:rPr>
                <w:color w:val="000000"/>
                <w:kern w:val="14"/>
                <w:lang w:val="en-GB" w:eastAsia="fr-FR"/>
              </w:rPr>
              <w:t>Burundi</w:t>
            </w:r>
            <w:r w:rsidRPr="00A07978">
              <w:rPr>
                <w:color w:val="000000"/>
                <w:kern w:val="14"/>
                <w:lang w:val="en-GB" w:eastAsia="fr-FR"/>
              </w:rPr>
              <w:t xml:space="preserve"> (202</w:t>
            </w:r>
            <w:r w:rsidR="00CA6702" w:rsidRPr="00A07978">
              <w:rPr>
                <w:color w:val="000000"/>
                <w:kern w:val="14"/>
                <w:lang w:val="en-GB" w:eastAsia="fr-FR"/>
              </w:rPr>
              <w:t>4</w:t>
            </w:r>
            <w:r w:rsidRPr="00A07978">
              <w:rPr>
                <w:color w:val="000000"/>
                <w:kern w:val="14"/>
                <w:lang w:val="en-GB" w:eastAsia="fr-FR"/>
              </w:rPr>
              <w:t>-2027)</w:t>
            </w:r>
            <w:r w:rsidRPr="00A07978">
              <w:rPr>
                <w:color w:val="000000"/>
                <w:sz w:val="24"/>
                <w:szCs w:val="24"/>
                <w:lang w:val="en-GB" w:eastAsia="fr-FR"/>
              </w:rPr>
              <w:tab/>
            </w:r>
          </w:p>
        </w:tc>
        <w:tc>
          <w:tcPr>
            <w:tcW w:w="533" w:type="dxa"/>
            <w:gridSpan w:val="2"/>
            <w:shd w:val="clear" w:color="auto" w:fill="auto"/>
            <w:vAlign w:val="bottom"/>
          </w:tcPr>
          <w:p w14:paraId="2FCE93E6" w14:textId="0C62C390" w:rsidR="00461411" w:rsidRPr="00A07978" w:rsidRDefault="00187BA9" w:rsidP="00B9471B">
            <w:pPr>
              <w:tabs>
                <w:tab w:val="left" w:pos="1620"/>
              </w:tabs>
              <w:suppressAutoHyphens/>
              <w:spacing w:after="120" w:line="240" w:lineRule="exact"/>
              <w:jc w:val="right"/>
              <w:rPr>
                <w:color w:val="000000"/>
                <w:spacing w:val="4"/>
                <w:w w:val="103"/>
                <w:kern w:val="14"/>
                <w:lang w:val="en-GB" w:eastAsia="fr-FR"/>
              </w:rPr>
            </w:pPr>
            <w:r w:rsidRPr="00A07978">
              <w:rPr>
                <w:color w:val="000000"/>
                <w:spacing w:val="4"/>
                <w:w w:val="103"/>
                <w:kern w:val="14"/>
                <w:lang w:val="en-GB" w:eastAsia="fr-FR"/>
              </w:rPr>
              <w:t>9</w:t>
            </w:r>
          </w:p>
        </w:tc>
      </w:tr>
    </w:tbl>
    <w:p w14:paraId="6135E2DC" w14:textId="77777777" w:rsidR="00CA6702" w:rsidRPr="00A07978" w:rsidRDefault="00785474" w:rsidP="00015875">
      <w:pPr>
        <w:pStyle w:val="Heading2"/>
        <w:numPr>
          <w:ilvl w:val="0"/>
          <w:numId w:val="55"/>
        </w:numPr>
        <w:tabs>
          <w:tab w:val="left" w:pos="1260"/>
        </w:tabs>
        <w:spacing w:after="200" w:line="240" w:lineRule="exact"/>
        <w:ind w:left="900" w:right="720" w:hanging="360"/>
        <w:jc w:val="both"/>
        <w:rPr>
          <w:rFonts w:ascii="Times New Roman" w:hAnsi="Times New Roman"/>
          <w:b w:val="0"/>
          <w:sz w:val="20"/>
          <w:lang w:val="en-GB"/>
        </w:rPr>
      </w:pPr>
      <w:r w:rsidRPr="00A07978">
        <w:rPr>
          <w:lang w:val="en-GB"/>
        </w:rPr>
        <w:br w:type="page"/>
      </w:r>
    </w:p>
    <w:p w14:paraId="023F5B08" w14:textId="77777777" w:rsidR="00CA6702" w:rsidRPr="00A07978" w:rsidRDefault="00CA6702" w:rsidP="00CA6702">
      <w:pPr>
        <w:pStyle w:val="Heading2"/>
        <w:tabs>
          <w:tab w:val="left" w:pos="1260"/>
        </w:tabs>
        <w:spacing w:line="240" w:lineRule="exact"/>
        <w:ind w:left="902" w:right="720"/>
        <w:jc w:val="both"/>
        <w:rPr>
          <w:rFonts w:ascii="Times New Roman" w:hAnsi="Times New Roman"/>
          <w:b w:val="0"/>
          <w:sz w:val="20"/>
          <w:lang w:val="en-GB"/>
        </w:rPr>
      </w:pPr>
    </w:p>
    <w:p w14:paraId="2440D3D7" w14:textId="1AB07956" w:rsidR="00A918A7" w:rsidRPr="00A07978" w:rsidRDefault="007C2934" w:rsidP="00CA6702">
      <w:pPr>
        <w:pStyle w:val="Heading2"/>
        <w:numPr>
          <w:ilvl w:val="0"/>
          <w:numId w:val="57"/>
        </w:numPr>
        <w:tabs>
          <w:tab w:val="left" w:pos="1260"/>
        </w:tabs>
        <w:spacing w:after="200" w:line="240" w:lineRule="exact"/>
        <w:ind w:left="851" w:right="720" w:hanging="425"/>
        <w:jc w:val="both"/>
        <w:rPr>
          <w:rFonts w:ascii="Times New Roman" w:hAnsi="Times New Roman"/>
          <w:b w:val="0"/>
          <w:sz w:val="20"/>
          <w:lang w:val="en-GB"/>
        </w:rPr>
      </w:pPr>
      <w:r w:rsidRPr="00A07978">
        <w:rPr>
          <w:rFonts w:ascii="Times New Roman" w:hAnsi="Times New Roman"/>
          <w:bCs/>
          <w:color w:val="000000"/>
          <w:sz w:val="24"/>
          <w:szCs w:val="24"/>
          <w:lang w:val="en-GB"/>
        </w:rPr>
        <w:t>UNDP</w:t>
      </w:r>
      <w:r w:rsidR="0072070F" w:rsidRPr="00A07978">
        <w:rPr>
          <w:rFonts w:ascii="Times New Roman" w:hAnsi="Times New Roman"/>
          <w:bCs/>
          <w:color w:val="000000"/>
          <w:sz w:val="24"/>
          <w:szCs w:val="24"/>
          <w:lang w:val="en-GB"/>
        </w:rPr>
        <w:t xml:space="preserve"> within</w:t>
      </w:r>
      <w:r w:rsidRPr="00A07978">
        <w:rPr>
          <w:rFonts w:ascii="Times New Roman" w:hAnsi="Times New Roman"/>
          <w:bCs/>
          <w:color w:val="000000"/>
          <w:sz w:val="24"/>
          <w:szCs w:val="24"/>
          <w:lang w:val="en-GB"/>
        </w:rPr>
        <w:t xml:space="preserve"> the </w:t>
      </w:r>
      <w:r w:rsidR="00015875" w:rsidRPr="00A07978">
        <w:rPr>
          <w:rFonts w:ascii="Times New Roman" w:hAnsi="Times New Roman"/>
          <w:bCs/>
          <w:color w:val="000000"/>
          <w:sz w:val="24"/>
          <w:szCs w:val="24"/>
          <w:lang w:val="en-GB"/>
        </w:rPr>
        <w:t>United Nations Sustainable Development Cooperation Framework</w:t>
      </w:r>
    </w:p>
    <w:p w14:paraId="29033DC2" w14:textId="4BCCAF34" w:rsidR="00CA6702" w:rsidRPr="00A07978" w:rsidRDefault="00CA6702" w:rsidP="00CA6702">
      <w:pPr>
        <w:pStyle w:val="xmsonormal"/>
        <w:numPr>
          <w:ilvl w:val="0"/>
          <w:numId w:val="50"/>
        </w:numPr>
        <w:shd w:val="clear" w:color="auto" w:fill="FFFFFF"/>
        <w:tabs>
          <w:tab w:val="left" w:pos="1276"/>
        </w:tabs>
        <w:spacing w:before="0" w:beforeAutospacing="0" w:after="120" w:afterAutospacing="0" w:line="240" w:lineRule="exact"/>
        <w:ind w:left="851" w:right="720" w:firstLine="0"/>
        <w:jc w:val="both"/>
        <w:rPr>
          <w:sz w:val="20"/>
          <w:szCs w:val="20"/>
        </w:rPr>
      </w:pPr>
      <w:r w:rsidRPr="00A07978">
        <w:rPr>
          <w:sz w:val="20"/>
          <w:szCs w:val="20"/>
        </w:rPr>
        <w:t>Burundi has a strong development potential and made progress in several areas, improving its Human Development Index (HDI) from 0.299 to 0.426 between 1990 and 2021</w:t>
      </w:r>
      <w:r w:rsidR="00F3432C" w:rsidRPr="00A07978">
        <w:rPr>
          <w:sz w:val="20"/>
          <w:szCs w:val="20"/>
        </w:rPr>
        <w:t>, which is</w:t>
      </w:r>
      <w:r w:rsidRPr="00A07978">
        <w:rPr>
          <w:sz w:val="20"/>
          <w:szCs w:val="20"/>
        </w:rPr>
        <w:t xml:space="preserve"> </w:t>
      </w:r>
      <w:r w:rsidR="00F3432C" w:rsidRPr="00A07978">
        <w:rPr>
          <w:sz w:val="20"/>
          <w:szCs w:val="20"/>
        </w:rPr>
        <w:t xml:space="preserve">attributed </w:t>
      </w:r>
      <w:r w:rsidRPr="00A07978">
        <w:rPr>
          <w:sz w:val="20"/>
          <w:szCs w:val="20"/>
        </w:rPr>
        <w:t xml:space="preserve">to improvements in life expectancy, school enrolment, and progress in peace capitalization. Today, over half of the Burundian population </w:t>
      </w:r>
      <w:r w:rsidR="00F3432C" w:rsidRPr="00A07978">
        <w:rPr>
          <w:sz w:val="20"/>
          <w:szCs w:val="20"/>
        </w:rPr>
        <w:t>lives</w:t>
      </w:r>
      <w:r w:rsidRPr="00A07978">
        <w:rPr>
          <w:sz w:val="20"/>
          <w:szCs w:val="20"/>
        </w:rPr>
        <w:t xml:space="preserve"> under the poverty line</w:t>
      </w:r>
      <w:r w:rsidR="00F3432C" w:rsidRPr="00A07978">
        <w:rPr>
          <w:sz w:val="20"/>
          <w:szCs w:val="20"/>
        </w:rPr>
        <w:t>.</w:t>
      </w:r>
      <w:r w:rsidRPr="00A07978">
        <w:rPr>
          <w:rStyle w:val="FootnoteReference"/>
          <w:sz w:val="20"/>
          <w:szCs w:val="20"/>
        </w:rPr>
        <w:footnoteReference w:id="2"/>
      </w:r>
      <w:r w:rsidRPr="00A07978">
        <w:rPr>
          <w:sz w:val="20"/>
          <w:szCs w:val="20"/>
        </w:rPr>
        <w:t xml:space="preserve"> </w:t>
      </w:r>
      <w:r w:rsidR="00F3432C" w:rsidRPr="00A07978">
        <w:rPr>
          <w:sz w:val="20"/>
          <w:szCs w:val="20"/>
        </w:rPr>
        <w:t xml:space="preserve">The </w:t>
      </w:r>
      <w:r w:rsidRPr="00A07978">
        <w:rPr>
          <w:sz w:val="20"/>
          <w:szCs w:val="20"/>
        </w:rPr>
        <w:t xml:space="preserve">population, estimated at 12,309,600 in 2020, is young (48 per cent) and mostly female (52.9 per cent). </w:t>
      </w:r>
    </w:p>
    <w:p w14:paraId="19C6590B" w14:textId="48C1BD5B" w:rsidR="00CA6702" w:rsidRPr="00A07978" w:rsidRDefault="00CA6702" w:rsidP="00CA6702">
      <w:pPr>
        <w:pStyle w:val="xmsonormal"/>
        <w:numPr>
          <w:ilvl w:val="0"/>
          <w:numId w:val="50"/>
        </w:numPr>
        <w:shd w:val="clear" w:color="auto" w:fill="FFFFFF"/>
        <w:tabs>
          <w:tab w:val="left" w:pos="1276"/>
        </w:tabs>
        <w:spacing w:before="0" w:beforeAutospacing="0" w:after="120" w:afterAutospacing="0" w:line="240" w:lineRule="exact"/>
        <w:ind w:left="851" w:right="720" w:firstLine="0"/>
        <w:jc w:val="both"/>
        <w:rPr>
          <w:sz w:val="20"/>
          <w:szCs w:val="20"/>
        </w:rPr>
      </w:pPr>
      <w:r w:rsidRPr="00A07978">
        <w:rPr>
          <w:sz w:val="20"/>
          <w:szCs w:val="20"/>
        </w:rPr>
        <w:t xml:space="preserve">The economy, mainly informal, is </w:t>
      </w:r>
      <w:r w:rsidR="00F3432C" w:rsidRPr="00A07978">
        <w:rPr>
          <w:sz w:val="20"/>
          <w:szCs w:val="20"/>
        </w:rPr>
        <w:t xml:space="preserve">based on </w:t>
      </w:r>
      <w:r w:rsidRPr="00A07978">
        <w:rPr>
          <w:sz w:val="20"/>
          <w:szCs w:val="20"/>
        </w:rPr>
        <w:t xml:space="preserve">subsistence agriculture </w:t>
      </w:r>
      <w:r w:rsidR="00F3432C" w:rsidRPr="00A07978">
        <w:rPr>
          <w:sz w:val="20"/>
          <w:szCs w:val="20"/>
        </w:rPr>
        <w:t xml:space="preserve">that employs </w:t>
      </w:r>
      <w:r w:rsidRPr="00A07978">
        <w:rPr>
          <w:sz w:val="20"/>
          <w:szCs w:val="20"/>
        </w:rPr>
        <w:t xml:space="preserve">80 per cent of the work force. </w:t>
      </w:r>
      <w:r w:rsidR="00F3432C" w:rsidRPr="00A07978">
        <w:rPr>
          <w:sz w:val="20"/>
          <w:szCs w:val="20"/>
        </w:rPr>
        <w:t xml:space="preserve">The </w:t>
      </w:r>
      <w:r w:rsidRPr="00A07978">
        <w:rPr>
          <w:sz w:val="20"/>
          <w:szCs w:val="20"/>
        </w:rPr>
        <w:t>underemployment rate is 53.4 per cent (57.9 per cent women, 47.</w:t>
      </w:r>
      <w:r w:rsidR="00F3432C" w:rsidRPr="00A07978">
        <w:rPr>
          <w:sz w:val="20"/>
          <w:szCs w:val="20"/>
        </w:rPr>
        <w:t>9</w:t>
      </w:r>
      <w:r w:rsidRPr="00A07978">
        <w:rPr>
          <w:sz w:val="20"/>
          <w:szCs w:val="20"/>
        </w:rPr>
        <w:t xml:space="preserve"> per cent men) and gender inequality index is 0.505</w:t>
      </w:r>
      <w:r w:rsidR="00F3432C" w:rsidRPr="00A07978">
        <w:rPr>
          <w:sz w:val="20"/>
          <w:szCs w:val="20"/>
        </w:rPr>
        <w:t>.</w:t>
      </w:r>
      <w:r w:rsidRPr="00A07978">
        <w:rPr>
          <w:rStyle w:val="FootnoteReference"/>
          <w:sz w:val="20"/>
          <w:szCs w:val="20"/>
        </w:rPr>
        <w:footnoteReference w:id="3"/>
      </w:r>
      <w:r w:rsidRPr="00A07978">
        <w:rPr>
          <w:sz w:val="20"/>
          <w:szCs w:val="20"/>
        </w:rPr>
        <w:t xml:space="preserve"> The </w:t>
      </w:r>
      <w:r w:rsidR="001F3895" w:rsidRPr="00A07978">
        <w:rPr>
          <w:sz w:val="20"/>
          <w:szCs w:val="20"/>
        </w:rPr>
        <w:t>human immunodeficiency virus/acquired immunodeficiency syndrome (</w:t>
      </w:r>
      <w:r w:rsidRPr="00A07978">
        <w:rPr>
          <w:sz w:val="20"/>
          <w:szCs w:val="20"/>
        </w:rPr>
        <w:t>HIV/AIDS</w:t>
      </w:r>
      <w:r w:rsidR="001F3895" w:rsidRPr="00A07978">
        <w:rPr>
          <w:sz w:val="20"/>
          <w:szCs w:val="20"/>
        </w:rPr>
        <w:t>)</w:t>
      </w:r>
      <w:r w:rsidRPr="00A07978">
        <w:rPr>
          <w:sz w:val="20"/>
          <w:szCs w:val="20"/>
        </w:rPr>
        <w:t xml:space="preserve"> seroprevalence rate is 0.9 per cent, in 2017, among</w:t>
      </w:r>
      <w:r w:rsidR="00F3432C" w:rsidRPr="00A07978">
        <w:rPr>
          <w:sz w:val="20"/>
          <w:szCs w:val="20"/>
        </w:rPr>
        <w:t>st</w:t>
      </w:r>
      <w:r w:rsidRPr="00A07978">
        <w:rPr>
          <w:sz w:val="20"/>
          <w:szCs w:val="20"/>
        </w:rPr>
        <w:t xml:space="preserve"> people aged 15-49</w:t>
      </w:r>
      <w:r w:rsidR="00F3432C" w:rsidRPr="00A07978">
        <w:rPr>
          <w:sz w:val="20"/>
          <w:szCs w:val="20"/>
        </w:rPr>
        <w:t xml:space="preserve"> with</w:t>
      </w:r>
      <w:r w:rsidRPr="00A07978">
        <w:rPr>
          <w:sz w:val="20"/>
          <w:szCs w:val="20"/>
        </w:rPr>
        <w:t xml:space="preserve"> women twice </w:t>
      </w:r>
      <w:r w:rsidR="00F3432C" w:rsidRPr="00A07978">
        <w:rPr>
          <w:sz w:val="20"/>
          <w:szCs w:val="20"/>
        </w:rPr>
        <w:t xml:space="preserve">as </w:t>
      </w:r>
      <w:r w:rsidRPr="00A07978">
        <w:rPr>
          <w:sz w:val="20"/>
          <w:szCs w:val="20"/>
        </w:rPr>
        <w:t xml:space="preserve">affected </w:t>
      </w:r>
      <w:r w:rsidR="00F3432C" w:rsidRPr="00A07978">
        <w:rPr>
          <w:sz w:val="20"/>
          <w:szCs w:val="20"/>
        </w:rPr>
        <w:t xml:space="preserve">as </w:t>
      </w:r>
      <w:r w:rsidRPr="00A07978">
        <w:rPr>
          <w:sz w:val="20"/>
          <w:szCs w:val="20"/>
        </w:rPr>
        <w:t xml:space="preserve">men (1.2 per cent vs. 0.6 per cent).  </w:t>
      </w:r>
    </w:p>
    <w:p w14:paraId="28B4AF41" w14:textId="0A95EF1A" w:rsidR="00CA6702" w:rsidRPr="00A07978" w:rsidRDefault="00CA6702" w:rsidP="00CA6702">
      <w:pPr>
        <w:pStyle w:val="xmsonormal"/>
        <w:numPr>
          <w:ilvl w:val="0"/>
          <w:numId w:val="50"/>
        </w:numPr>
        <w:shd w:val="clear" w:color="auto" w:fill="FFFFFF"/>
        <w:tabs>
          <w:tab w:val="left" w:pos="1276"/>
        </w:tabs>
        <w:spacing w:before="0" w:beforeAutospacing="0" w:after="120" w:afterAutospacing="0" w:line="240" w:lineRule="exact"/>
        <w:ind w:left="851" w:right="720" w:firstLine="0"/>
        <w:jc w:val="both"/>
        <w:rPr>
          <w:sz w:val="20"/>
          <w:szCs w:val="20"/>
        </w:rPr>
      </w:pPr>
      <w:r w:rsidRPr="00A07978">
        <w:rPr>
          <w:sz w:val="20"/>
          <w:szCs w:val="20"/>
        </w:rPr>
        <w:t xml:space="preserve">Burundi faces multiple climate change </w:t>
      </w:r>
      <w:r w:rsidR="00F3432C" w:rsidRPr="00A07978">
        <w:rPr>
          <w:sz w:val="20"/>
          <w:szCs w:val="20"/>
        </w:rPr>
        <w:t>challenges</w:t>
      </w:r>
      <w:r w:rsidRPr="00A07978">
        <w:rPr>
          <w:sz w:val="20"/>
          <w:szCs w:val="20"/>
        </w:rPr>
        <w:t xml:space="preserve">: </w:t>
      </w:r>
      <w:r w:rsidR="00057482" w:rsidRPr="00A07978">
        <w:rPr>
          <w:sz w:val="20"/>
          <w:szCs w:val="20"/>
        </w:rPr>
        <w:t>f</w:t>
      </w:r>
      <w:r w:rsidRPr="00A07978">
        <w:rPr>
          <w:sz w:val="20"/>
          <w:szCs w:val="20"/>
        </w:rPr>
        <w:t>loods, landslides, drought, land surface degradation (28.</w:t>
      </w:r>
      <w:r w:rsidR="00F3432C" w:rsidRPr="00A07978">
        <w:rPr>
          <w:sz w:val="20"/>
          <w:szCs w:val="20"/>
        </w:rPr>
        <w:t>9</w:t>
      </w:r>
      <w:r w:rsidRPr="00A07978">
        <w:rPr>
          <w:sz w:val="20"/>
          <w:szCs w:val="20"/>
        </w:rPr>
        <w:t xml:space="preserve"> per cent); by 2050, temperatures will increase (</w:t>
      </w:r>
      <w:r w:rsidR="00F3432C" w:rsidRPr="00A07978">
        <w:rPr>
          <w:sz w:val="20"/>
          <w:szCs w:val="20"/>
        </w:rPr>
        <w:t xml:space="preserve">from </w:t>
      </w:r>
      <w:r w:rsidRPr="00A07978">
        <w:rPr>
          <w:sz w:val="20"/>
          <w:szCs w:val="20"/>
        </w:rPr>
        <w:t>1</w:t>
      </w:r>
      <w:r w:rsidR="00F3432C" w:rsidRPr="00A07978">
        <w:rPr>
          <w:sz w:val="20"/>
          <w:szCs w:val="20"/>
        </w:rPr>
        <w:t>°C</w:t>
      </w:r>
      <w:r w:rsidRPr="00A07978">
        <w:rPr>
          <w:sz w:val="20"/>
          <w:szCs w:val="20"/>
        </w:rPr>
        <w:t xml:space="preserve"> to 3°C) and rainfall decrease (10 per cent)</w:t>
      </w:r>
      <w:r w:rsidR="00F3432C" w:rsidRPr="00A07978">
        <w:rPr>
          <w:sz w:val="20"/>
          <w:szCs w:val="20"/>
        </w:rPr>
        <w:t>.</w:t>
      </w:r>
      <w:r w:rsidRPr="00A07978">
        <w:rPr>
          <w:rStyle w:val="FootnoteReference"/>
          <w:sz w:val="20"/>
          <w:szCs w:val="20"/>
        </w:rPr>
        <w:footnoteReference w:id="4"/>
      </w:r>
      <w:r w:rsidRPr="00A07978">
        <w:rPr>
          <w:sz w:val="20"/>
          <w:szCs w:val="20"/>
        </w:rPr>
        <w:t xml:space="preserve"> Furthermore, demographic pressure and low access to energy (9.3 per cent, national average</w:t>
      </w:r>
      <w:r w:rsidRPr="00A07978">
        <w:rPr>
          <w:rStyle w:val="FootnoteReference"/>
          <w:sz w:val="20"/>
          <w:szCs w:val="20"/>
        </w:rPr>
        <w:footnoteReference w:id="5"/>
      </w:r>
      <w:r w:rsidRPr="00A07978">
        <w:rPr>
          <w:sz w:val="20"/>
          <w:szCs w:val="20"/>
        </w:rPr>
        <w:t>) contributed to decrease in forest cover from 11.3 per cent (1990) to 5.5 per cent (2015), and 98 per cent of the population rely on biomass as source of energy, thus increasing deforestation</w:t>
      </w:r>
      <w:r w:rsidR="00F3432C" w:rsidRPr="00A07978">
        <w:rPr>
          <w:sz w:val="20"/>
          <w:szCs w:val="20"/>
        </w:rPr>
        <w:t>.</w:t>
      </w:r>
      <w:r w:rsidRPr="00A07978">
        <w:rPr>
          <w:rStyle w:val="FootnoteReference"/>
          <w:sz w:val="20"/>
          <w:szCs w:val="20"/>
        </w:rPr>
        <w:footnoteReference w:id="6"/>
      </w:r>
      <w:r w:rsidRPr="00A07978">
        <w:rPr>
          <w:sz w:val="20"/>
          <w:szCs w:val="20"/>
        </w:rPr>
        <w:t xml:space="preserve"> </w:t>
      </w:r>
    </w:p>
    <w:p w14:paraId="0012437D" w14:textId="50227FCB" w:rsidR="00CA6702" w:rsidRPr="00A07978" w:rsidRDefault="00CA6702" w:rsidP="00CA6702">
      <w:pPr>
        <w:pStyle w:val="xmsonormal"/>
        <w:numPr>
          <w:ilvl w:val="0"/>
          <w:numId w:val="50"/>
        </w:numPr>
        <w:shd w:val="clear" w:color="auto" w:fill="FFFFFF"/>
        <w:tabs>
          <w:tab w:val="left" w:pos="1276"/>
        </w:tabs>
        <w:spacing w:before="0" w:beforeAutospacing="0" w:after="120" w:afterAutospacing="0" w:line="240" w:lineRule="exact"/>
        <w:ind w:left="851" w:right="720" w:firstLine="0"/>
        <w:jc w:val="both"/>
        <w:rPr>
          <w:sz w:val="20"/>
          <w:szCs w:val="20"/>
        </w:rPr>
      </w:pPr>
      <w:r w:rsidRPr="00A07978">
        <w:rPr>
          <w:sz w:val="20"/>
          <w:szCs w:val="20"/>
        </w:rPr>
        <w:t xml:space="preserve">The National Development Plan (NDP) was adopted in 2018 and a programme for Peace Consolidation, Social Stability, and Promotion of Economic Growth (PNCP-SS-PCE) formulated by the </w:t>
      </w:r>
      <w:r w:rsidR="00F3432C" w:rsidRPr="00A07978">
        <w:rPr>
          <w:sz w:val="20"/>
          <w:szCs w:val="20"/>
        </w:rPr>
        <w:t>g</w:t>
      </w:r>
      <w:r w:rsidRPr="00A07978">
        <w:rPr>
          <w:sz w:val="20"/>
          <w:szCs w:val="20"/>
        </w:rPr>
        <w:t>overnment. The NDP vision is “a democratic, united and prosperous nation, through structural transformation of the economy for a new strong growth trajectory and profoundly reducing social inequalities, rural and urban poverty</w:t>
      </w:r>
      <w:r w:rsidR="00F3432C" w:rsidRPr="00A07978">
        <w:rPr>
          <w:sz w:val="20"/>
          <w:szCs w:val="20"/>
        </w:rPr>
        <w:t>.</w:t>
      </w:r>
      <w:r w:rsidRPr="00A07978">
        <w:rPr>
          <w:sz w:val="20"/>
          <w:szCs w:val="20"/>
        </w:rPr>
        <w:t xml:space="preserve">" In 2022, Burundi launched its reform programme, resumed cooperation with </w:t>
      </w:r>
      <w:r w:rsidR="008B3A83" w:rsidRPr="00A07978">
        <w:rPr>
          <w:sz w:val="20"/>
          <w:szCs w:val="20"/>
        </w:rPr>
        <w:t xml:space="preserve">the </w:t>
      </w:r>
      <w:r w:rsidR="00443644" w:rsidRPr="00A07978">
        <w:rPr>
          <w:sz w:val="20"/>
          <w:szCs w:val="20"/>
        </w:rPr>
        <w:t xml:space="preserve">International Monetary Fund </w:t>
      </w:r>
      <w:r w:rsidRPr="00A07978">
        <w:rPr>
          <w:sz w:val="20"/>
          <w:szCs w:val="20"/>
        </w:rPr>
        <w:t xml:space="preserve">and continues to set course for </w:t>
      </w:r>
      <w:r w:rsidR="008B3A83" w:rsidRPr="00A07978">
        <w:rPr>
          <w:sz w:val="20"/>
          <w:szCs w:val="20"/>
        </w:rPr>
        <w:t xml:space="preserve">a new </w:t>
      </w:r>
      <w:r w:rsidRPr="00A07978">
        <w:rPr>
          <w:sz w:val="20"/>
          <w:szCs w:val="20"/>
        </w:rPr>
        <w:t xml:space="preserve">development trajectory. However, accountability, transparency, corruption, and access to justice remain a concern with Mo Ibrahim Indicators for Africa Governance (IIAG) at 36.9 per cent, ranking the country 43 </w:t>
      </w:r>
      <w:r w:rsidR="008B3A83" w:rsidRPr="00A07978">
        <w:rPr>
          <w:sz w:val="20"/>
          <w:szCs w:val="20"/>
        </w:rPr>
        <w:t xml:space="preserve">out </w:t>
      </w:r>
      <w:r w:rsidRPr="00A07978">
        <w:rPr>
          <w:sz w:val="20"/>
          <w:szCs w:val="20"/>
        </w:rPr>
        <w:t>of 54</w:t>
      </w:r>
      <w:r w:rsidR="008B3A83" w:rsidRPr="00A07978">
        <w:rPr>
          <w:sz w:val="20"/>
          <w:szCs w:val="20"/>
        </w:rPr>
        <w:t>.</w:t>
      </w:r>
      <w:r w:rsidRPr="00A07978">
        <w:rPr>
          <w:rStyle w:val="FootnoteReference"/>
          <w:sz w:val="20"/>
          <w:szCs w:val="20"/>
        </w:rPr>
        <w:footnoteReference w:id="7"/>
      </w:r>
      <w:r w:rsidRPr="00A07978">
        <w:rPr>
          <w:sz w:val="20"/>
          <w:szCs w:val="20"/>
        </w:rPr>
        <w:t xml:space="preserve"> </w:t>
      </w:r>
    </w:p>
    <w:p w14:paraId="14BF6953" w14:textId="46674DBB" w:rsidR="00CA6702" w:rsidRPr="00A07978" w:rsidRDefault="00CA6702" w:rsidP="00CA6702">
      <w:pPr>
        <w:pStyle w:val="xmsonormal"/>
        <w:numPr>
          <w:ilvl w:val="0"/>
          <w:numId w:val="50"/>
        </w:numPr>
        <w:shd w:val="clear" w:color="auto" w:fill="FFFFFF"/>
        <w:tabs>
          <w:tab w:val="left" w:pos="1276"/>
        </w:tabs>
        <w:spacing w:before="0" w:beforeAutospacing="0" w:after="120" w:afterAutospacing="0" w:line="240" w:lineRule="exact"/>
        <w:ind w:left="851" w:right="720" w:firstLine="0"/>
        <w:jc w:val="both"/>
        <w:rPr>
          <w:sz w:val="20"/>
          <w:szCs w:val="20"/>
        </w:rPr>
      </w:pPr>
      <w:r w:rsidRPr="00A07978">
        <w:rPr>
          <w:sz w:val="20"/>
          <w:szCs w:val="20"/>
        </w:rPr>
        <w:t xml:space="preserve">The United Nations </w:t>
      </w:r>
      <w:r w:rsidR="001D12F4" w:rsidRPr="00A07978">
        <w:rPr>
          <w:sz w:val="20"/>
          <w:szCs w:val="20"/>
        </w:rPr>
        <w:t>c</w:t>
      </w:r>
      <w:r w:rsidRPr="00A07978">
        <w:rPr>
          <w:sz w:val="20"/>
          <w:szCs w:val="20"/>
        </w:rPr>
        <w:t xml:space="preserve">ountry </w:t>
      </w:r>
      <w:r w:rsidR="001D12F4" w:rsidRPr="00A07978">
        <w:rPr>
          <w:sz w:val="20"/>
          <w:szCs w:val="20"/>
        </w:rPr>
        <w:t>t</w:t>
      </w:r>
      <w:r w:rsidRPr="00A07978">
        <w:rPr>
          <w:sz w:val="20"/>
          <w:szCs w:val="20"/>
        </w:rPr>
        <w:t xml:space="preserve">eam and Government </w:t>
      </w:r>
      <w:r w:rsidR="008B3A83" w:rsidRPr="00A07978">
        <w:rPr>
          <w:sz w:val="20"/>
          <w:szCs w:val="20"/>
        </w:rPr>
        <w:t xml:space="preserve">of Burundi </w:t>
      </w:r>
      <w:r w:rsidRPr="00A07978">
        <w:rPr>
          <w:sz w:val="20"/>
          <w:szCs w:val="20"/>
        </w:rPr>
        <w:t>developed the United Nations Sustainable Development Cooperation Framework (UNSDCF)</w:t>
      </w:r>
      <w:r w:rsidR="00057482" w:rsidRPr="00A07978">
        <w:rPr>
          <w:sz w:val="20"/>
          <w:szCs w:val="20"/>
        </w:rPr>
        <w:t>,</w:t>
      </w:r>
      <w:r w:rsidRPr="00A07978">
        <w:rPr>
          <w:sz w:val="20"/>
          <w:szCs w:val="20"/>
        </w:rPr>
        <w:t xml:space="preserve"> 2023-2027</w:t>
      </w:r>
      <w:r w:rsidR="00057482" w:rsidRPr="00A07978">
        <w:rPr>
          <w:sz w:val="20"/>
          <w:szCs w:val="20"/>
        </w:rPr>
        <w:t>,</w:t>
      </w:r>
      <w:r w:rsidRPr="00A07978">
        <w:rPr>
          <w:sz w:val="20"/>
          <w:szCs w:val="20"/>
        </w:rPr>
        <w:t xml:space="preserve"> with the objective of contributing to </w:t>
      </w:r>
      <w:r w:rsidR="008B3A83" w:rsidRPr="00A07978">
        <w:rPr>
          <w:sz w:val="20"/>
          <w:szCs w:val="20"/>
        </w:rPr>
        <w:t>a</w:t>
      </w:r>
      <w:r w:rsidRPr="00A07978">
        <w:rPr>
          <w:sz w:val="20"/>
          <w:szCs w:val="20"/>
        </w:rPr>
        <w:t xml:space="preserve"> more prosperous, inclusive and resilient Burundian society by 2027 through five linked outcomes: (i) population benefit</w:t>
      </w:r>
      <w:r w:rsidR="008B3A83" w:rsidRPr="00A07978">
        <w:rPr>
          <w:sz w:val="20"/>
          <w:szCs w:val="20"/>
        </w:rPr>
        <w:t>s</w:t>
      </w:r>
      <w:r w:rsidRPr="00A07978">
        <w:rPr>
          <w:sz w:val="20"/>
          <w:szCs w:val="20"/>
        </w:rPr>
        <w:t xml:space="preserve"> from inclusive and sustainable food systems</w:t>
      </w:r>
      <w:r w:rsidR="008B3A83" w:rsidRPr="00A07978">
        <w:rPr>
          <w:sz w:val="20"/>
          <w:szCs w:val="20"/>
        </w:rPr>
        <w:t>;</w:t>
      </w:r>
      <w:r w:rsidRPr="00A07978">
        <w:rPr>
          <w:sz w:val="20"/>
          <w:szCs w:val="20"/>
        </w:rPr>
        <w:t xml:space="preserve"> (ii) </w:t>
      </w:r>
      <w:r w:rsidR="00635BC3" w:rsidRPr="00A07978">
        <w:rPr>
          <w:sz w:val="20"/>
          <w:szCs w:val="20"/>
        </w:rPr>
        <w:t xml:space="preserve">the </w:t>
      </w:r>
      <w:r w:rsidRPr="00A07978">
        <w:rPr>
          <w:sz w:val="20"/>
          <w:szCs w:val="20"/>
        </w:rPr>
        <w:t>Burundi</w:t>
      </w:r>
      <w:r w:rsidR="00635BC3" w:rsidRPr="00A07978">
        <w:rPr>
          <w:sz w:val="20"/>
          <w:szCs w:val="20"/>
        </w:rPr>
        <w:t>an</w:t>
      </w:r>
      <w:r w:rsidRPr="00A07978">
        <w:rPr>
          <w:sz w:val="20"/>
          <w:szCs w:val="20"/>
        </w:rPr>
        <w:t xml:space="preserve"> population, especially the most vulnerable, benefit from an improved governance system and more diversified and inclusive economy, including through regional integration; (iii)</w:t>
      </w:r>
      <w:r w:rsidR="00FB4E2A" w:rsidRPr="00A07978">
        <w:rPr>
          <w:sz w:val="20"/>
          <w:szCs w:val="20"/>
        </w:rPr>
        <w:t> </w:t>
      </w:r>
      <w:r w:rsidR="00635BC3" w:rsidRPr="00A07978">
        <w:rPr>
          <w:sz w:val="20"/>
          <w:szCs w:val="20"/>
        </w:rPr>
        <w:t>the</w:t>
      </w:r>
      <w:r w:rsidRPr="00A07978">
        <w:rPr>
          <w:sz w:val="20"/>
          <w:szCs w:val="20"/>
        </w:rPr>
        <w:t xml:space="preserve"> population, </w:t>
      </w:r>
      <w:r w:rsidR="008B3A83" w:rsidRPr="00A07978">
        <w:rPr>
          <w:sz w:val="20"/>
          <w:szCs w:val="20"/>
        </w:rPr>
        <w:t xml:space="preserve">according to </w:t>
      </w:r>
      <w:r w:rsidRPr="00A07978">
        <w:rPr>
          <w:sz w:val="20"/>
          <w:szCs w:val="20"/>
        </w:rPr>
        <w:t xml:space="preserve">age groups, especially the most vulnerable, use an adapted social protection system; (iv) </w:t>
      </w:r>
      <w:r w:rsidR="008B3A83" w:rsidRPr="00A07978">
        <w:rPr>
          <w:sz w:val="20"/>
          <w:szCs w:val="20"/>
        </w:rPr>
        <w:t>the Burundian</w:t>
      </w:r>
      <w:r w:rsidRPr="00A07978">
        <w:rPr>
          <w:sz w:val="20"/>
          <w:szCs w:val="20"/>
        </w:rPr>
        <w:t xml:space="preserve"> population, especially youth, women and the most vulnerable, have equitable and quality access to basic social services appropriate to the </w:t>
      </w:r>
      <w:r w:rsidR="008B3A83" w:rsidRPr="00A07978">
        <w:rPr>
          <w:sz w:val="20"/>
          <w:szCs w:val="20"/>
        </w:rPr>
        <w:t xml:space="preserve">phase of the </w:t>
      </w:r>
      <w:r w:rsidRPr="00A07978">
        <w:rPr>
          <w:sz w:val="20"/>
          <w:szCs w:val="20"/>
        </w:rPr>
        <w:t>life cycle</w:t>
      </w:r>
      <w:r w:rsidR="008B3A83" w:rsidRPr="00A07978">
        <w:rPr>
          <w:sz w:val="20"/>
          <w:szCs w:val="20"/>
        </w:rPr>
        <w:t>,</w:t>
      </w:r>
      <w:r w:rsidRPr="00A07978">
        <w:rPr>
          <w:sz w:val="20"/>
          <w:szCs w:val="20"/>
        </w:rPr>
        <w:t xml:space="preserve"> and (v) </w:t>
      </w:r>
      <w:r w:rsidR="00635BC3" w:rsidRPr="00A07978">
        <w:rPr>
          <w:sz w:val="20"/>
          <w:szCs w:val="20"/>
        </w:rPr>
        <w:t>everyone</w:t>
      </w:r>
      <w:r w:rsidRPr="00A07978">
        <w:rPr>
          <w:sz w:val="20"/>
          <w:szCs w:val="20"/>
        </w:rPr>
        <w:t xml:space="preserve"> benefit</w:t>
      </w:r>
      <w:r w:rsidR="00635BC3" w:rsidRPr="00A07978">
        <w:rPr>
          <w:sz w:val="20"/>
          <w:szCs w:val="20"/>
        </w:rPr>
        <w:t>s</w:t>
      </w:r>
      <w:r w:rsidRPr="00A07978">
        <w:rPr>
          <w:sz w:val="20"/>
          <w:szCs w:val="20"/>
        </w:rPr>
        <w:t xml:space="preserve"> from improved environmental and natural resource management practices, including adaptive capacities and effective systems of preparedness and response to shocks.</w:t>
      </w:r>
    </w:p>
    <w:p w14:paraId="068C094C" w14:textId="7B5E518E" w:rsidR="00CA6702" w:rsidRPr="00A07978" w:rsidRDefault="00242A9A" w:rsidP="00CA6702">
      <w:pPr>
        <w:pStyle w:val="xmsonormal"/>
        <w:numPr>
          <w:ilvl w:val="0"/>
          <w:numId w:val="50"/>
        </w:numPr>
        <w:shd w:val="clear" w:color="auto" w:fill="FFFFFF"/>
        <w:tabs>
          <w:tab w:val="left" w:pos="1276"/>
        </w:tabs>
        <w:spacing w:before="0" w:beforeAutospacing="0" w:after="120" w:afterAutospacing="0" w:line="240" w:lineRule="exact"/>
        <w:ind w:left="851" w:right="720" w:firstLine="0"/>
        <w:jc w:val="both"/>
        <w:rPr>
          <w:sz w:val="20"/>
          <w:szCs w:val="20"/>
        </w:rPr>
      </w:pPr>
      <w:r w:rsidRPr="00A07978">
        <w:rPr>
          <w:sz w:val="20"/>
          <w:szCs w:val="20"/>
        </w:rPr>
        <w:t xml:space="preserve">The </w:t>
      </w:r>
      <w:r w:rsidR="00CA6702" w:rsidRPr="00A07978">
        <w:rPr>
          <w:sz w:val="20"/>
          <w:szCs w:val="20"/>
        </w:rPr>
        <w:t xml:space="preserve">UNDP contribution to UNSDCF reflects its comparative advantage. Indeed, UNDP leads two outcome groups related to structural transformation and governance, and </w:t>
      </w:r>
      <w:r w:rsidR="00FC1D04" w:rsidRPr="00A07978">
        <w:rPr>
          <w:sz w:val="20"/>
          <w:szCs w:val="20"/>
        </w:rPr>
        <w:t>d</w:t>
      </w:r>
      <w:r w:rsidR="00CA6702" w:rsidRPr="00A07978">
        <w:rPr>
          <w:sz w:val="20"/>
          <w:szCs w:val="20"/>
        </w:rPr>
        <w:t xml:space="preserve">isaster </w:t>
      </w:r>
      <w:r w:rsidR="00FC1D04" w:rsidRPr="00A07978">
        <w:rPr>
          <w:sz w:val="20"/>
          <w:szCs w:val="20"/>
        </w:rPr>
        <w:t>r</w:t>
      </w:r>
      <w:r w:rsidR="00CA6702" w:rsidRPr="00A07978">
        <w:rPr>
          <w:sz w:val="20"/>
          <w:szCs w:val="20"/>
        </w:rPr>
        <w:t xml:space="preserve">isk </w:t>
      </w:r>
      <w:r w:rsidR="00FC1D04" w:rsidRPr="00A07978">
        <w:rPr>
          <w:sz w:val="20"/>
          <w:szCs w:val="20"/>
        </w:rPr>
        <w:t>r</w:t>
      </w:r>
      <w:r w:rsidR="00CA6702" w:rsidRPr="00A07978">
        <w:rPr>
          <w:sz w:val="20"/>
          <w:szCs w:val="20"/>
        </w:rPr>
        <w:t xml:space="preserve">eduction (DRR), environmental and natural resource management. UNDP </w:t>
      </w:r>
      <w:r w:rsidR="004462AF" w:rsidRPr="00A07978">
        <w:rPr>
          <w:sz w:val="20"/>
          <w:szCs w:val="20"/>
        </w:rPr>
        <w:t xml:space="preserve">also </w:t>
      </w:r>
      <w:r w:rsidR="00CA6702" w:rsidRPr="00A07978">
        <w:rPr>
          <w:sz w:val="20"/>
          <w:szCs w:val="20"/>
        </w:rPr>
        <w:t xml:space="preserve">co-leads on </w:t>
      </w:r>
      <w:r w:rsidR="00CA6702" w:rsidRPr="00A07978">
        <w:rPr>
          <w:sz w:val="20"/>
          <w:szCs w:val="20"/>
        </w:rPr>
        <w:lastRenderedPageBreak/>
        <w:t xml:space="preserve">agribusiness with </w:t>
      </w:r>
      <w:r w:rsidR="004462AF" w:rsidRPr="00A07978">
        <w:rPr>
          <w:sz w:val="20"/>
          <w:szCs w:val="20"/>
        </w:rPr>
        <w:t>the Food and Agriculture Organization (</w:t>
      </w:r>
      <w:r w:rsidR="00CA6702" w:rsidRPr="00A07978">
        <w:rPr>
          <w:sz w:val="20"/>
          <w:szCs w:val="20"/>
        </w:rPr>
        <w:t>FAO</w:t>
      </w:r>
      <w:r w:rsidR="004462AF" w:rsidRPr="00A07978">
        <w:rPr>
          <w:sz w:val="20"/>
          <w:szCs w:val="20"/>
        </w:rPr>
        <w:t>)</w:t>
      </w:r>
      <w:r w:rsidR="00CA6702" w:rsidRPr="00A07978">
        <w:rPr>
          <w:sz w:val="20"/>
          <w:szCs w:val="20"/>
        </w:rPr>
        <w:t xml:space="preserve">. </w:t>
      </w:r>
      <w:r w:rsidR="004462AF" w:rsidRPr="00A07978">
        <w:rPr>
          <w:sz w:val="20"/>
          <w:szCs w:val="20"/>
        </w:rPr>
        <w:t xml:space="preserve">Results from the </w:t>
      </w:r>
      <w:r w:rsidR="00CA6702" w:rsidRPr="00A07978">
        <w:rPr>
          <w:sz w:val="20"/>
          <w:szCs w:val="20"/>
        </w:rPr>
        <w:t>Independent Country Programme Evaluation (ICPE) and other</w:t>
      </w:r>
      <w:r w:rsidR="004462AF" w:rsidRPr="00A07978">
        <w:rPr>
          <w:sz w:val="20"/>
          <w:szCs w:val="20"/>
        </w:rPr>
        <w:t>s</w:t>
      </w:r>
      <w:r w:rsidR="00CA6702" w:rsidRPr="00A07978">
        <w:rPr>
          <w:sz w:val="20"/>
          <w:szCs w:val="20"/>
        </w:rPr>
        <w:t xml:space="preserve"> found UNDP successfully provided substantive advisory and technical support to strengthening the national development planning system</w:t>
      </w:r>
      <w:r w:rsidR="004462AF" w:rsidRPr="00A07978">
        <w:rPr>
          <w:sz w:val="20"/>
          <w:szCs w:val="20"/>
        </w:rPr>
        <w:t>s</w:t>
      </w:r>
      <w:r w:rsidR="00CA6702" w:rsidRPr="00A07978">
        <w:rPr>
          <w:sz w:val="20"/>
          <w:szCs w:val="20"/>
        </w:rPr>
        <w:t xml:space="preserve"> despite </w:t>
      </w:r>
      <w:r w:rsidR="004462AF" w:rsidRPr="00A07978">
        <w:rPr>
          <w:sz w:val="20"/>
          <w:szCs w:val="20"/>
        </w:rPr>
        <w:t xml:space="preserve">a </w:t>
      </w:r>
      <w:r w:rsidR="00CA6702" w:rsidRPr="00A07978">
        <w:rPr>
          <w:sz w:val="20"/>
          <w:szCs w:val="20"/>
        </w:rPr>
        <w:t xml:space="preserve">persistent need </w:t>
      </w:r>
      <w:r w:rsidR="004462AF" w:rsidRPr="00A07978">
        <w:rPr>
          <w:sz w:val="20"/>
          <w:szCs w:val="20"/>
        </w:rPr>
        <w:t>to reinforce</w:t>
      </w:r>
      <w:r w:rsidR="00CA6702" w:rsidRPr="00A07978">
        <w:rPr>
          <w:sz w:val="20"/>
          <w:szCs w:val="20"/>
        </w:rPr>
        <w:t xml:space="preserve"> development coordination. While </w:t>
      </w:r>
      <w:r w:rsidR="00FB4E2A" w:rsidRPr="00A07978">
        <w:rPr>
          <w:sz w:val="20"/>
          <w:szCs w:val="20"/>
        </w:rPr>
        <w:t>i</w:t>
      </w:r>
      <w:r w:rsidR="00CA6702" w:rsidRPr="00A07978">
        <w:rPr>
          <w:sz w:val="20"/>
          <w:szCs w:val="20"/>
        </w:rPr>
        <w:t xml:space="preserve">nternational </w:t>
      </w:r>
      <w:r w:rsidR="00FB4E2A" w:rsidRPr="00A07978">
        <w:rPr>
          <w:sz w:val="20"/>
          <w:szCs w:val="20"/>
        </w:rPr>
        <w:t>f</w:t>
      </w:r>
      <w:r w:rsidR="00CA6702" w:rsidRPr="00A07978">
        <w:rPr>
          <w:sz w:val="20"/>
          <w:szCs w:val="20"/>
        </w:rPr>
        <w:t xml:space="preserve">inancial </w:t>
      </w:r>
      <w:r w:rsidR="00FB4E2A" w:rsidRPr="00A07978">
        <w:rPr>
          <w:sz w:val="20"/>
          <w:szCs w:val="20"/>
        </w:rPr>
        <w:t>i</w:t>
      </w:r>
      <w:r w:rsidR="00CA6702" w:rsidRPr="00A07978">
        <w:rPr>
          <w:sz w:val="20"/>
          <w:szCs w:val="20"/>
        </w:rPr>
        <w:t xml:space="preserve">nstitutions (IFIs) supported public finance management, UNDP focused on </w:t>
      </w:r>
      <w:r w:rsidR="00057482" w:rsidRPr="00A07978">
        <w:rPr>
          <w:sz w:val="20"/>
          <w:szCs w:val="20"/>
        </w:rPr>
        <w:t>r</w:t>
      </w:r>
      <w:r w:rsidR="00CA6702" w:rsidRPr="00A07978">
        <w:rPr>
          <w:sz w:val="20"/>
          <w:szCs w:val="20"/>
        </w:rPr>
        <w:t>esult-</w:t>
      </w:r>
      <w:r w:rsidR="00057482" w:rsidRPr="00A07978">
        <w:rPr>
          <w:sz w:val="20"/>
          <w:szCs w:val="20"/>
        </w:rPr>
        <w:t>b</w:t>
      </w:r>
      <w:r w:rsidR="00CA6702" w:rsidRPr="00A07978">
        <w:rPr>
          <w:sz w:val="20"/>
          <w:szCs w:val="20"/>
        </w:rPr>
        <w:t xml:space="preserve">ased </w:t>
      </w:r>
      <w:r w:rsidR="00057482" w:rsidRPr="00A07978">
        <w:rPr>
          <w:sz w:val="20"/>
          <w:szCs w:val="20"/>
        </w:rPr>
        <w:t>m</w:t>
      </w:r>
      <w:r w:rsidR="00CA6702" w:rsidRPr="00A07978">
        <w:rPr>
          <w:sz w:val="20"/>
          <w:szCs w:val="20"/>
        </w:rPr>
        <w:t xml:space="preserve">anagement, </w:t>
      </w:r>
      <w:r w:rsidR="00057482" w:rsidRPr="00A07978">
        <w:rPr>
          <w:sz w:val="20"/>
          <w:szCs w:val="20"/>
        </w:rPr>
        <w:t>m</w:t>
      </w:r>
      <w:r w:rsidR="00CA6702" w:rsidRPr="00A07978">
        <w:rPr>
          <w:sz w:val="20"/>
          <w:szCs w:val="20"/>
        </w:rPr>
        <w:t xml:space="preserve">onitoring and </w:t>
      </w:r>
      <w:r w:rsidR="00057482" w:rsidRPr="00A07978">
        <w:rPr>
          <w:sz w:val="20"/>
          <w:szCs w:val="20"/>
        </w:rPr>
        <w:t>e</w:t>
      </w:r>
      <w:r w:rsidR="00CA6702" w:rsidRPr="00A07978">
        <w:rPr>
          <w:sz w:val="20"/>
          <w:szCs w:val="20"/>
        </w:rPr>
        <w:t xml:space="preserve">valuation, including Sustainable Development Goals, and led the Development Finance Assessment process. </w:t>
      </w:r>
    </w:p>
    <w:p w14:paraId="33EF7CBC" w14:textId="58DE1023" w:rsidR="00CA6702" w:rsidRPr="00A07978" w:rsidRDefault="004462AF" w:rsidP="00CA6702">
      <w:pPr>
        <w:pStyle w:val="xmsonormal"/>
        <w:numPr>
          <w:ilvl w:val="0"/>
          <w:numId w:val="50"/>
        </w:numPr>
        <w:shd w:val="clear" w:color="auto" w:fill="FFFFFF"/>
        <w:tabs>
          <w:tab w:val="left" w:pos="1276"/>
        </w:tabs>
        <w:spacing w:before="0" w:beforeAutospacing="0" w:after="120" w:afterAutospacing="0" w:line="240" w:lineRule="exact"/>
        <w:ind w:left="851" w:right="720" w:firstLine="0"/>
        <w:jc w:val="both"/>
        <w:rPr>
          <w:sz w:val="20"/>
          <w:szCs w:val="20"/>
        </w:rPr>
      </w:pPr>
      <w:r w:rsidRPr="00A07978">
        <w:rPr>
          <w:sz w:val="20"/>
          <w:szCs w:val="20"/>
        </w:rPr>
        <w:t xml:space="preserve">The </w:t>
      </w:r>
      <w:r w:rsidR="00CA6702" w:rsidRPr="00A07978">
        <w:rPr>
          <w:sz w:val="20"/>
          <w:szCs w:val="20"/>
        </w:rPr>
        <w:t xml:space="preserve">UNDP intervention on land degradation contributed to food systems and reinforced the impact of World Bank, </w:t>
      </w:r>
      <w:r w:rsidRPr="00A07978">
        <w:rPr>
          <w:sz w:val="20"/>
          <w:szCs w:val="20"/>
        </w:rPr>
        <w:t>European Union</w:t>
      </w:r>
      <w:r w:rsidR="00CA6702" w:rsidRPr="00A07978">
        <w:rPr>
          <w:sz w:val="20"/>
          <w:szCs w:val="20"/>
        </w:rPr>
        <w:t xml:space="preserve">, and </w:t>
      </w:r>
      <w:r w:rsidRPr="00A07978">
        <w:rPr>
          <w:sz w:val="20"/>
          <w:szCs w:val="20"/>
        </w:rPr>
        <w:t>International Organization for Migration (</w:t>
      </w:r>
      <w:r w:rsidR="00CA6702" w:rsidRPr="00A07978">
        <w:rPr>
          <w:sz w:val="20"/>
          <w:szCs w:val="20"/>
        </w:rPr>
        <w:t>IOM</w:t>
      </w:r>
      <w:r w:rsidRPr="00A07978">
        <w:rPr>
          <w:sz w:val="20"/>
          <w:szCs w:val="20"/>
        </w:rPr>
        <w:t>)</w:t>
      </w:r>
      <w:r w:rsidR="00CA6702" w:rsidRPr="00A07978">
        <w:rPr>
          <w:sz w:val="20"/>
          <w:szCs w:val="20"/>
        </w:rPr>
        <w:t xml:space="preserve"> actions on resilience</w:t>
      </w:r>
      <w:r w:rsidRPr="00A07978">
        <w:rPr>
          <w:sz w:val="20"/>
          <w:szCs w:val="20"/>
        </w:rPr>
        <w:t>.</w:t>
      </w:r>
      <w:r w:rsidR="00CA6702" w:rsidRPr="00A07978">
        <w:rPr>
          <w:rStyle w:val="FootnoteReference"/>
          <w:sz w:val="20"/>
          <w:szCs w:val="20"/>
        </w:rPr>
        <w:footnoteReference w:id="8"/>
      </w:r>
      <w:r w:rsidR="00CA6702" w:rsidRPr="00A07978">
        <w:rPr>
          <w:sz w:val="20"/>
          <w:szCs w:val="20"/>
        </w:rPr>
        <w:t xml:space="preserve"> Following risks </w:t>
      </w:r>
      <w:r w:rsidRPr="00A07978">
        <w:rPr>
          <w:sz w:val="20"/>
          <w:szCs w:val="20"/>
        </w:rPr>
        <w:t xml:space="preserve">mapped </w:t>
      </w:r>
      <w:r w:rsidR="00CA6702" w:rsidRPr="00A07978">
        <w:rPr>
          <w:sz w:val="20"/>
          <w:szCs w:val="20"/>
        </w:rPr>
        <w:t xml:space="preserve">by IOM and </w:t>
      </w:r>
      <w:r w:rsidRPr="00A07978">
        <w:rPr>
          <w:sz w:val="20"/>
          <w:szCs w:val="20"/>
        </w:rPr>
        <w:t xml:space="preserve">the </w:t>
      </w:r>
      <w:r w:rsidR="00CA6702" w:rsidRPr="00A07978">
        <w:rPr>
          <w:sz w:val="20"/>
          <w:szCs w:val="20"/>
        </w:rPr>
        <w:t xml:space="preserve">Multi-Cluster/Sector Initial Rapid Assessment training by </w:t>
      </w:r>
      <w:r w:rsidR="00D04ADB" w:rsidRPr="00A07978">
        <w:rPr>
          <w:sz w:val="20"/>
          <w:szCs w:val="20"/>
        </w:rPr>
        <w:t>United Nations Office for the Coordination of Humanitarian Affairs (</w:t>
      </w:r>
      <w:r w:rsidR="00CA6702" w:rsidRPr="00A07978">
        <w:rPr>
          <w:sz w:val="20"/>
          <w:szCs w:val="20"/>
        </w:rPr>
        <w:t>OCHA</w:t>
      </w:r>
      <w:r w:rsidR="00D04ADB" w:rsidRPr="00A07978">
        <w:rPr>
          <w:sz w:val="20"/>
          <w:szCs w:val="20"/>
        </w:rPr>
        <w:t>)</w:t>
      </w:r>
      <w:r w:rsidR="00CA6702" w:rsidRPr="00A07978">
        <w:rPr>
          <w:sz w:val="20"/>
          <w:szCs w:val="20"/>
        </w:rPr>
        <w:t>, UNDP will continue to reinforce DRR national risks management and coordination systems, community resilience and strengthening of the national DRR platform for contingency planning in disaster prone provinces</w:t>
      </w:r>
      <w:r w:rsidRPr="00A07978">
        <w:rPr>
          <w:sz w:val="20"/>
          <w:szCs w:val="20"/>
        </w:rPr>
        <w:t>.</w:t>
      </w:r>
      <w:r w:rsidR="00CA6702" w:rsidRPr="00A07978">
        <w:rPr>
          <w:rStyle w:val="FootnoteReference"/>
          <w:sz w:val="20"/>
          <w:szCs w:val="20"/>
        </w:rPr>
        <w:footnoteReference w:id="9"/>
      </w:r>
      <w:r w:rsidR="00CA6702" w:rsidRPr="00A07978">
        <w:rPr>
          <w:sz w:val="20"/>
          <w:szCs w:val="20"/>
        </w:rPr>
        <w:t xml:space="preserve"> As co-lead on energy with </w:t>
      </w:r>
      <w:r w:rsidRPr="00A07978">
        <w:rPr>
          <w:sz w:val="20"/>
          <w:szCs w:val="20"/>
        </w:rPr>
        <w:t>the World Bank</w:t>
      </w:r>
      <w:r w:rsidR="00CA6702" w:rsidRPr="00A07978">
        <w:rPr>
          <w:sz w:val="20"/>
          <w:szCs w:val="20"/>
        </w:rPr>
        <w:t>, UNDP will continue investing in reforms and expanding access to renewable energy in rural areas</w:t>
      </w:r>
      <w:r w:rsidRPr="00A07978">
        <w:rPr>
          <w:sz w:val="20"/>
          <w:szCs w:val="20"/>
        </w:rPr>
        <w:t>,</w:t>
      </w:r>
      <w:r w:rsidR="00CA6702" w:rsidRPr="00A07978">
        <w:rPr>
          <w:rStyle w:val="FootnoteReference"/>
          <w:sz w:val="20"/>
          <w:szCs w:val="20"/>
        </w:rPr>
        <w:footnoteReference w:id="10"/>
      </w:r>
      <w:r w:rsidR="00CA6702" w:rsidRPr="00A07978">
        <w:rPr>
          <w:sz w:val="20"/>
          <w:szCs w:val="20"/>
        </w:rPr>
        <w:t xml:space="preserve"> building on </w:t>
      </w:r>
      <w:r w:rsidRPr="00A07978">
        <w:rPr>
          <w:sz w:val="20"/>
          <w:szCs w:val="20"/>
        </w:rPr>
        <w:t>European Union</w:t>
      </w:r>
      <w:r w:rsidR="00CA6702" w:rsidRPr="00A07978">
        <w:rPr>
          <w:sz w:val="20"/>
          <w:szCs w:val="20"/>
        </w:rPr>
        <w:t xml:space="preserve">, </w:t>
      </w:r>
      <w:r w:rsidRPr="00A07978">
        <w:rPr>
          <w:sz w:val="20"/>
          <w:szCs w:val="20"/>
        </w:rPr>
        <w:t>World Bank</w:t>
      </w:r>
      <w:r w:rsidR="00CA6702" w:rsidRPr="00A07978">
        <w:rPr>
          <w:sz w:val="20"/>
          <w:szCs w:val="20"/>
        </w:rPr>
        <w:t>, and</w:t>
      </w:r>
      <w:r w:rsidR="001D12F4" w:rsidRPr="00A07978">
        <w:rPr>
          <w:sz w:val="20"/>
          <w:szCs w:val="20"/>
        </w:rPr>
        <w:t xml:space="preserve"> Belgian</w:t>
      </w:r>
      <w:r w:rsidR="00CA6702" w:rsidRPr="00A07978">
        <w:rPr>
          <w:sz w:val="20"/>
          <w:szCs w:val="20"/>
        </w:rPr>
        <w:t xml:space="preserve"> Enabel interventions on energy infrastructure in urban areas. In </w:t>
      </w:r>
      <w:r w:rsidR="00A570C8" w:rsidRPr="00A07978">
        <w:rPr>
          <w:sz w:val="20"/>
          <w:szCs w:val="20"/>
        </w:rPr>
        <w:t xml:space="preserve">the </w:t>
      </w:r>
      <w:r w:rsidR="00CA6702" w:rsidRPr="00A07978">
        <w:rPr>
          <w:sz w:val="20"/>
          <w:szCs w:val="20"/>
        </w:rPr>
        <w:t>Global Fund to fight AIDS, Tuberculosis and Malaria (GFTAM)</w:t>
      </w:r>
      <w:r w:rsidR="00A570C8" w:rsidRPr="00A07978">
        <w:rPr>
          <w:sz w:val="20"/>
          <w:szCs w:val="20"/>
        </w:rPr>
        <w:t>,</w:t>
      </w:r>
      <w:r w:rsidR="00CA6702" w:rsidRPr="00A07978">
        <w:rPr>
          <w:sz w:val="20"/>
          <w:szCs w:val="20"/>
        </w:rPr>
        <w:t xml:space="preserve"> UNDP contributed to improving the national response to </w:t>
      </w:r>
      <w:r w:rsidR="00A570C8" w:rsidRPr="00A07978">
        <w:rPr>
          <w:sz w:val="20"/>
          <w:szCs w:val="20"/>
        </w:rPr>
        <w:t>these non-communicable diseases, including COVID-19,</w:t>
      </w:r>
      <w:r w:rsidR="00CA6702" w:rsidRPr="00A07978">
        <w:rPr>
          <w:sz w:val="20"/>
          <w:szCs w:val="20"/>
        </w:rPr>
        <w:t xml:space="preserve"> strengthening the national health system. UNDP developed and experimented innovative models (digitalization of civil registry, land certification, and youth entrepreneurship). Putting these to scale, require adequate legal frameworks and reforms, innovative partnerships, and diversifying resource mobilisation options. </w:t>
      </w:r>
    </w:p>
    <w:p w14:paraId="34B02BD2" w14:textId="76BB6C30" w:rsidR="00CA6702" w:rsidRPr="00A07978" w:rsidRDefault="00E456B3" w:rsidP="00CA6702">
      <w:pPr>
        <w:pStyle w:val="xmsonormal"/>
        <w:numPr>
          <w:ilvl w:val="0"/>
          <w:numId w:val="50"/>
        </w:numPr>
        <w:shd w:val="clear" w:color="auto" w:fill="FFFFFF"/>
        <w:tabs>
          <w:tab w:val="left" w:pos="1260"/>
        </w:tabs>
        <w:spacing w:before="0" w:beforeAutospacing="0" w:after="120" w:afterAutospacing="0" w:line="240" w:lineRule="exact"/>
        <w:ind w:left="851" w:right="720" w:firstLine="0"/>
        <w:jc w:val="both"/>
        <w:rPr>
          <w:sz w:val="20"/>
          <w:szCs w:val="20"/>
        </w:rPr>
      </w:pPr>
      <w:r w:rsidRPr="00A07978">
        <w:rPr>
          <w:sz w:val="20"/>
          <w:szCs w:val="20"/>
        </w:rPr>
        <w:t xml:space="preserve">The </w:t>
      </w:r>
      <w:r w:rsidR="005B02D5" w:rsidRPr="00A07978">
        <w:rPr>
          <w:sz w:val="20"/>
          <w:szCs w:val="20"/>
        </w:rPr>
        <w:t xml:space="preserve">programme </w:t>
      </w:r>
      <w:r w:rsidR="00CA6702" w:rsidRPr="00A07978">
        <w:rPr>
          <w:sz w:val="20"/>
          <w:szCs w:val="20"/>
        </w:rPr>
        <w:t xml:space="preserve">aligns to </w:t>
      </w:r>
      <w:r w:rsidRPr="00A07978">
        <w:rPr>
          <w:sz w:val="20"/>
          <w:szCs w:val="20"/>
        </w:rPr>
        <w:t xml:space="preserve">the </w:t>
      </w:r>
      <w:r w:rsidR="00257350" w:rsidRPr="00A07978">
        <w:rPr>
          <w:sz w:val="20"/>
          <w:szCs w:val="20"/>
        </w:rPr>
        <w:t>N</w:t>
      </w:r>
      <w:r w:rsidRPr="00A07978">
        <w:rPr>
          <w:sz w:val="20"/>
          <w:szCs w:val="20"/>
        </w:rPr>
        <w:t xml:space="preserve">ational </w:t>
      </w:r>
      <w:r w:rsidR="00257350" w:rsidRPr="00A07978">
        <w:rPr>
          <w:sz w:val="20"/>
          <w:szCs w:val="20"/>
        </w:rPr>
        <w:t>D</w:t>
      </w:r>
      <w:r w:rsidRPr="00A07978">
        <w:rPr>
          <w:sz w:val="20"/>
          <w:szCs w:val="20"/>
        </w:rPr>
        <w:t xml:space="preserve">evelopment </w:t>
      </w:r>
      <w:r w:rsidR="005F7250" w:rsidRPr="00A07978">
        <w:rPr>
          <w:sz w:val="20"/>
          <w:szCs w:val="20"/>
        </w:rPr>
        <w:t xml:space="preserve">Plan </w:t>
      </w:r>
      <w:r w:rsidRPr="00A07978">
        <w:rPr>
          <w:sz w:val="20"/>
          <w:szCs w:val="20"/>
        </w:rPr>
        <w:t>(</w:t>
      </w:r>
      <w:r w:rsidR="00CA6702" w:rsidRPr="00A07978">
        <w:rPr>
          <w:sz w:val="20"/>
          <w:szCs w:val="20"/>
        </w:rPr>
        <w:t>NDP</w:t>
      </w:r>
      <w:r w:rsidRPr="00A07978">
        <w:rPr>
          <w:sz w:val="20"/>
          <w:szCs w:val="20"/>
        </w:rPr>
        <w:t>)</w:t>
      </w:r>
      <w:r w:rsidR="00CA6702" w:rsidRPr="00A07978">
        <w:rPr>
          <w:sz w:val="20"/>
          <w:szCs w:val="20"/>
        </w:rPr>
        <w:t xml:space="preserve"> priority of structural transformation of the economy. Leveraging its Sustainable Development Goals integrator role and sourcing from the six signature solutions and three enablers, UNDP contributes to the three directions of change in the Strategic Plan</w:t>
      </w:r>
      <w:r w:rsidR="00FB4E2A" w:rsidRPr="00A07978">
        <w:rPr>
          <w:sz w:val="20"/>
          <w:szCs w:val="20"/>
        </w:rPr>
        <w:t xml:space="preserve">, </w:t>
      </w:r>
      <w:r w:rsidR="00CA6702" w:rsidRPr="00A07978">
        <w:rPr>
          <w:sz w:val="20"/>
          <w:szCs w:val="20"/>
        </w:rPr>
        <w:t>2022-2025</w:t>
      </w:r>
      <w:r w:rsidR="00FB4E2A" w:rsidRPr="00A07978">
        <w:rPr>
          <w:sz w:val="20"/>
          <w:szCs w:val="20"/>
        </w:rPr>
        <w:t>,</w:t>
      </w:r>
      <w:r w:rsidR="00CA6702" w:rsidRPr="00A07978">
        <w:rPr>
          <w:rStyle w:val="FootnoteReference"/>
          <w:sz w:val="20"/>
          <w:szCs w:val="20"/>
        </w:rPr>
        <w:footnoteReference w:id="11"/>
      </w:r>
      <w:r w:rsidR="00CA6702" w:rsidRPr="00A07978">
        <w:rPr>
          <w:sz w:val="20"/>
          <w:szCs w:val="20"/>
        </w:rPr>
        <w:t xml:space="preserve"> to address cross-sectoral weak governance and low institutional capacities. Building on UNDP 2.0 Offer “Beyond Recovery: Towards 2030”</w:t>
      </w:r>
      <w:r w:rsidR="00FB4E2A" w:rsidRPr="00A07978">
        <w:rPr>
          <w:sz w:val="20"/>
          <w:szCs w:val="20"/>
        </w:rPr>
        <w:t>,</w:t>
      </w:r>
      <w:r w:rsidR="00CA6702" w:rsidRPr="00A07978">
        <w:rPr>
          <w:sz w:val="20"/>
          <w:szCs w:val="20"/>
        </w:rPr>
        <w:t xml:space="preserve"> and </w:t>
      </w:r>
      <w:r w:rsidR="001D12F4" w:rsidRPr="00A07978">
        <w:rPr>
          <w:sz w:val="20"/>
          <w:szCs w:val="20"/>
        </w:rPr>
        <w:t xml:space="preserve">the </w:t>
      </w:r>
      <w:r w:rsidR="00CA6702" w:rsidRPr="00A07978">
        <w:rPr>
          <w:sz w:val="20"/>
          <w:szCs w:val="20"/>
        </w:rPr>
        <w:t xml:space="preserve">UNDP strategic offer for Africa, the programme will capitalize on innovative models, technical resources, </w:t>
      </w:r>
      <w:r w:rsidR="00330B4D" w:rsidRPr="00A07978">
        <w:rPr>
          <w:sz w:val="20"/>
          <w:szCs w:val="20"/>
        </w:rPr>
        <w:t xml:space="preserve">United Nations Volunteers (UNV) </w:t>
      </w:r>
      <w:r w:rsidR="00CA6702" w:rsidRPr="00A07978">
        <w:rPr>
          <w:sz w:val="20"/>
          <w:szCs w:val="20"/>
        </w:rPr>
        <w:t xml:space="preserve">expertise (twenty-nine deployed in different </w:t>
      </w:r>
      <w:r w:rsidR="00330B4D" w:rsidRPr="00A07978">
        <w:rPr>
          <w:sz w:val="20"/>
          <w:szCs w:val="20"/>
        </w:rPr>
        <w:t>country office</w:t>
      </w:r>
      <w:r w:rsidRPr="00A07978">
        <w:rPr>
          <w:sz w:val="20"/>
          <w:szCs w:val="20"/>
        </w:rPr>
        <w:t xml:space="preserve"> units</w:t>
      </w:r>
      <w:r w:rsidR="00CA6702" w:rsidRPr="00A07978">
        <w:rPr>
          <w:sz w:val="20"/>
          <w:szCs w:val="20"/>
        </w:rPr>
        <w:t xml:space="preserve">), and tools available at corporate and regional levels to support </w:t>
      </w:r>
      <w:r w:rsidR="00330B4D" w:rsidRPr="00A07978">
        <w:rPr>
          <w:sz w:val="20"/>
          <w:szCs w:val="20"/>
        </w:rPr>
        <w:t>SDG</w:t>
      </w:r>
      <w:r w:rsidR="00CA6702" w:rsidRPr="00A07978">
        <w:rPr>
          <w:sz w:val="20"/>
          <w:szCs w:val="20"/>
        </w:rPr>
        <w:t xml:space="preserve"> acceleration processes </w:t>
      </w:r>
      <w:r w:rsidRPr="00A07978">
        <w:rPr>
          <w:sz w:val="20"/>
          <w:szCs w:val="20"/>
        </w:rPr>
        <w:t xml:space="preserve">and </w:t>
      </w:r>
      <w:r w:rsidR="00CA6702" w:rsidRPr="00A07978">
        <w:rPr>
          <w:sz w:val="20"/>
          <w:szCs w:val="20"/>
        </w:rPr>
        <w:t xml:space="preserve">overcome systemic and structural development challenges in the country. By engaging in the Gender Seal process, UNDP positions effective gender equality at all levels. </w:t>
      </w:r>
      <w:r w:rsidRPr="00A07978">
        <w:rPr>
          <w:sz w:val="20"/>
          <w:szCs w:val="20"/>
        </w:rPr>
        <w:t xml:space="preserve">Using </w:t>
      </w:r>
      <w:r w:rsidR="00CA6702" w:rsidRPr="00A07978">
        <w:rPr>
          <w:sz w:val="20"/>
          <w:szCs w:val="20"/>
        </w:rPr>
        <w:t xml:space="preserve">the People 2030 strategy, UNDP is transforming its organizational culture, efficiency, and effectiveness for better results. UNDP will capitalize on </w:t>
      </w:r>
      <w:r w:rsidRPr="00A07978">
        <w:rPr>
          <w:sz w:val="20"/>
          <w:szCs w:val="20"/>
        </w:rPr>
        <w:t>g</w:t>
      </w:r>
      <w:r w:rsidR="00CA6702" w:rsidRPr="00A07978">
        <w:rPr>
          <w:sz w:val="20"/>
          <w:szCs w:val="20"/>
        </w:rPr>
        <w:t xml:space="preserve">lobal </w:t>
      </w:r>
      <w:r w:rsidRPr="00A07978">
        <w:rPr>
          <w:sz w:val="20"/>
          <w:szCs w:val="20"/>
        </w:rPr>
        <w:t>p</w:t>
      </w:r>
      <w:r w:rsidR="00CA6702" w:rsidRPr="00A07978">
        <w:rPr>
          <w:sz w:val="20"/>
          <w:szCs w:val="20"/>
        </w:rPr>
        <w:t xml:space="preserve">olicy and expertise </w:t>
      </w:r>
      <w:r w:rsidRPr="00A07978">
        <w:rPr>
          <w:sz w:val="20"/>
          <w:szCs w:val="20"/>
        </w:rPr>
        <w:t>n</w:t>
      </w:r>
      <w:r w:rsidR="00CA6702" w:rsidRPr="00A07978">
        <w:rPr>
          <w:sz w:val="20"/>
          <w:szCs w:val="20"/>
        </w:rPr>
        <w:t>etworks</w:t>
      </w:r>
      <w:r w:rsidR="00FB4E2A" w:rsidRPr="00A07978">
        <w:rPr>
          <w:sz w:val="20"/>
          <w:szCs w:val="20"/>
        </w:rPr>
        <w:t>,</w:t>
      </w:r>
      <w:r w:rsidR="00CA6702" w:rsidRPr="00A07978">
        <w:rPr>
          <w:sz w:val="20"/>
          <w:szCs w:val="20"/>
        </w:rPr>
        <w:t xml:space="preserve"> including UNV, </w:t>
      </w:r>
      <w:r w:rsidR="00FB4E2A" w:rsidRPr="00A07978">
        <w:rPr>
          <w:sz w:val="20"/>
          <w:szCs w:val="20"/>
        </w:rPr>
        <w:t xml:space="preserve">the </w:t>
      </w:r>
      <w:r w:rsidR="00CA6702" w:rsidRPr="00A07978">
        <w:rPr>
          <w:sz w:val="20"/>
          <w:szCs w:val="20"/>
        </w:rPr>
        <w:t xml:space="preserve">Strategic Innovation Unit, </w:t>
      </w:r>
      <w:r w:rsidR="00FB4E2A" w:rsidRPr="00A07978">
        <w:rPr>
          <w:sz w:val="20"/>
          <w:szCs w:val="20"/>
        </w:rPr>
        <w:t xml:space="preserve">the </w:t>
      </w:r>
      <w:r w:rsidR="004119AB" w:rsidRPr="00A07978">
        <w:rPr>
          <w:sz w:val="20"/>
          <w:szCs w:val="20"/>
        </w:rPr>
        <w:t>UNDP Regional Bureau for Africa</w:t>
      </w:r>
      <w:r w:rsidR="00CA6702" w:rsidRPr="00A07978">
        <w:rPr>
          <w:sz w:val="20"/>
          <w:szCs w:val="20"/>
        </w:rPr>
        <w:t xml:space="preserve"> Resilience and Finance Hubs, and </w:t>
      </w:r>
      <w:r w:rsidR="00FB4E2A" w:rsidRPr="00A07978">
        <w:rPr>
          <w:sz w:val="20"/>
          <w:szCs w:val="20"/>
        </w:rPr>
        <w:t xml:space="preserve">the </w:t>
      </w:r>
      <w:r w:rsidR="00CA6702" w:rsidRPr="00A07978">
        <w:rPr>
          <w:sz w:val="20"/>
          <w:szCs w:val="20"/>
        </w:rPr>
        <w:t>Africa Borderlands Centre to provide strategic advisory services, support digital transition, and build capacity for innovative solutions and integrated area-based programming.</w:t>
      </w:r>
    </w:p>
    <w:p w14:paraId="592D1476" w14:textId="1D783D84" w:rsidR="00C55398" w:rsidRPr="00A07978" w:rsidRDefault="00CA6702" w:rsidP="00CA6702">
      <w:pPr>
        <w:pStyle w:val="xmsonormal"/>
        <w:numPr>
          <w:ilvl w:val="0"/>
          <w:numId w:val="50"/>
        </w:numPr>
        <w:shd w:val="clear" w:color="auto" w:fill="FFFFFF"/>
        <w:tabs>
          <w:tab w:val="left" w:pos="1260"/>
        </w:tabs>
        <w:spacing w:before="0" w:beforeAutospacing="0" w:after="120" w:afterAutospacing="0" w:line="240" w:lineRule="exact"/>
        <w:ind w:left="851" w:right="720" w:firstLine="0"/>
        <w:jc w:val="both"/>
        <w:rPr>
          <w:sz w:val="20"/>
          <w:szCs w:val="20"/>
        </w:rPr>
      </w:pPr>
      <w:r w:rsidRPr="00A07978">
        <w:rPr>
          <w:sz w:val="20"/>
          <w:szCs w:val="20"/>
        </w:rPr>
        <w:t xml:space="preserve">In alignment with NDP priorities, UNSDCF, lessons </w:t>
      </w:r>
      <w:r w:rsidR="00481C26" w:rsidRPr="00A07978">
        <w:rPr>
          <w:sz w:val="20"/>
          <w:szCs w:val="20"/>
        </w:rPr>
        <w:t>learned</w:t>
      </w:r>
      <w:r w:rsidRPr="00A07978">
        <w:rPr>
          <w:sz w:val="20"/>
          <w:szCs w:val="20"/>
        </w:rPr>
        <w:t>, and comparative advantage</w:t>
      </w:r>
      <w:r w:rsidR="00481C26" w:rsidRPr="00A07978">
        <w:rPr>
          <w:sz w:val="20"/>
          <w:szCs w:val="20"/>
        </w:rPr>
        <w:t>s</w:t>
      </w:r>
      <w:r w:rsidRPr="00A07978">
        <w:rPr>
          <w:sz w:val="20"/>
          <w:szCs w:val="20"/>
        </w:rPr>
        <w:t xml:space="preserve">, UNDP will contribute to </w:t>
      </w:r>
      <w:r w:rsidR="008918AA" w:rsidRPr="00A07978">
        <w:rPr>
          <w:sz w:val="20"/>
          <w:szCs w:val="20"/>
        </w:rPr>
        <w:t xml:space="preserve">United Nations System </w:t>
      </w:r>
      <w:r w:rsidRPr="00A07978">
        <w:rPr>
          <w:sz w:val="20"/>
          <w:szCs w:val="20"/>
        </w:rPr>
        <w:t xml:space="preserve">collective efforts through: (i) </w:t>
      </w:r>
      <w:r w:rsidR="00481C26" w:rsidRPr="00A07978">
        <w:rPr>
          <w:sz w:val="20"/>
          <w:szCs w:val="20"/>
        </w:rPr>
        <w:t>i</w:t>
      </w:r>
      <w:r w:rsidRPr="00A07978">
        <w:rPr>
          <w:sz w:val="20"/>
          <w:szCs w:val="20"/>
        </w:rPr>
        <w:t xml:space="preserve">nclusive and sustainable food systems; (ii) </w:t>
      </w:r>
      <w:r w:rsidR="00481C26" w:rsidRPr="00A07978">
        <w:rPr>
          <w:sz w:val="20"/>
          <w:szCs w:val="20"/>
        </w:rPr>
        <w:t>g</w:t>
      </w:r>
      <w:r w:rsidRPr="00A07978">
        <w:rPr>
          <w:sz w:val="20"/>
          <w:szCs w:val="20"/>
        </w:rPr>
        <w:t xml:space="preserve">overnance systems, inclusive and diversified economy, including regional integration; (iii) </w:t>
      </w:r>
      <w:r w:rsidR="00481C26" w:rsidRPr="00A07978">
        <w:rPr>
          <w:sz w:val="20"/>
          <w:szCs w:val="20"/>
        </w:rPr>
        <w:t>e</w:t>
      </w:r>
      <w:r w:rsidRPr="00A07978">
        <w:rPr>
          <w:sz w:val="20"/>
          <w:szCs w:val="20"/>
        </w:rPr>
        <w:t xml:space="preserve">nvironmental and natural resource management, and DRR. Integrated interventions in these areas </w:t>
      </w:r>
      <w:r w:rsidR="00481C26" w:rsidRPr="00A07978">
        <w:rPr>
          <w:sz w:val="20"/>
          <w:szCs w:val="20"/>
        </w:rPr>
        <w:t xml:space="preserve">are expected to </w:t>
      </w:r>
      <w:r w:rsidRPr="00A07978">
        <w:rPr>
          <w:sz w:val="20"/>
          <w:szCs w:val="20"/>
        </w:rPr>
        <w:t>have effects on UNSDCF outcomes 3 and 4.</w:t>
      </w:r>
    </w:p>
    <w:p w14:paraId="2440D3E0" w14:textId="52D98E5A" w:rsidR="004820B0" w:rsidRPr="00A07978" w:rsidRDefault="004820B0" w:rsidP="001E25E9">
      <w:pPr>
        <w:pStyle w:val="Heading2"/>
        <w:tabs>
          <w:tab w:val="left" w:pos="1260"/>
        </w:tabs>
        <w:spacing w:after="200" w:line="240" w:lineRule="exact"/>
        <w:ind w:left="900" w:right="720" w:hanging="360"/>
        <w:jc w:val="both"/>
        <w:rPr>
          <w:rFonts w:ascii="Times New Roman" w:hAnsi="Times New Roman"/>
          <w:color w:val="000000"/>
          <w:spacing w:val="-3"/>
          <w:sz w:val="20"/>
          <w:lang w:val="en-GB"/>
        </w:rPr>
      </w:pPr>
      <w:r w:rsidRPr="00A07978">
        <w:rPr>
          <w:rFonts w:ascii="Times New Roman" w:hAnsi="Times New Roman"/>
          <w:bCs/>
          <w:color w:val="000000"/>
          <w:sz w:val="24"/>
          <w:szCs w:val="24"/>
          <w:lang w:val="en-GB"/>
        </w:rPr>
        <w:lastRenderedPageBreak/>
        <w:t>II.</w:t>
      </w:r>
      <w:r w:rsidR="001E25E9" w:rsidRPr="00A07978">
        <w:rPr>
          <w:rFonts w:ascii="Times New Roman" w:hAnsi="Times New Roman"/>
          <w:bCs/>
          <w:color w:val="000000"/>
          <w:sz w:val="24"/>
          <w:szCs w:val="24"/>
          <w:lang w:val="en-GB"/>
        </w:rPr>
        <w:tab/>
      </w:r>
      <w:r w:rsidR="00677F8A" w:rsidRPr="00A07978">
        <w:rPr>
          <w:rFonts w:ascii="Times New Roman" w:hAnsi="Times New Roman"/>
          <w:bCs/>
          <w:color w:val="000000"/>
          <w:sz w:val="24"/>
          <w:szCs w:val="24"/>
          <w:lang w:val="en-GB"/>
        </w:rPr>
        <w:t xml:space="preserve">Programme </w:t>
      </w:r>
      <w:r w:rsidR="001E25E9" w:rsidRPr="00A07978">
        <w:rPr>
          <w:rFonts w:ascii="Times New Roman" w:hAnsi="Times New Roman"/>
          <w:bCs/>
          <w:color w:val="000000"/>
          <w:sz w:val="24"/>
          <w:szCs w:val="24"/>
          <w:lang w:val="en-GB"/>
        </w:rPr>
        <w:t>p</w:t>
      </w:r>
      <w:r w:rsidR="00677F8A" w:rsidRPr="00A07978">
        <w:rPr>
          <w:rFonts w:ascii="Times New Roman" w:hAnsi="Times New Roman"/>
          <w:bCs/>
          <w:color w:val="000000"/>
          <w:sz w:val="24"/>
          <w:szCs w:val="24"/>
          <w:lang w:val="en-GB"/>
        </w:rPr>
        <w:t>riorities</w:t>
      </w:r>
      <w:r w:rsidR="002B6341" w:rsidRPr="00A07978">
        <w:rPr>
          <w:rFonts w:ascii="Times New Roman" w:hAnsi="Times New Roman"/>
          <w:bCs/>
          <w:color w:val="000000"/>
          <w:sz w:val="24"/>
          <w:szCs w:val="24"/>
          <w:lang w:val="en-GB"/>
        </w:rPr>
        <w:t xml:space="preserve"> </w:t>
      </w:r>
      <w:r w:rsidR="004736BE" w:rsidRPr="00A07978">
        <w:rPr>
          <w:rFonts w:ascii="Times New Roman" w:hAnsi="Times New Roman"/>
          <w:bCs/>
          <w:color w:val="000000"/>
          <w:sz w:val="24"/>
          <w:szCs w:val="24"/>
          <w:lang w:val="en-GB"/>
        </w:rPr>
        <w:t xml:space="preserve">and </w:t>
      </w:r>
      <w:r w:rsidR="001E25E9" w:rsidRPr="00A07978">
        <w:rPr>
          <w:rFonts w:ascii="Times New Roman" w:hAnsi="Times New Roman"/>
          <w:bCs/>
          <w:color w:val="000000"/>
          <w:sz w:val="24"/>
          <w:szCs w:val="24"/>
          <w:lang w:val="en-GB"/>
        </w:rPr>
        <w:t>p</w:t>
      </w:r>
      <w:r w:rsidR="002B6341" w:rsidRPr="00A07978">
        <w:rPr>
          <w:rFonts w:ascii="Times New Roman" w:hAnsi="Times New Roman"/>
          <w:bCs/>
          <w:color w:val="000000"/>
          <w:sz w:val="24"/>
          <w:szCs w:val="24"/>
          <w:lang w:val="en-GB"/>
        </w:rPr>
        <w:t>artnerships</w:t>
      </w:r>
      <w:r w:rsidR="00074DB9" w:rsidRPr="00A07978">
        <w:rPr>
          <w:rFonts w:ascii="Times New Roman" w:hAnsi="Times New Roman"/>
          <w:bCs/>
          <w:color w:val="000000"/>
          <w:sz w:val="24"/>
          <w:szCs w:val="24"/>
          <w:lang w:val="en-GB"/>
        </w:rPr>
        <w:t xml:space="preserve"> </w:t>
      </w:r>
    </w:p>
    <w:p w14:paraId="067B9F51" w14:textId="7A2B0583" w:rsidR="00CA6702" w:rsidRPr="00A07978" w:rsidRDefault="00481C26" w:rsidP="00CA6702">
      <w:pPr>
        <w:pStyle w:val="ListParagraph"/>
        <w:numPr>
          <w:ilvl w:val="0"/>
          <w:numId w:val="50"/>
        </w:numPr>
        <w:tabs>
          <w:tab w:val="left" w:pos="1276"/>
        </w:tabs>
        <w:spacing w:after="120" w:line="240" w:lineRule="exact"/>
        <w:ind w:left="851" w:right="720" w:firstLine="0"/>
        <w:jc w:val="both"/>
        <w:rPr>
          <w:lang w:val="en-GB"/>
        </w:rPr>
      </w:pPr>
      <w:r w:rsidRPr="00A07978">
        <w:rPr>
          <w:lang w:val="en-GB"/>
        </w:rPr>
        <w:t xml:space="preserve">The </w:t>
      </w:r>
      <w:r w:rsidR="00CA6702" w:rsidRPr="00A07978">
        <w:rPr>
          <w:lang w:val="en-GB"/>
        </w:rPr>
        <w:t xml:space="preserve">UNDP proposed programme aligns with the UNSDCF vision of a more prosperous, inclusive, and resilient Burundian society by 2027. </w:t>
      </w:r>
      <w:r w:rsidRPr="00A07978">
        <w:rPr>
          <w:lang w:val="en-GB"/>
        </w:rPr>
        <w:t>P</w:t>
      </w:r>
      <w:r w:rsidR="00CA6702" w:rsidRPr="00A07978">
        <w:rPr>
          <w:lang w:val="en-GB"/>
        </w:rPr>
        <w:t>oor governance systems</w:t>
      </w:r>
      <w:r w:rsidRPr="00A07978">
        <w:rPr>
          <w:lang w:val="en-GB"/>
        </w:rPr>
        <w:t xml:space="preserve"> and the </w:t>
      </w:r>
      <w:r w:rsidR="00CA6702" w:rsidRPr="00A07978">
        <w:rPr>
          <w:lang w:val="en-GB"/>
        </w:rPr>
        <w:t>limited capacities of state institutions and actors at national and local levels to protect and deliver adequate services, including health</w:t>
      </w:r>
      <w:r w:rsidRPr="00A07978">
        <w:rPr>
          <w:lang w:val="en-GB"/>
        </w:rPr>
        <w:t xml:space="preserve"> render </w:t>
      </w:r>
      <w:r w:rsidR="00CA6702" w:rsidRPr="00A07978">
        <w:rPr>
          <w:lang w:val="en-GB"/>
        </w:rPr>
        <w:t xml:space="preserve">the business climate unfavourable to promote diversification of the economy beyond the agricultural sector (39.6 per cent </w:t>
      </w:r>
      <w:r w:rsidRPr="00A07978">
        <w:rPr>
          <w:lang w:val="en-GB"/>
        </w:rPr>
        <w:t>of gross domestic product and</w:t>
      </w:r>
      <w:r w:rsidR="00CA6702" w:rsidRPr="00A07978">
        <w:rPr>
          <w:lang w:val="en-GB"/>
        </w:rPr>
        <w:t xml:space="preserve"> 84 per cent jobs)</w:t>
      </w:r>
      <w:r w:rsidRPr="00A07978">
        <w:rPr>
          <w:lang w:val="en-GB"/>
        </w:rPr>
        <w:t>.</w:t>
      </w:r>
      <w:r w:rsidR="00CA6702" w:rsidRPr="00A07978">
        <w:rPr>
          <w:rStyle w:val="FootnoteReference"/>
          <w:lang w:val="en-GB"/>
        </w:rPr>
        <w:footnoteReference w:id="12"/>
      </w:r>
      <w:r w:rsidR="00CA6702" w:rsidRPr="00A07978">
        <w:rPr>
          <w:lang w:val="en-GB"/>
        </w:rPr>
        <w:t xml:space="preserve"> </w:t>
      </w:r>
      <w:r w:rsidRPr="00A07978">
        <w:rPr>
          <w:lang w:val="en-GB"/>
        </w:rPr>
        <w:t>As this includes</w:t>
      </w:r>
      <w:r w:rsidR="00CA6702" w:rsidRPr="00A07978">
        <w:rPr>
          <w:lang w:val="en-GB"/>
        </w:rPr>
        <w:t xml:space="preserve"> the inadequate governance of natural resources</w:t>
      </w:r>
      <w:r w:rsidRPr="00A07978">
        <w:rPr>
          <w:lang w:val="en-GB"/>
        </w:rPr>
        <w:t>—</w:t>
      </w:r>
      <w:r w:rsidR="00CA6702" w:rsidRPr="00A07978">
        <w:rPr>
          <w:lang w:val="en-GB"/>
        </w:rPr>
        <w:t>access to land, unequal and limited access to clean energy, weaknesses in the DRR system, and multiple effects of climate change</w:t>
      </w:r>
      <w:r w:rsidRPr="00A07978">
        <w:rPr>
          <w:lang w:val="en-GB"/>
        </w:rPr>
        <w:t>—</w:t>
      </w:r>
      <w:r w:rsidR="00CA6702" w:rsidRPr="00A07978">
        <w:rPr>
          <w:lang w:val="en-GB"/>
        </w:rPr>
        <w:t xml:space="preserve">the theory of change is based on the hypotheses that </w:t>
      </w:r>
      <w:r w:rsidRPr="00A07978">
        <w:rPr>
          <w:lang w:val="en-GB"/>
        </w:rPr>
        <w:t xml:space="preserve">IF </w:t>
      </w:r>
      <w:r w:rsidR="00CA6702" w:rsidRPr="00A07978">
        <w:rPr>
          <w:lang w:val="en-GB"/>
        </w:rPr>
        <w:t>UNDP fosters transformative governance through accountable and effective institutions</w:t>
      </w:r>
      <w:r w:rsidRPr="00A07978">
        <w:rPr>
          <w:lang w:val="en-GB"/>
        </w:rPr>
        <w:t>,</w:t>
      </w:r>
      <w:r w:rsidR="00CA6702" w:rsidRPr="00A07978">
        <w:rPr>
          <w:lang w:val="en-GB"/>
        </w:rPr>
        <w:t xml:space="preserve"> and supports enabling policies/strategies for investments and private sector engagement including in agribusiness</w:t>
      </w:r>
      <w:r w:rsidRPr="00A07978">
        <w:rPr>
          <w:lang w:val="en-GB"/>
        </w:rPr>
        <w:t>, and</w:t>
      </w:r>
      <w:r w:rsidR="00CA6702" w:rsidRPr="00A07978">
        <w:rPr>
          <w:lang w:val="en-GB"/>
        </w:rPr>
        <w:t xml:space="preserve"> </w:t>
      </w:r>
      <w:r w:rsidRPr="00A07978">
        <w:rPr>
          <w:lang w:val="en-GB"/>
        </w:rPr>
        <w:t xml:space="preserve">IF </w:t>
      </w:r>
      <w:r w:rsidR="00CA6702" w:rsidRPr="00A07978">
        <w:rPr>
          <w:lang w:val="en-GB"/>
        </w:rPr>
        <w:t>economic growth is sustained</w:t>
      </w:r>
      <w:r w:rsidRPr="00A07978">
        <w:rPr>
          <w:lang w:val="en-GB"/>
        </w:rPr>
        <w:t>,</w:t>
      </w:r>
      <w:r w:rsidR="00CA6702" w:rsidRPr="00A07978">
        <w:rPr>
          <w:lang w:val="en-GB"/>
        </w:rPr>
        <w:t xml:space="preserve"> and </w:t>
      </w:r>
      <w:r w:rsidRPr="00A07978">
        <w:rPr>
          <w:lang w:val="en-GB"/>
        </w:rPr>
        <w:t xml:space="preserve">IF </w:t>
      </w:r>
      <w:r w:rsidR="00CA6702" w:rsidRPr="00A07978">
        <w:rPr>
          <w:lang w:val="en-GB"/>
        </w:rPr>
        <w:t xml:space="preserve">UNDP leverages vertical funds, technological innovation for sustainable resilience at all levels </w:t>
      </w:r>
      <w:r w:rsidRPr="00A07978">
        <w:rPr>
          <w:lang w:val="en-GB"/>
        </w:rPr>
        <w:t xml:space="preserve">to also </w:t>
      </w:r>
      <w:r w:rsidR="00CA6702" w:rsidRPr="00A07978">
        <w:rPr>
          <w:lang w:val="en-GB"/>
        </w:rPr>
        <w:t>benefi</w:t>
      </w:r>
      <w:r w:rsidRPr="00A07978">
        <w:rPr>
          <w:lang w:val="en-GB"/>
        </w:rPr>
        <w:t>t</w:t>
      </w:r>
      <w:r w:rsidR="00CA6702" w:rsidRPr="00A07978">
        <w:rPr>
          <w:lang w:val="en-GB"/>
        </w:rPr>
        <w:t xml:space="preserve"> food systems, with the assumption there is political will, strong synergies among actors, </w:t>
      </w:r>
      <w:r w:rsidRPr="00A07978">
        <w:rPr>
          <w:lang w:val="en-GB"/>
        </w:rPr>
        <w:t xml:space="preserve">an </w:t>
      </w:r>
      <w:r w:rsidR="00CA6702" w:rsidRPr="00A07978">
        <w:rPr>
          <w:lang w:val="en-GB"/>
        </w:rPr>
        <w:t xml:space="preserve">effective fight against corruption, open political space and improved business environment, and effective implementation of the law on new administrative units, </w:t>
      </w:r>
      <w:r w:rsidRPr="00A07978">
        <w:rPr>
          <w:lang w:val="en-GB"/>
        </w:rPr>
        <w:t xml:space="preserve">THEN </w:t>
      </w:r>
      <w:r w:rsidR="00CA6702" w:rsidRPr="00A07978">
        <w:rPr>
          <w:lang w:val="en-GB"/>
        </w:rPr>
        <w:t>Burundians will benefit from inclusive and sustainable food systems, a strengthened system of governance and more diversified and inclusive economy, including regional integration, an adapted social protection system, improved equitable and quality access to basic services, and improved environmental and natural resource management practices</w:t>
      </w:r>
      <w:r w:rsidRPr="00A07978">
        <w:rPr>
          <w:lang w:val="en-GB"/>
        </w:rPr>
        <w:t xml:space="preserve"> such as </w:t>
      </w:r>
      <w:r w:rsidR="00CA6702" w:rsidRPr="00A07978">
        <w:rPr>
          <w:lang w:val="en-GB"/>
        </w:rPr>
        <w:t>adaptive capacities and effective systems of preparedness and response to shocks.</w:t>
      </w:r>
    </w:p>
    <w:p w14:paraId="6FD25582" w14:textId="2BE89039" w:rsidR="00CA6702" w:rsidRPr="00A07978" w:rsidRDefault="00CA6702" w:rsidP="00CA6702">
      <w:pPr>
        <w:pStyle w:val="ListParagraph"/>
        <w:numPr>
          <w:ilvl w:val="0"/>
          <w:numId w:val="50"/>
        </w:numPr>
        <w:tabs>
          <w:tab w:val="left" w:pos="1276"/>
        </w:tabs>
        <w:spacing w:after="120" w:line="240" w:lineRule="exact"/>
        <w:ind w:left="851" w:right="720" w:firstLine="0"/>
        <w:jc w:val="both"/>
        <w:rPr>
          <w:lang w:val="en-GB"/>
        </w:rPr>
      </w:pPr>
      <w:r w:rsidRPr="00A07978">
        <w:rPr>
          <w:lang w:val="en-GB"/>
        </w:rPr>
        <w:t>Given its unique mandate, UNDP views the five UNSDCF priorities as interrelated</w:t>
      </w:r>
      <w:r w:rsidR="006A525B" w:rsidRPr="00A07978">
        <w:rPr>
          <w:lang w:val="en-GB"/>
        </w:rPr>
        <w:t xml:space="preserve"> and </w:t>
      </w:r>
      <w:r w:rsidRPr="00A07978">
        <w:rPr>
          <w:lang w:val="en-GB"/>
        </w:rPr>
        <w:t>appl</w:t>
      </w:r>
      <w:r w:rsidR="006A525B" w:rsidRPr="00A07978">
        <w:rPr>
          <w:lang w:val="en-GB"/>
        </w:rPr>
        <w:t>ies</w:t>
      </w:r>
      <w:r w:rsidRPr="00A07978">
        <w:rPr>
          <w:lang w:val="en-GB"/>
        </w:rPr>
        <w:t xml:space="preserve"> a holistic approach based on its integrator role, comparative advantages, and demonstrated track records, </w:t>
      </w:r>
      <w:r w:rsidR="006A525B" w:rsidRPr="00A07978">
        <w:rPr>
          <w:lang w:val="en-GB"/>
        </w:rPr>
        <w:t xml:space="preserve">all </w:t>
      </w:r>
      <w:r w:rsidRPr="00A07978">
        <w:rPr>
          <w:lang w:val="en-GB"/>
        </w:rPr>
        <w:t xml:space="preserve">evidenced by </w:t>
      </w:r>
      <w:r w:rsidR="006A525B" w:rsidRPr="00A07978">
        <w:rPr>
          <w:lang w:val="en-GB"/>
        </w:rPr>
        <w:t xml:space="preserve">ICPE </w:t>
      </w:r>
      <w:r w:rsidRPr="00A07978">
        <w:rPr>
          <w:lang w:val="en-GB"/>
        </w:rPr>
        <w:t xml:space="preserve">findings and </w:t>
      </w:r>
      <w:r w:rsidR="006A525B" w:rsidRPr="00A07978">
        <w:rPr>
          <w:lang w:val="en-GB"/>
        </w:rPr>
        <w:t xml:space="preserve">those from other </w:t>
      </w:r>
      <w:r w:rsidRPr="00A07978">
        <w:rPr>
          <w:lang w:val="en-GB"/>
        </w:rPr>
        <w:t>evaluations. The programme</w:t>
      </w:r>
      <w:r w:rsidR="006A525B" w:rsidRPr="00A07978">
        <w:rPr>
          <w:lang w:val="en-GB"/>
        </w:rPr>
        <w:t>—</w:t>
      </w:r>
      <w:r w:rsidRPr="00A07978">
        <w:rPr>
          <w:lang w:val="en-GB"/>
        </w:rPr>
        <w:t>developed in close collaboration with national stakeholders</w:t>
      </w:r>
      <w:r w:rsidRPr="00A07978">
        <w:rPr>
          <w:rStyle w:val="FootnoteReference"/>
          <w:lang w:val="en-GB"/>
        </w:rPr>
        <w:footnoteReference w:id="13"/>
      </w:r>
      <w:r w:rsidRPr="00A07978">
        <w:rPr>
          <w:lang w:val="en-GB"/>
        </w:rPr>
        <w:t xml:space="preserve"> as part of </w:t>
      </w:r>
      <w:r w:rsidR="006A525B" w:rsidRPr="00A07978">
        <w:rPr>
          <w:lang w:val="en-GB"/>
        </w:rPr>
        <w:t xml:space="preserve">a </w:t>
      </w:r>
      <w:r w:rsidRPr="00A07978">
        <w:rPr>
          <w:lang w:val="en-GB"/>
        </w:rPr>
        <w:t>broader consultation process</w:t>
      </w:r>
      <w:r w:rsidR="006A525B" w:rsidRPr="00A07978">
        <w:rPr>
          <w:lang w:val="en-GB"/>
        </w:rPr>
        <w:t xml:space="preserve">—is aligned </w:t>
      </w:r>
      <w:r w:rsidRPr="00A07978">
        <w:rPr>
          <w:lang w:val="en-GB"/>
        </w:rPr>
        <w:t>with Agenda 2030, UNDP Strategic Plan, NDP</w:t>
      </w:r>
      <w:r w:rsidRPr="00A07978">
        <w:rPr>
          <w:rStyle w:val="FootnoteReference"/>
          <w:lang w:val="en-GB"/>
        </w:rPr>
        <w:footnoteReference w:id="14"/>
      </w:r>
      <w:r w:rsidRPr="00A07978">
        <w:rPr>
          <w:lang w:val="en-GB"/>
        </w:rPr>
        <w:t xml:space="preserve"> and PNCP-SS-PCE</w:t>
      </w:r>
      <w:r w:rsidRPr="00A07978">
        <w:rPr>
          <w:rStyle w:val="FootnoteReference"/>
          <w:lang w:val="en-GB"/>
        </w:rPr>
        <w:footnoteReference w:id="15"/>
      </w:r>
      <w:r w:rsidRPr="00A07978">
        <w:rPr>
          <w:lang w:val="en-GB"/>
        </w:rPr>
        <w:t xml:space="preserve"> priorities. </w:t>
      </w:r>
      <w:r w:rsidR="006A525B" w:rsidRPr="00A07978">
        <w:rPr>
          <w:lang w:val="en-GB"/>
        </w:rPr>
        <w:t>The</w:t>
      </w:r>
      <w:r w:rsidRPr="00A07978">
        <w:rPr>
          <w:lang w:val="en-GB"/>
        </w:rPr>
        <w:t xml:space="preserve"> programming principles of gender mainstreaming, human rights-based approach</w:t>
      </w:r>
      <w:r w:rsidR="006A525B" w:rsidRPr="00A07978">
        <w:rPr>
          <w:lang w:val="en-GB"/>
        </w:rPr>
        <w:t>es</w:t>
      </w:r>
      <w:r w:rsidRPr="00A07978">
        <w:rPr>
          <w:lang w:val="en-GB"/>
        </w:rPr>
        <w:t xml:space="preserve">, </w:t>
      </w:r>
      <w:r w:rsidR="00057482" w:rsidRPr="00A07978">
        <w:rPr>
          <w:lang w:val="en-GB"/>
        </w:rPr>
        <w:t>result-based management</w:t>
      </w:r>
      <w:r w:rsidRPr="00A07978">
        <w:rPr>
          <w:lang w:val="en-GB"/>
        </w:rPr>
        <w:t xml:space="preserve">, and resilience </w:t>
      </w:r>
      <w:r w:rsidR="006A525B" w:rsidRPr="00A07978">
        <w:rPr>
          <w:lang w:val="en-GB"/>
        </w:rPr>
        <w:t xml:space="preserve">are applied </w:t>
      </w:r>
      <w:r w:rsidRPr="00A07978">
        <w:rPr>
          <w:lang w:val="en-GB"/>
        </w:rPr>
        <w:t>to ensure no one is left behind. UNDP use</w:t>
      </w:r>
      <w:r w:rsidR="006A525B" w:rsidRPr="00A07978">
        <w:rPr>
          <w:lang w:val="en-GB"/>
        </w:rPr>
        <w:t>s</w:t>
      </w:r>
      <w:r w:rsidRPr="00A07978">
        <w:rPr>
          <w:lang w:val="en-GB"/>
        </w:rPr>
        <w:t xml:space="preserve"> systems thinking and portfolio approach to build synergies across UNSDCF priorities and engage with a wider network of partners. UNDP will work with other United Nations partners to</w:t>
      </w:r>
      <w:r w:rsidR="00FB4E2A" w:rsidRPr="00A07978">
        <w:rPr>
          <w:lang w:val="en-GB"/>
        </w:rPr>
        <w:t>:</w:t>
      </w:r>
      <w:r w:rsidRPr="00A07978">
        <w:rPr>
          <w:lang w:val="en-GB"/>
        </w:rPr>
        <w:t xml:space="preserve"> (i)</w:t>
      </w:r>
      <w:r w:rsidR="00FB4E2A" w:rsidRPr="00A07978">
        <w:rPr>
          <w:lang w:val="en-GB"/>
        </w:rPr>
        <w:t> </w:t>
      </w:r>
      <w:r w:rsidRPr="00A07978">
        <w:rPr>
          <w:lang w:val="en-GB"/>
        </w:rPr>
        <w:t>address gender equality and women’s empowerment</w:t>
      </w:r>
      <w:r w:rsidR="00057482" w:rsidRPr="00A07978">
        <w:rPr>
          <w:lang w:val="en-GB"/>
        </w:rPr>
        <w:t>,</w:t>
      </w:r>
      <w:r w:rsidRPr="00A07978">
        <w:rPr>
          <w:lang w:val="en-GB"/>
        </w:rPr>
        <w:t xml:space="preserve"> including </w:t>
      </w:r>
      <w:r w:rsidR="00464702" w:rsidRPr="00A07978">
        <w:rPr>
          <w:lang w:val="en-GB"/>
        </w:rPr>
        <w:t>sexual and gender-based violence</w:t>
      </w:r>
      <w:r w:rsidR="006A525B" w:rsidRPr="00A07978">
        <w:rPr>
          <w:lang w:val="en-GB"/>
        </w:rPr>
        <w:t>,</w:t>
      </w:r>
      <w:r w:rsidRPr="00A07978">
        <w:rPr>
          <w:lang w:val="en-GB"/>
        </w:rPr>
        <w:t xml:space="preserve"> </w:t>
      </w:r>
      <w:r w:rsidR="006A525B" w:rsidRPr="00A07978">
        <w:rPr>
          <w:lang w:val="en-GB"/>
        </w:rPr>
        <w:t xml:space="preserve">and </w:t>
      </w:r>
      <w:r w:rsidRPr="00A07978">
        <w:rPr>
          <w:lang w:val="en-GB"/>
        </w:rPr>
        <w:t xml:space="preserve">(ii) foster inclusivity by empowering youth, and the most vulnerable persons including minorities and </w:t>
      </w:r>
      <w:r w:rsidR="006A525B" w:rsidRPr="00A07978">
        <w:rPr>
          <w:lang w:val="en-GB"/>
        </w:rPr>
        <w:t>people living with disabilities</w:t>
      </w:r>
      <w:r w:rsidRPr="00A07978">
        <w:rPr>
          <w:lang w:val="en-GB"/>
        </w:rPr>
        <w:t xml:space="preserve">. </w:t>
      </w:r>
    </w:p>
    <w:p w14:paraId="5BE33CCD" w14:textId="10A43005" w:rsidR="00CA6702" w:rsidRPr="00A07978" w:rsidRDefault="006A525B" w:rsidP="00CA6702">
      <w:pPr>
        <w:pStyle w:val="ListParagraph"/>
        <w:numPr>
          <w:ilvl w:val="0"/>
          <w:numId w:val="50"/>
        </w:numPr>
        <w:tabs>
          <w:tab w:val="left" w:pos="1276"/>
        </w:tabs>
        <w:spacing w:after="120" w:line="240" w:lineRule="exact"/>
        <w:ind w:left="851" w:right="720" w:firstLine="0"/>
        <w:jc w:val="both"/>
        <w:rPr>
          <w:lang w:val="en-GB"/>
        </w:rPr>
      </w:pPr>
      <w:r w:rsidRPr="00A07978">
        <w:rPr>
          <w:lang w:val="en-GB"/>
        </w:rPr>
        <w:t>Under O</w:t>
      </w:r>
      <w:r w:rsidR="00CA6702" w:rsidRPr="00A07978">
        <w:rPr>
          <w:lang w:val="en-GB"/>
        </w:rPr>
        <w:t>utcome 1</w:t>
      </w:r>
      <w:r w:rsidRPr="00A07978">
        <w:rPr>
          <w:lang w:val="en-GB"/>
        </w:rPr>
        <w:t xml:space="preserve"> UNDP will support the prevention of land degradation, land policy including digitalization of land certification to benefit food production</w:t>
      </w:r>
      <w:r w:rsidR="00CA6702" w:rsidRPr="00A07978">
        <w:rPr>
          <w:lang w:val="en-GB"/>
        </w:rPr>
        <w:t xml:space="preserve"> </w:t>
      </w:r>
      <w:r w:rsidRPr="00A07978">
        <w:rPr>
          <w:lang w:val="en-GB"/>
        </w:rPr>
        <w:t xml:space="preserve">by focusing on </w:t>
      </w:r>
      <w:r w:rsidR="00CA6702" w:rsidRPr="00A07978">
        <w:rPr>
          <w:lang w:val="en-GB"/>
        </w:rPr>
        <w:t>develop</w:t>
      </w:r>
      <w:r w:rsidRPr="00A07978">
        <w:rPr>
          <w:lang w:val="en-GB"/>
        </w:rPr>
        <w:t>ing</w:t>
      </w:r>
      <w:r w:rsidR="00CA6702" w:rsidRPr="00A07978">
        <w:rPr>
          <w:lang w:val="en-GB"/>
        </w:rPr>
        <w:t xml:space="preserve"> inclusive and sustainable food systems </w:t>
      </w:r>
      <w:r w:rsidRPr="00A07978">
        <w:rPr>
          <w:lang w:val="en-GB"/>
        </w:rPr>
        <w:t>since</w:t>
      </w:r>
      <w:r w:rsidR="00CA6702" w:rsidRPr="00A07978">
        <w:rPr>
          <w:lang w:val="en-GB"/>
        </w:rPr>
        <w:t xml:space="preserve"> agriculture is a significant </w:t>
      </w:r>
      <w:r w:rsidRPr="00A07978">
        <w:rPr>
          <w:lang w:val="en-GB"/>
        </w:rPr>
        <w:t xml:space="preserve">GDP </w:t>
      </w:r>
      <w:r w:rsidR="00CA6702" w:rsidRPr="00A07978">
        <w:rPr>
          <w:lang w:val="en-GB"/>
        </w:rPr>
        <w:t xml:space="preserve">contributor and considering the impact of climate change on production. UNDP will contribute to inclusive frameworks, promote decent jobs and innovative entrepreneurship for women and youth, </w:t>
      </w:r>
      <w:r w:rsidRPr="00A07978">
        <w:rPr>
          <w:lang w:val="en-GB"/>
        </w:rPr>
        <w:t xml:space="preserve">particularly </w:t>
      </w:r>
      <w:r w:rsidR="00CA6702" w:rsidRPr="00A07978">
        <w:rPr>
          <w:lang w:val="en-GB"/>
        </w:rPr>
        <w:t xml:space="preserve">in the agro-pastoral sector. </w:t>
      </w:r>
      <w:r w:rsidRPr="00A07978">
        <w:rPr>
          <w:lang w:val="en-GB"/>
        </w:rPr>
        <w:t>Investments</w:t>
      </w:r>
      <w:r w:rsidR="00CA6702" w:rsidRPr="00A07978">
        <w:rPr>
          <w:lang w:val="en-GB"/>
        </w:rPr>
        <w:t xml:space="preserve"> in micro, small and medium-size enterprise development, policies and value chains in selected sectors (handicraft</w:t>
      </w:r>
      <w:r w:rsidRPr="00A07978">
        <w:rPr>
          <w:lang w:val="en-GB"/>
        </w:rPr>
        <w:t>s</w:t>
      </w:r>
      <w:r w:rsidR="00CA6702" w:rsidRPr="00A07978">
        <w:rPr>
          <w:lang w:val="en-GB"/>
        </w:rPr>
        <w:t xml:space="preserve">, blue, green, and circular economies) </w:t>
      </w:r>
      <w:r w:rsidRPr="00A07978">
        <w:rPr>
          <w:lang w:val="en-GB"/>
        </w:rPr>
        <w:t xml:space="preserve">are expected to </w:t>
      </w:r>
      <w:r w:rsidR="00CA6702" w:rsidRPr="00A07978">
        <w:rPr>
          <w:lang w:val="en-GB"/>
        </w:rPr>
        <w:t xml:space="preserve">diversify economic opportunities benefiting </w:t>
      </w:r>
      <w:r w:rsidRPr="00A07978">
        <w:rPr>
          <w:lang w:val="en-GB"/>
        </w:rPr>
        <w:t xml:space="preserve">people living with disabilities and improve the empowerment of </w:t>
      </w:r>
      <w:r w:rsidR="00CA6702" w:rsidRPr="00A07978">
        <w:rPr>
          <w:lang w:val="en-GB"/>
        </w:rPr>
        <w:t xml:space="preserve">youth and women, taking into account sub-regional market needs and opportunities in the food processing sector, thus contributing to </w:t>
      </w:r>
      <w:r w:rsidRPr="00A07978">
        <w:rPr>
          <w:lang w:val="en-GB"/>
        </w:rPr>
        <w:t xml:space="preserve">a </w:t>
      </w:r>
      <w:r w:rsidR="00CA6702" w:rsidRPr="00A07978">
        <w:rPr>
          <w:lang w:val="en-GB"/>
        </w:rPr>
        <w:t xml:space="preserve">reduction in the proportion of people living below the poverty line, while contributing to social protection. In close collaboration with FAO and </w:t>
      </w:r>
      <w:r w:rsidRPr="00A07978">
        <w:rPr>
          <w:lang w:val="en-GB"/>
        </w:rPr>
        <w:t>the World Food Programme (</w:t>
      </w:r>
      <w:r w:rsidR="00CA6702" w:rsidRPr="00A07978">
        <w:rPr>
          <w:lang w:val="en-GB"/>
        </w:rPr>
        <w:t>WFP</w:t>
      </w:r>
      <w:r w:rsidRPr="00A07978">
        <w:rPr>
          <w:lang w:val="en-GB"/>
        </w:rPr>
        <w:t>)</w:t>
      </w:r>
      <w:r w:rsidR="00CA6702" w:rsidRPr="00A07978">
        <w:rPr>
          <w:lang w:val="en-GB"/>
        </w:rPr>
        <w:t xml:space="preserve">, </w:t>
      </w:r>
      <w:r w:rsidRPr="00A07978">
        <w:rPr>
          <w:lang w:val="en-GB"/>
        </w:rPr>
        <w:t xml:space="preserve">UNDP will </w:t>
      </w:r>
      <w:r w:rsidR="00CA6702" w:rsidRPr="00A07978">
        <w:rPr>
          <w:lang w:val="en-GB"/>
        </w:rPr>
        <w:t>co-</w:t>
      </w:r>
      <w:r w:rsidRPr="00A07978">
        <w:rPr>
          <w:lang w:val="en-GB"/>
        </w:rPr>
        <w:t xml:space="preserve">lead </w:t>
      </w:r>
      <w:r w:rsidR="00CA6702" w:rsidRPr="00A07978">
        <w:rPr>
          <w:lang w:val="en-GB"/>
        </w:rPr>
        <w:t xml:space="preserve">on food </w:t>
      </w:r>
      <w:r w:rsidR="00CA6702" w:rsidRPr="00A07978">
        <w:rPr>
          <w:lang w:val="en-GB"/>
        </w:rPr>
        <w:lastRenderedPageBreak/>
        <w:t>security and nutrition,</w:t>
      </w:r>
      <w:r w:rsidRPr="00A07978">
        <w:rPr>
          <w:lang w:val="en-GB"/>
        </w:rPr>
        <w:t xml:space="preserve"> and promote public-private partnerships, </w:t>
      </w:r>
      <w:r w:rsidR="00CA6702" w:rsidRPr="00A07978">
        <w:rPr>
          <w:lang w:val="en-GB"/>
        </w:rPr>
        <w:t xml:space="preserve">in </w:t>
      </w:r>
      <w:r w:rsidRPr="00A07978">
        <w:rPr>
          <w:lang w:val="en-GB"/>
        </w:rPr>
        <w:t>collaboration</w:t>
      </w:r>
      <w:r w:rsidR="00CA6702" w:rsidRPr="00A07978">
        <w:rPr>
          <w:lang w:val="en-GB"/>
        </w:rPr>
        <w:t xml:space="preserve"> with </w:t>
      </w:r>
      <w:r w:rsidRPr="00A07978">
        <w:rPr>
          <w:lang w:val="en-GB"/>
        </w:rPr>
        <w:t xml:space="preserve">the Government of </w:t>
      </w:r>
      <w:r w:rsidR="00CA6702" w:rsidRPr="00A07978">
        <w:rPr>
          <w:lang w:val="en-GB"/>
        </w:rPr>
        <w:t xml:space="preserve">Belgium and </w:t>
      </w:r>
      <w:r w:rsidRPr="00A07978">
        <w:rPr>
          <w:lang w:val="en-GB"/>
        </w:rPr>
        <w:t xml:space="preserve">related </w:t>
      </w:r>
      <w:r w:rsidR="00CA6702" w:rsidRPr="00A07978">
        <w:rPr>
          <w:lang w:val="en-GB"/>
        </w:rPr>
        <w:t xml:space="preserve">donors. </w:t>
      </w:r>
    </w:p>
    <w:p w14:paraId="0C067485" w14:textId="55B945D3" w:rsidR="00CA6702" w:rsidRPr="00A07978" w:rsidRDefault="008A14EA" w:rsidP="00CA6702">
      <w:pPr>
        <w:pStyle w:val="ListParagraph"/>
        <w:numPr>
          <w:ilvl w:val="0"/>
          <w:numId w:val="50"/>
        </w:numPr>
        <w:tabs>
          <w:tab w:val="left" w:pos="1276"/>
        </w:tabs>
        <w:spacing w:after="120" w:line="240" w:lineRule="exact"/>
        <w:ind w:left="851" w:right="720" w:firstLine="0"/>
        <w:jc w:val="both"/>
        <w:rPr>
          <w:lang w:val="en-GB"/>
        </w:rPr>
      </w:pPr>
      <w:r w:rsidRPr="00A07978">
        <w:rPr>
          <w:lang w:val="en-GB"/>
        </w:rPr>
        <w:t xml:space="preserve">UNDP will continue to </w:t>
      </w:r>
      <w:r w:rsidR="00A7580A" w:rsidRPr="00A07978">
        <w:rPr>
          <w:lang w:val="en-GB"/>
        </w:rPr>
        <w:t xml:space="preserve">co-lead on the nexus approach of </w:t>
      </w:r>
      <w:r w:rsidRPr="00A07978">
        <w:rPr>
          <w:lang w:val="en-GB"/>
        </w:rPr>
        <w:t>implement</w:t>
      </w:r>
      <w:r w:rsidR="00A7580A" w:rsidRPr="00A07978">
        <w:rPr>
          <w:lang w:val="en-GB"/>
        </w:rPr>
        <w:t>ing</w:t>
      </w:r>
      <w:r w:rsidRPr="00A07978">
        <w:rPr>
          <w:lang w:val="en-GB"/>
        </w:rPr>
        <w:t xml:space="preserve"> inclusive durable solutions for internally displaced people (IDPs), women and the most vulnerable populations w</w:t>
      </w:r>
      <w:r w:rsidR="00CA6702" w:rsidRPr="00A07978">
        <w:rPr>
          <w:lang w:val="en-GB"/>
        </w:rPr>
        <w:t xml:space="preserve">ithin the framework of the </w:t>
      </w:r>
      <w:r w:rsidR="0075062C" w:rsidRPr="00A07978">
        <w:rPr>
          <w:rFonts w:eastAsia="Calibri"/>
          <w:lang w:val="en-GB" w:bidi="en-US"/>
        </w:rPr>
        <w:t>Joint Refugees Return and Reintegration Plan</w:t>
      </w:r>
      <w:r w:rsidRPr="00A07978">
        <w:rPr>
          <w:lang w:val="en-GB"/>
        </w:rPr>
        <w:t>.</w:t>
      </w:r>
      <w:r w:rsidR="00A07978">
        <w:rPr>
          <w:lang w:val="en-GB"/>
        </w:rPr>
        <w:t xml:space="preserve"> </w:t>
      </w:r>
      <w:r w:rsidRPr="00A07978">
        <w:rPr>
          <w:lang w:val="en-GB"/>
        </w:rPr>
        <w:t>This will take place in the context of joint efforts where</w:t>
      </w:r>
      <w:r w:rsidR="00CA6702" w:rsidRPr="00A07978">
        <w:rPr>
          <w:lang w:val="en-GB"/>
        </w:rPr>
        <w:t xml:space="preserve"> UNHCR leads on support to voluntary return and provides legal assistance to returnees</w:t>
      </w:r>
      <w:r w:rsidR="00FB4E2A" w:rsidRPr="00A07978">
        <w:rPr>
          <w:lang w:val="en-GB"/>
        </w:rPr>
        <w:t>;</w:t>
      </w:r>
      <w:r w:rsidR="00CA6702" w:rsidRPr="00A07978">
        <w:rPr>
          <w:lang w:val="en-GB"/>
        </w:rPr>
        <w:t xml:space="preserve"> IOM performs protection monitoring and livelihood</w:t>
      </w:r>
      <w:r w:rsidR="00A7580A" w:rsidRPr="00A07978">
        <w:rPr>
          <w:lang w:val="en-GB"/>
        </w:rPr>
        <w:t xml:space="preserve"> services</w:t>
      </w:r>
      <w:r w:rsidR="00FB4E2A" w:rsidRPr="00A07978">
        <w:rPr>
          <w:lang w:val="en-GB"/>
        </w:rPr>
        <w:t>;</w:t>
      </w:r>
      <w:r w:rsidR="00CA6702" w:rsidRPr="00A07978">
        <w:rPr>
          <w:lang w:val="en-GB"/>
        </w:rPr>
        <w:t xml:space="preserve"> UNICEF </w:t>
      </w:r>
      <w:r w:rsidR="00A7580A" w:rsidRPr="00A07978">
        <w:rPr>
          <w:lang w:val="en-GB"/>
        </w:rPr>
        <w:t xml:space="preserve">advises </w:t>
      </w:r>
      <w:r w:rsidR="00CA6702" w:rsidRPr="00A07978">
        <w:rPr>
          <w:lang w:val="en-GB"/>
        </w:rPr>
        <w:t xml:space="preserve">on </w:t>
      </w:r>
      <w:r w:rsidR="00FB4E2A" w:rsidRPr="00A07978">
        <w:rPr>
          <w:lang w:val="en-GB"/>
        </w:rPr>
        <w:t>water, sanitation, and hygiene</w:t>
      </w:r>
      <w:r w:rsidR="00CA6702" w:rsidRPr="00A07978">
        <w:rPr>
          <w:lang w:val="en-GB"/>
        </w:rPr>
        <w:t>, education and health</w:t>
      </w:r>
      <w:r w:rsidR="00FB4E2A" w:rsidRPr="00A07978">
        <w:rPr>
          <w:lang w:val="en-GB"/>
        </w:rPr>
        <w:t>;</w:t>
      </w:r>
      <w:r w:rsidR="00CA6702" w:rsidRPr="00A07978">
        <w:rPr>
          <w:lang w:val="en-GB"/>
        </w:rPr>
        <w:t xml:space="preserve"> WFP </w:t>
      </w:r>
      <w:r w:rsidR="00A7580A" w:rsidRPr="00A07978">
        <w:rPr>
          <w:lang w:val="en-GB"/>
        </w:rPr>
        <w:t xml:space="preserve">leads on </w:t>
      </w:r>
      <w:r w:rsidR="00CA6702" w:rsidRPr="00A07978">
        <w:rPr>
          <w:lang w:val="en-GB"/>
        </w:rPr>
        <w:t>nutrition</w:t>
      </w:r>
      <w:r w:rsidR="00FB4E2A" w:rsidRPr="00A07978">
        <w:rPr>
          <w:lang w:val="en-GB"/>
        </w:rPr>
        <w:t>;</w:t>
      </w:r>
      <w:r w:rsidR="00CA6702" w:rsidRPr="00A07978">
        <w:rPr>
          <w:lang w:val="en-GB"/>
        </w:rPr>
        <w:t xml:space="preserve"> </w:t>
      </w:r>
      <w:r w:rsidR="00FB4E2A" w:rsidRPr="00A07978">
        <w:rPr>
          <w:lang w:val="en-GB"/>
        </w:rPr>
        <w:t xml:space="preserve">the </w:t>
      </w:r>
      <w:r w:rsidR="00C3564F" w:rsidRPr="00A07978">
        <w:rPr>
          <w:lang w:val="en-GB"/>
        </w:rPr>
        <w:t>United Nations Entity for Gender Equality and the Empowerment of Women (</w:t>
      </w:r>
      <w:r w:rsidR="00CA6702" w:rsidRPr="00A07978">
        <w:rPr>
          <w:lang w:val="en-GB"/>
        </w:rPr>
        <w:t>UN</w:t>
      </w:r>
      <w:r w:rsidR="00057482" w:rsidRPr="00A07978">
        <w:rPr>
          <w:lang w:val="en-GB"/>
        </w:rPr>
        <w:t>-</w:t>
      </w:r>
      <w:r w:rsidR="00CA6702" w:rsidRPr="00A07978">
        <w:rPr>
          <w:lang w:val="en-GB"/>
        </w:rPr>
        <w:t>Women</w:t>
      </w:r>
      <w:r w:rsidR="00C3564F" w:rsidRPr="00A07978">
        <w:rPr>
          <w:lang w:val="en-GB"/>
        </w:rPr>
        <w:t>)</w:t>
      </w:r>
      <w:r w:rsidR="00CA6702" w:rsidRPr="00A07978">
        <w:rPr>
          <w:lang w:val="en-GB"/>
        </w:rPr>
        <w:t xml:space="preserve"> </w:t>
      </w:r>
      <w:r w:rsidR="00A7580A" w:rsidRPr="00A07978">
        <w:rPr>
          <w:lang w:val="en-GB"/>
        </w:rPr>
        <w:t xml:space="preserve">facilitates uptake of </w:t>
      </w:r>
      <w:r w:rsidR="00057482" w:rsidRPr="00A07978">
        <w:rPr>
          <w:lang w:val="en-GB"/>
        </w:rPr>
        <w:t>sexual and gender-based violence</w:t>
      </w:r>
      <w:r w:rsidR="00A7580A" w:rsidRPr="00A07978">
        <w:rPr>
          <w:lang w:val="en-GB"/>
        </w:rPr>
        <w:t xml:space="preserve"> protocols</w:t>
      </w:r>
      <w:r w:rsidR="00FB4E2A" w:rsidRPr="00A07978">
        <w:rPr>
          <w:lang w:val="en-GB"/>
        </w:rPr>
        <w:t>;</w:t>
      </w:r>
      <w:r w:rsidR="00CA6702" w:rsidRPr="00A07978">
        <w:rPr>
          <w:lang w:val="en-GB"/>
        </w:rPr>
        <w:t xml:space="preserve"> </w:t>
      </w:r>
      <w:r w:rsidR="00A7580A" w:rsidRPr="00A07978">
        <w:rPr>
          <w:lang w:val="en-GB"/>
        </w:rPr>
        <w:t xml:space="preserve">and </w:t>
      </w:r>
      <w:r w:rsidR="00CA6702" w:rsidRPr="00A07978">
        <w:rPr>
          <w:lang w:val="en-GB"/>
        </w:rPr>
        <w:t>OCHA coordinates needs assessment</w:t>
      </w:r>
      <w:r w:rsidR="00A7580A" w:rsidRPr="00A07978">
        <w:rPr>
          <w:lang w:val="en-GB"/>
        </w:rPr>
        <w:t>s</w:t>
      </w:r>
      <w:r w:rsidR="00CA6702" w:rsidRPr="00A07978">
        <w:rPr>
          <w:lang w:val="en-GB"/>
        </w:rPr>
        <w:t xml:space="preserve">. These interventions </w:t>
      </w:r>
      <w:r w:rsidR="00A7580A" w:rsidRPr="00A07978">
        <w:rPr>
          <w:lang w:val="en-GB"/>
        </w:rPr>
        <w:t xml:space="preserve">are projected to </w:t>
      </w:r>
      <w:r w:rsidR="00CA6702" w:rsidRPr="00A07978">
        <w:rPr>
          <w:lang w:val="en-GB"/>
        </w:rPr>
        <w:t xml:space="preserve">impact economic competitivity and structural transformation with effects on </w:t>
      </w:r>
      <w:r w:rsidR="00A7580A" w:rsidRPr="00A07978">
        <w:rPr>
          <w:lang w:val="en-GB"/>
        </w:rPr>
        <w:t xml:space="preserve">national </w:t>
      </w:r>
      <w:r w:rsidR="00CA6702" w:rsidRPr="00A07978">
        <w:rPr>
          <w:lang w:val="en-GB"/>
        </w:rPr>
        <w:t>food systems.</w:t>
      </w:r>
    </w:p>
    <w:p w14:paraId="3F046A69" w14:textId="45369112" w:rsidR="00CA6702" w:rsidRPr="00A07978" w:rsidRDefault="00A7580A" w:rsidP="00CA6702">
      <w:pPr>
        <w:pStyle w:val="ListParagraph"/>
        <w:numPr>
          <w:ilvl w:val="0"/>
          <w:numId w:val="50"/>
        </w:numPr>
        <w:tabs>
          <w:tab w:val="left" w:pos="1276"/>
        </w:tabs>
        <w:spacing w:after="120" w:line="240" w:lineRule="exact"/>
        <w:ind w:left="851" w:right="720" w:firstLine="0"/>
        <w:jc w:val="both"/>
        <w:rPr>
          <w:lang w:val="en-GB"/>
        </w:rPr>
      </w:pPr>
      <w:r w:rsidRPr="00A07978">
        <w:rPr>
          <w:lang w:val="en-GB"/>
        </w:rPr>
        <w:t>O</w:t>
      </w:r>
      <w:r w:rsidR="00CA6702" w:rsidRPr="00A07978">
        <w:rPr>
          <w:lang w:val="en-GB"/>
        </w:rPr>
        <w:t>utcome 2 aspires to strengthen governance systems and promote a diversified and inclusive economy</w:t>
      </w:r>
      <w:r w:rsidRPr="00A07978">
        <w:rPr>
          <w:lang w:val="en-GB"/>
        </w:rPr>
        <w:t xml:space="preserve"> </w:t>
      </w:r>
      <w:r w:rsidR="00CA6702" w:rsidRPr="00A07978">
        <w:rPr>
          <w:lang w:val="en-GB"/>
        </w:rPr>
        <w:t>through regional integration</w:t>
      </w:r>
      <w:r w:rsidRPr="00A07978">
        <w:rPr>
          <w:lang w:val="en-GB"/>
        </w:rPr>
        <w:t>.</w:t>
      </w:r>
      <w:r w:rsidR="00CA6702" w:rsidRPr="00A07978">
        <w:rPr>
          <w:lang w:val="en-GB"/>
        </w:rPr>
        <w:t xml:space="preserve"> UNDP will target strategic structural reforms to reinforce accountability and transparency in public administration at all levels, with a particular focus on local development. </w:t>
      </w:r>
      <w:r w:rsidR="0075062C" w:rsidRPr="00A07978">
        <w:rPr>
          <w:lang w:val="en-GB"/>
        </w:rPr>
        <w:t>To accomplish this UNDP will</w:t>
      </w:r>
      <w:r w:rsidR="00CA6702" w:rsidRPr="00A07978">
        <w:rPr>
          <w:lang w:val="en-GB"/>
        </w:rPr>
        <w:t xml:space="preserve"> reinforce synergies with IFIs to strengthen institutions and promote policies/strategies such as the industrialization policy with </w:t>
      </w:r>
      <w:r w:rsidR="001E02F8" w:rsidRPr="00A07978">
        <w:rPr>
          <w:lang w:val="en-GB"/>
        </w:rPr>
        <w:t>United Nations Industrial Development</w:t>
      </w:r>
      <w:r w:rsidR="001E538F" w:rsidRPr="00A07978">
        <w:rPr>
          <w:lang w:val="en-GB"/>
        </w:rPr>
        <w:t xml:space="preserve"> Organization</w:t>
      </w:r>
      <w:r w:rsidR="001E02F8" w:rsidRPr="00A07978">
        <w:rPr>
          <w:lang w:val="en-GB"/>
        </w:rPr>
        <w:t xml:space="preserve"> (</w:t>
      </w:r>
      <w:r w:rsidR="00CA6702" w:rsidRPr="00A07978">
        <w:rPr>
          <w:lang w:val="en-GB"/>
        </w:rPr>
        <w:t>UNIDO</w:t>
      </w:r>
      <w:r w:rsidR="001E02F8" w:rsidRPr="00A07978">
        <w:rPr>
          <w:lang w:val="en-GB"/>
        </w:rPr>
        <w:t>)</w:t>
      </w:r>
      <w:r w:rsidR="00CA6702" w:rsidRPr="00A07978">
        <w:rPr>
          <w:lang w:val="en-GB"/>
        </w:rPr>
        <w:t>, national tourism strategy with</w:t>
      </w:r>
      <w:r w:rsidR="0075062C" w:rsidRPr="00A07978">
        <w:rPr>
          <w:lang w:val="en-GB"/>
        </w:rPr>
        <w:t xml:space="preserve"> the World Trade Organization (</w:t>
      </w:r>
      <w:r w:rsidR="00CA6702" w:rsidRPr="00A07978">
        <w:rPr>
          <w:lang w:val="en-GB"/>
        </w:rPr>
        <w:t>WTO</w:t>
      </w:r>
      <w:r w:rsidR="0075062C" w:rsidRPr="00A07978">
        <w:rPr>
          <w:lang w:val="en-GB"/>
        </w:rPr>
        <w:t>)</w:t>
      </w:r>
      <w:r w:rsidR="00CA6702" w:rsidRPr="00A07978">
        <w:rPr>
          <w:lang w:val="en-GB"/>
        </w:rPr>
        <w:t xml:space="preserve">, and cross-border trade strategy with UNCTAD, building on regional integration, specifically on the </w:t>
      </w:r>
      <w:r w:rsidR="00103197" w:rsidRPr="00A07978">
        <w:rPr>
          <w:rFonts w:eastAsia="Calibri"/>
          <w:lang w:val="en-GB" w:bidi="en-US"/>
        </w:rPr>
        <w:t>African Continental Free Trade Area (AfCFTA)</w:t>
      </w:r>
      <w:r w:rsidR="00CA6702" w:rsidRPr="00A07978">
        <w:rPr>
          <w:lang w:val="en-GB"/>
        </w:rPr>
        <w:t xml:space="preserve">, International Conference on the Great Lakes Region, East African Community and Economic Community of Central African States. Reinforcing cooperation with </w:t>
      </w:r>
      <w:r w:rsidR="0075062C" w:rsidRPr="00A07978">
        <w:rPr>
          <w:lang w:val="en-GB"/>
        </w:rPr>
        <w:t xml:space="preserve">the Government of </w:t>
      </w:r>
      <w:r w:rsidR="00CA6702" w:rsidRPr="00A07978">
        <w:rPr>
          <w:lang w:val="en-GB"/>
        </w:rPr>
        <w:t xml:space="preserve">Belgium and relevant donors, UNDP will contribute to private investment (including in food systems) with the aim of promoting a diversified and inclusive economy. </w:t>
      </w:r>
      <w:r w:rsidR="0075062C" w:rsidRPr="00A07978">
        <w:rPr>
          <w:lang w:val="en-GB"/>
        </w:rPr>
        <w:t>Moreover</w:t>
      </w:r>
      <w:r w:rsidR="00CA6702" w:rsidRPr="00A07978">
        <w:rPr>
          <w:lang w:val="en-GB"/>
        </w:rPr>
        <w:t xml:space="preserve">, UNDP will support development planning processes and partner with IFIs to foster strategic public finance reforms and domestic resource mobilization </w:t>
      </w:r>
      <w:r w:rsidR="0075062C" w:rsidRPr="00A07978">
        <w:rPr>
          <w:lang w:val="en-GB"/>
        </w:rPr>
        <w:t xml:space="preserve">vis-à-vis the </w:t>
      </w:r>
      <w:r w:rsidR="00CA6702" w:rsidRPr="00A07978">
        <w:rPr>
          <w:lang w:val="en-GB"/>
        </w:rPr>
        <w:t>Integrated National Financing Framework for Sustainable Development Goals</w:t>
      </w:r>
      <w:r w:rsidR="0075062C" w:rsidRPr="00A07978">
        <w:rPr>
          <w:lang w:val="en-GB"/>
        </w:rPr>
        <w:t>, as the</w:t>
      </w:r>
      <w:r w:rsidR="00CA6702" w:rsidRPr="00A07978">
        <w:rPr>
          <w:lang w:val="en-GB"/>
        </w:rPr>
        <w:t xml:space="preserve"> International Monetary Fund </w:t>
      </w:r>
      <w:r w:rsidR="0075062C" w:rsidRPr="00A07978">
        <w:rPr>
          <w:lang w:val="en-GB"/>
        </w:rPr>
        <w:t>supports</w:t>
      </w:r>
      <w:r w:rsidR="00CA6702" w:rsidRPr="00A07978">
        <w:rPr>
          <w:lang w:val="en-GB"/>
        </w:rPr>
        <w:t xml:space="preserve"> monetary policy, </w:t>
      </w:r>
      <w:r w:rsidR="0075062C" w:rsidRPr="00A07978">
        <w:rPr>
          <w:lang w:val="en-GB"/>
        </w:rPr>
        <w:t xml:space="preserve">and </w:t>
      </w:r>
      <w:r w:rsidR="00CA6702" w:rsidRPr="00A07978">
        <w:rPr>
          <w:lang w:val="en-GB"/>
        </w:rPr>
        <w:t>UNICEF and UN</w:t>
      </w:r>
      <w:r w:rsidR="00792BC9" w:rsidRPr="00A07978">
        <w:rPr>
          <w:lang w:val="en-GB"/>
        </w:rPr>
        <w:t xml:space="preserve"> </w:t>
      </w:r>
      <w:r w:rsidR="00CA6702" w:rsidRPr="00A07978">
        <w:rPr>
          <w:lang w:val="en-GB"/>
        </w:rPr>
        <w:t xml:space="preserve">Women and IFIs contribute to </w:t>
      </w:r>
      <w:r w:rsidR="0075062C" w:rsidRPr="00A07978">
        <w:rPr>
          <w:lang w:val="en-GB"/>
        </w:rPr>
        <w:t>s</w:t>
      </w:r>
      <w:r w:rsidR="00CA6702" w:rsidRPr="00A07978">
        <w:rPr>
          <w:lang w:val="en-GB"/>
        </w:rPr>
        <w:t>tate budgeting.</w:t>
      </w:r>
    </w:p>
    <w:p w14:paraId="2F8F5A46" w14:textId="11054690" w:rsidR="00CA6702" w:rsidRPr="00A07978" w:rsidRDefault="00CA6702" w:rsidP="00CA6702">
      <w:pPr>
        <w:pStyle w:val="ListParagraph"/>
        <w:numPr>
          <w:ilvl w:val="0"/>
          <w:numId w:val="50"/>
        </w:numPr>
        <w:tabs>
          <w:tab w:val="left" w:pos="1276"/>
        </w:tabs>
        <w:spacing w:after="120" w:line="240" w:lineRule="exact"/>
        <w:ind w:left="851" w:right="720" w:firstLine="0"/>
        <w:jc w:val="both"/>
        <w:rPr>
          <w:lang w:val="en-GB"/>
        </w:rPr>
      </w:pPr>
      <w:r w:rsidRPr="00A07978">
        <w:rPr>
          <w:lang w:val="en-GB"/>
        </w:rPr>
        <w:t xml:space="preserve">UNDP will target non-traditional partners </w:t>
      </w:r>
      <w:r w:rsidR="0075062C" w:rsidRPr="00A07978">
        <w:rPr>
          <w:lang w:val="en-GB"/>
        </w:rPr>
        <w:t xml:space="preserve">to </w:t>
      </w:r>
      <w:r w:rsidRPr="00A07978">
        <w:rPr>
          <w:lang w:val="en-GB"/>
        </w:rPr>
        <w:t xml:space="preserve">foster South-South and </w:t>
      </w:r>
      <w:r w:rsidR="0075062C" w:rsidRPr="00A07978">
        <w:rPr>
          <w:lang w:val="en-GB"/>
        </w:rPr>
        <w:t>t</w:t>
      </w:r>
      <w:r w:rsidRPr="00A07978">
        <w:rPr>
          <w:lang w:val="en-GB"/>
        </w:rPr>
        <w:t xml:space="preserve">riangular </w:t>
      </w:r>
      <w:r w:rsidR="0075062C" w:rsidRPr="00A07978">
        <w:rPr>
          <w:lang w:val="en-GB"/>
        </w:rPr>
        <w:t>c</w:t>
      </w:r>
      <w:r w:rsidRPr="00A07978">
        <w:rPr>
          <w:lang w:val="en-GB"/>
        </w:rPr>
        <w:t xml:space="preserve">ooperation </w:t>
      </w:r>
      <w:r w:rsidR="0075062C" w:rsidRPr="00A07978">
        <w:rPr>
          <w:lang w:val="en-GB"/>
        </w:rPr>
        <w:t xml:space="preserve">in </w:t>
      </w:r>
      <w:r w:rsidRPr="00A07978">
        <w:rPr>
          <w:lang w:val="en-GB"/>
        </w:rPr>
        <w:t xml:space="preserve">support </w:t>
      </w:r>
      <w:r w:rsidR="0075062C" w:rsidRPr="00A07978">
        <w:rPr>
          <w:lang w:val="en-GB"/>
        </w:rPr>
        <w:t xml:space="preserve">of </w:t>
      </w:r>
      <w:r w:rsidRPr="00A07978">
        <w:rPr>
          <w:lang w:val="en-GB"/>
        </w:rPr>
        <w:t>experience sharing</w:t>
      </w:r>
      <w:r w:rsidR="0075062C" w:rsidRPr="00A07978">
        <w:rPr>
          <w:lang w:val="en-GB"/>
        </w:rPr>
        <w:t xml:space="preserve"> and</w:t>
      </w:r>
      <w:r w:rsidRPr="00A07978">
        <w:rPr>
          <w:lang w:val="en-GB"/>
        </w:rPr>
        <w:t xml:space="preserve"> effective public </w:t>
      </w:r>
      <w:r w:rsidR="0075062C" w:rsidRPr="00A07978">
        <w:rPr>
          <w:lang w:val="en-GB"/>
        </w:rPr>
        <w:t>policy</w:t>
      </w:r>
      <w:r w:rsidRPr="00A07978">
        <w:rPr>
          <w:lang w:val="en-GB"/>
        </w:rPr>
        <w:t xml:space="preserve"> strategies that contribute to reinforc</w:t>
      </w:r>
      <w:r w:rsidR="0075062C" w:rsidRPr="00A07978">
        <w:rPr>
          <w:lang w:val="en-GB"/>
        </w:rPr>
        <w:t>ing</w:t>
      </w:r>
      <w:r w:rsidRPr="00A07978">
        <w:rPr>
          <w:lang w:val="en-GB"/>
        </w:rPr>
        <w:t xml:space="preserve"> institutional capacities at all levels for the delivery of basic services including health population</w:t>
      </w:r>
      <w:r w:rsidR="0075062C" w:rsidRPr="00A07978">
        <w:rPr>
          <w:lang w:val="en-GB"/>
        </w:rPr>
        <w:t xml:space="preserve"> metrics</w:t>
      </w:r>
      <w:r w:rsidRPr="00A07978">
        <w:rPr>
          <w:lang w:val="en-GB"/>
        </w:rPr>
        <w:t>. UNDP will reinforce partnership</w:t>
      </w:r>
      <w:r w:rsidR="0075062C" w:rsidRPr="00A07978">
        <w:rPr>
          <w:lang w:val="en-GB"/>
        </w:rPr>
        <w:t>s</w:t>
      </w:r>
      <w:r w:rsidRPr="00A07978">
        <w:rPr>
          <w:lang w:val="en-GB"/>
        </w:rPr>
        <w:t xml:space="preserve"> with the GFTAM </w:t>
      </w:r>
      <w:r w:rsidR="00793557" w:rsidRPr="00A07978">
        <w:rPr>
          <w:lang w:val="en-GB"/>
        </w:rPr>
        <w:t xml:space="preserve">to support the uninterrupted provision of drugs to people living with HIV/AIDS and affected by malaria and tuberculosis, and strengthen the capacity of national and community health structures to prevent and respond to epidemics. In </w:t>
      </w:r>
      <w:r w:rsidRPr="00A07978">
        <w:rPr>
          <w:lang w:val="en-GB"/>
        </w:rPr>
        <w:t xml:space="preserve">line with the division of labour within the joint programme on HIV/AIDS, UNDP will collaborate with </w:t>
      </w:r>
      <w:r w:rsidR="0075062C" w:rsidRPr="00A07978">
        <w:rPr>
          <w:lang w:val="en-GB"/>
        </w:rPr>
        <w:t>the World Health Organization (</w:t>
      </w:r>
      <w:r w:rsidRPr="00A07978">
        <w:rPr>
          <w:lang w:val="en-GB"/>
        </w:rPr>
        <w:t>WHO</w:t>
      </w:r>
      <w:r w:rsidR="0075062C" w:rsidRPr="00A07978">
        <w:rPr>
          <w:lang w:val="en-GB"/>
        </w:rPr>
        <w:t>)</w:t>
      </w:r>
      <w:r w:rsidRPr="00A07978">
        <w:rPr>
          <w:lang w:val="en-GB"/>
        </w:rPr>
        <w:t xml:space="preserve">, </w:t>
      </w:r>
      <w:r w:rsidR="00B21A8C" w:rsidRPr="00A07978">
        <w:rPr>
          <w:lang w:val="en-GB"/>
        </w:rPr>
        <w:t>United Nations Programme on HIV/AIDS (</w:t>
      </w:r>
      <w:r w:rsidRPr="00A07978">
        <w:rPr>
          <w:lang w:val="en-GB"/>
        </w:rPr>
        <w:t>UNAIDS</w:t>
      </w:r>
      <w:r w:rsidR="00B21A8C" w:rsidRPr="00A07978">
        <w:rPr>
          <w:lang w:val="en-GB"/>
        </w:rPr>
        <w:t>)</w:t>
      </w:r>
      <w:r w:rsidRPr="00A07978">
        <w:rPr>
          <w:lang w:val="en-GB"/>
        </w:rPr>
        <w:t xml:space="preserve">, </w:t>
      </w:r>
      <w:r w:rsidR="00B21A8C" w:rsidRPr="00A07978">
        <w:rPr>
          <w:lang w:val="en-GB"/>
        </w:rPr>
        <w:t>United Nations Population Fund (</w:t>
      </w:r>
      <w:r w:rsidRPr="00A07978">
        <w:rPr>
          <w:lang w:val="en-GB"/>
        </w:rPr>
        <w:t>UNFPA</w:t>
      </w:r>
      <w:r w:rsidR="00B21A8C" w:rsidRPr="00A07978">
        <w:rPr>
          <w:lang w:val="en-GB"/>
        </w:rPr>
        <w:t>)</w:t>
      </w:r>
      <w:r w:rsidRPr="00A07978">
        <w:rPr>
          <w:lang w:val="en-GB"/>
        </w:rPr>
        <w:t xml:space="preserve">, UNICEF and others to advocate for the rights of affected persons including </w:t>
      </w:r>
      <w:r w:rsidR="0075062C" w:rsidRPr="00A07978">
        <w:rPr>
          <w:lang w:val="en-GB"/>
        </w:rPr>
        <w:t xml:space="preserve">priority </w:t>
      </w:r>
      <w:r w:rsidRPr="00A07978">
        <w:rPr>
          <w:lang w:val="en-GB"/>
        </w:rPr>
        <w:t xml:space="preserve">populations, combatting human rights barriers and stigmatization. </w:t>
      </w:r>
    </w:p>
    <w:p w14:paraId="14964B54" w14:textId="4286E492" w:rsidR="00CA6702" w:rsidRPr="00A07978" w:rsidRDefault="00CA6702" w:rsidP="00CA6702">
      <w:pPr>
        <w:pStyle w:val="ListParagraph"/>
        <w:numPr>
          <w:ilvl w:val="0"/>
          <w:numId w:val="50"/>
        </w:numPr>
        <w:tabs>
          <w:tab w:val="left" w:pos="1276"/>
        </w:tabs>
        <w:spacing w:after="120" w:line="240" w:lineRule="exact"/>
        <w:ind w:left="851" w:right="720" w:firstLine="0"/>
        <w:jc w:val="both"/>
        <w:rPr>
          <w:lang w:val="en-GB"/>
        </w:rPr>
      </w:pPr>
      <w:r w:rsidRPr="00A07978">
        <w:rPr>
          <w:lang w:val="en-GB"/>
        </w:rPr>
        <w:t xml:space="preserve">UNDP will develop complementarities with </w:t>
      </w:r>
      <w:r w:rsidR="0075062C" w:rsidRPr="00A07978">
        <w:rPr>
          <w:lang w:val="en-GB"/>
        </w:rPr>
        <w:t xml:space="preserve">the </w:t>
      </w:r>
      <w:r w:rsidR="00057482" w:rsidRPr="00A07978">
        <w:rPr>
          <w:lang w:val="en-GB"/>
        </w:rPr>
        <w:t xml:space="preserve">United Nations country team </w:t>
      </w:r>
      <w:r w:rsidRPr="00A07978">
        <w:rPr>
          <w:lang w:val="en-GB"/>
        </w:rPr>
        <w:t xml:space="preserve">and the private sector </w:t>
      </w:r>
      <w:r w:rsidR="005F2AF5" w:rsidRPr="00A07978">
        <w:rPr>
          <w:lang w:val="en-GB"/>
        </w:rPr>
        <w:t xml:space="preserve">to </w:t>
      </w:r>
      <w:r w:rsidRPr="00A07978">
        <w:rPr>
          <w:lang w:val="en-GB"/>
        </w:rPr>
        <w:t>capitalize on development partner</w:t>
      </w:r>
      <w:r w:rsidR="005F2AF5" w:rsidRPr="00A07978">
        <w:rPr>
          <w:lang w:val="en-GB"/>
        </w:rPr>
        <w:t>s acting to</w:t>
      </w:r>
      <w:r w:rsidRPr="00A07978">
        <w:rPr>
          <w:lang w:val="en-GB"/>
        </w:rPr>
        <w:t xml:space="preserve"> support citizen participation, Japan, and Switzerland contributing to community security and social cohesion. UNDP will support strengthening rule of law</w:t>
      </w:r>
      <w:r w:rsidR="00506BFF" w:rsidRPr="00A07978">
        <w:rPr>
          <w:lang w:val="en-GB"/>
        </w:rPr>
        <w:t xml:space="preserve"> in</w:t>
      </w:r>
      <w:r w:rsidRPr="00A07978">
        <w:rPr>
          <w:lang w:val="en-GB"/>
        </w:rPr>
        <w:t xml:space="preserve"> institutions, judiciary (penal chain), </w:t>
      </w:r>
      <w:r w:rsidR="00506BFF" w:rsidRPr="00A07978">
        <w:rPr>
          <w:lang w:val="en-GB"/>
        </w:rPr>
        <w:t xml:space="preserve">and </w:t>
      </w:r>
      <w:r w:rsidRPr="00A07978">
        <w:rPr>
          <w:lang w:val="en-GB"/>
        </w:rPr>
        <w:t xml:space="preserve">human rights </w:t>
      </w:r>
      <w:r w:rsidR="00506BFF" w:rsidRPr="00A07978">
        <w:rPr>
          <w:lang w:val="en-GB"/>
        </w:rPr>
        <w:t xml:space="preserve">through </w:t>
      </w:r>
      <w:r w:rsidRPr="00A07978">
        <w:rPr>
          <w:lang w:val="en-GB"/>
        </w:rPr>
        <w:t>the Universal Periodic Review process in coordination with</w:t>
      </w:r>
      <w:r w:rsidR="00740137" w:rsidRPr="00A07978">
        <w:rPr>
          <w:lang w:val="en-GB"/>
        </w:rPr>
        <w:t xml:space="preserve"> Office of the High Commissioner for Human Rights</w:t>
      </w:r>
      <w:r w:rsidRPr="00A07978">
        <w:rPr>
          <w:lang w:val="en-GB"/>
        </w:rPr>
        <w:t xml:space="preserve"> </w:t>
      </w:r>
      <w:r w:rsidR="00740137" w:rsidRPr="00A07978">
        <w:rPr>
          <w:lang w:val="en-GB"/>
        </w:rPr>
        <w:t>(</w:t>
      </w:r>
      <w:r w:rsidRPr="00A07978">
        <w:rPr>
          <w:lang w:val="en-GB"/>
        </w:rPr>
        <w:t>OHCHR</w:t>
      </w:r>
      <w:r w:rsidR="00740137" w:rsidRPr="00A07978">
        <w:rPr>
          <w:lang w:val="en-GB"/>
        </w:rPr>
        <w:t>)</w:t>
      </w:r>
      <w:r w:rsidR="00506BFF" w:rsidRPr="00A07978">
        <w:rPr>
          <w:lang w:val="en-GB"/>
        </w:rPr>
        <w:t xml:space="preserve"> and</w:t>
      </w:r>
      <w:r w:rsidRPr="00A07978">
        <w:rPr>
          <w:lang w:val="en-GB"/>
        </w:rPr>
        <w:t xml:space="preserve"> the integrated response to </w:t>
      </w:r>
      <w:r w:rsidR="00057482" w:rsidRPr="00A07978">
        <w:rPr>
          <w:lang w:val="en-GB"/>
        </w:rPr>
        <w:t>sexual and gender-based violence</w:t>
      </w:r>
      <w:r w:rsidRPr="00A07978">
        <w:rPr>
          <w:lang w:val="en-GB"/>
        </w:rPr>
        <w:t xml:space="preserve"> with UN</w:t>
      </w:r>
      <w:r w:rsidR="00057482" w:rsidRPr="00A07978">
        <w:rPr>
          <w:lang w:val="en-GB"/>
        </w:rPr>
        <w:t>-</w:t>
      </w:r>
      <w:r w:rsidRPr="00A07978">
        <w:rPr>
          <w:lang w:val="en-GB"/>
        </w:rPr>
        <w:t xml:space="preserve">Women. UNDP will engage with </w:t>
      </w:r>
      <w:r w:rsidR="00506BFF" w:rsidRPr="00A07978">
        <w:rPr>
          <w:lang w:val="en-GB"/>
        </w:rPr>
        <w:t>civil society organizations (</w:t>
      </w:r>
      <w:r w:rsidRPr="00A07978">
        <w:rPr>
          <w:lang w:val="en-GB"/>
        </w:rPr>
        <w:t>CSOs</w:t>
      </w:r>
      <w:r w:rsidR="00506BFF" w:rsidRPr="00A07978">
        <w:rPr>
          <w:lang w:val="en-GB"/>
        </w:rPr>
        <w:t>)</w:t>
      </w:r>
      <w:r w:rsidRPr="00A07978">
        <w:rPr>
          <w:lang w:val="en-GB"/>
        </w:rPr>
        <w:t>, indigenous group</w:t>
      </w:r>
      <w:r w:rsidR="00506BFF" w:rsidRPr="00A07978">
        <w:rPr>
          <w:lang w:val="en-GB"/>
        </w:rPr>
        <w:t>s</w:t>
      </w:r>
      <w:r w:rsidRPr="00A07978">
        <w:rPr>
          <w:lang w:val="en-GB"/>
        </w:rPr>
        <w:t xml:space="preserve">, </w:t>
      </w:r>
      <w:r w:rsidR="00506BFF" w:rsidRPr="00A07978">
        <w:rPr>
          <w:lang w:val="en-GB"/>
        </w:rPr>
        <w:t xml:space="preserve">and </w:t>
      </w:r>
      <w:r w:rsidRPr="00A07978">
        <w:rPr>
          <w:lang w:val="en-GB"/>
        </w:rPr>
        <w:t>youth and women organizations to promote citizen participation, capitalization of peace, and social cohesion</w:t>
      </w:r>
      <w:r w:rsidR="00506BFF" w:rsidRPr="00A07978">
        <w:rPr>
          <w:lang w:val="en-GB"/>
        </w:rPr>
        <w:t xml:space="preserve">. </w:t>
      </w:r>
    </w:p>
    <w:p w14:paraId="0EAEAB39" w14:textId="0D161DA7" w:rsidR="00CA6702" w:rsidRPr="00A07978" w:rsidRDefault="000A3BEA" w:rsidP="00CA6702">
      <w:pPr>
        <w:pStyle w:val="ListParagraph"/>
        <w:numPr>
          <w:ilvl w:val="0"/>
          <w:numId w:val="50"/>
        </w:numPr>
        <w:tabs>
          <w:tab w:val="left" w:pos="1276"/>
        </w:tabs>
        <w:spacing w:after="120" w:line="240" w:lineRule="exact"/>
        <w:ind w:left="851" w:right="720" w:firstLine="0"/>
        <w:jc w:val="both"/>
        <w:rPr>
          <w:lang w:val="en-GB"/>
        </w:rPr>
      </w:pPr>
      <w:r w:rsidRPr="00A07978">
        <w:rPr>
          <w:lang w:val="en-GB"/>
        </w:rPr>
        <w:t>O</w:t>
      </w:r>
      <w:r w:rsidR="00CA6702" w:rsidRPr="00A07978">
        <w:rPr>
          <w:lang w:val="en-GB"/>
        </w:rPr>
        <w:t>utcome 3 focuses on environmental and natural resource management</w:t>
      </w:r>
      <w:r w:rsidRPr="00A07978">
        <w:rPr>
          <w:lang w:val="en-GB"/>
        </w:rPr>
        <w:t xml:space="preserve"> where</w:t>
      </w:r>
      <w:r w:rsidR="00CA6702" w:rsidRPr="00A07978">
        <w:rPr>
          <w:lang w:val="en-GB"/>
        </w:rPr>
        <w:t xml:space="preserve"> UNDP will promote best practices </w:t>
      </w:r>
      <w:r w:rsidRPr="00A07978">
        <w:rPr>
          <w:lang w:val="en-GB"/>
        </w:rPr>
        <w:t>that</w:t>
      </w:r>
      <w:r w:rsidR="00CA6702" w:rsidRPr="00A07978">
        <w:rPr>
          <w:lang w:val="en-GB"/>
        </w:rPr>
        <w:t xml:space="preserve"> </w:t>
      </w:r>
      <w:r w:rsidRPr="00A07978">
        <w:rPr>
          <w:lang w:val="en-GB"/>
        </w:rPr>
        <w:t xml:space="preserve">augment </w:t>
      </w:r>
      <w:r w:rsidR="00CA6702" w:rsidRPr="00A07978">
        <w:rPr>
          <w:lang w:val="en-GB"/>
        </w:rPr>
        <w:t>national system capacities for mitigat</w:t>
      </w:r>
      <w:r w:rsidRPr="00A07978">
        <w:rPr>
          <w:lang w:val="en-GB"/>
        </w:rPr>
        <w:t>ing</w:t>
      </w:r>
      <w:r w:rsidR="00CA6702" w:rsidRPr="00A07978">
        <w:rPr>
          <w:lang w:val="en-GB"/>
        </w:rPr>
        <w:t xml:space="preserve">, </w:t>
      </w:r>
      <w:r w:rsidRPr="00A07978">
        <w:rPr>
          <w:lang w:val="en-GB"/>
        </w:rPr>
        <w:t>adapting</w:t>
      </w:r>
      <w:r w:rsidR="00CA6702" w:rsidRPr="00A07978">
        <w:rPr>
          <w:lang w:val="en-GB"/>
        </w:rPr>
        <w:t xml:space="preserve">, and </w:t>
      </w:r>
      <w:r w:rsidRPr="00A07978">
        <w:rPr>
          <w:lang w:val="en-GB"/>
        </w:rPr>
        <w:t xml:space="preserve">responding </w:t>
      </w:r>
      <w:r w:rsidR="00CA6702" w:rsidRPr="00A07978">
        <w:rPr>
          <w:lang w:val="en-GB"/>
        </w:rPr>
        <w:t xml:space="preserve">to shocks, </w:t>
      </w:r>
      <w:r w:rsidRPr="00A07978">
        <w:rPr>
          <w:lang w:val="en-GB"/>
        </w:rPr>
        <w:t xml:space="preserve">which </w:t>
      </w:r>
      <w:r w:rsidR="00CA6702" w:rsidRPr="00A07978">
        <w:rPr>
          <w:lang w:val="en-GB"/>
        </w:rPr>
        <w:t>contribut</w:t>
      </w:r>
      <w:r w:rsidRPr="00A07978">
        <w:rPr>
          <w:lang w:val="en-GB"/>
        </w:rPr>
        <w:t>e</w:t>
      </w:r>
      <w:r w:rsidR="00CA6702" w:rsidRPr="00A07978">
        <w:rPr>
          <w:lang w:val="en-GB"/>
        </w:rPr>
        <w:t xml:space="preserve"> to the achievement UNSDCF</w:t>
      </w:r>
      <w:r w:rsidRPr="00A07978">
        <w:rPr>
          <w:lang w:val="en-GB"/>
        </w:rPr>
        <w:t xml:space="preserve"> Outcome 5</w:t>
      </w:r>
      <w:r w:rsidR="00CA6702" w:rsidRPr="00A07978">
        <w:rPr>
          <w:lang w:val="en-GB"/>
        </w:rPr>
        <w:t xml:space="preserve">. The programme </w:t>
      </w:r>
      <w:r w:rsidR="00CA6702" w:rsidRPr="00A07978">
        <w:rPr>
          <w:lang w:val="en-GB"/>
        </w:rPr>
        <w:lastRenderedPageBreak/>
        <w:t xml:space="preserve">will strengthen resilience at all levels </w:t>
      </w:r>
      <w:r w:rsidRPr="00A07978">
        <w:rPr>
          <w:lang w:val="en-GB"/>
        </w:rPr>
        <w:t>of promoting</w:t>
      </w:r>
      <w:r w:rsidR="00CA6702" w:rsidRPr="00A07978">
        <w:rPr>
          <w:lang w:val="en-GB"/>
        </w:rPr>
        <w:t xml:space="preserve"> inclusive and sustainable food systems while </w:t>
      </w:r>
      <w:r w:rsidRPr="00A07978">
        <w:rPr>
          <w:lang w:val="en-GB"/>
        </w:rPr>
        <w:t xml:space="preserve">also </w:t>
      </w:r>
      <w:r w:rsidR="00CA6702" w:rsidRPr="00A07978">
        <w:rPr>
          <w:lang w:val="en-GB"/>
        </w:rPr>
        <w:t xml:space="preserve">ensuring effective environmental management. UNDP will adopt a multi-sector approach, bringing together sustainable and accelerated low-carbon and livelihood transformative solutions benefiting the most affected populations (women, youth, </w:t>
      </w:r>
      <w:r w:rsidR="00103197" w:rsidRPr="00A07978">
        <w:rPr>
          <w:lang w:val="en-GB"/>
        </w:rPr>
        <w:t xml:space="preserve">people living with disabilities, </w:t>
      </w:r>
      <w:r w:rsidR="00CA6702" w:rsidRPr="00A07978">
        <w:rPr>
          <w:lang w:val="en-GB"/>
        </w:rPr>
        <w:t>and minority groups).</w:t>
      </w:r>
    </w:p>
    <w:p w14:paraId="5245E84A" w14:textId="5F34C06B" w:rsidR="00CA6702" w:rsidRPr="00A07978" w:rsidRDefault="00CA6702" w:rsidP="00CA6702">
      <w:pPr>
        <w:pStyle w:val="ListParagraph"/>
        <w:numPr>
          <w:ilvl w:val="0"/>
          <w:numId w:val="50"/>
        </w:numPr>
        <w:tabs>
          <w:tab w:val="left" w:pos="1276"/>
        </w:tabs>
        <w:spacing w:after="120" w:line="240" w:lineRule="exact"/>
        <w:ind w:left="851" w:right="720" w:firstLine="0"/>
        <w:jc w:val="both"/>
        <w:rPr>
          <w:lang w:val="en-GB"/>
        </w:rPr>
      </w:pPr>
      <w:r w:rsidRPr="00A07978">
        <w:rPr>
          <w:lang w:val="en-GB"/>
        </w:rPr>
        <w:t>Regarding DRR, UNDP will contribute to implementing the national strategy</w:t>
      </w:r>
      <w:r w:rsidR="00103197" w:rsidRPr="00A07978">
        <w:rPr>
          <w:lang w:val="en-GB"/>
        </w:rPr>
        <w:t xml:space="preserve"> while, in tandem,</w:t>
      </w:r>
      <w:r w:rsidRPr="00A07978">
        <w:rPr>
          <w:lang w:val="en-GB"/>
        </w:rPr>
        <w:t xml:space="preserve"> OCHA </w:t>
      </w:r>
      <w:r w:rsidR="00103197" w:rsidRPr="00A07978">
        <w:rPr>
          <w:lang w:val="en-GB"/>
        </w:rPr>
        <w:t>supports</w:t>
      </w:r>
      <w:r w:rsidRPr="00A07978">
        <w:rPr>
          <w:lang w:val="en-GB"/>
        </w:rPr>
        <w:t xml:space="preserve"> the </w:t>
      </w:r>
      <w:r w:rsidR="00103197" w:rsidRPr="00A07978">
        <w:rPr>
          <w:lang w:val="en-GB"/>
        </w:rPr>
        <w:t>g</w:t>
      </w:r>
      <w:r w:rsidRPr="00A07978">
        <w:rPr>
          <w:lang w:val="en-GB"/>
        </w:rPr>
        <w:t xml:space="preserve">overnment in sharing </w:t>
      </w:r>
      <w:r w:rsidR="00103197" w:rsidRPr="00A07978">
        <w:rPr>
          <w:lang w:val="en-GB"/>
        </w:rPr>
        <w:t>experiences with</w:t>
      </w:r>
      <w:r w:rsidR="00ED769A" w:rsidRPr="00A07978">
        <w:rPr>
          <w:lang w:val="en-GB"/>
        </w:rPr>
        <w:t xml:space="preserve"> South-South and </w:t>
      </w:r>
      <w:r w:rsidR="001F3895" w:rsidRPr="00A07978">
        <w:rPr>
          <w:lang w:val="en-GB"/>
        </w:rPr>
        <w:t>t</w:t>
      </w:r>
      <w:r w:rsidR="00ED769A" w:rsidRPr="00A07978">
        <w:rPr>
          <w:lang w:val="en-GB"/>
        </w:rPr>
        <w:t>riangula</w:t>
      </w:r>
      <w:r w:rsidR="008F0021" w:rsidRPr="00A07978">
        <w:rPr>
          <w:lang w:val="en-GB"/>
        </w:rPr>
        <w:t>r</w:t>
      </w:r>
      <w:r w:rsidR="00ED769A" w:rsidRPr="00A07978">
        <w:rPr>
          <w:lang w:val="en-GB"/>
        </w:rPr>
        <w:t xml:space="preserve"> </w:t>
      </w:r>
      <w:r w:rsidR="001F3895" w:rsidRPr="00A07978">
        <w:rPr>
          <w:lang w:val="en-GB"/>
        </w:rPr>
        <w:t>c</w:t>
      </w:r>
      <w:r w:rsidR="00ED769A" w:rsidRPr="00A07978">
        <w:rPr>
          <w:lang w:val="en-GB"/>
        </w:rPr>
        <w:t>ooperation</w:t>
      </w:r>
      <w:r w:rsidR="00103197" w:rsidRPr="00A07978">
        <w:rPr>
          <w:lang w:val="en-GB"/>
        </w:rPr>
        <w:t xml:space="preserve"> </w:t>
      </w:r>
      <w:r w:rsidRPr="00A07978">
        <w:rPr>
          <w:lang w:val="en-GB"/>
        </w:rPr>
        <w:t xml:space="preserve">and IOM </w:t>
      </w:r>
      <w:r w:rsidR="00103197" w:rsidRPr="00A07978">
        <w:rPr>
          <w:lang w:val="en-GB"/>
        </w:rPr>
        <w:t>assists in</w:t>
      </w:r>
      <w:r w:rsidRPr="00A07978">
        <w:rPr>
          <w:lang w:val="en-GB"/>
        </w:rPr>
        <w:t xml:space="preserve"> </w:t>
      </w:r>
      <w:r w:rsidR="00103197" w:rsidRPr="00A07978">
        <w:rPr>
          <w:lang w:val="en-GB"/>
        </w:rPr>
        <w:t xml:space="preserve">mapping national </w:t>
      </w:r>
      <w:r w:rsidRPr="00A07978">
        <w:rPr>
          <w:lang w:val="en-GB"/>
        </w:rPr>
        <w:t xml:space="preserve">risks, landscape restoration and contributing to the early recovery of affected populations. </w:t>
      </w:r>
      <w:r w:rsidR="00EA49D7" w:rsidRPr="00A07978">
        <w:rPr>
          <w:lang w:val="en-GB"/>
        </w:rPr>
        <w:t>In partnership with the government, private sector, relevant development partners, U</w:t>
      </w:r>
      <w:r w:rsidR="00057482" w:rsidRPr="00A07978">
        <w:rPr>
          <w:lang w:val="en-GB"/>
        </w:rPr>
        <w:t>nited Nations country team</w:t>
      </w:r>
      <w:r w:rsidR="00EA49D7" w:rsidRPr="00A07978">
        <w:rPr>
          <w:lang w:val="en-GB"/>
        </w:rPr>
        <w:t xml:space="preserve">, GEF/GCF, and IFIs, and building on World Bank’s </w:t>
      </w:r>
      <w:r w:rsidRPr="00A07978">
        <w:rPr>
          <w:lang w:val="en-GB"/>
        </w:rPr>
        <w:t>climate and environmental fragility factors</w:t>
      </w:r>
      <w:r w:rsidR="00EA49D7" w:rsidRPr="00A07978">
        <w:rPr>
          <w:lang w:val="en-GB"/>
        </w:rPr>
        <w:t xml:space="preserve"> diagnosis</w:t>
      </w:r>
      <w:r w:rsidR="00103197" w:rsidRPr="00A07978">
        <w:rPr>
          <w:lang w:val="en-GB"/>
        </w:rPr>
        <w:t>,</w:t>
      </w:r>
      <w:r w:rsidRPr="00A07978">
        <w:rPr>
          <w:lang w:val="en-GB"/>
        </w:rPr>
        <w:t xml:space="preserve"> </w:t>
      </w:r>
      <w:r w:rsidR="00EA49D7" w:rsidRPr="00A07978">
        <w:rPr>
          <w:lang w:val="en-GB"/>
        </w:rPr>
        <w:t>UNDP will</w:t>
      </w:r>
      <w:r w:rsidRPr="00A07978">
        <w:rPr>
          <w:lang w:val="en-GB"/>
        </w:rPr>
        <w:t xml:space="preserve"> strengthen </w:t>
      </w:r>
      <w:r w:rsidR="00EA49D7" w:rsidRPr="00A07978">
        <w:rPr>
          <w:lang w:val="en-GB"/>
        </w:rPr>
        <w:t xml:space="preserve">at all levels, capacities of targeted institutions, </w:t>
      </w:r>
      <w:r w:rsidRPr="00A07978">
        <w:rPr>
          <w:lang w:val="en-GB"/>
        </w:rPr>
        <w:t xml:space="preserve">policies and mechanisms for </w:t>
      </w:r>
      <w:r w:rsidR="00EA49D7" w:rsidRPr="00A07978">
        <w:rPr>
          <w:lang w:val="en-GB"/>
        </w:rPr>
        <w:t xml:space="preserve">sustainable management of ecosystems, waste management, and </w:t>
      </w:r>
      <w:r w:rsidRPr="00A07978">
        <w:rPr>
          <w:lang w:val="en-GB"/>
        </w:rPr>
        <w:t>mitigation, adaption, and community resilience to climate change</w:t>
      </w:r>
      <w:r w:rsidR="00D27D4C" w:rsidRPr="00A07978">
        <w:rPr>
          <w:lang w:val="en-GB"/>
        </w:rPr>
        <w:t>, including data</w:t>
      </w:r>
      <w:r w:rsidRPr="00A07978">
        <w:rPr>
          <w:lang w:val="en-GB"/>
        </w:rPr>
        <w:t xml:space="preserve">. Capitalizing on the current partnership with </w:t>
      </w:r>
      <w:r w:rsidR="00103197" w:rsidRPr="00A07978">
        <w:rPr>
          <w:lang w:val="en-GB"/>
        </w:rPr>
        <w:t xml:space="preserve">the Government of </w:t>
      </w:r>
      <w:r w:rsidRPr="00A07978">
        <w:rPr>
          <w:lang w:val="en-GB"/>
        </w:rPr>
        <w:t xml:space="preserve">Belgium and </w:t>
      </w:r>
      <w:r w:rsidR="00103197" w:rsidRPr="00A07978">
        <w:rPr>
          <w:lang w:val="en-GB"/>
        </w:rPr>
        <w:t>European Union</w:t>
      </w:r>
      <w:r w:rsidRPr="00A07978">
        <w:rPr>
          <w:lang w:val="en-GB"/>
        </w:rPr>
        <w:t xml:space="preserve">, UNDP will leverage vertical funding to expand initiatives </w:t>
      </w:r>
      <w:r w:rsidR="00103197" w:rsidRPr="00A07978">
        <w:rPr>
          <w:lang w:val="en-GB"/>
        </w:rPr>
        <w:t>that</w:t>
      </w:r>
      <w:r w:rsidRPr="00A07978">
        <w:rPr>
          <w:lang w:val="en-GB"/>
        </w:rPr>
        <w:t xml:space="preserve"> secur</w:t>
      </w:r>
      <w:r w:rsidR="00103197" w:rsidRPr="00A07978">
        <w:rPr>
          <w:lang w:val="en-GB"/>
        </w:rPr>
        <w:t>e and</w:t>
      </w:r>
      <w:r w:rsidRPr="00A07978">
        <w:rPr>
          <w:lang w:val="en-GB"/>
        </w:rPr>
        <w:t xml:space="preserve"> strengthe</w:t>
      </w:r>
      <w:r w:rsidR="00103197" w:rsidRPr="00A07978">
        <w:rPr>
          <w:lang w:val="en-GB"/>
        </w:rPr>
        <w:t>n</w:t>
      </w:r>
      <w:r w:rsidRPr="00A07978">
        <w:rPr>
          <w:lang w:val="en-GB"/>
        </w:rPr>
        <w:t xml:space="preserve"> land restoration and governance</w:t>
      </w:r>
      <w:r w:rsidR="00103197" w:rsidRPr="00A07978">
        <w:rPr>
          <w:lang w:val="en-GB"/>
        </w:rPr>
        <w:t xml:space="preserve"> practices</w:t>
      </w:r>
      <w:r w:rsidRPr="00A07978">
        <w:rPr>
          <w:lang w:val="en-GB"/>
        </w:rPr>
        <w:t xml:space="preserve">, biodiversity conservation, and access to ecosystem services </w:t>
      </w:r>
      <w:r w:rsidR="00103197" w:rsidRPr="00A07978">
        <w:rPr>
          <w:lang w:val="en-GB"/>
        </w:rPr>
        <w:t xml:space="preserve">for </w:t>
      </w:r>
      <w:r w:rsidRPr="00A07978">
        <w:rPr>
          <w:lang w:val="en-GB"/>
        </w:rPr>
        <w:t>vulnerable</w:t>
      </w:r>
      <w:r w:rsidR="00103197" w:rsidRPr="00A07978">
        <w:rPr>
          <w:lang w:val="en-GB"/>
        </w:rPr>
        <w:t xml:space="preserve">, </w:t>
      </w:r>
      <w:r w:rsidRPr="00A07978">
        <w:rPr>
          <w:lang w:val="en-GB"/>
        </w:rPr>
        <w:t xml:space="preserve">marginalized groups, </w:t>
      </w:r>
      <w:r w:rsidR="00103197" w:rsidRPr="00A07978">
        <w:rPr>
          <w:lang w:val="en-GB"/>
        </w:rPr>
        <w:t xml:space="preserve">and </w:t>
      </w:r>
      <w:r w:rsidRPr="00A07978">
        <w:rPr>
          <w:lang w:val="en-GB"/>
        </w:rPr>
        <w:t xml:space="preserve">indigenous </w:t>
      </w:r>
      <w:r w:rsidR="00103197" w:rsidRPr="00A07978">
        <w:rPr>
          <w:lang w:val="en-GB"/>
        </w:rPr>
        <w:t>populations</w:t>
      </w:r>
      <w:r w:rsidRPr="00A07978">
        <w:rPr>
          <w:lang w:val="en-GB"/>
        </w:rPr>
        <w:t>.</w:t>
      </w:r>
    </w:p>
    <w:p w14:paraId="76BA1356" w14:textId="4592398C" w:rsidR="00CA6702" w:rsidRPr="00A07978" w:rsidRDefault="00CA6702" w:rsidP="00CA6702">
      <w:pPr>
        <w:pStyle w:val="ListParagraph"/>
        <w:numPr>
          <w:ilvl w:val="0"/>
          <w:numId w:val="50"/>
        </w:numPr>
        <w:tabs>
          <w:tab w:val="left" w:pos="1276"/>
        </w:tabs>
        <w:spacing w:after="120" w:line="240" w:lineRule="exact"/>
        <w:ind w:left="851" w:right="720" w:firstLine="0"/>
        <w:jc w:val="both"/>
        <w:rPr>
          <w:lang w:val="en-GB"/>
        </w:rPr>
      </w:pPr>
      <w:r w:rsidRPr="00A07978">
        <w:rPr>
          <w:lang w:val="en-GB"/>
        </w:rPr>
        <w:t xml:space="preserve">In partnership with the </w:t>
      </w:r>
      <w:r w:rsidR="00103197" w:rsidRPr="00A07978">
        <w:rPr>
          <w:lang w:val="en-GB"/>
        </w:rPr>
        <w:t>European Union</w:t>
      </w:r>
      <w:r w:rsidRPr="00A07978">
        <w:rPr>
          <w:lang w:val="en-GB"/>
        </w:rPr>
        <w:t xml:space="preserve">, IFIs, </w:t>
      </w:r>
      <w:r w:rsidR="00103197" w:rsidRPr="00A07978">
        <w:rPr>
          <w:lang w:val="en-GB"/>
        </w:rPr>
        <w:t xml:space="preserve">and </w:t>
      </w:r>
      <w:r w:rsidRPr="00A07978">
        <w:rPr>
          <w:lang w:val="en-GB"/>
        </w:rPr>
        <w:t>private sector, and capitalizing on GEF/GCF opportunities, UNDP support</w:t>
      </w:r>
      <w:r w:rsidR="00103197" w:rsidRPr="00A07978">
        <w:rPr>
          <w:lang w:val="en-GB"/>
        </w:rPr>
        <w:t>s</w:t>
      </w:r>
      <w:r w:rsidRPr="00A07978">
        <w:rPr>
          <w:lang w:val="en-GB"/>
        </w:rPr>
        <w:t xml:space="preserve"> government efforts to implement </w:t>
      </w:r>
      <w:r w:rsidR="0074583A" w:rsidRPr="00A07978">
        <w:rPr>
          <w:lang w:val="en-GB"/>
        </w:rPr>
        <w:t>n</w:t>
      </w:r>
      <w:r w:rsidRPr="00A07978">
        <w:rPr>
          <w:lang w:val="en-GB"/>
        </w:rPr>
        <w:t>ationa</w:t>
      </w:r>
      <w:r w:rsidR="0074583A" w:rsidRPr="00A07978">
        <w:rPr>
          <w:lang w:val="en-GB"/>
        </w:rPr>
        <w:t>l</w:t>
      </w:r>
      <w:r w:rsidRPr="00A07978">
        <w:rPr>
          <w:lang w:val="en-GB"/>
        </w:rPr>
        <w:t>l</w:t>
      </w:r>
      <w:r w:rsidR="0074583A" w:rsidRPr="00A07978">
        <w:rPr>
          <w:lang w:val="en-GB"/>
        </w:rPr>
        <w:t>y</w:t>
      </w:r>
      <w:r w:rsidRPr="00A07978">
        <w:rPr>
          <w:lang w:val="en-GB"/>
        </w:rPr>
        <w:t xml:space="preserve"> </w:t>
      </w:r>
      <w:r w:rsidR="0074583A" w:rsidRPr="00A07978">
        <w:rPr>
          <w:lang w:val="en-GB"/>
        </w:rPr>
        <w:t>d</w:t>
      </w:r>
      <w:r w:rsidRPr="00A07978">
        <w:rPr>
          <w:lang w:val="en-GB"/>
        </w:rPr>
        <w:t xml:space="preserve">etermined </w:t>
      </w:r>
      <w:r w:rsidR="0074583A" w:rsidRPr="00A07978">
        <w:rPr>
          <w:lang w:val="en-GB"/>
        </w:rPr>
        <w:t>c</w:t>
      </w:r>
      <w:r w:rsidRPr="00A07978">
        <w:rPr>
          <w:lang w:val="en-GB"/>
        </w:rPr>
        <w:t>ontribution</w:t>
      </w:r>
      <w:r w:rsidR="00103197" w:rsidRPr="00A07978">
        <w:rPr>
          <w:lang w:val="en-GB"/>
        </w:rPr>
        <w:t>s</w:t>
      </w:r>
      <w:r w:rsidRPr="00A07978">
        <w:rPr>
          <w:lang w:val="en-GB"/>
        </w:rPr>
        <w:t xml:space="preserve"> </w:t>
      </w:r>
      <w:r w:rsidR="00CB4586" w:rsidRPr="00A07978">
        <w:rPr>
          <w:lang w:val="en-GB"/>
        </w:rPr>
        <w:t>to</w:t>
      </w:r>
      <w:r w:rsidRPr="00A07978">
        <w:rPr>
          <w:lang w:val="en-GB"/>
        </w:rPr>
        <w:t xml:space="preserve"> increas</w:t>
      </w:r>
      <w:r w:rsidR="00CB4586" w:rsidRPr="00A07978">
        <w:rPr>
          <w:lang w:val="en-GB"/>
        </w:rPr>
        <w:t>ing</w:t>
      </w:r>
      <w:r w:rsidRPr="00A07978">
        <w:rPr>
          <w:lang w:val="en-GB"/>
        </w:rPr>
        <w:t xml:space="preserve"> access to renewable energy</w:t>
      </w:r>
      <w:r w:rsidR="00CB4586" w:rsidRPr="00A07978">
        <w:rPr>
          <w:lang w:val="en-GB"/>
        </w:rPr>
        <w:t>,</w:t>
      </w:r>
      <w:r w:rsidRPr="00A07978">
        <w:rPr>
          <w:lang w:val="en-GB"/>
        </w:rPr>
        <w:t xml:space="preserve"> using innovative technologies for revitalizing local economies. UNDP support</w:t>
      </w:r>
      <w:r w:rsidR="00103197" w:rsidRPr="00A07978">
        <w:rPr>
          <w:lang w:val="en-GB"/>
        </w:rPr>
        <w:t>s</w:t>
      </w:r>
      <w:r w:rsidRPr="00A07978">
        <w:rPr>
          <w:lang w:val="en-GB"/>
        </w:rPr>
        <w:t xml:space="preserve"> the mobilization of </w:t>
      </w:r>
      <w:r w:rsidR="0074583A" w:rsidRPr="00A07978">
        <w:rPr>
          <w:lang w:val="en-GB"/>
        </w:rPr>
        <w:t>“</w:t>
      </w:r>
      <w:r w:rsidRPr="00A07978">
        <w:rPr>
          <w:lang w:val="en-GB"/>
        </w:rPr>
        <w:t>green</w:t>
      </w:r>
      <w:r w:rsidR="0074583A" w:rsidRPr="00A07978">
        <w:rPr>
          <w:lang w:val="en-GB"/>
        </w:rPr>
        <w:t>”</w:t>
      </w:r>
      <w:r w:rsidRPr="00A07978">
        <w:rPr>
          <w:lang w:val="en-GB"/>
        </w:rPr>
        <w:t xml:space="preserve"> and innovative financing</w:t>
      </w:r>
      <w:r w:rsidR="00103197" w:rsidRPr="00A07978">
        <w:rPr>
          <w:lang w:val="en-GB"/>
        </w:rPr>
        <w:t>,</w:t>
      </w:r>
      <w:r w:rsidRPr="00A07978">
        <w:rPr>
          <w:lang w:val="en-GB"/>
        </w:rPr>
        <w:t xml:space="preserve"> as well as development of gender-sensitive initiatives</w:t>
      </w:r>
      <w:r w:rsidR="00103197" w:rsidRPr="00A07978">
        <w:rPr>
          <w:lang w:val="en-GB"/>
        </w:rPr>
        <w:t xml:space="preserve"> with </w:t>
      </w:r>
      <w:r w:rsidRPr="00A07978">
        <w:rPr>
          <w:lang w:val="en-GB"/>
        </w:rPr>
        <w:t xml:space="preserve">efforts to address gender disparities. </w:t>
      </w:r>
      <w:r w:rsidR="000E3B3C" w:rsidRPr="00A07978">
        <w:rPr>
          <w:lang w:val="en-GB"/>
        </w:rPr>
        <w:t>In</w:t>
      </w:r>
      <w:r w:rsidRPr="00A07978">
        <w:rPr>
          <w:lang w:val="en-GB"/>
        </w:rPr>
        <w:t xml:space="preserve"> collaboration with relevant partners, </w:t>
      </w:r>
      <w:r w:rsidR="002C6093" w:rsidRPr="00A07978">
        <w:rPr>
          <w:lang w:val="en-GB"/>
        </w:rPr>
        <w:t xml:space="preserve">UNDP will </w:t>
      </w:r>
      <w:r w:rsidRPr="00A07978">
        <w:rPr>
          <w:lang w:val="en-GB"/>
        </w:rPr>
        <w:t xml:space="preserve">strengthen behavioural change, </w:t>
      </w:r>
      <w:r w:rsidR="00307124" w:rsidRPr="00A07978">
        <w:rPr>
          <w:lang w:val="en-GB"/>
        </w:rPr>
        <w:t xml:space="preserve">the </w:t>
      </w:r>
      <w:r w:rsidRPr="00A07978">
        <w:rPr>
          <w:lang w:val="en-GB"/>
        </w:rPr>
        <w:t>adoption of good practices and promotion of sustainable means of production</w:t>
      </w:r>
      <w:r w:rsidR="00500166" w:rsidRPr="00A07978">
        <w:rPr>
          <w:lang w:val="en-GB"/>
        </w:rPr>
        <w:t>, thus</w:t>
      </w:r>
      <w:r w:rsidRPr="00A07978">
        <w:rPr>
          <w:lang w:val="en-GB"/>
        </w:rPr>
        <w:t xml:space="preserve"> contribut</w:t>
      </w:r>
      <w:r w:rsidR="00500166" w:rsidRPr="00A07978">
        <w:rPr>
          <w:lang w:val="en-GB"/>
        </w:rPr>
        <w:t>ing</w:t>
      </w:r>
      <w:r w:rsidRPr="00A07978">
        <w:rPr>
          <w:lang w:val="en-GB"/>
        </w:rPr>
        <w:t xml:space="preserve"> to inclusive and sustainable food systems as well as effective environmental management.</w:t>
      </w:r>
    </w:p>
    <w:p w14:paraId="4D0EBB85" w14:textId="1AA2F478" w:rsidR="00CA6702" w:rsidRPr="00A07978" w:rsidRDefault="00CA6702" w:rsidP="00CA6702">
      <w:pPr>
        <w:pStyle w:val="ListParagraph"/>
        <w:numPr>
          <w:ilvl w:val="0"/>
          <w:numId w:val="50"/>
        </w:numPr>
        <w:tabs>
          <w:tab w:val="left" w:pos="1276"/>
        </w:tabs>
        <w:spacing w:after="120" w:line="240" w:lineRule="exact"/>
        <w:ind w:left="851" w:right="720" w:firstLine="0"/>
        <w:jc w:val="both"/>
        <w:rPr>
          <w:lang w:val="en-GB"/>
        </w:rPr>
      </w:pPr>
      <w:r w:rsidRPr="00A07978">
        <w:rPr>
          <w:lang w:val="en-GB"/>
        </w:rPr>
        <w:t xml:space="preserve">All programme components will specifically target women and youth, IDPs, </w:t>
      </w:r>
      <w:r w:rsidR="00103197" w:rsidRPr="00A07978">
        <w:rPr>
          <w:lang w:val="en-GB"/>
        </w:rPr>
        <w:t>p</w:t>
      </w:r>
      <w:r w:rsidRPr="00A07978">
        <w:rPr>
          <w:lang w:val="en-GB"/>
        </w:rPr>
        <w:t xml:space="preserve">eople </w:t>
      </w:r>
      <w:r w:rsidR="00103197" w:rsidRPr="00A07978">
        <w:rPr>
          <w:lang w:val="en-GB"/>
        </w:rPr>
        <w:t>l</w:t>
      </w:r>
      <w:r w:rsidRPr="00A07978">
        <w:rPr>
          <w:lang w:val="en-GB"/>
        </w:rPr>
        <w:t xml:space="preserve">iving </w:t>
      </w:r>
      <w:r w:rsidR="00103197" w:rsidRPr="00A07978">
        <w:rPr>
          <w:lang w:val="en-GB"/>
        </w:rPr>
        <w:t>w</w:t>
      </w:r>
      <w:r w:rsidRPr="00A07978">
        <w:rPr>
          <w:lang w:val="en-GB"/>
        </w:rPr>
        <w:t xml:space="preserve">ith </w:t>
      </w:r>
      <w:r w:rsidR="00103197" w:rsidRPr="00A07978">
        <w:rPr>
          <w:lang w:val="en-GB"/>
        </w:rPr>
        <w:t>d</w:t>
      </w:r>
      <w:r w:rsidRPr="00A07978">
        <w:rPr>
          <w:lang w:val="en-GB"/>
        </w:rPr>
        <w:t>isabilities</w:t>
      </w:r>
      <w:r w:rsidR="00103197" w:rsidRPr="00A07978">
        <w:rPr>
          <w:lang w:val="en-GB"/>
        </w:rPr>
        <w:t>,</w:t>
      </w:r>
      <w:r w:rsidRPr="00A07978">
        <w:rPr>
          <w:lang w:val="en-GB"/>
        </w:rPr>
        <w:t xml:space="preserve"> migrants and </w:t>
      </w:r>
      <w:r w:rsidR="00103197" w:rsidRPr="00A07978">
        <w:rPr>
          <w:lang w:val="en-GB"/>
        </w:rPr>
        <w:t>those most</w:t>
      </w:r>
      <w:r w:rsidRPr="00A07978">
        <w:rPr>
          <w:lang w:val="en-GB"/>
        </w:rPr>
        <w:t xml:space="preserve"> risk of being left behind</w:t>
      </w:r>
      <w:r w:rsidR="00103197" w:rsidRPr="00A07978">
        <w:rPr>
          <w:lang w:val="en-GB"/>
        </w:rPr>
        <w:t xml:space="preserve"> to reduce </w:t>
      </w:r>
      <w:r w:rsidRPr="00A07978">
        <w:rPr>
          <w:lang w:val="en-GB"/>
        </w:rPr>
        <w:t>inequalities</w:t>
      </w:r>
      <w:r w:rsidR="00103197" w:rsidRPr="00A07978">
        <w:rPr>
          <w:lang w:val="en-GB"/>
        </w:rPr>
        <w:t xml:space="preserve"> while </w:t>
      </w:r>
      <w:r w:rsidRPr="00A07978">
        <w:rPr>
          <w:lang w:val="en-GB"/>
        </w:rPr>
        <w:t xml:space="preserve">considering </w:t>
      </w:r>
      <w:r w:rsidR="00103197" w:rsidRPr="00A07978">
        <w:rPr>
          <w:lang w:val="en-GB"/>
        </w:rPr>
        <w:t xml:space="preserve">the </w:t>
      </w:r>
      <w:r w:rsidRPr="00A07978">
        <w:rPr>
          <w:lang w:val="en-GB"/>
        </w:rPr>
        <w:t>specific and strategic needs</w:t>
      </w:r>
      <w:r w:rsidR="00103197" w:rsidRPr="00A07978">
        <w:rPr>
          <w:lang w:val="en-GB"/>
        </w:rPr>
        <w:t xml:space="preserve"> of various populations</w:t>
      </w:r>
      <w:r w:rsidRPr="00A07978">
        <w:rPr>
          <w:lang w:val="en-GB"/>
        </w:rPr>
        <w:t xml:space="preserve">. Given on-going administrative reforms that </w:t>
      </w:r>
      <w:r w:rsidR="00103197" w:rsidRPr="00A07978">
        <w:rPr>
          <w:lang w:val="en-GB"/>
        </w:rPr>
        <w:t>affect</w:t>
      </w:r>
      <w:r w:rsidRPr="00A07978">
        <w:rPr>
          <w:lang w:val="en-GB"/>
        </w:rPr>
        <w:t xml:space="preserve"> the number of local administrative units, UNDP will concentrate </w:t>
      </w:r>
      <w:r w:rsidR="008421F0" w:rsidRPr="00A07978">
        <w:rPr>
          <w:lang w:val="en-GB"/>
        </w:rPr>
        <w:t xml:space="preserve">on scaling </w:t>
      </w:r>
      <w:r w:rsidRPr="00A07978">
        <w:rPr>
          <w:lang w:val="en-GB"/>
        </w:rPr>
        <w:t xml:space="preserve">interventions in host communities </w:t>
      </w:r>
      <w:r w:rsidR="008421F0" w:rsidRPr="00A07978">
        <w:rPr>
          <w:lang w:val="en-GB"/>
        </w:rPr>
        <w:t xml:space="preserve">where there are high numbers of </w:t>
      </w:r>
      <w:r w:rsidRPr="00A07978">
        <w:rPr>
          <w:lang w:val="en-GB"/>
        </w:rPr>
        <w:t>returnees and IDPs and</w:t>
      </w:r>
      <w:r w:rsidR="008421F0" w:rsidRPr="00A07978">
        <w:rPr>
          <w:lang w:val="en-GB"/>
        </w:rPr>
        <w:t xml:space="preserve"> in</w:t>
      </w:r>
      <w:r w:rsidRPr="00A07978">
        <w:rPr>
          <w:lang w:val="en-GB"/>
        </w:rPr>
        <w:t xml:space="preserve"> disaster-prone regions. Based on socio-economic and human development indicators, UNDP will focus on the most vulnerable regions, specifically</w:t>
      </w:r>
      <w:r w:rsidR="008421F0" w:rsidRPr="00A07978">
        <w:rPr>
          <w:lang w:val="en-GB"/>
        </w:rPr>
        <w:t xml:space="preserve"> in n</w:t>
      </w:r>
      <w:r w:rsidRPr="00A07978">
        <w:rPr>
          <w:lang w:val="en-GB"/>
        </w:rPr>
        <w:t xml:space="preserve">orth, </w:t>
      </w:r>
      <w:r w:rsidR="008421F0" w:rsidRPr="00A07978">
        <w:rPr>
          <w:lang w:val="en-GB"/>
        </w:rPr>
        <w:t>e</w:t>
      </w:r>
      <w:r w:rsidRPr="00A07978">
        <w:rPr>
          <w:lang w:val="en-GB"/>
        </w:rPr>
        <w:t xml:space="preserve">ast, </w:t>
      </w:r>
      <w:r w:rsidR="008421F0" w:rsidRPr="00A07978">
        <w:rPr>
          <w:lang w:val="en-GB"/>
        </w:rPr>
        <w:t xml:space="preserve">and </w:t>
      </w:r>
      <w:r w:rsidRPr="00A07978">
        <w:rPr>
          <w:lang w:val="en-GB"/>
        </w:rPr>
        <w:t xml:space="preserve">Central Burundi and selected areas </w:t>
      </w:r>
      <w:r w:rsidR="008421F0" w:rsidRPr="00A07978">
        <w:rPr>
          <w:lang w:val="en-GB"/>
        </w:rPr>
        <w:t xml:space="preserve">where vulnerabilities are </w:t>
      </w:r>
      <w:r w:rsidRPr="00A07978">
        <w:rPr>
          <w:lang w:val="en-GB"/>
        </w:rPr>
        <w:t xml:space="preserve">high in the </w:t>
      </w:r>
      <w:r w:rsidR="008421F0" w:rsidRPr="00A07978">
        <w:rPr>
          <w:lang w:val="en-GB"/>
        </w:rPr>
        <w:t>s</w:t>
      </w:r>
      <w:r w:rsidRPr="00A07978">
        <w:rPr>
          <w:lang w:val="en-GB"/>
        </w:rPr>
        <w:t>outh. Institutional support and contributions to selected strategic policies and reforms will have a nation-wide impact.</w:t>
      </w:r>
    </w:p>
    <w:p w14:paraId="2440D3F7" w14:textId="015B6373" w:rsidR="0063402B" w:rsidRPr="00A07978" w:rsidRDefault="0063402B" w:rsidP="001E25E9">
      <w:pPr>
        <w:pStyle w:val="Heading1"/>
        <w:tabs>
          <w:tab w:val="left" w:pos="1260"/>
          <w:tab w:val="left" w:pos="1800"/>
        </w:tabs>
        <w:spacing w:after="200" w:line="240" w:lineRule="exact"/>
        <w:ind w:left="900" w:right="720" w:hanging="450"/>
        <w:jc w:val="both"/>
        <w:rPr>
          <w:rFonts w:ascii="Times New Roman" w:hAnsi="Times New Roman"/>
          <w:color w:val="000000"/>
          <w:sz w:val="24"/>
          <w:szCs w:val="24"/>
          <w:lang w:val="en-GB"/>
        </w:rPr>
      </w:pPr>
      <w:r w:rsidRPr="00A07978">
        <w:rPr>
          <w:rFonts w:ascii="Times New Roman" w:hAnsi="Times New Roman"/>
          <w:color w:val="000000"/>
          <w:sz w:val="24"/>
          <w:szCs w:val="24"/>
          <w:lang w:val="en-GB"/>
        </w:rPr>
        <w:t>III.</w:t>
      </w:r>
      <w:r w:rsidR="00BC261E" w:rsidRPr="00A07978">
        <w:rPr>
          <w:rFonts w:ascii="Times New Roman" w:hAnsi="Times New Roman"/>
          <w:color w:val="000000"/>
          <w:sz w:val="24"/>
          <w:szCs w:val="24"/>
          <w:lang w:val="en-GB"/>
        </w:rPr>
        <w:tab/>
      </w:r>
      <w:r w:rsidRPr="00A07978">
        <w:rPr>
          <w:rFonts w:ascii="Times New Roman" w:hAnsi="Times New Roman"/>
          <w:color w:val="000000"/>
          <w:sz w:val="24"/>
          <w:szCs w:val="24"/>
          <w:lang w:val="en-GB"/>
        </w:rPr>
        <w:t xml:space="preserve">Programme and </w:t>
      </w:r>
      <w:r w:rsidR="00BC261E" w:rsidRPr="00A07978">
        <w:rPr>
          <w:rFonts w:ascii="Times New Roman" w:hAnsi="Times New Roman"/>
          <w:color w:val="000000"/>
          <w:sz w:val="24"/>
          <w:szCs w:val="24"/>
          <w:lang w:val="en-GB"/>
        </w:rPr>
        <w:t>r</w:t>
      </w:r>
      <w:r w:rsidRPr="00A07978">
        <w:rPr>
          <w:rFonts w:ascii="Times New Roman" w:hAnsi="Times New Roman"/>
          <w:color w:val="000000"/>
          <w:sz w:val="24"/>
          <w:szCs w:val="24"/>
          <w:lang w:val="en-GB"/>
        </w:rPr>
        <w:t>isk</w:t>
      </w:r>
      <w:r w:rsidR="00AC1BE7" w:rsidRPr="00A07978">
        <w:rPr>
          <w:rFonts w:ascii="Times New Roman" w:hAnsi="Times New Roman"/>
          <w:color w:val="000000"/>
          <w:sz w:val="24"/>
          <w:szCs w:val="24"/>
          <w:lang w:val="en-GB"/>
        </w:rPr>
        <w:t xml:space="preserve"> </w:t>
      </w:r>
      <w:r w:rsidR="00BC261E" w:rsidRPr="00A07978">
        <w:rPr>
          <w:rFonts w:ascii="Times New Roman" w:hAnsi="Times New Roman"/>
          <w:color w:val="000000"/>
          <w:sz w:val="24"/>
          <w:szCs w:val="24"/>
          <w:lang w:val="en-GB"/>
        </w:rPr>
        <w:t>m</w:t>
      </w:r>
      <w:r w:rsidR="001C6C08" w:rsidRPr="00A07978">
        <w:rPr>
          <w:rFonts w:ascii="Times New Roman" w:hAnsi="Times New Roman"/>
          <w:color w:val="000000"/>
          <w:sz w:val="24"/>
          <w:szCs w:val="24"/>
          <w:lang w:val="en-GB"/>
        </w:rPr>
        <w:t>anagement</w:t>
      </w:r>
      <w:r w:rsidRPr="00A07978">
        <w:rPr>
          <w:rFonts w:ascii="Times New Roman" w:hAnsi="Times New Roman"/>
          <w:color w:val="000000"/>
          <w:sz w:val="24"/>
          <w:szCs w:val="24"/>
          <w:lang w:val="en-GB"/>
        </w:rPr>
        <w:t xml:space="preserve"> </w:t>
      </w:r>
    </w:p>
    <w:p w14:paraId="4382755B" w14:textId="30476BA2" w:rsidR="00F0542A" w:rsidRPr="00A07978" w:rsidRDefault="00F0542A" w:rsidP="00F0542A">
      <w:pPr>
        <w:pStyle w:val="ListParagraph"/>
        <w:numPr>
          <w:ilvl w:val="0"/>
          <w:numId w:val="50"/>
        </w:numPr>
        <w:tabs>
          <w:tab w:val="left" w:pos="1276"/>
        </w:tabs>
        <w:spacing w:after="120" w:line="240" w:lineRule="exact"/>
        <w:ind w:left="851" w:right="720" w:firstLine="0"/>
        <w:jc w:val="both"/>
        <w:rPr>
          <w:lang w:val="en-GB"/>
        </w:rPr>
      </w:pPr>
      <w:r w:rsidRPr="00A07978">
        <w:rPr>
          <w:lang w:val="en-GB"/>
        </w:rPr>
        <w:t>This country programme document outlines UNDP contributions to national results and serves as the primary unit of accountability to the Executive Board for results alignment and resources assigned to the programme at country level. Accountabilities of managers at the country, regional and headquarter levels with respect to country programmes is prescribed in the organization</w:t>
      </w:r>
      <w:r w:rsidR="008421F0" w:rsidRPr="00A07978">
        <w:rPr>
          <w:lang w:val="en-GB"/>
        </w:rPr>
        <w:t>al</w:t>
      </w:r>
      <w:r w:rsidRPr="00A07978">
        <w:rPr>
          <w:lang w:val="en-GB"/>
        </w:rPr>
        <w:t xml:space="preserve"> Programme and Operations Policies and Procedures and Internal Control Framework.</w:t>
      </w:r>
      <w:r w:rsidRPr="00A07978" w:rsidDel="00FC5249">
        <w:rPr>
          <w:lang w:val="en-GB"/>
        </w:rPr>
        <w:t xml:space="preserve"> </w:t>
      </w:r>
    </w:p>
    <w:p w14:paraId="242D1C70" w14:textId="03C2B841" w:rsidR="00F0542A" w:rsidRPr="00A07978" w:rsidRDefault="00F0542A" w:rsidP="00F0542A">
      <w:pPr>
        <w:pStyle w:val="ListParagraph"/>
        <w:numPr>
          <w:ilvl w:val="0"/>
          <w:numId w:val="50"/>
        </w:numPr>
        <w:tabs>
          <w:tab w:val="left" w:pos="1276"/>
        </w:tabs>
        <w:spacing w:after="120" w:line="240" w:lineRule="exact"/>
        <w:ind w:left="851" w:right="720" w:firstLine="0"/>
        <w:jc w:val="both"/>
        <w:rPr>
          <w:lang w:val="en-GB"/>
        </w:rPr>
      </w:pPr>
      <w:r w:rsidRPr="00A07978">
        <w:rPr>
          <w:lang w:val="en-GB"/>
        </w:rPr>
        <w:t xml:space="preserve">The programme will be nationally executed. If necessary, national execution may be replaced by direct execution for part or all the programme to enable response to force majeure. </w:t>
      </w:r>
      <w:r w:rsidR="0074583A" w:rsidRPr="00A07978">
        <w:rPr>
          <w:lang w:val="en-GB"/>
        </w:rPr>
        <w:t>The h</w:t>
      </w:r>
      <w:r w:rsidRPr="00A07978">
        <w:rPr>
          <w:lang w:val="en-GB"/>
        </w:rPr>
        <w:t xml:space="preserve">armonized </w:t>
      </w:r>
      <w:r w:rsidR="0074583A" w:rsidRPr="00A07978">
        <w:rPr>
          <w:lang w:val="en-GB"/>
        </w:rPr>
        <w:t>a</w:t>
      </w:r>
      <w:r w:rsidRPr="00A07978">
        <w:rPr>
          <w:lang w:val="en-GB"/>
        </w:rPr>
        <w:t xml:space="preserve">pproach to </w:t>
      </w:r>
      <w:r w:rsidR="0074583A" w:rsidRPr="00A07978">
        <w:rPr>
          <w:lang w:val="en-GB"/>
        </w:rPr>
        <w:t>c</w:t>
      </w:r>
      <w:r w:rsidRPr="00A07978">
        <w:rPr>
          <w:lang w:val="en-GB"/>
        </w:rPr>
        <w:t xml:space="preserve">ash </w:t>
      </w:r>
      <w:r w:rsidR="0074583A" w:rsidRPr="00A07978">
        <w:rPr>
          <w:lang w:val="en-GB"/>
        </w:rPr>
        <w:t>t</w:t>
      </w:r>
      <w:r w:rsidRPr="00A07978">
        <w:rPr>
          <w:lang w:val="en-GB"/>
        </w:rPr>
        <w:t>ransfers will be used in a coordinated fashion with other U</w:t>
      </w:r>
      <w:r w:rsidR="0074583A" w:rsidRPr="00A07978">
        <w:rPr>
          <w:lang w:val="en-GB"/>
        </w:rPr>
        <w:t xml:space="preserve">nited </w:t>
      </w:r>
      <w:r w:rsidRPr="00A07978">
        <w:rPr>
          <w:lang w:val="en-GB"/>
        </w:rPr>
        <w:t>N</w:t>
      </w:r>
      <w:r w:rsidR="0074583A" w:rsidRPr="00A07978">
        <w:rPr>
          <w:lang w:val="en-GB"/>
        </w:rPr>
        <w:t>ations</w:t>
      </w:r>
      <w:r w:rsidRPr="00A07978">
        <w:rPr>
          <w:lang w:val="en-GB"/>
        </w:rPr>
        <w:t xml:space="preserve"> </w:t>
      </w:r>
      <w:r w:rsidR="0074583A" w:rsidRPr="00A07978">
        <w:rPr>
          <w:lang w:val="en-GB"/>
        </w:rPr>
        <w:t>organizations</w:t>
      </w:r>
      <w:r w:rsidRPr="00A07978">
        <w:rPr>
          <w:lang w:val="en-GB"/>
        </w:rPr>
        <w:t xml:space="preserve"> to manage financial risks. Cost definitions and classifications for programme and development effectiveness will be charged to the concerned projects.</w:t>
      </w:r>
    </w:p>
    <w:p w14:paraId="0D9169C6" w14:textId="0A0B527B" w:rsidR="00F0542A" w:rsidRPr="00A07978" w:rsidRDefault="00F0542A" w:rsidP="00F0542A">
      <w:pPr>
        <w:pStyle w:val="ListParagraph"/>
        <w:numPr>
          <w:ilvl w:val="0"/>
          <w:numId w:val="50"/>
        </w:numPr>
        <w:tabs>
          <w:tab w:val="left" w:pos="1276"/>
        </w:tabs>
        <w:spacing w:after="120" w:line="240" w:lineRule="exact"/>
        <w:ind w:left="851" w:right="720" w:firstLine="0"/>
        <w:jc w:val="both"/>
        <w:rPr>
          <w:lang w:val="en-GB"/>
        </w:rPr>
      </w:pPr>
      <w:r w:rsidRPr="00A07978">
        <w:rPr>
          <w:lang w:val="en-GB"/>
        </w:rPr>
        <w:t xml:space="preserve">Programme implementation </w:t>
      </w:r>
      <w:r w:rsidR="008421F0" w:rsidRPr="00A07978">
        <w:rPr>
          <w:lang w:val="en-GB"/>
        </w:rPr>
        <w:t xml:space="preserve">may </w:t>
      </w:r>
      <w:r w:rsidRPr="00A07978">
        <w:rPr>
          <w:lang w:val="en-GB"/>
        </w:rPr>
        <w:t xml:space="preserve">face multidimensional risks. Concerning security and political risks, various </w:t>
      </w:r>
      <w:r w:rsidR="00490F08" w:rsidRPr="00A07978">
        <w:rPr>
          <w:lang w:val="en-GB"/>
        </w:rPr>
        <w:t xml:space="preserve">country programme document (CPD) </w:t>
      </w:r>
      <w:r w:rsidRPr="00A07978">
        <w:rPr>
          <w:lang w:val="en-GB"/>
        </w:rPr>
        <w:t xml:space="preserve">stakeholders could be involved in electoral campaigns during the local and legislative elections (2025), </w:t>
      </w:r>
      <w:r w:rsidR="008421F0" w:rsidRPr="00A07978">
        <w:rPr>
          <w:lang w:val="en-GB"/>
        </w:rPr>
        <w:t xml:space="preserve">or </w:t>
      </w:r>
      <w:r w:rsidRPr="00A07978">
        <w:rPr>
          <w:lang w:val="en-GB"/>
        </w:rPr>
        <w:t xml:space="preserve">the </w:t>
      </w:r>
      <w:r w:rsidR="008421F0" w:rsidRPr="00A07978">
        <w:rPr>
          <w:lang w:val="en-GB"/>
        </w:rPr>
        <w:t xml:space="preserve">2027 </w:t>
      </w:r>
      <w:r w:rsidRPr="00A07978">
        <w:rPr>
          <w:lang w:val="en-GB"/>
        </w:rPr>
        <w:t>presidential election, which could jeopardize availability for CPD implementation</w:t>
      </w:r>
      <w:r w:rsidR="008421F0" w:rsidRPr="00A07978">
        <w:rPr>
          <w:lang w:val="en-GB"/>
        </w:rPr>
        <w:t xml:space="preserve"> and</w:t>
      </w:r>
      <w:r w:rsidRPr="00A07978">
        <w:rPr>
          <w:lang w:val="en-GB"/>
        </w:rPr>
        <w:t xml:space="preserve"> delay the achievement </w:t>
      </w:r>
      <w:r w:rsidRPr="00A07978">
        <w:rPr>
          <w:lang w:val="en-GB"/>
        </w:rPr>
        <w:lastRenderedPageBreak/>
        <w:t xml:space="preserve">of programme results. </w:t>
      </w:r>
      <w:r w:rsidR="008421F0" w:rsidRPr="00A07978">
        <w:rPr>
          <w:lang w:val="en-GB"/>
        </w:rPr>
        <w:t xml:space="preserve">Persisting </w:t>
      </w:r>
      <w:r w:rsidRPr="00A07978">
        <w:rPr>
          <w:lang w:val="en-GB"/>
        </w:rPr>
        <w:t xml:space="preserve">cross-border </w:t>
      </w:r>
      <w:r w:rsidR="008421F0" w:rsidRPr="00A07978">
        <w:rPr>
          <w:lang w:val="en-GB"/>
        </w:rPr>
        <w:t xml:space="preserve">tensions </w:t>
      </w:r>
      <w:r w:rsidRPr="00A07978">
        <w:rPr>
          <w:lang w:val="en-GB"/>
        </w:rPr>
        <w:t xml:space="preserve">in the Great Lakes sub-region </w:t>
      </w:r>
      <w:r w:rsidR="008421F0" w:rsidRPr="00A07978">
        <w:rPr>
          <w:lang w:val="en-GB"/>
        </w:rPr>
        <w:t xml:space="preserve">may </w:t>
      </w:r>
      <w:r w:rsidRPr="00A07978">
        <w:rPr>
          <w:lang w:val="en-GB"/>
        </w:rPr>
        <w:t>negatively impact programme implementation</w:t>
      </w:r>
      <w:r w:rsidR="008421F0" w:rsidRPr="00A07978">
        <w:rPr>
          <w:lang w:val="en-GB"/>
        </w:rPr>
        <w:t>,</w:t>
      </w:r>
      <w:r w:rsidRPr="00A07978">
        <w:rPr>
          <w:lang w:val="en-GB"/>
        </w:rPr>
        <w:t xml:space="preserve"> particularly in border areas, </w:t>
      </w:r>
      <w:r w:rsidR="008421F0" w:rsidRPr="00A07978">
        <w:rPr>
          <w:lang w:val="en-GB"/>
        </w:rPr>
        <w:t xml:space="preserve">which has the potential to increase </w:t>
      </w:r>
      <w:r w:rsidRPr="00A07978">
        <w:rPr>
          <w:lang w:val="en-GB"/>
        </w:rPr>
        <w:t xml:space="preserve">the displacement of </w:t>
      </w:r>
      <w:r w:rsidR="008421F0" w:rsidRPr="00A07978">
        <w:rPr>
          <w:lang w:val="en-GB"/>
        </w:rPr>
        <w:t xml:space="preserve">local </w:t>
      </w:r>
      <w:r w:rsidRPr="00A07978">
        <w:rPr>
          <w:lang w:val="en-GB"/>
        </w:rPr>
        <w:t xml:space="preserve">populations and </w:t>
      </w:r>
      <w:r w:rsidR="008421F0" w:rsidRPr="00A07978">
        <w:rPr>
          <w:lang w:val="en-GB"/>
        </w:rPr>
        <w:t>further</w:t>
      </w:r>
      <w:r w:rsidRPr="00A07978">
        <w:rPr>
          <w:lang w:val="en-GB"/>
        </w:rPr>
        <w:t xml:space="preserve"> </w:t>
      </w:r>
      <w:r w:rsidR="008421F0" w:rsidRPr="00A07978">
        <w:rPr>
          <w:lang w:val="en-GB"/>
        </w:rPr>
        <w:t xml:space="preserve">deteriorate existing </w:t>
      </w:r>
      <w:r w:rsidRPr="00A07978">
        <w:rPr>
          <w:lang w:val="en-GB"/>
        </w:rPr>
        <w:t>humanitarian crises. Furthermore,</w:t>
      </w:r>
      <w:r w:rsidR="008421F0" w:rsidRPr="00A07978">
        <w:rPr>
          <w:lang w:val="en-GB"/>
        </w:rPr>
        <w:t xml:space="preserve"> these</w:t>
      </w:r>
      <w:r w:rsidRPr="00A07978">
        <w:rPr>
          <w:lang w:val="en-GB"/>
        </w:rPr>
        <w:t xml:space="preserve"> </w:t>
      </w:r>
      <w:r w:rsidR="008421F0" w:rsidRPr="00A07978">
        <w:rPr>
          <w:lang w:val="en-GB"/>
        </w:rPr>
        <w:t>can</w:t>
      </w:r>
      <w:r w:rsidRPr="00A07978">
        <w:rPr>
          <w:lang w:val="en-GB"/>
        </w:rPr>
        <w:t xml:space="preserve"> hinder social cohesion and peace capitalization process</w:t>
      </w:r>
      <w:r w:rsidR="008421F0" w:rsidRPr="00A07978">
        <w:rPr>
          <w:lang w:val="en-GB"/>
        </w:rPr>
        <w:t>es</w:t>
      </w:r>
      <w:r w:rsidRPr="00A07978">
        <w:rPr>
          <w:lang w:val="en-GB"/>
        </w:rPr>
        <w:t>. To manage these risks, UNDP will work with stakeholders to establish a monitoring and early warning system, conduct conflict sensitivity analys</w:t>
      </w:r>
      <w:r w:rsidR="008421F0" w:rsidRPr="00A07978">
        <w:rPr>
          <w:lang w:val="en-GB"/>
        </w:rPr>
        <w:t>e</w:t>
      </w:r>
      <w:r w:rsidRPr="00A07978">
        <w:rPr>
          <w:lang w:val="en-GB"/>
        </w:rPr>
        <w:t>s and programme criticality exercise</w:t>
      </w:r>
      <w:r w:rsidR="008421F0" w:rsidRPr="00A07978">
        <w:rPr>
          <w:lang w:val="en-GB"/>
        </w:rPr>
        <w:t>s</w:t>
      </w:r>
      <w:r w:rsidRPr="00A07978">
        <w:rPr>
          <w:lang w:val="en-GB"/>
        </w:rPr>
        <w:t xml:space="preserve"> that contribute to adjusting the programme scope. </w:t>
      </w:r>
      <w:r w:rsidR="008421F0" w:rsidRPr="00A07978">
        <w:rPr>
          <w:lang w:val="en-GB"/>
        </w:rPr>
        <w:t>C</w:t>
      </w:r>
      <w:r w:rsidRPr="00A07978">
        <w:rPr>
          <w:lang w:val="en-GB"/>
        </w:rPr>
        <w:t xml:space="preserve">ivic education programmes </w:t>
      </w:r>
      <w:r w:rsidR="008421F0" w:rsidRPr="00A07978">
        <w:rPr>
          <w:lang w:val="en-GB"/>
        </w:rPr>
        <w:t xml:space="preserve">that target </w:t>
      </w:r>
      <w:r w:rsidRPr="00A07978">
        <w:rPr>
          <w:lang w:val="en-GB"/>
        </w:rPr>
        <w:t xml:space="preserve">youth </w:t>
      </w:r>
      <w:r w:rsidR="008421F0" w:rsidRPr="00A07978">
        <w:rPr>
          <w:lang w:val="en-GB"/>
        </w:rPr>
        <w:t>will rely on</w:t>
      </w:r>
      <w:r w:rsidRPr="00A07978">
        <w:rPr>
          <w:lang w:val="en-GB"/>
        </w:rPr>
        <w:t xml:space="preserve"> </w:t>
      </w:r>
      <w:r w:rsidR="008421F0" w:rsidRPr="00A07978">
        <w:rPr>
          <w:lang w:val="en-GB"/>
        </w:rPr>
        <w:t xml:space="preserve">reinforcing </w:t>
      </w:r>
      <w:r w:rsidRPr="00A07978">
        <w:rPr>
          <w:lang w:val="en-GB"/>
        </w:rPr>
        <w:t xml:space="preserve">social media and civil society engagement. </w:t>
      </w:r>
    </w:p>
    <w:p w14:paraId="7AF84A13" w14:textId="055F8D45" w:rsidR="00F0542A" w:rsidRPr="00A07978" w:rsidRDefault="00F0542A" w:rsidP="00F0542A">
      <w:pPr>
        <w:pStyle w:val="ListParagraph"/>
        <w:numPr>
          <w:ilvl w:val="0"/>
          <w:numId w:val="50"/>
        </w:numPr>
        <w:tabs>
          <w:tab w:val="left" w:pos="1276"/>
        </w:tabs>
        <w:spacing w:after="120" w:line="240" w:lineRule="exact"/>
        <w:ind w:left="851" w:right="720" w:firstLine="0"/>
        <w:jc w:val="both"/>
        <w:rPr>
          <w:lang w:val="en-GB"/>
        </w:rPr>
      </w:pPr>
      <w:r w:rsidRPr="00A07978">
        <w:rPr>
          <w:lang w:val="en-GB"/>
        </w:rPr>
        <w:t xml:space="preserve">Existing stereotypes and cultural beliefs </w:t>
      </w:r>
      <w:r w:rsidR="008421F0" w:rsidRPr="00A07978">
        <w:rPr>
          <w:lang w:val="en-GB"/>
        </w:rPr>
        <w:t xml:space="preserve">may </w:t>
      </w:r>
      <w:r w:rsidRPr="00A07978">
        <w:rPr>
          <w:lang w:val="en-GB"/>
        </w:rPr>
        <w:t xml:space="preserve">jeopardize gender equality mainstreaming efforts, including specific programme benefits for women and the application of human-rights approach. UNDP will apply corporate social and environmental standards (including gender marker and screening) to identify and mitigate the impact of gender stereotypes and negative cultural beliefs, </w:t>
      </w:r>
      <w:r w:rsidR="008421F0" w:rsidRPr="00A07978">
        <w:rPr>
          <w:lang w:val="en-GB"/>
        </w:rPr>
        <w:t>as well as the</w:t>
      </w:r>
      <w:r w:rsidRPr="00A07978">
        <w:rPr>
          <w:lang w:val="en-GB"/>
        </w:rPr>
        <w:t xml:space="preserve"> potential environmental impact of activities related to the promotion of value chains. UNDP </w:t>
      </w:r>
      <w:r w:rsidR="008421F0" w:rsidRPr="00A07978">
        <w:rPr>
          <w:lang w:val="en-GB"/>
        </w:rPr>
        <w:t xml:space="preserve">action will </w:t>
      </w:r>
      <w:r w:rsidRPr="00A07978">
        <w:rPr>
          <w:lang w:val="en-GB"/>
        </w:rPr>
        <w:t xml:space="preserve">involve </w:t>
      </w:r>
      <w:r w:rsidR="008421F0" w:rsidRPr="00A07978">
        <w:rPr>
          <w:lang w:val="en-GB"/>
        </w:rPr>
        <w:t xml:space="preserve">close collaboration with </w:t>
      </w:r>
      <w:r w:rsidRPr="00A07978">
        <w:rPr>
          <w:lang w:val="en-GB"/>
        </w:rPr>
        <w:t xml:space="preserve">local communities, use </w:t>
      </w:r>
      <w:r w:rsidR="008421F0" w:rsidRPr="00A07978">
        <w:rPr>
          <w:lang w:val="en-GB"/>
        </w:rPr>
        <w:t xml:space="preserve">of </w:t>
      </w:r>
      <w:r w:rsidRPr="00A07978">
        <w:rPr>
          <w:lang w:val="en-GB"/>
        </w:rPr>
        <w:t xml:space="preserve">best practices and </w:t>
      </w:r>
      <w:r w:rsidR="008421F0" w:rsidRPr="00A07978">
        <w:rPr>
          <w:lang w:val="en-GB"/>
        </w:rPr>
        <w:t xml:space="preserve">development of </w:t>
      </w:r>
      <w:r w:rsidRPr="00A07978">
        <w:rPr>
          <w:lang w:val="en-GB"/>
        </w:rPr>
        <w:t>innovat</w:t>
      </w:r>
      <w:r w:rsidR="008421F0" w:rsidRPr="00A07978">
        <w:rPr>
          <w:lang w:val="en-GB"/>
        </w:rPr>
        <w:t xml:space="preserve">ive, </w:t>
      </w:r>
      <w:r w:rsidRPr="00A07978">
        <w:rPr>
          <w:lang w:val="en-GB"/>
        </w:rPr>
        <w:t>durable solutions</w:t>
      </w:r>
      <w:r w:rsidR="008421F0" w:rsidRPr="00A07978">
        <w:rPr>
          <w:lang w:val="en-GB"/>
        </w:rPr>
        <w:t>, as well as investing in a</w:t>
      </w:r>
      <w:r w:rsidRPr="00A07978">
        <w:rPr>
          <w:lang w:val="en-GB"/>
        </w:rPr>
        <w:t>ccountability mechanisms and regular programme and project</w:t>
      </w:r>
      <w:r w:rsidR="008421F0" w:rsidRPr="00A07978">
        <w:rPr>
          <w:lang w:val="en-GB"/>
        </w:rPr>
        <w:t xml:space="preserve"> quality assessments</w:t>
      </w:r>
      <w:r w:rsidRPr="00A07978">
        <w:rPr>
          <w:lang w:val="en-GB"/>
        </w:rPr>
        <w:t xml:space="preserve"> at inception and implementation </w:t>
      </w:r>
      <w:r w:rsidR="008421F0" w:rsidRPr="00A07978">
        <w:rPr>
          <w:lang w:val="en-GB"/>
        </w:rPr>
        <w:t xml:space="preserve">phases </w:t>
      </w:r>
      <w:r w:rsidRPr="00A07978">
        <w:rPr>
          <w:lang w:val="en-GB"/>
        </w:rPr>
        <w:t>to ensure potential risks and impacts are identified and management plans implemented.</w:t>
      </w:r>
    </w:p>
    <w:p w14:paraId="470E7693" w14:textId="5BED34D7" w:rsidR="00F0542A" w:rsidRPr="00A07978" w:rsidRDefault="00F0542A" w:rsidP="00F0542A">
      <w:pPr>
        <w:pStyle w:val="ListParagraph"/>
        <w:numPr>
          <w:ilvl w:val="0"/>
          <w:numId w:val="50"/>
        </w:numPr>
        <w:tabs>
          <w:tab w:val="left" w:pos="1276"/>
        </w:tabs>
        <w:spacing w:after="120" w:line="240" w:lineRule="exact"/>
        <w:ind w:left="851" w:right="720" w:firstLine="0"/>
        <w:jc w:val="both"/>
        <w:rPr>
          <w:lang w:val="en-GB"/>
        </w:rPr>
      </w:pPr>
      <w:r w:rsidRPr="00A07978">
        <w:rPr>
          <w:lang w:val="en-GB"/>
        </w:rPr>
        <w:t xml:space="preserve">The programme will </w:t>
      </w:r>
      <w:r w:rsidR="008421F0" w:rsidRPr="00A07978">
        <w:rPr>
          <w:lang w:val="en-GB"/>
        </w:rPr>
        <w:t>integrate</w:t>
      </w:r>
      <w:r w:rsidRPr="00A07978">
        <w:rPr>
          <w:lang w:val="en-GB"/>
        </w:rPr>
        <w:t xml:space="preserve"> portfolio and results-based approaches to sustain effectiveness and efficiency, ensur</w:t>
      </w:r>
      <w:r w:rsidR="008421F0" w:rsidRPr="00A07978">
        <w:rPr>
          <w:lang w:val="en-GB"/>
        </w:rPr>
        <w:t>ing</w:t>
      </w:r>
      <w:r w:rsidRPr="00A07978">
        <w:rPr>
          <w:lang w:val="en-GB"/>
        </w:rPr>
        <w:t xml:space="preserve"> contribution</w:t>
      </w:r>
      <w:r w:rsidR="008421F0" w:rsidRPr="00A07978">
        <w:rPr>
          <w:lang w:val="en-GB"/>
        </w:rPr>
        <w:t>s</w:t>
      </w:r>
      <w:r w:rsidRPr="00A07978">
        <w:rPr>
          <w:lang w:val="en-GB"/>
        </w:rPr>
        <w:t xml:space="preserve"> to the UNSDCF </w:t>
      </w:r>
      <w:r w:rsidR="008421F0" w:rsidRPr="00A07978">
        <w:rPr>
          <w:lang w:val="en-GB"/>
        </w:rPr>
        <w:t xml:space="preserve">are </w:t>
      </w:r>
      <w:r w:rsidRPr="00A07978">
        <w:rPr>
          <w:lang w:val="en-GB"/>
        </w:rPr>
        <w:t>in line with national priorities and the Strategic Plan 2022-2025</w:t>
      </w:r>
      <w:r w:rsidR="00FA39C1" w:rsidRPr="00A07978">
        <w:rPr>
          <w:lang w:val="en-GB"/>
        </w:rPr>
        <w:t xml:space="preserve"> to augment</w:t>
      </w:r>
      <w:r w:rsidRPr="00A07978">
        <w:rPr>
          <w:lang w:val="en-GB"/>
        </w:rPr>
        <w:t xml:space="preserve"> 2030 Agenda</w:t>
      </w:r>
      <w:r w:rsidR="00FA39C1" w:rsidRPr="00A07978">
        <w:rPr>
          <w:lang w:val="en-GB"/>
        </w:rPr>
        <w:t xml:space="preserve"> progress</w:t>
      </w:r>
      <w:r w:rsidRPr="00A07978">
        <w:rPr>
          <w:lang w:val="en-GB"/>
        </w:rPr>
        <w:t xml:space="preserve">. </w:t>
      </w:r>
      <w:r w:rsidR="00FA39C1" w:rsidRPr="00A07978">
        <w:rPr>
          <w:lang w:val="en-GB"/>
        </w:rPr>
        <w:t>The programme is</w:t>
      </w:r>
      <w:r w:rsidRPr="00A07978">
        <w:rPr>
          <w:lang w:val="en-GB"/>
        </w:rPr>
        <w:t xml:space="preserve"> based on diversifying strategic alliances and funding sources </w:t>
      </w:r>
      <w:r w:rsidR="00FA39C1" w:rsidRPr="00A07978">
        <w:rPr>
          <w:lang w:val="en-GB"/>
        </w:rPr>
        <w:t>to expand</w:t>
      </w:r>
      <w:r w:rsidRPr="00A07978">
        <w:rPr>
          <w:lang w:val="en-GB"/>
        </w:rPr>
        <w:t xml:space="preserve"> opportunities to fund innovative solutions to complex development challenges. </w:t>
      </w:r>
      <w:r w:rsidR="00FA39C1" w:rsidRPr="00A07978">
        <w:rPr>
          <w:lang w:val="en-GB"/>
        </w:rPr>
        <w:t>P</w:t>
      </w:r>
      <w:r w:rsidRPr="00A07978">
        <w:rPr>
          <w:lang w:val="en-GB"/>
        </w:rPr>
        <w:t xml:space="preserve">artnerships will be strengthened and diversified with other traditional and non-traditional bilateral development partners and multilateral agencies, the private sector, and national institutions. </w:t>
      </w:r>
      <w:r w:rsidR="00FA39C1" w:rsidRPr="00A07978">
        <w:rPr>
          <w:lang w:val="en-GB"/>
        </w:rPr>
        <w:t xml:space="preserve">Moreover, </w:t>
      </w:r>
      <w:r w:rsidRPr="00A07978">
        <w:rPr>
          <w:lang w:val="en-GB"/>
        </w:rPr>
        <w:t xml:space="preserve">UNDP will systematically apply due diligence guidelines to mitigate risks when engaging with private sector. It will participate in </w:t>
      </w:r>
      <w:r w:rsidR="00FA39C1" w:rsidRPr="00A07978">
        <w:rPr>
          <w:lang w:val="en-GB"/>
        </w:rPr>
        <w:t xml:space="preserve">United Nations development system </w:t>
      </w:r>
      <w:r w:rsidRPr="00A07978">
        <w:rPr>
          <w:lang w:val="en-GB"/>
        </w:rPr>
        <w:t xml:space="preserve">working and results groups on joint initiatives. By adhering to </w:t>
      </w:r>
      <w:r w:rsidR="0004508F" w:rsidRPr="00A07978">
        <w:rPr>
          <w:lang w:val="en-GB"/>
        </w:rPr>
        <w:t>Business Operations Strategy (</w:t>
      </w:r>
      <w:r w:rsidRPr="00A07978">
        <w:rPr>
          <w:lang w:val="en-GB"/>
        </w:rPr>
        <w:t>BOS</w:t>
      </w:r>
      <w:r w:rsidR="0004508F" w:rsidRPr="00A07978">
        <w:rPr>
          <w:lang w:val="en-GB"/>
        </w:rPr>
        <w:t>)</w:t>
      </w:r>
      <w:r w:rsidRPr="00A07978">
        <w:rPr>
          <w:lang w:val="en-GB"/>
        </w:rPr>
        <w:t>, UNDP will ensure cost-effectiveness and mitigate the risk of inflation on the prices of goods.</w:t>
      </w:r>
    </w:p>
    <w:p w14:paraId="191B3EE0" w14:textId="4B1A22A8" w:rsidR="00F0542A" w:rsidRPr="00A07978" w:rsidRDefault="00F0542A" w:rsidP="00F0542A">
      <w:pPr>
        <w:pStyle w:val="ListParagraph"/>
        <w:numPr>
          <w:ilvl w:val="0"/>
          <w:numId w:val="50"/>
        </w:numPr>
        <w:tabs>
          <w:tab w:val="left" w:pos="1276"/>
        </w:tabs>
        <w:spacing w:after="120" w:line="240" w:lineRule="exact"/>
        <w:ind w:left="851" w:right="720" w:firstLine="0"/>
        <w:jc w:val="both"/>
        <w:rPr>
          <w:lang w:val="en-GB"/>
        </w:rPr>
      </w:pPr>
      <w:r w:rsidRPr="00A07978">
        <w:rPr>
          <w:lang w:val="en-GB"/>
        </w:rPr>
        <w:t>The</w:t>
      </w:r>
      <w:r w:rsidR="00FA39C1" w:rsidRPr="00A07978">
        <w:rPr>
          <w:lang w:val="en-GB"/>
        </w:rPr>
        <w:t xml:space="preserve"> national m</w:t>
      </w:r>
      <w:r w:rsidRPr="00A07978">
        <w:rPr>
          <w:lang w:val="en-GB"/>
        </w:rPr>
        <w:t>inistry in charge of cooperation ensures responsibility for coordination</w:t>
      </w:r>
      <w:r w:rsidR="002E67B6" w:rsidRPr="00A07978">
        <w:rPr>
          <w:lang w:val="en-GB"/>
        </w:rPr>
        <w:t xml:space="preserve"> while</w:t>
      </w:r>
      <w:r w:rsidRPr="00A07978">
        <w:rPr>
          <w:lang w:val="en-GB"/>
        </w:rPr>
        <w:t xml:space="preserve"> other national and sub-national entities </w:t>
      </w:r>
      <w:r w:rsidR="002E67B6" w:rsidRPr="00A07978">
        <w:rPr>
          <w:lang w:val="en-GB"/>
        </w:rPr>
        <w:t>are core</w:t>
      </w:r>
      <w:r w:rsidRPr="00A07978">
        <w:rPr>
          <w:lang w:val="en-GB"/>
        </w:rPr>
        <w:t xml:space="preserve"> implementing partners. A joint Steering Committee will be established with the participation of ministries representatives</w:t>
      </w:r>
      <w:r w:rsidR="002E67B6" w:rsidRPr="00A07978">
        <w:rPr>
          <w:lang w:val="en-GB"/>
        </w:rPr>
        <w:t xml:space="preserve"> and </w:t>
      </w:r>
      <w:r w:rsidR="008F67F3" w:rsidRPr="00A07978">
        <w:rPr>
          <w:lang w:val="en-GB"/>
        </w:rPr>
        <w:t xml:space="preserve">those from </w:t>
      </w:r>
      <w:r w:rsidRPr="00A07978">
        <w:rPr>
          <w:lang w:val="en-GB"/>
        </w:rPr>
        <w:t>civil society</w:t>
      </w:r>
      <w:r w:rsidR="008F67F3" w:rsidRPr="00A07978">
        <w:rPr>
          <w:lang w:val="en-GB"/>
        </w:rPr>
        <w:t xml:space="preserve">, </w:t>
      </w:r>
      <w:r w:rsidRPr="00A07978">
        <w:rPr>
          <w:lang w:val="en-GB"/>
        </w:rPr>
        <w:t xml:space="preserve">beneficiaries, the private sector, and other relevant partners. Using the risk monitoring matrix as an early warning, risk management and decision-making tool, the steering committee will regularly monitor and </w:t>
      </w:r>
      <w:r w:rsidR="00A07978" w:rsidRPr="00A07978">
        <w:rPr>
          <w:lang w:val="en-GB"/>
        </w:rPr>
        <w:t>analyse</w:t>
      </w:r>
      <w:r w:rsidRPr="00A07978">
        <w:rPr>
          <w:lang w:val="en-GB"/>
        </w:rPr>
        <w:t xml:space="preserve"> mitigating measures. </w:t>
      </w:r>
    </w:p>
    <w:p w14:paraId="30FCE029" w14:textId="583D8FFE" w:rsidR="00F0542A" w:rsidRPr="00A07978" w:rsidRDefault="00F0542A" w:rsidP="00F0542A">
      <w:pPr>
        <w:pStyle w:val="ListParagraph"/>
        <w:numPr>
          <w:ilvl w:val="0"/>
          <w:numId w:val="50"/>
        </w:numPr>
        <w:tabs>
          <w:tab w:val="left" w:pos="1276"/>
        </w:tabs>
        <w:spacing w:after="120" w:line="240" w:lineRule="exact"/>
        <w:ind w:left="851" w:right="720" w:firstLine="0"/>
        <w:jc w:val="both"/>
        <w:rPr>
          <w:lang w:val="en-GB"/>
        </w:rPr>
      </w:pPr>
      <w:r w:rsidRPr="00A07978">
        <w:rPr>
          <w:lang w:val="en-GB"/>
        </w:rPr>
        <w:t xml:space="preserve">UNDP will support the Government </w:t>
      </w:r>
      <w:r w:rsidR="008F67F3" w:rsidRPr="00A07978">
        <w:rPr>
          <w:lang w:val="en-GB"/>
        </w:rPr>
        <w:t xml:space="preserve">of Burundi </w:t>
      </w:r>
      <w:r w:rsidRPr="00A07978">
        <w:rPr>
          <w:lang w:val="en-GB"/>
        </w:rPr>
        <w:t xml:space="preserve">in: (i) </w:t>
      </w:r>
      <w:r w:rsidR="008F67F3" w:rsidRPr="00A07978">
        <w:rPr>
          <w:lang w:val="en-GB"/>
        </w:rPr>
        <w:t>e</w:t>
      </w:r>
      <w:r w:rsidRPr="00A07978">
        <w:rPr>
          <w:lang w:val="en-GB"/>
        </w:rPr>
        <w:t xml:space="preserve">stablishing </w:t>
      </w:r>
      <w:r w:rsidR="001F3895" w:rsidRPr="00A07978">
        <w:rPr>
          <w:lang w:val="en-GB"/>
        </w:rPr>
        <w:t>South-South and triangular cooperation</w:t>
      </w:r>
      <w:r w:rsidRPr="00A07978">
        <w:rPr>
          <w:lang w:val="en-GB"/>
        </w:rPr>
        <w:t xml:space="preserve"> by identifying and promoting systematic sharing of solutions, experiences, innovations, and good practices that will be used to reinforce national capacities and inform strategic reforms and choices of the </w:t>
      </w:r>
      <w:r w:rsidR="00CB3623" w:rsidRPr="00A07978">
        <w:rPr>
          <w:lang w:val="en-GB"/>
        </w:rPr>
        <w:t>g</w:t>
      </w:r>
      <w:r w:rsidRPr="00A07978">
        <w:rPr>
          <w:lang w:val="en-GB"/>
        </w:rPr>
        <w:t>overnment</w:t>
      </w:r>
      <w:r w:rsidR="00CB3623" w:rsidRPr="00A07978">
        <w:rPr>
          <w:lang w:val="en-GB"/>
        </w:rPr>
        <w:t xml:space="preserve">, </w:t>
      </w:r>
      <w:r w:rsidRPr="00A07978">
        <w:rPr>
          <w:lang w:val="en-GB"/>
        </w:rPr>
        <w:t xml:space="preserve">and (ii) improving dialogue and coordination with development partners. UNDP will leverage </w:t>
      </w:r>
      <w:r w:rsidR="00CB3623" w:rsidRPr="00A07978">
        <w:rPr>
          <w:lang w:val="en-GB"/>
        </w:rPr>
        <w:t xml:space="preserve">the Peacebuilding Fund </w:t>
      </w:r>
      <w:r w:rsidRPr="00A07978">
        <w:rPr>
          <w:lang w:val="en-GB"/>
        </w:rPr>
        <w:t xml:space="preserve">and </w:t>
      </w:r>
      <w:r w:rsidR="00CB3623" w:rsidRPr="00A07978">
        <w:rPr>
          <w:lang w:val="en-GB"/>
        </w:rPr>
        <w:t>similar multi-partner trust funds (</w:t>
      </w:r>
      <w:r w:rsidRPr="00A07978">
        <w:rPr>
          <w:lang w:val="en-GB"/>
        </w:rPr>
        <w:t>MPTFs</w:t>
      </w:r>
      <w:r w:rsidR="00CB3623" w:rsidRPr="00A07978">
        <w:rPr>
          <w:lang w:val="en-GB"/>
        </w:rPr>
        <w:t>)</w:t>
      </w:r>
      <w:r w:rsidRPr="00A07978">
        <w:rPr>
          <w:lang w:val="en-GB"/>
        </w:rPr>
        <w:t xml:space="preserve"> </w:t>
      </w:r>
      <w:r w:rsidR="00CB3623" w:rsidRPr="00A07978">
        <w:rPr>
          <w:lang w:val="en-GB"/>
        </w:rPr>
        <w:t xml:space="preserve">and continue </w:t>
      </w:r>
      <w:r w:rsidRPr="00A07978">
        <w:rPr>
          <w:lang w:val="en-GB"/>
        </w:rPr>
        <w:t>engag</w:t>
      </w:r>
      <w:r w:rsidR="00CB3623" w:rsidRPr="00A07978">
        <w:rPr>
          <w:lang w:val="en-GB"/>
        </w:rPr>
        <w:t>ing closely</w:t>
      </w:r>
      <w:r w:rsidRPr="00A07978">
        <w:rPr>
          <w:lang w:val="en-GB"/>
        </w:rPr>
        <w:t xml:space="preserve"> with donors </w:t>
      </w:r>
      <w:r w:rsidR="00CB3623" w:rsidRPr="00A07978">
        <w:rPr>
          <w:lang w:val="en-GB"/>
        </w:rPr>
        <w:t>from</w:t>
      </w:r>
      <w:r w:rsidRPr="00A07978">
        <w:rPr>
          <w:lang w:val="en-GB"/>
        </w:rPr>
        <w:t xml:space="preserve"> Canada, Switzerland, </w:t>
      </w:r>
      <w:r w:rsidR="00CB3623" w:rsidRPr="00A07978">
        <w:rPr>
          <w:lang w:val="en-GB"/>
        </w:rPr>
        <w:t xml:space="preserve">the </w:t>
      </w:r>
      <w:r w:rsidRPr="00A07978">
        <w:rPr>
          <w:lang w:val="en-GB"/>
        </w:rPr>
        <w:t xml:space="preserve">British High Commission, Japan, Republic of Korea, Denmark, Sweden, Norway, India, Turkey, </w:t>
      </w:r>
      <w:r w:rsidR="00CB3623" w:rsidRPr="00A07978">
        <w:rPr>
          <w:lang w:val="en-GB"/>
        </w:rPr>
        <w:t>United States of America</w:t>
      </w:r>
      <w:r w:rsidRPr="00A07978">
        <w:rPr>
          <w:lang w:val="en-GB"/>
        </w:rPr>
        <w:t>, and Team Europe through field trips, events, and co-creation opportunities.</w:t>
      </w:r>
    </w:p>
    <w:p w14:paraId="388B45E3" w14:textId="7C13C168" w:rsidR="0040442F" w:rsidRPr="00A07978" w:rsidRDefault="0040442F" w:rsidP="00BF56C5">
      <w:pPr>
        <w:pStyle w:val="ListParagraph"/>
        <w:keepNext/>
        <w:widowControl w:val="0"/>
        <w:numPr>
          <w:ilvl w:val="0"/>
          <w:numId w:val="54"/>
        </w:numPr>
        <w:tabs>
          <w:tab w:val="left" w:pos="1260"/>
          <w:tab w:val="left" w:pos="1800"/>
        </w:tabs>
        <w:suppressAutoHyphens/>
        <w:spacing w:after="200" w:line="240" w:lineRule="exact"/>
        <w:ind w:left="851" w:right="720" w:hanging="180"/>
        <w:jc w:val="both"/>
        <w:outlineLvl w:val="0"/>
        <w:rPr>
          <w:b/>
          <w:color w:val="000000"/>
          <w:spacing w:val="-3"/>
          <w:sz w:val="24"/>
          <w:szCs w:val="24"/>
          <w:lang w:val="en-GB" w:eastAsia="x-none"/>
        </w:rPr>
      </w:pPr>
      <w:r w:rsidRPr="00A07978">
        <w:rPr>
          <w:b/>
          <w:color w:val="000000"/>
          <w:spacing w:val="-3"/>
          <w:sz w:val="24"/>
          <w:szCs w:val="24"/>
          <w:lang w:val="en-GB" w:eastAsia="x-none"/>
        </w:rPr>
        <w:t xml:space="preserve">Monitoring and </w:t>
      </w:r>
      <w:r w:rsidR="00BC261E" w:rsidRPr="00A07978">
        <w:rPr>
          <w:b/>
          <w:color w:val="000000"/>
          <w:spacing w:val="-3"/>
          <w:sz w:val="24"/>
          <w:szCs w:val="24"/>
          <w:lang w:val="en-GB" w:eastAsia="x-none"/>
        </w:rPr>
        <w:t>e</w:t>
      </w:r>
      <w:r w:rsidRPr="00A07978">
        <w:rPr>
          <w:b/>
          <w:color w:val="000000"/>
          <w:spacing w:val="-3"/>
          <w:sz w:val="24"/>
          <w:szCs w:val="24"/>
          <w:lang w:val="en-GB" w:eastAsia="x-none"/>
        </w:rPr>
        <w:t>valuation</w:t>
      </w:r>
    </w:p>
    <w:p w14:paraId="5B42EFC2" w14:textId="5708F5E1" w:rsidR="00F0542A" w:rsidRPr="00A07978" w:rsidRDefault="00F0542A" w:rsidP="00BF56C5">
      <w:pPr>
        <w:pStyle w:val="CPDTexte"/>
        <w:numPr>
          <w:ilvl w:val="0"/>
          <w:numId w:val="50"/>
        </w:numPr>
        <w:tabs>
          <w:tab w:val="clear" w:pos="1560"/>
          <w:tab w:val="left" w:pos="1276"/>
        </w:tabs>
        <w:ind w:left="851" w:right="713" w:firstLine="0"/>
        <w:rPr>
          <w:lang w:val="en-GB"/>
        </w:rPr>
      </w:pPr>
      <w:r w:rsidRPr="00A07978">
        <w:rPr>
          <w:lang w:val="en-GB"/>
        </w:rPr>
        <w:t xml:space="preserve">To ensure results and optimize the use of programme resources, UNDP will develop and implement </w:t>
      </w:r>
      <w:r w:rsidR="00A07978" w:rsidRPr="00A07978">
        <w:rPr>
          <w:lang w:val="en-GB"/>
        </w:rPr>
        <w:t>a</w:t>
      </w:r>
      <w:r w:rsidRPr="00A07978">
        <w:rPr>
          <w:lang w:val="en-GB"/>
        </w:rPr>
        <w:t xml:space="preserve"> </w:t>
      </w:r>
      <w:r w:rsidR="00057482" w:rsidRPr="00A07978">
        <w:rPr>
          <w:lang w:val="en-GB"/>
        </w:rPr>
        <w:t>monitoring and evaluation</w:t>
      </w:r>
      <w:r w:rsidRPr="00A07978">
        <w:rPr>
          <w:lang w:val="en-GB"/>
        </w:rPr>
        <w:t xml:space="preserve"> plan and actively participate in the </w:t>
      </w:r>
      <w:r w:rsidR="00CB3623" w:rsidRPr="00A07978">
        <w:rPr>
          <w:lang w:val="en-GB"/>
        </w:rPr>
        <w:t>U</w:t>
      </w:r>
      <w:r w:rsidR="00057482" w:rsidRPr="00A07978">
        <w:rPr>
          <w:lang w:val="en-GB"/>
        </w:rPr>
        <w:t>nited Nations country team monitoring and evaluation</w:t>
      </w:r>
      <w:r w:rsidRPr="00A07978">
        <w:rPr>
          <w:lang w:val="en-GB"/>
        </w:rPr>
        <w:t xml:space="preserve"> working group </w:t>
      </w:r>
      <w:r w:rsidR="00CB3623" w:rsidRPr="00A07978">
        <w:rPr>
          <w:lang w:val="en-GB"/>
        </w:rPr>
        <w:t xml:space="preserve">to </w:t>
      </w:r>
      <w:r w:rsidRPr="00A07978">
        <w:rPr>
          <w:lang w:val="en-GB"/>
        </w:rPr>
        <w:t>effective</w:t>
      </w:r>
      <w:r w:rsidR="00CB3623" w:rsidRPr="00A07978">
        <w:rPr>
          <w:lang w:val="en-GB"/>
        </w:rPr>
        <w:t>ly</w:t>
      </w:r>
      <w:r w:rsidRPr="00A07978">
        <w:rPr>
          <w:lang w:val="en-GB"/>
        </w:rPr>
        <w:t xml:space="preserve"> captur</w:t>
      </w:r>
      <w:r w:rsidR="00CB3623" w:rsidRPr="00A07978">
        <w:rPr>
          <w:lang w:val="en-GB"/>
        </w:rPr>
        <w:t xml:space="preserve">e </w:t>
      </w:r>
      <w:r w:rsidRPr="00A07978">
        <w:rPr>
          <w:lang w:val="en-GB"/>
        </w:rPr>
        <w:t>UNDP contributions to the UNSDCF, NDP</w:t>
      </w:r>
      <w:r w:rsidR="00490F08" w:rsidRPr="00A07978">
        <w:rPr>
          <w:lang w:val="en-GB"/>
        </w:rPr>
        <w:t xml:space="preserve"> </w:t>
      </w:r>
      <w:r w:rsidRPr="00A07978">
        <w:rPr>
          <w:lang w:val="en-GB"/>
        </w:rPr>
        <w:t>2018-2027</w:t>
      </w:r>
      <w:r w:rsidR="00490F08" w:rsidRPr="00A07978">
        <w:rPr>
          <w:lang w:val="en-GB"/>
        </w:rPr>
        <w:t>,</w:t>
      </w:r>
      <w:r w:rsidRPr="00A07978">
        <w:rPr>
          <w:lang w:val="en-GB"/>
        </w:rPr>
        <w:t xml:space="preserve"> and </w:t>
      </w:r>
      <w:r w:rsidR="00CB3623" w:rsidRPr="00A07978">
        <w:rPr>
          <w:lang w:val="en-GB"/>
        </w:rPr>
        <w:t>SDG outcomes</w:t>
      </w:r>
      <w:r w:rsidRPr="00A07978">
        <w:rPr>
          <w:lang w:val="en-GB"/>
        </w:rPr>
        <w:t>. High-level consultations and dialogues will be held twice a year as part of the UNDP process to assess the effectiveness and efficiency of the programme. UNDP and the Government</w:t>
      </w:r>
      <w:r w:rsidR="00647469" w:rsidRPr="00A07978">
        <w:rPr>
          <w:lang w:val="en-GB"/>
        </w:rPr>
        <w:t xml:space="preserve"> of Burundi</w:t>
      </w:r>
      <w:r w:rsidRPr="00A07978">
        <w:rPr>
          <w:lang w:val="en-GB"/>
        </w:rPr>
        <w:t xml:space="preserve"> will jointly organize mid-term and annual </w:t>
      </w:r>
      <w:r w:rsidRPr="00A07978">
        <w:rPr>
          <w:lang w:val="en-GB"/>
        </w:rPr>
        <w:lastRenderedPageBreak/>
        <w:t xml:space="preserve">reviews, including </w:t>
      </w:r>
      <w:r w:rsidR="00647469" w:rsidRPr="00A07978">
        <w:rPr>
          <w:lang w:val="en-GB"/>
        </w:rPr>
        <w:t xml:space="preserve">annual </w:t>
      </w:r>
      <w:r w:rsidRPr="00A07978">
        <w:rPr>
          <w:lang w:val="en-GB"/>
        </w:rPr>
        <w:t xml:space="preserve">field visits, to ensure stakeholder ownership </w:t>
      </w:r>
      <w:r w:rsidR="00647469" w:rsidRPr="00A07978">
        <w:rPr>
          <w:lang w:val="en-GB"/>
        </w:rPr>
        <w:t>of measuring</w:t>
      </w:r>
      <w:r w:rsidRPr="00A07978">
        <w:rPr>
          <w:lang w:val="en-GB"/>
        </w:rPr>
        <w:t xml:space="preserve"> progress towards the achievement of results.</w:t>
      </w:r>
    </w:p>
    <w:p w14:paraId="68831840" w14:textId="3A9C5405" w:rsidR="00BF56C5" w:rsidRPr="00A07978" w:rsidRDefault="00F0542A" w:rsidP="00BF56C5">
      <w:pPr>
        <w:pStyle w:val="CPDTexte"/>
        <w:numPr>
          <w:ilvl w:val="0"/>
          <w:numId w:val="50"/>
        </w:numPr>
        <w:tabs>
          <w:tab w:val="clear" w:pos="1560"/>
          <w:tab w:val="left" w:pos="1276"/>
        </w:tabs>
        <w:ind w:left="851" w:right="713" w:firstLine="0"/>
        <w:rPr>
          <w:lang w:val="en-GB"/>
        </w:rPr>
      </w:pPr>
      <w:r w:rsidRPr="00A07978">
        <w:rPr>
          <w:lang w:val="en-GB"/>
        </w:rPr>
        <w:t xml:space="preserve">Due to limited capacity and coordination, credible and updated data </w:t>
      </w:r>
      <w:r w:rsidR="00647469" w:rsidRPr="00A07978">
        <w:rPr>
          <w:lang w:val="en-GB"/>
        </w:rPr>
        <w:t xml:space="preserve">is </w:t>
      </w:r>
      <w:r w:rsidRPr="00A07978">
        <w:rPr>
          <w:lang w:val="en-GB"/>
        </w:rPr>
        <w:t xml:space="preserve">lacking to measure progress towards programme results and guide strategic reforms and </w:t>
      </w:r>
      <w:r w:rsidR="00647469" w:rsidRPr="00A07978">
        <w:rPr>
          <w:lang w:val="en-GB"/>
        </w:rPr>
        <w:t>government decisions</w:t>
      </w:r>
      <w:r w:rsidRPr="00A07978">
        <w:rPr>
          <w:lang w:val="en-GB"/>
        </w:rPr>
        <w:t xml:space="preserve">. In support to the </w:t>
      </w:r>
      <w:r w:rsidR="00CE5FEF" w:rsidRPr="00A07978">
        <w:rPr>
          <w:lang w:val="en-GB"/>
        </w:rPr>
        <w:t xml:space="preserve">National </w:t>
      </w:r>
      <w:r w:rsidRPr="00A07978">
        <w:rPr>
          <w:lang w:val="en-GB"/>
        </w:rPr>
        <w:t xml:space="preserve">Institute of Statistics, UNDP will actively contribute to the </w:t>
      </w:r>
      <w:r w:rsidR="00057482" w:rsidRPr="00A07978">
        <w:rPr>
          <w:lang w:val="en-GB"/>
        </w:rPr>
        <w:t>United Nations country team</w:t>
      </w:r>
      <w:r w:rsidRPr="00A07978">
        <w:rPr>
          <w:lang w:val="en-GB"/>
        </w:rPr>
        <w:t xml:space="preserve"> joint initiative on data. In line with </w:t>
      </w:r>
      <w:r w:rsidR="00647469" w:rsidRPr="00A07978">
        <w:rPr>
          <w:lang w:val="en-GB"/>
        </w:rPr>
        <w:t xml:space="preserve">ICPE </w:t>
      </w:r>
      <w:r w:rsidRPr="00A07978">
        <w:rPr>
          <w:lang w:val="en-GB"/>
        </w:rPr>
        <w:t xml:space="preserve">recommendations, UNDP will continue to promote innovative and digitized </w:t>
      </w:r>
      <w:r w:rsidR="00057482" w:rsidRPr="00A07978">
        <w:rPr>
          <w:lang w:val="en-GB"/>
        </w:rPr>
        <w:t xml:space="preserve">monitoring and evaluation </w:t>
      </w:r>
      <w:r w:rsidRPr="00A07978">
        <w:rPr>
          <w:lang w:val="en-GB"/>
        </w:rPr>
        <w:t xml:space="preserve">systems </w:t>
      </w:r>
      <w:r w:rsidR="00E63CAE" w:rsidRPr="00A07978">
        <w:rPr>
          <w:lang w:val="en-GB"/>
        </w:rPr>
        <w:t xml:space="preserve">that </w:t>
      </w:r>
      <w:r w:rsidRPr="00A07978">
        <w:rPr>
          <w:lang w:val="en-GB"/>
        </w:rPr>
        <w:t>measure qualitative and quantitative results. Satisfaction surveys will be conducted with beneficiaries to inform programme implementation. Special attention will be given to the participation of women, youth, and vulnerable groups in decision-making.</w:t>
      </w:r>
      <w:r w:rsidR="00490F08" w:rsidRPr="00A07978">
        <w:rPr>
          <w:lang w:val="en-GB"/>
        </w:rPr>
        <w:t xml:space="preserve"> </w:t>
      </w:r>
    </w:p>
    <w:p w14:paraId="43991A74" w14:textId="305F5C84" w:rsidR="00BC261E" w:rsidRPr="00A07978" w:rsidRDefault="00F0542A" w:rsidP="00BF56C5">
      <w:pPr>
        <w:pStyle w:val="CPDTexte"/>
        <w:numPr>
          <w:ilvl w:val="0"/>
          <w:numId w:val="50"/>
        </w:numPr>
        <w:tabs>
          <w:tab w:val="clear" w:pos="1560"/>
          <w:tab w:val="left" w:pos="1276"/>
        </w:tabs>
        <w:ind w:left="851" w:right="713" w:firstLine="0"/>
        <w:rPr>
          <w:lang w:val="en-GB"/>
        </w:rPr>
      </w:pPr>
      <w:r w:rsidRPr="00A07978">
        <w:rPr>
          <w:lang w:val="en-GB"/>
        </w:rPr>
        <w:t>At least 5</w:t>
      </w:r>
      <w:r w:rsidR="00E63CAE" w:rsidRPr="00A07978">
        <w:rPr>
          <w:lang w:val="en-GB"/>
        </w:rPr>
        <w:t xml:space="preserve"> per cent of the</w:t>
      </w:r>
      <w:r w:rsidRPr="00A07978">
        <w:rPr>
          <w:lang w:val="en-GB"/>
        </w:rPr>
        <w:t xml:space="preserve"> programme budget will be allocated to </w:t>
      </w:r>
      <w:r w:rsidR="00057482" w:rsidRPr="00A07978">
        <w:rPr>
          <w:lang w:val="en-GB"/>
        </w:rPr>
        <w:t>monitoring and evaluation</w:t>
      </w:r>
      <w:r w:rsidRPr="00A07978">
        <w:rPr>
          <w:lang w:val="en-GB"/>
        </w:rPr>
        <w:t xml:space="preserve">, sensemaking, and reporting on CPD results. In addition, and in line with </w:t>
      </w:r>
      <w:r w:rsidR="00E63CAE" w:rsidRPr="00A07978">
        <w:rPr>
          <w:lang w:val="en-GB"/>
        </w:rPr>
        <w:t xml:space="preserve">the </w:t>
      </w:r>
      <w:r w:rsidRPr="00A07978">
        <w:rPr>
          <w:lang w:val="en-GB"/>
        </w:rPr>
        <w:t>UNDP gender equality strategy</w:t>
      </w:r>
      <w:r w:rsidR="00E63CAE" w:rsidRPr="00A07978">
        <w:rPr>
          <w:lang w:val="en-GB"/>
        </w:rPr>
        <w:t xml:space="preserve"> and gender marker protocol</w:t>
      </w:r>
      <w:r w:rsidRPr="00A07978">
        <w:rPr>
          <w:lang w:val="en-GB"/>
        </w:rPr>
        <w:t>, at least 15</w:t>
      </w:r>
      <w:r w:rsidR="00E63CAE" w:rsidRPr="00A07978">
        <w:rPr>
          <w:lang w:val="en-GB"/>
        </w:rPr>
        <w:t xml:space="preserve"> per cent</w:t>
      </w:r>
      <w:r w:rsidRPr="00A07978">
        <w:rPr>
          <w:lang w:val="en-GB"/>
        </w:rPr>
        <w:t xml:space="preserve"> of </w:t>
      </w:r>
      <w:r w:rsidR="00E63CAE" w:rsidRPr="00A07978">
        <w:rPr>
          <w:lang w:val="en-GB"/>
        </w:rPr>
        <w:t xml:space="preserve">the </w:t>
      </w:r>
      <w:r w:rsidRPr="00A07978">
        <w:rPr>
          <w:lang w:val="en-GB"/>
        </w:rPr>
        <w:t>programme budget will be invested in specific interventions benefiting gender equality and women empowerment.</w:t>
      </w:r>
    </w:p>
    <w:p w14:paraId="046025D4" w14:textId="77777777" w:rsidR="00F0542A" w:rsidRPr="00A07978" w:rsidRDefault="00F0542A" w:rsidP="00BC261E">
      <w:pPr>
        <w:pStyle w:val="ListParagraph"/>
        <w:tabs>
          <w:tab w:val="left" w:pos="1260"/>
        </w:tabs>
        <w:spacing w:after="120" w:line="240" w:lineRule="exact"/>
        <w:ind w:left="900" w:right="720"/>
        <w:jc w:val="both"/>
        <w:rPr>
          <w:lang w:val="en-GB"/>
        </w:rPr>
      </w:pPr>
    </w:p>
    <w:p w14:paraId="17E2CF99" w14:textId="77777777" w:rsidR="00F0542A" w:rsidRPr="00A07978" w:rsidRDefault="00F0542A" w:rsidP="00BC261E">
      <w:pPr>
        <w:pStyle w:val="ListParagraph"/>
        <w:tabs>
          <w:tab w:val="left" w:pos="1260"/>
        </w:tabs>
        <w:spacing w:after="120" w:line="240" w:lineRule="exact"/>
        <w:ind w:left="900" w:right="720"/>
        <w:jc w:val="both"/>
        <w:rPr>
          <w:lang w:val="en-GB"/>
        </w:rPr>
      </w:pPr>
    </w:p>
    <w:p w14:paraId="2440D43E" w14:textId="33E3D240" w:rsidR="00214EC6" w:rsidRPr="00A07978" w:rsidRDefault="00214EC6" w:rsidP="004F3B24">
      <w:pPr>
        <w:pStyle w:val="ListParagraph"/>
        <w:numPr>
          <w:ilvl w:val="2"/>
          <w:numId w:val="53"/>
        </w:numPr>
        <w:spacing w:after="120"/>
        <w:ind w:left="284" w:hanging="284"/>
        <w:jc w:val="both"/>
        <w:rPr>
          <w:lang w:val="en-GB"/>
        </w:rPr>
        <w:sectPr w:rsidR="00214EC6" w:rsidRPr="00A07978" w:rsidSect="00585D54">
          <w:headerReference w:type="even" r:id="rId12"/>
          <w:headerReference w:type="default" r:id="rId13"/>
          <w:footerReference w:type="even" r:id="rId14"/>
          <w:footerReference w:type="default" r:id="rId15"/>
          <w:headerReference w:type="first" r:id="rId16"/>
          <w:pgSz w:w="12240" w:h="15840"/>
          <w:pgMar w:top="1152" w:right="1440" w:bottom="1152" w:left="1440" w:header="720" w:footer="720" w:gutter="0"/>
          <w:cols w:space="720"/>
          <w:titlePg/>
          <w:docGrid w:linePitch="272"/>
        </w:sectPr>
      </w:pPr>
    </w:p>
    <w:p w14:paraId="5D0C17DE" w14:textId="6BA6B378" w:rsidR="00357B24" w:rsidRPr="00A07978" w:rsidRDefault="00357B24" w:rsidP="00932A12">
      <w:pPr>
        <w:ind w:left="1151" w:right="1151" w:hanging="879"/>
        <w:rPr>
          <w:b/>
          <w:color w:val="000000"/>
          <w:lang w:val="en-GB"/>
        </w:rPr>
      </w:pPr>
      <w:r w:rsidRPr="00A07978">
        <w:rPr>
          <w:b/>
          <w:color w:val="000000"/>
          <w:sz w:val="24"/>
          <w:szCs w:val="24"/>
          <w:lang w:val="en-GB"/>
        </w:rPr>
        <w:lastRenderedPageBreak/>
        <w:t>Annex</w:t>
      </w:r>
      <w:r w:rsidR="00E63CAE" w:rsidRPr="00A07978">
        <w:rPr>
          <w:b/>
          <w:color w:val="000000"/>
          <w:sz w:val="24"/>
          <w:szCs w:val="24"/>
          <w:lang w:val="en-GB"/>
        </w:rPr>
        <w:t xml:space="preserve"> –</w:t>
      </w:r>
      <w:r w:rsidRPr="00A07978">
        <w:rPr>
          <w:b/>
          <w:color w:val="000000"/>
          <w:sz w:val="24"/>
          <w:szCs w:val="24"/>
          <w:lang w:val="en-GB"/>
        </w:rPr>
        <w:t xml:space="preserve"> Results and resources framework for </w:t>
      </w:r>
      <w:r w:rsidR="00932A12" w:rsidRPr="00A07978">
        <w:rPr>
          <w:b/>
          <w:sz w:val="24"/>
          <w:szCs w:val="24"/>
          <w:lang w:val="en-GB"/>
        </w:rPr>
        <w:t>Burundi</w:t>
      </w:r>
      <w:r w:rsidRPr="00A07978">
        <w:rPr>
          <w:b/>
          <w:color w:val="000000"/>
          <w:sz w:val="24"/>
          <w:szCs w:val="24"/>
          <w:lang w:val="en-GB"/>
        </w:rPr>
        <w:t xml:space="preserve"> (202</w:t>
      </w:r>
      <w:r w:rsidR="00932A12" w:rsidRPr="00A07978">
        <w:rPr>
          <w:b/>
          <w:color w:val="000000"/>
          <w:sz w:val="24"/>
          <w:szCs w:val="24"/>
          <w:lang w:val="en-GB"/>
        </w:rPr>
        <w:t>4</w:t>
      </w:r>
      <w:r w:rsidRPr="00A07978">
        <w:rPr>
          <w:b/>
          <w:color w:val="000000"/>
          <w:sz w:val="24"/>
          <w:szCs w:val="24"/>
          <w:lang w:val="en-GB"/>
        </w:rPr>
        <w:t>-2027)</w:t>
      </w:r>
    </w:p>
    <w:p w14:paraId="3DEA4CB1" w14:textId="77777777" w:rsidR="00932A12" w:rsidRPr="00A07978" w:rsidRDefault="00932A12">
      <w:pPr>
        <w:rPr>
          <w:lang w:val="en-GB"/>
        </w:rPr>
      </w:pPr>
    </w:p>
    <w:tbl>
      <w:tblPr>
        <w:tblW w:w="49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3052"/>
        <w:gridCol w:w="8"/>
        <w:gridCol w:w="2246"/>
        <w:gridCol w:w="3871"/>
        <w:gridCol w:w="91"/>
        <w:gridCol w:w="1798"/>
        <w:gridCol w:w="93"/>
        <w:gridCol w:w="2161"/>
      </w:tblGrid>
      <w:tr w:rsidR="00932A12" w:rsidRPr="00A07978" w14:paraId="3B4FF47A" w14:textId="77777777" w:rsidTr="00E02C69">
        <w:trPr>
          <w:trHeight w:val="485"/>
        </w:trPr>
        <w:tc>
          <w:tcPr>
            <w:tcW w:w="5000" w:type="pct"/>
            <w:gridSpan w:val="8"/>
            <w:shd w:val="clear" w:color="auto" w:fill="DBE5F1" w:themeFill="accent1" w:themeFillTint="33"/>
            <w:tcMar>
              <w:top w:w="72" w:type="dxa"/>
              <w:left w:w="144" w:type="dxa"/>
              <w:bottom w:w="72" w:type="dxa"/>
              <w:right w:w="144" w:type="dxa"/>
            </w:tcMar>
          </w:tcPr>
          <w:p w14:paraId="6BDDE967" w14:textId="5C3F1066" w:rsidR="00932A12" w:rsidRPr="00A07978" w:rsidRDefault="00932A12" w:rsidP="00E02C69">
            <w:pPr>
              <w:rPr>
                <w:sz w:val="16"/>
                <w:szCs w:val="16"/>
                <w:lang w:val="en-GB"/>
              </w:rPr>
            </w:pPr>
            <w:r w:rsidRPr="00A07978">
              <w:rPr>
                <w:b/>
                <w:bCs/>
                <w:color w:val="000000"/>
                <w:sz w:val="16"/>
                <w:szCs w:val="16"/>
                <w:lang w:val="en-GB"/>
              </w:rPr>
              <w:t>NATIONAL PRIORITY OR GOAL (</w:t>
            </w:r>
            <w:r w:rsidRPr="00A07978">
              <w:rPr>
                <w:b/>
                <w:bCs/>
                <w:color w:val="000000" w:themeColor="text1"/>
                <w:sz w:val="16"/>
                <w:szCs w:val="16"/>
                <w:lang w:val="en-GB"/>
              </w:rPr>
              <w:t xml:space="preserve">PND): </w:t>
            </w:r>
            <w:r w:rsidRPr="00A07978">
              <w:rPr>
                <w:b/>
                <w:iCs/>
                <w:color w:val="000000" w:themeColor="text1"/>
                <w:sz w:val="16"/>
                <w:szCs w:val="16"/>
                <w:lang w:val="en-GB"/>
              </w:rPr>
              <w:t>Strengthen democracy, governance, the rule of law and the safeguard of national sovereignty. Sustainable Development Goals: 1, 5, 8, 9, 10 and 16 Agenda 2063: Goals 1, 4, 10, 11, 12, 13, 18 and 20</w:t>
            </w:r>
            <w:r w:rsidR="00E63CAE" w:rsidRPr="00A07978">
              <w:rPr>
                <w:b/>
                <w:iCs/>
                <w:color w:val="000000" w:themeColor="text1"/>
                <w:sz w:val="16"/>
                <w:szCs w:val="16"/>
                <w:lang w:val="en-GB"/>
              </w:rPr>
              <w:t>.</w:t>
            </w:r>
          </w:p>
        </w:tc>
      </w:tr>
      <w:tr w:rsidR="00932A12" w:rsidRPr="00A07978" w14:paraId="38956D5C" w14:textId="77777777" w:rsidTr="00E02C69">
        <w:trPr>
          <w:trHeight w:val="415"/>
        </w:trPr>
        <w:tc>
          <w:tcPr>
            <w:tcW w:w="5000" w:type="pct"/>
            <w:gridSpan w:val="8"/>
            <w:shd w:val="clear" w:color="auto" w:fill="DBE5F1" w:themeFill="accent1" w:themeFillTint="33"/>
            <w:tcMar>
              <w:top w:w="72" w:type="dxa"/>
              <w:left w:w="144" w:type="dxa"/>
              <w:bottom w:w="72" w:type="dxa"/>
              <w:right w:w="144" w:type="dxa"/>
            </w:tcMar>
          </w:tcPr>
          <w:p w14:paraId="0562C111" w14:textId="3BB7A160" w:rsidR="00932A12" w:rsidRPr="00A07978" w:rsidRDefault="00932A12" w:rsidP="00E02C69">
            <w:pPr>
              <w:rPr>
                <w:b/>
                <w:color w:val="002060"/>
                <w:sz w:val="16"/>
                <w:szCs w:val="16"/>
                <w:lang w:val="en-GB"/>
              </w:rPr>
            </w:pPr>
            <w:r w:rsidRPr="00A07978">
              <w:rPr>
                <w:b/>
                <w:bCs/>
                <w:color w:val="000000"/>
                <w:sz w:val="16"/>
                <w:szCs w:val="16"/>
                <w:lang w:val="en-GB"/>
              </w:rPr>
              <w:t>COOPERATION FRAMEWORK (OR EQUIVALENT) OUTCOME INVOLVING UNDP #2:</w:t>
            </w:r>
            <w:r w:rsidRPr="00A07978">
              <w:rPr>
                <w:color w:val="000000"/>
                <w:sz w:val="16"/>
                <w:szCs w:val="16"/>
                <w:lang w:val="en-GB"/>
              </w:rPr>
              <w:t xml:space="preserve"> </w:t>
            </w:r>
            <w:r w:rsidRPr="00A07978">
              <w:rPr>
                <w:b/>
                <w:color w:val="403152" w:themeColor="accent4" w:themeShade="80"/>
                <w:sz w:val="16"/>
                <w:szCs w:val="16"/>
                <w:lang w:val="en-GB"/>
              </w:rPr>
              <w:t>By 2027, Burundi's populations, especially the most vulnerable, benefit from a strengthened system of governance and a more diversified and inclusive economy, including through regional integration</w:t>
            </w:r>
            <w:r w:rsidR="00E63CAE" w:rsidRPr="00A07978">
              <w:rPr>
                <w:b/>
                <w:color w:val="403152" w:themeColor="accent4" w:themeShade="80"/>
                <w:sz w:val="16"/>
                <w:szCs w:val="16"/>
                <w:lang w:val="en-GB"/>
              </w:rPr>
              <w:t>.</w:t>
            </w:r>
          </w:p>
        </w:tc>
      </w:tr>
      <w:tr w:rsidR="00932A12" w:rsidRPr="00A07978" w14:paraId="7B70D49C" w14:textId="77777777" w:rsidTr="00E02C69">
        <w:trPr>
          <w:trHeight w:val="296"/>
        </w:trPr>
        <w:tc>
          <w:tcPr>
            <w:tcW w:w="5000" w:type="pct"/>
            <w:gridSpan w:val="8"/>
            <w:shd w:val="clear" w:color="auto" w:fill="DBE5F1" w:themeFill="accent1" w:themeFillTint="33"/>
            <w:tcMar>
              <w:top w:w="72" w:type="dxa"/>
              <w:left w:w="144" w:type="dxa"/>
              <w:bottom w:w="72" w:type="dxa"/>
              <w:right w:w="144" w:type="dxa"/>
            </w:tcMar>
          </w:tcPr>
          <w:p w14:paraId="57914780" w14:textId="41B2F103" w:rsidR="00932A12" w:rsidRPr="00A07978" w:rsidRDefault="00932A12" w:rsidP="00E02C69">
            <w:pPr>
              <w:rPr>
                <w:b/>
                <w:bCs/>
                <w:color w:val="000000"/>
                <w:sz w:val="16"/>
                <w:szCs w:val="16"/>
                <w:lang w:val="en-GB"/>
              </w:rPr>
            </w:pPr>
            <w:r w:rsidRPr="00A07978">
              <w:rPr>
                <w:b/>
                <w:bCs/>
                <w:color w:val="000000"/>
                <w:sz w:val="16"/>
                <w:szCs w:val="16"/>
                <w:lang w:val="en-GB"/>
              </w:rPr>
              <w:t>RELATED STRATEGIC PLAN OUTCOME 1: Structural transformation accelerated, particularly green, inclusive, and digital transitions</w:t>
            </w:r>
            <w:r w:rsidR="00E63CAE" w:rsidRPr="00A07978">
              <w:rPr>
                <w:b/>
                <w:bCs/>
                <w:color w:val="000000"/>
                <w:sz w:val="16"/>
                <w:szCs w:val="16"/>
                <w:lang w:val="en-GB"/>
              </w:rPr>
              <w:t>.</w:t>
            </w:r>
            <w:r w:rsidRPr="00A07978">
              <w:rPr>
                <w:b/>
                <w:bCs/>
                <w:color w:val="000000"/>
                <w:sz w:val="16"/>
                <w:szCs w:val="16"/>
                <w:lang w:val="en-GB"/>
              </w:rPr>
              <w:t xml:space="preserve"> </w:t>
            </w:r>
          </w:p>
        </w:tc>
      </w:tr>
      <w:tr w:rsidR="00932A12" w:rsidRPr="00A07978" w14:paraId="2A5A1B25" w14:textId="77777777" w:rsidTr="00E02C69">
        <w:trPr>
          <w:trHeight w:val="514"/>
        </w:trPr>
        <w:tc>
          <w:tcPr>
            <w:tcW w:w="1149" w:type="pct"/>
            <w:gridSpan w:val="2"/>
            <w:shd w:val="clear" w:color="auto" w:fill="DBE5F1" w:themeFill="accent1" w:themeFillTint="33"/>
            <w:tcMar>
              <w:top w:w="72" w:type="dxa"/>
              <w:left w:w="144" w:type="dxa"/>
              <w:bottom w:w="72" w:type="dxa"/>
              <w:right w:w="144" w:type="dxa"/>
            </w:tcMar>
            <w:vAlign w:val="center"/>
          </w:tcPr>
          <w:p w14:paraId="32996014" w14:textId="77777777" w:rsidR="00932A12" w:rsidRPr="00A07978" w:rsidRDefault="00932A12" w:rsidP="00E02C69">
            <w:pPr>
              <w:jc w:val="center"/>
              <w:rPr>
                <w:color w:val="000000"/>
                <w:sz w:val="16"/>
                <w:szCs w:val="16"/>
                <w:lang w:val="en-GB"/>
              </w:rPr>
            </w:pPr>
            <w:r w:rsidRPr="00A07978">
              <w:rPr>
                <w:b/>
                <w:bCs/>
                <w:color w:val="000000"/>
                <w:sz w:val="16"/>
                <w:szCs w:val="16"/>
                <w:lang w:val="en-GB"/>
              </w:rPr>
              <w:t>COOPERATION FRAMEWORK OUTCOME INDICATOR(S), BASELINES, TARGET(S)</w:t>
            </w:r>
          </w:p>
        </w:tc>
        <w:tc>
          <w:tcPr>
            <w:tcW w:w="843" w:type="pct"/>
            <w:shd w:val="clear" w:color="auto" w:fill="DBE5F1" w:themeFill="accent1" w:themeFillTint="33"/>
            <w:vAlign w:val="center"/>
          </w:tcPr>
          <w:p w14:paraId="4107BF66" w14:textId="77777777" w:rsidR="00932A12" w:rsidRPr="00A07978" w:rsidRDefault="00932A12" w:rsidP="00E02C69">
            <w:pPr>
              <w:jc w:val="center"/>
              <w:rPr>
                <w:b/>
                <w:color w:val="000000"/>
                <w:sz w:val="16"/>
                <w:szCs w:val="16"/>
                <w:lang w:val="en-GB"/>
              </w:rPr>
            </w:pPr>
            <w:r w:rsidRPr="00A07978">
              <w:rPr>
                <w:b/>
                <w:color w:val="000000"/>
                <w:sz w:val="16"/>
                <w:szCs w:val="16"/>
                <w:lang w:val="en-GB"/>
              </w:rPr>
              <w:t>DATA SOURCE AND FREQUENCY OF DATA COLLECTION, AND RESPONSIBILITIES</w:t>
            </w:r>
          </w:p>
        </w:tc>
        <w:tc>
          <w:tcPr>
            <w:tcW w:w="1453" w:type="pct"/>
            <w:shd w:val="clear" w:color="auto" w:fill="DBE5F1" w:themeFill="accent1" w:themeFillTint="33"/>
            <w:tcMar>
              <w:top w:w="72" w:type="dxa"/>
              <w:left w:w="144" w:type="dxa"/>
              <w:bottom w:w="72" w:type="dxa"/>
              <w:right w:w="144" w:type="dxa"/>
            </w:tcMar>
            <w:vAlign w:val="center"/>
          </w:tcPr>
          <w:p w14:paraId="6146879E" w14:textId="77777777" w:rsidR="00932A12" w:rsidRPr="00A07978" w:rsidRDefault="00932A12" w:rsidP="00E02C69">
            <w:pPr>
              <w:jc w:val="center"/>
              <w:rPr>
                <w:color w:val="000000"/>
                <w:sz w:val="16"/>
                <w:szCs w:val="16"/>
                <w:lang w:val="en-GB"/>
              </w:rPr>
            </w:pPr>
            <w:r w:rsidRPr="00A07978">
              <w:rPr>
                <w:b/>
                <w:bCs/>
                <w:color w:val="000000"/>
                <w:sz w:val="16"/>
                <w:szCs w:val="16"/>
                <w:lang w:val="en-GB"/>
              </w:rPr>
              <w:t xml:space="preserve">INDICATIVE COUNTRY PROGRAMME OUTPUTS </w:t>
            </w:r>
            <w:r w:rsidRPr="00A07978">
              <w:rPr>
                <w:b/>
                <w:bCs/>
                <w:i/>
                <w:color w:val="000000"/>
                <w:sz w:val="16"/>
                <w:szCs w:val="16"/>
                <w:lang w:val="en-GB"/>
              </w:rPr>
              <w:t>(including indicators, baselines targets)</w:t>
            </w:r>
          </w:p>
        </w:tc>
        <w:tc>
          <w:tcPr>
            <w:tcW w:w="709" w:type="pct"/>
            <w:gridSpan w:val="2"/>
            <w:shd w:val="clear" w:color="auto" w:fill="DBE5F1" w:themeFill="accent1" w:themeFillTint="33"/>
            <w:vAlign w:val="center"/>
          </w:tcPr>
          <w:p w14:paraId="69CD90E3" w14:textId="53B803A7" w:rsidR="00932A12" w:rsidRPr="00A07978" w:rsidRDefault="00932A12" w:rsidP="00E02C69">
            <w:pPr>
              <w:jc w:val="center"/>
              <w:rPr>
                <w:b/>
                <w:bCs/>
                <w:color w:val="000000"/>
                <w:sz w:val="16"/>
                <w:szCs w:val="16"/>
                <w:lang w:val="en-GB"/>
              </w:rPr>
            </w:pPr>
            <w:r w:rsidRPr="00A07978">
              <w:rPr>
                <w:b/>
                <w:bCs/>
                <w:color w:val="000000"/>
                <w:sz w:val="16"/>
                <w:szCs w:val="16"/>
                <w:lang w:val="en-GB"/>
              </w:rPr>
              <w:t>MAJOR PARTNERS/ PARTNERSHIP</w:t>
            </w:r>
          </w:p>
          <w:p w14:paraId="0E3C422A" w14:textId="77777777" w:rsidR="00932A12" w:rsidRPr="00A07978" w:rsidRDefault="00932A12" w:rsidP="00E02C69">
            <w:pPr>
              <w:jc w:val="center"/>
              <w:rPr>
                <w:b/>
                <w:bCs/>
                <w:color w:val="000000"/>
                <w:sz w:val="16"/>
                <w:szCs w:val="16"/>
                <w:lang w:val="en-GB"/>
              </w:rPr>
            </w:pPr>
            <w:r w:rsidRPr="00A07978">
              <w:rPr>
                <w:b/>
                <w:bCs/>
                <w:color w:val="000000"/>
                <w:sz w:val="16"/>
                <w:szCs w:val="16"/>
                <w:lang w:val="en-GB"/>
              </w:rPr>
              <w:t>FRAMEWORKS</w:t>
            </w:r>
          </w:p>
        </w:tc>
        <w:tc>
          <w:tcPr>
            <w:tcW w:w="846" w:type="pct"/>
            <w:gridSpan w:val="2"/>
            <w:shd w:val="clear" w:color="auto" w:fill="DBE5F1" w:themeFill="accent1" w:themeFillTint="33"/>
            <w:tcMar>
              <w:top w:w="15" w:type="dxa"/>
              <w:left w:w="108" w:type="dxa"/>
              <w:bottom w:w="0" w:type="dxa"/>
              <w:right w:w="108" w:type="dxa"/>
            </w:tcMar>
            <w:vAlign w:val="center"/>
          </w:tcPr>
          <w:p w14:paraId="38C2F5BD" w14:textId="5570F914" w:rsidR="00932A12" w:rsidRPr="00A07978" w:rsidRDefault="00932A12" w:rsidP="00E02C69">
            <w:pPr>
              <w:jc w:val="center"/>
              <w:rPr>
                <w:i/>
                <w:color w:val="0000FF"/>
                <w:sz w:val="16"/>
                <w:szCs w:val="16"/>
                <w:lang w:val="en-GB"/>
              </w:rPr>
            </w:pPr>
            <w:r w:rsidRPr="00A07978">
              <w:rPr>
                <w:b/>
                <w:bCs/>
                <w:color w:val="000000"/>
                <w:sz w:val="16"/>
                <w:szCs w:val="16"/>
                <w:lang w:val="en-GB"/>
              </w:rPr>
              <w:t>ESTIMATED COST BY OUTCOME (US$)</w:t>
            </w:r>
          </w:p>
        </w:tc>
      </w:tr>
      <w:tr w:rsidR="00932A12" w:rsidRPr="00A07978" w14:paraId="56BF9524" w14:textId="77777777" w:rsidTr="00B16767">
        <w:trPr>
          <w:trHeight w:val="1064"/>
        </w:trPr>
        <w:tc>
          <w:tcPr>
            <w:tcW w:w="1149" w:type="pct"/>
            <w:gridSpan w:val="2"/>
            <w:vMerge w:val="restart"/>
            <w:tcMar>
              <w:top w:w="72" w:type="dxa"/>
              <w:left w:w="144" w:type="dxa"/>
              <w:bottom w:w="72" w:type="dxa"/>
              <w:right w:w="144" w:type="dxa"/>
            </w:tcMar>
          </w:tcPr>
          <w:p w14:paraId="5DD018DB" w14:textId="77777777" w:rsidR="00932A12" w:rsidRPr="00A07978" w:rsidRDefault="00932A12" w:rsidP="00E02C69">
            <w:pPr>
              <w:rPr>
                <w:sz w:val="16"/>
                <w:szCs w:val="16"/>
                <w:lang w:val="en-GB"/>
              </w:rPr>
            </w:pPr>
            <w:r w:rsidRPr="00A07978">
              <w:rPr>
                <w:sz w:val="16"/>
                <w:szCs w:val="16"/>
                <w:lang w:val="en-GB"/>
              </w:rPr>
              <w:t>A. Proportion of the population that considers corruption to be important.</w:t>
            </w:r>
          </w:p>
          <w:p w14:paraId="13380733" w14:textId="77777777" w:rsidR="00132B35" w:rsidRPr="00A07978" w:rsidRDefault="00132B35" w:rsidP="00132B35">
            <w:pPr>
              <w:rPr>
                <w:sz w:val="16"/>
                <w:szCs w:val="16"/>
                <w:lang w:val="en-GB"/>
              </w:rPr>
            </w:pPr>
            <w:r w:rsidRPr="00A07978">
              <w:rPr>
                <w:sz w:val="16"/>
                <w:szCs w:val="16"/>
                <w:lang w:val="en-GB"/>
              </w:rPr>
              <w:t xml:space="preserve">Baseline: 2019 </w:t>
            </w:r>
          </w:p>
          <w:p w14:paraId="6778F2D0" w14:textId="2409B798" w:rsidR="00132B35" w:rsidRPr="00A07978" w:rsidRDefault="00132B35" w:rsidP="00132B35">
            <w:pPr>
              <w:suppressAutoHyphens/>
              <w:autoSpaceDN w:val="0"/>
              <w:textAlignment w:val="baseline"/>
              <w:rPr>
                <w:rFonts w:eastAsia="TimesNewRomanPSMT"/>
                <w:sz w:val="16"/>
                <w:szCs w:val="16"/>
                <w:lang w:val="en-GB"/>
              </w:rPr>
            </w:pPr>
            <w:r w:rsidRPr="00A07978">
              <w:rPr>
                <w:rFonts w:cstheme="minorHAnsi"/>
                <w:sz w:val="16"/>
                <w:szCs w:val="16"/>
                <w:lang w:val="en-GB"/>
              </w:rPr>
              <w:t>a</w:t>
            </w:r>
            <w:r w:rsidRPr="00A07978">
              <w:rPr>
                <w:rFonts w:eastAsia="TimesNewRomanPSMT"/>
                <w:sz w:val="16"/>
                <w:szCs w:val="16"/>
                <w:lang w:val="en-GB"/>
              </w:rPr>
              <w:t xml:space="preserve">. </w:t>
            </w:r>
            <w:r w:rsidR="00A07978" w:rsidRPr="00A07978">
              <w:rPr>
                <w:rFonts w:eastAsia="TimesNewRomanPSMT"/>
                <w:sz w:val="16"/>
                <w:szCs w:val="16"/>
                <w:lang w:val="en-GB"/>
              </w:rPr>
              <w:t>National:</w:t>
            </w:r>
            <w:r w:rsidRPr="00A07978">
              <w:rPr>
                <w:rFonts w:eastAsia="TimesNewRomanPSMT"/>
                <w:sz w:val="16"/>
                <w:szCs w:val="16"/>
                <w:lang w:val="en-GB"/>
              </w:rPr>
              <w:t xml:space="preserve"> 92% </w:t>
            </w:r>
          </w:p>
          <w:p w14:paraId="2607F3C0" w14:textId="77777777" w:rsidR="00132B35" w:rsidRPr="00A07978" w:rsidRDefault="00132B35" w:rsidP="00132B35">
            <w:pPr>
              <w:suppressAutoHyphens/>
              <w:autoSpaceDN w:val="0"/>
              <w:textAlignment w:val="baseline"/>
              <w:rPr>
                <w:rFonts w:eastAsia="TimesNewRomanPSMT"/>
                <w:sz w:val="16"/>
                <w:szCs w:val="16"/>
                <w:lang w:val="en-GB"/>
              </w:rPr>
            </w:pPr>
            <w:r w:rsidRPr="00A07978">
              <w:rPr>
                <w:rFonts w:eastAsia="TimesNewRomanPSMT"/>
                <w:sz w:val="16"/>
                <w:szCs w:val="16"/>
                <w:lang w:val="en-GB"/>
              </w:rPr>
              <w:t xml:space="preserve">b. Urban: 86.4% </w:t>
            </w:r>
          </w:p>
          <w:p w14:paraId="1A1ECC97" w14:textId="77777777" w:rsidR="00132B35" w:rsidRPr="00A07978" w:rsidRDefault="00132B35" w:rsidP="00132B35">
            <w:pPr>
              <w:suppressAutoHyphens/>
              <w:autoSpaceDN w:val="0"/>
              <w:textAlignment w:val="baseline"/>
              <w:rPr>
                <w:rFonts w:eastAsia="TimesNewRomanPSMT"/>
                <w:sz w:val="16"/>
                <w:szCs w:val="16"/>
                <w:lang w:val="en-GB"/>
              </w:rPr>
            </w:pPr>
            <w:r w:rsidRPr="00A07978">
              <w:rPr>
                <w:rFonts w:eastAsia="TimesNewRomanPSMT"/>
                <w:sz w:val="16"/>
                <w:szCs w:val="16"/>
                <w:lang w:val="en-GB"/>
              </w:rPr>
              <w:t xml:space="preserve">c. Rural: 93.4% </w:t>
            </w:r>
          </w:p>
          <w:p w14:paraId="2A9B8D68" w14:textId="77777777" w:rsidR="00132B35" w:rsidRPr="00A07978" w:rsidRDefault="00132B35" w:rsidP="00132B35">
            <w:pPr>
              <w:suppressAutoHyphens/>
              <w:autoSpaceDN w:val="0"/>
              <w:textAlignment w:val="baseline"/>
              <w:rPr>
                <w:rFonts w:eastAsia="TimesNewRomanPSMT"/>
                <w:sz w:val="16"/>
                <w:szCs w:val="16"/>
                <w:lang w:val="en-GB"/>
              </w:rPr>
            </w:pPr>
            <w:r w:rsidRPr="00A07978">
              <w:rPr>
                <w:rFonts w:eastAsia="TimesNewRomanPSMT"/>
                <w:sz w:val="16"/>
                <w:szCs w:val="16"/>
                <w:lang w:val="en-GB"/>
              </w:rPr>
              <w:t xml:space="preserve">d. Female: 92% </w:t>
            </w:r>
          </w:p>
          <w:p w14:paraId="2C8C8C60" w14:textId="77777777" w:rsidR="00132B35" w:rsidRPr="00A07978" w:rsidRDefault="00132B35" w:rsidP="00132B35">
            <w:pPr>
              <w:suppressAutoHyphens/>
              <w:autoSpaceDN w:val="0"/>
              <w:textAlignment w:val="baseline"/>
              <w:rPr>
                <w:rFonts w:eastAsia="TimesNewRomanPSMT"/>
                <w:sz w:val="16"/>
                <w:szCs w:val="16"/>
                <w:lang w:val="en-GB"/>
              </w:rPr>
            </w:pPr>
            <w:r w:rsidRPr="00A07978">
              <w:rPr>
                <w:rFonts w:eastAsia="TimesNewRomanPSMT"/>
                <w:sz w:val="16"/>
                <w:szCs w:val="16"/>
                <w:lang w:val="en-GB"/>
              </w:rPr>
              <w:t xml:space="preserve">e. Men: 93.2% </w:t>
            </w:r>
          </w:p>
          <w:p w14:paraId="26F1FE31" w14:textId="77777777" w:rsidR="00132B35" w:rsidRPr="00A07978" w:rsidRDefault="00132B35" w:rsidP="00132B35">
            <w:pPr>
              <w:rPr>
                <w:rFonts w:cstheme="minorHAnsi"/>
                <w:i/>
                <w:iCs/>
                <w:sz w:val="16"/>
                <w:szCs w:val="16"/>
                <w:lang w:val="en-GB"/>
              </w:rPr>
            </w:pPr>
          </w:p>
          <w:p w14:paraId="2CB163EF" w14:textId="77777777" w:rsidR="00132B35" w:rsidRPr="00A07978" w:rsidRDefault="00132B35" w:rsidP="00132B35">
            <w:pPr>
              <w:rPr>
                <w:sz w:val="16"/>
                <w:szCs w:val="16"/>
                <w:lang w:val="en-GB"/>
              </w:rPr>
            </w:pPr>
            <w:r w:rsidRPr="00A07978">
              <w:rPr>
                <w:sz w:val="16"/>
                <w:szCs w:val="16"/>
                <w:lang w:val="en-GB"/>
              </w:rPr>
              <w:t>Target (2027):</w:t>
            </w:r>
          </w:p>
          <w:p w14:paraId="2C53A244" w14:textId="77777777" w:rsidR="00132B35" w:rsidRPr="00A07978" w:rsidRDefault="00132B35" w:rsidP="00132B35">
            <w:pPr>
              <w:suppressAutoHyphens/>
              <w:autoSpaceDN w:val="0"/>
              <w:textAlignment w:val="baseline"/>
              <w:rPr>
                <w:rFonts w:eastAsia="TimesNewRomanPSMT"/>
                <w:sz w:val="16"/>
                <w:szCs w:val="16"/>
                <w:lang w:val="en-GB"/>
              </w:rPr>
            </w:pPr>
            <w:r w:rsidRPr="00A07978">
              <w:rPr>
                <w:rFonts w:cstheme="minorHAnsi"/>
                <w:sz w:val="16"/>
                <w:szCs w:val="16"/>
                <w:lang w:val="en-GB"/>
              </w:rPr>
              <w:t>a</w:t>
            </w:r>
            <w:r w:rsidRPr="00A07978">
              <w:rPr>
                <w:rFonts w:eastAsia="TimesNewRomanPSMT"/>
                <w:sz w:val="16"/>
                <w:szCs w:val="16"/>
                <w:lang w:val="en-GB"/>
              </w:rPr>
              <w:t>. 75%</w:t>
            </w:r>
          </w:p>
          <w:p w14:paraId="1F84C766" w14:textId="77777777" w:rsidR="00132B35" w:rsidRPr="00A07978" w:rsidRDefault="00132B35" w:rsidP="00132B35">
            <w:pPr>
              <w:suppressAutoHyphens/>
              <w:autoSpaceDN w:val="0"/>
              <w:textAlignment w:val="baseline"/>
              <w:rPr>
                <w:rFonts w:eastAsia="TimesNewRomanPSMT"/>
                <w:sz w:val="16"/>
                <w:szCs w:val="16"/>
                <w:lang w:val="en-GB"/>
              </w:rPr>
            </w:pPr>
            <w:r w:rsidRPr="00A07978">
              <w:rPr>
                <w:rFonts w:eastAsia="TimesNewRomanPSMT"/>
                <w:sz w:val="16"/>
                <w:szCs w:val="16"/>
                <w:lang w:val="en-GB"/>
              </w:rPr>
              <w:t>b. 60%</w:t>
            </w:r>
          </w:p>
          <w:p w14:paraId="43E24C7A" w14:textId="77777777" w:rsidR="00132B35" w:rsidRPr="00A07978" w:rsidRDefault="00132B35" w:rsidP="00132B35">
            <w:pPr>
              <w:suppressAutoHyphens/>
              <w:autoSpaceDN w:val="0"/>
              <w:textAlignment w:val="baseline"/>
              <w:rPr>
                <w:rFonts w:eastAsia="TimesNewRomanPSMT"/>
                <w:sz w:val="16"/>
                <w:szCs w:val="16"/>
                <w:lang w:val="en-GB"/>
              </w:rPr>
            </w:pPr>
            <w:r w:rsidRPr="00A07978">
              <w:rPr>
                <w:rFonts w:eastAsia="TimesNewRomanPSMT"/>
                <w:sz w:val="16"/>
                <w:szCs w:val="16"/>
                <w:lang w:val="en-GB"/>
              </w:rPr>
              <w:t>c. 80%</w:t>
            </w:r>
          </w:p>
          <w:p w14:paraId="5B9CB58B" w14:textId="77777777" w:rsidR="00132B35" w:rsidRPr="00A07978" w:rsidRDefault="00132B35" w:rsidP="00132B35">
            <w:pPr>
              <w:suppressAutoHyphens/>
              <w:autoSpaceDN w:val="0"/>
              <w:textAlignment w:val="baseline"/>
              <w:rPr>
                <w:rFonts w:eastAsia="TimesNewRomanPSMT"/>
                <w:sz w:val="16"/>
                <w:szCs w:val="16"/>
                <w:lang w:val="en-GB"/>
              </w:rPr>
            </w:pPr>
            <w:r w:rsidRPr="00A07978">
              <w:rPr>
                <w:rFonts w:eastAsia="TimesNewRomanPSMT"/>
                <w:sz w:val="16"/>
                <w:szCs w:val="16"/>
                <w:lang w:val="en-GB"/>
              </w:rPr>
              <w:t>d. 75%</w:t>
            </w:r>
          </w:p>
          <w:p w14:paraId="25ED6B71" w14:textId="77777777" w:rsidR="00132B35" w:rsidRPr="00A07978" w:rsidRDefault="00132B35" w:rsidP="00132B35">
            <w:pPr>
              <w:suppressAutoHyphens/>
              <w:autoSpaceDN w:val="0"/>
              <w:textAlignment w:val="baseline"/>
              <w:rPr>
                <w:rFonts w:eastAsia="TimesNewRomanPSMT"/>
                <w:sz w:val="16"/>
                <w:szCs w:val="16"/>
                <w:lang w:val="en-GB"/>
              </w:rPr>
            </w:pPr>
            <w:r w:rsidRPr="00A07978">
              <w:rPr>
                <w:rFonts w:eastAsia="TimesNewRomanPSMT"/>
                <w:sz w:val="16"/>
                <w:szCs w:val="16"/>
                <w:lang w:val="en-GB"/>
              </w:rPr>
              <w:t>e. 80%</w:t>
            </w:r>
          </w:p>
          <w:p w14:paraId="14213E2B" w14:textId="501943F9" w:rsidR="00932A12" w:rsidRPr="00A07978" w:rsidRDefault="00932A12" w:rsidP="00E02C69">
            <w:pPr>
              <w:rPr>
                <w:i/>
                <w:iCs/>
                <w:sz w:val="16"/>
                <w:szCs w:val="16"/>
                <w:lang w:val="en-GB"/>
              </w:rPr>
            </w:pPr>
          </w:p>
        </w:tc>
        <w:tc>
          <w:tcPr>
            <w:tcW w:w="843" w:type="pct"/>
            <w:vMerge w:val="restart"/>
          </w:tcPr>
          <w:p w14:paraId="736B8CF2" w14:textId="77777777" w:rsidR="006210FD" w:rsidRPr="00A07978" w:rsidRDefault="006210FD" w:rsidP="006210FD">
            <w:pPr>
              <w:suppressAutoHyphens/>
              <w:autoSpaceDN w:val="0"/>
              <w:textAlignment w:val="baseline"/>
              <w:rPr>
                <w:color w:val="000000" w:themeColor="text1"/>
                <w:sz w:val="16"/>
                <w:szCs w:val="16"/>
                <w:lang w:val="en-GB"/>
              </w:rPr>
            </w:pPr>
            <w:r w:rsidRPr="00A07978">
              <w:rPr>
                <w:color w:val="000000" w:themeColor="text1"/>
                <w:sz w:val="16"/>
                <w:szCs w:val="16"/>
                <w:lang w:val="en-GB"/>
              </w:rPr>
              <w:t>Source: Integrated Survey on Living Conditions of Households (ISLH)</w:t>
            </w:r>
          </w:p>
          <w:p w14:paraId="000B1A93" w14:textId="11910312" w:rsidR="006210FD" w:rsidRPr="00A07978" w:rsidRDefault="006210FD" w:rsidP="006210FD">
            <w:pPr>
              <w:suppressAutoHyphens/>
              <w:autoSpaceDN w:val="0"/>
              <w:textAlignment w:val="baseline"/>
              <w:rPr>
                <w:color w:val="000000" w:themeColor="text1"/>
                <w:sz w:val="16"/>
                <w:szCs w:val="16"/>
                <w:lang w:val="en-GB"/>
              </w:rPr>
            </w:pPr>
            <w:r w:rsidRPr="00A07978">
              <w:rPr>
                <w:color w:val="000000" w:themeColor="text1"/>
                <w:sz w:val="16"/>
                <w:szCs w:val="16"/>
                <w:lang w:val="en-GB"/>
              </w:rPr>
              <w:t>Frequency: Bi</w:t>
            </w:r>
            <w:r w:rsidR="001025A9" w:rsidRPr="00A07978">
              <w:rPr>
                <w:color w:val="000000" w:themeColor="text1"/>
                <w:sz w:val="16"/>
                <w:szCs w:val="16"/>
                <w:lang w:val="en-GB"/>
              </w:rPr>
              <w:t>-</w:t>
            </w:r>
            <w:r w:rsidRPr="00A07978">
              <w:rPr>
                <w:color w:val="000000" w:themeColor="text1"/>
                <w:sz w:val="16"/>
                <w:szCs w:val="16"/>
                <w:lang w:val="en-GB"/>
              </w:rPr>
              <w:t>yearly</w:t>
            </w:r>
          </w:p>
          <w:p w14:paraId="45073A37" w14:textId="77777777" w:rsidR="006210FD" w:rsidRPr="00A07978" w:rsidRDefault="006210FD" w:rsidP="006210FD">
            <w:pPr>
              <w:suppressAutoHyphens/>
              <w:autoSpaceDN w:val="0"/>
              <w:textAlignment w:val="baseline"/>
              <w:rPr>
                <w:color w:val="000000" w:themeColor="text1"/>
                <w:sz w:val="16"/>
                <w:szCs w:val="16"/>
                <w:lang w:val="en-GB"/>
              </w:rPr>
            </w:pPr>
          </w:p>
          <w:p w14:paraId="41512E64" w14:textId="2A569E73" w:rsidR="006210FD" w:rsidRPr="00A07978" w:rsidRDefault="006210FD" w:rsidP="006210FD">
            <w:pPr>
              <w:suppressAutoHyphens/>
              <w:autoSpaceDN w:val="0"/>
              <w:textAlignment w:val="baseline"/>
              <w:rPr>
                <w:color w:val="000000" w:themeColor="text1"/>
                <w:sz w:val="16"/>
                <w:szCs w:val="16"/>
                <w:lang w:val="en-GB"/>
              </w:rPr>
            </w:pPr>
            <w:r w:rsidRPr="00A07978">
              <w:rPr>
                <w:color w:val="000000" w:themeColor="text1"/>
                <w:sz w:val="16"/>
                <w:szCs w:val="16"/>
                <w:lang w:val="en-GB"/>
              </w:rPr>
              <w:t xml:space="preserve">Responsible: National Statistics Institute </w:t>
            </w:r>
            <w:r w:rsidR="00A07978" w:rsidRPr="00A07978">
              <w:rPr>
                <w:color w:val="000000" w:themeColor="text1"/>
                <w:sz w:val="16"/>
                <w:szCs w:val="16"/>
                <w:lang w:val="en-GB"/>
              </w:rPr>
              <w:t>of</w:t>
            </w:r>
            <w:r w:rsidRPr="00A07978">
              <w:rPr>
                <w:color w:val="000000" w:themeColor="text1"/>
                <w:sz w:val="16"/>
                <w:szCs w:val="16"/>
                <w:lang w:val="en-GB"/>
              </w:rPr>
              <w:t xml:space="preserve"> Burundi (INSBU)</w:t>
            </w:r>
          </w:p>
          <w:p w14:paraId="64FDBD42" w14:textId="77777777" w:rsidR="00932A12" w:rsidRPr="00A07978" w:rsidRDefault="00932A12" w:rsidP="00E02C69">
            <w:pPr>
              <w:suppressAutoHyphens/>
              <w:autoSpaceDN w:val="0"/>
              <w:textAlignment w:val="baseline"/>
              <w:rPr>
                <w:color w:val="000000" w:themeColor="text1"/>
                <w:sz w:val="16"/>
                <w:szCs w:val="16"/>
                <w:lang w:val="en-GB"/>
              </w:rPr>
            </w:pPr>
          </w:p>
        </w:tc>
        <w:tc>
          <w:tcPr>
            <w:tcW w:w="1453" w:type="pct"/>
            <w:vMerge w:val="restart"/>
            <w:tcMar>
              <w:top w:w="72" w:type="dxa"/>
              <w:left w:w="144" w:type="dxa"/>
              <w:bottom w:w="72" w:type="dxa"/>
              <w:right w:w="144" w:type="dxa"/>
            </w:tcMar>
          </w:tcPr>
          <w:p w14:paraId="75527EDD" w14:textId="1D6C50B6" w:rsidR="00932A12" w:rsidRPr="00A07978" w:rsidRDefault="00D154E4" w:rsidP="00E02C69">
            <w:pPr>
              <w:suppressAutoHyphens/>
              <w:autoSpaceDN w:val="0"/>
              <w:spacing w:after="60"/>
              <w:textAlignment w:val="baseline"/>
              <w:rPr>
                <w:color w:val="000000" w:themeColor="text1"/>
                <w:sz w:val="16"/>
                <w:szCs w:val="16"/>
                <w:lang w:val="en-GB"/>
              </w:rPr>
            </w:pPr>
            <w:r w:rsidRPr="00A07978">
              <w:rPr>
                <w:color w:val="000000" w:themeColor="text1"/>
                <w:sz w:val="16"/>
                <w:szCs w:val="16"/>
                <w:lang w:val="en-GB"/>
              </w:rPr>
              <w:t xml:space="preserve">Output </w:t>
            </w:r>
            <w:r w:rsidR="00932A12" w:rsidRPr="00A07978">
              <w:rPr>
                <w:color w:val="000000" w:themeColor="text1"/>
                <w:sz w:val="16"/>
                <w:szCs w:val="16"/>
                <w:lang w:val="en-GB"/>
              </w:rPr>
              <w:t>1.1</w:t>
            </w:r>
            <w:r w:rsidR="00E63CAE" w:rsidRPr="00A07978">
              <w:rPr>
                <w:color w:val="000000" w:themeColor="text1"/>
                <w:sz w:val="16"/>
                <w:szCs w:val="16"/>
                <w:lang w:val="en-GB"/>
              </w:rPr>
              <w:t>.</w:t>
            </w:r>
            <w:r w:rsidR="00932A12" w:rsidRPr="00A07978">
              <w:rPr>
                <w:color w:val="000000" w:themeColor="text1"/>
                <w:sz w:val="16"/>
                <w:szCs w:val="16"/>
                <w:lang w:val="en-GB"/>
              </w:rPr>
              <w:t xml:space="preserve"> Open, innovative, participatory, and accountable governance systems strengthened for State and non-state institutions and actors. </w:t>
            </w:r>
          </w:p>
          <w:p w14:paraId="5EC3423D" w14:textId="77777777" w:rsidR="000C4202" w:rsidRPr="00A07978" w:rsidRDefault="000C4202" w:rsidP="000C4202">
            <w:pPr>
              <w:rPr>
                <w:color w:val="000000"/>
                <w:sz w:val="16"/>
                <w:szCs w:val="16"/>
                <w:lang w:val="en-GB"/>
              </w:rPr>
            </w:pPr>
          </w:p>
          <w:p w14:paraId="78D9E815" w14:textId="4449C7F2" w:rsidR="00932A12" w:rsidRPr="00A07978" w:rsidRDefault="000C4202" w:rsidP="000C4202">
            <w:pPr>
              <w:suppressAutoHyphens/>
              <w:autoSpaceDN w:val="0"/>
              <w:textAlignment w:val="baseline"/>
              <w:rPr>
                <w:color w:val="000000" w:themeColor="text1"/>
                <w:sz w:val="16"/>
                <w:szCs w:val="16"/>
                <w:lang w:val="en-GB"/>
              </w:rPr>
            </w:pPr>
            <w:r w:rsidRPr="00A07978">
              <w:rPr>
                <w:color w:val="000000" w:themeColor="text1"/>
                <w:sz w:val="16"/>
                <w:szCs w:val="16"/>
                <w:lang w:val="en-GB"/>
              </w:rPr>
              <w:t>Indicator</w:t>
            </w:r>
            <w:r w:rsidR="00932A12" w:rsidRPr="00A07978">
              <w:rPr>
                <w:color w:val="000000" w:themeColor="text1"/>
                <w:sz w:val="16"/>
                <w:szCs w:val="16"/>
                <w:lang w:val="en-GB"/>
              </w:rPr>
              <w:t>1.1.1</w:t>
            </w:r>
            <w:r w:rsidR="00E63CAE" w:rsidRPr="00A07978">
              <w:rPr>
                <w:color w:val="000000" w:themeColor="text1"/>
                <w:sz w:val="16"/>
                <w:szCs w:val="16"/>
                <w:lang w:val="en-GB"/>
              </w:rPr>
              <w:t>.</w:t>
            </w:r>
            <w:r w:rsidR="00932A12" w:rsidRPr="00A07978">
              <w:rPr>
                <w:color w:val="000000" w:themeColor="text1"/>
                <w:sz w:val="16"/>
                <w:szCs w:val="16"/>
                <w:lang w:val="en-GB"/>
              </w:rPr>
              <w:t xml:space="preserve"> Number of measures to strengthen accountability, prevent corruption, and mainstream anti-corruption into public management, service delivery and other sectors, including digitalized processes.</w:t>
            </w:r>
          </w:p>
          <w:p w14:paraId="5AA95AF3" w14:textId="5D88762A" w:rsidR="00932A12" w:rsidRPr="00A07978" w:rsidRDefault="00932A12" w:rsidP="00E02C69">
            <w:pPr>
              <w:suppressAutoHyphens/>
              <w:autoSpaceDN w:val="0"/>
              <w:textAlignment w:val="baseline"/>
              <w:rPr>
                <w:color w:val="000000" w:themeColor="text1"/>
                <w:sz w:val="16"/>
                <w:szCs w:val="16"/>
                <w:lang w:val="en-GB"/>
              </w:rPr>
            </w:pPr>
            <w:r w:rsidRPr="00A07978">
              <w:rPr>
                <w:color w:val="000000" w:themeColor="text1"/>
                <w:sz w:val="16"/>
                <w:szCs w:val="16"/>
                <w:lang w:val="en-GB"/>
              </w:rPr>
              <w:t>Baseline (2023):0</w:t>
            </w:r>
          </w:p>
          <w:p w14:paraId="2E12F6B8" w14:textId="77777777" w:rsidR="00932A12" w:rsidRPr="00A07978" w:rsidRDefault="00932A12" w:rsidP="00E02C69">
            <w:pPr>
              <w:suppressAutoHyphens/>
              <w:autoSpaceDN w:val="0"/>
              <w:textAlignment w:val="baseline"/>
              <w:rPr>
                <w:color w:val="000000" w:themeColor="text1"/>
                <w:sz w:val="16"/>
                <w:szCs w:val="16"/>
                <w:lang w:val="en-GB"/>
              </w:rPr>
            </w:pPr>
            <w:r w:rsidRPr="00A07978">
              <w:rPr>
                <w:color w:val="000000" w:themeColor="text1"/>
                <w:sz w:val="16"/>
                <w:szCs w:val="16"/>
                <w:lang w:val="en-GB"/>
              </w:rPr>
              <w:t>Target (2027):3</w:t>
            </w:r>
          </w:p>
          <w:p w14:paraId="288FAD8A" w14:textId="038053D7" w:rsidR="00932A12" w:rsidRPr="00A07978" w:rsidRDefault="005E2492" w:rsidP="00E02C69">
            <w:pPr>
              <w:suppressAutoHyphens/>
              <w:autoSpaceDN w:val="0"/>
              <w:spacing w:after="60"/>
              <w:textAlignment w:val="baseline"/>
              <w:rPr>
                <w:color w:val="000000" w:themeColor="text1"/>
                <w:sz w:val="16"/>
                <w:szCs w:val="16"/>
                <w:lang w:val="en-GB"/>
              </w:rPr>
            </w:pPr>
            <w:r w:rsidRPr="00A07978">
              <w:rPr>
                <w:color w:val="000000" w:themeColor="text1"/>
                <w:sz w:val="16"/>
                <w:szCs w:val="16"/>
                <w:lang w:val="en-GB"/>
              </w:rPr>
              <w:t>S</w:t>
            </w:r>
            <w:r w:rsidR="00932A12" w:rsidRPr="00A07978">
              <w:rPr>
                <w:color w:val="000000" w:themeColor="text1"/>
                <w:sz w:val="16"/>
                <w:szCs w:val="16"/>
                <w:lang w:val="en-GB"/>
              </w:rPr>
              <w:t>ource: Anti-corruption tribunal</w:t>
            </w:r>
          </w:p>
          <w:p w14:paraId="2B013F8E" w14:textId="77777777" w:rsidR="00932A12" w:rsidRPr="00A07978" w:rsidRDefault="00932A12" w:rsidP="00E02C69">
            <w:pPr>
              <w:suppressAutoHyphens/>
              <w:autoSpaceDN w:val="0"/>
              <w:spacing w:after="60"/>
              <w:textAlignment w:val="baseline"/>
              <w:rPr>
                <w:color w:val="000000" w:themeColor="text1"/>
                <w:sz w:val="16"/>
                <w:szCs w:val="16"/>
                <w:lang w:val="en-GB"/>
              </w:rPr>
            </w:pPr>
            <w:r w:rsidRPr="00A07978">
              <w:rPr>
                <w:color w:val="000000" w:themeColor="text1"/>
                <w:sz w:val="16"/>
                <w:szCs w:val="16"/>
                <w:lang w:val="en-GB"/>
              </w:rPr>
              <w:t>Frequency: Annually</w:t>
            </w:r>
          </w:p>
          <w:p w14:paraId="69EFFBCE" w14:textId="77777777" w:rsidR="00932A12" w:rsidRPr="00A07978" w:rsidRDefault="00932A12" w:rsidP="00E02C69">
            <w:pPr>
              <w:suppressAutoHyphens/>
              <w:autoSpaceDN w:val="0"/>
              <w:spacing w:after="60"/>
              <w:textAlignment w:val="baseline"/>
              <w:rPr>
                <w:color w:val="000000" w:themeColor="text1"/>
                <w:sz w:val="16"/>
                <w:szCs w:val="16"/>
                <w:lang w:val="en-GB"/>
              </w:rPr>
            </w:pPr>
          </w:p>
          <w:p w14:paraId="434EE0E0" w14:textId="77777777" w:rsidR="000C4202" w:rsidRPr="00A07978" w:rsidRDefault="000C4202" w:rsidP="000C4202">
            <w:pPr>
              <w:rPr>
                <w:color w:val="000000"/>
                <w:sz w:val="16"/>
                <w:szCs w:val="16"/>
                <w:lang w:val="en-GB"/>
              </w:rPr>
            </w:pPr>
          </w:p>
          <w:p w14:paraId="369C0A25" w14:textId="4415D0D5" w:rsidR="00932A12" w:rsidRPr="00A07978" w:rsidRDefault="000C4202" w:rsidP="000C4202">
            <w:pPr>
              <w:suppressAutoHyphens/>
              <w:autoSpaceDN w:val="0"/>
              <w:textAlignment w:val="baseline"/>
              <w:rPr>
                <w:color w:val="000000" w:themeColor="text1"/>
                <w:sz w:val="16"/>
                <w:szCs w:val="16"/>
                <w:lang w:val="en-GB"/>
              </w:rPr>
            </w:pPr>
            <w:r w:rsidRPr="00A07978">
              <w:rPr>
                <w:color w:val="000000" w:themeColor="text1"/>
                <w:sz w:val="16"/>
                <w:szCs w:val="16"/>
                <w:lang w:val="en-GB"/>
              </w:rPr>
              <w:t xml:space="preserve">Indicator </w:t>
            </w:r>
            <w:r w:rsidR="00932A12" w:rsidRPr="00A07978">
              <w:rPr>
                <w:color w:val="000000" w:themeColor="text1"/>
                <w:sz w:val="16"/>
                <w:szCs w:val="16"/>
                <w:lang w:val="en-GB"/>
              </w:rPr>
              <w:t>1.1.2. Number of initiatives, to promote civil society involvement in the public sphere, access to information</w:t>
            </w:r>
            <w:r w:rsidR="00E63CAE" w:rsidRPr="00A07978">
              <w:rPr>
                <w:color w:val="000000" w:themeColor="text1"/>
                <w:sz w:val="16"/>
                <w:szCs w:val="16"/>
                <w:lang w:val="en-GB"/>
              </w:rPr>
              <w:t>.</w:t>
            </w:r>
            <w:r w:rsidR="00932A12" w:rsidRPr="00A07978">
              <w:rPr>
                <w:color w:val="000000" w:themeColor="text1"/>
                <w:sz w:val="16"/>
                <w:szCs w:val="16"/>
                <w:lang w:val="en-GB"/>
              </w:rPr>
              <w:t xml:space="preserve">  </w:t>
            </w:r>
          </w:p>
          <w:p w14:paraId="0F4248A8" w14:textId="77777777" w:rsidR="007D6587" w:rsidRPr="00A07978" w:rsidRDefault="007D6587" w:rsidP="007D6587">
            <w:pPr>
              <w:suppressAutoHyphens/>
              <w:autoSpaceDN w:val="0"/>
              <w:textAlignment w:val="baseline"/>
              <w:rPr>
                <w:color w:val="000000" w:themeColor="text1"/>
                <w:sz w:val="16"/>
                <w:szCs w:val="16"/>
                <w:lang w:val="en-GB"/>
              </w:rPr>
            </w:pPr>
            <w:r w:rsidRPr="00A07978">
              <w:rPr>
                <w:color w:val="000000" w:themeColor="text1"/>
                <w:sz w:val="16"/>
                <w:szCs w:val="16"/>
                <w:lang w:val="en-GB"/>
              </w:rPr>
              <w:t>Baseline (2023) :0</w:t>
            </w:r>
          </w:p>
          <w:p w14:paraId="7CEA0DAC" w14:textId="77777777" w:rsidR="007D6587" w:rsidRPr="00A07978" w:rsidRDefault="007D6587" w:rsidP="007D6587">
            <w:pPr>
              <w:suppressAutoHyphens/>
              <w:autoSpaceDN w:val="0"/>
              <w:textAlignment w:val="baseline"/>
              <w:rPr>
                <w:color w:val="000000" w:themeColor="text1"/>
                <w:sz w:val="16"/>
                <w:szCs w:val="16"/>
                <w:lang w:val="en-GB"/>
              </w:rPr>
            </w:pPr>
            <w:r w:rsidRPr="00A07978">
              <w:rPr>
                <w:color w:val="000000" w:themeColor="text1"/>
                <w:sz w:val="16"/>
                <w:szCs w:val="16"/>
                <w:lang w:val="en-GB"/>
              </w:rPr>
              <w:t>Target (2027): 2</w:t>
            </w:r>
          </w:p>
          <w:p w14:paraId="3A1B8BFA" w14:textId="77777777" w:rsidR="007D6587" w:rsidRPr="00A07978" w:rsidRDefault="007D6587" w:rsidP="007D6587">
            <w:pPr>
              <w:suppressAutoHyphens/>
              <w:autoSpaceDN w:val="0"/>
              <w:spacing w:after="60"/>
              <w:textAlignment w:val="baseline"/>
              <w:rPr>
                <w:color w:val="000000" w:themeColor="text1"/>
                <w:sz w:val="16"/>
                <w:szCs w:val="16"/>
                <w:lang w:val="en-GB"/>
              </w:rPr>
            </w:pPr>
            <w:r w:rsidRPr="00A07978">
              <w:rPr>
                <w:color w:val="000000" w:themeColor="text1"/>
                <w:sz w:val="16"/>
                <w:szCs w:val="16"/>
                <w:lang w:val="en-GB"/>
              </w:rPr>
              <w:t>Source: Partners reports</w:t>
            </w:r>
          </w:p>
          <w:p w14:paraId="4DD5BF79" w14:textId="77777777" w:rsidR="007D6587" w:rsidRPr="00A07978" w:rsidRDefault="007D6587" w:rsidP="007D6587">
            <w:pPr>
              <w:suppressAutoHyphens/>
              <w:autoSpaceDN w:val="0"/>
              <w:spacing w:after="60"/>
              <w:textAlignment w:val="baseline"/>
              <w:rPr>
                <w:color w:val="000000" w:themeColor="text1"/>
                <w:sz w:val="16"/>
                <w:szCs w:val="16"/>
                <w:lang w:val="en-GB"/>
              </w:rPr>
            </w:pPr>
            <w:r w:rsidRPr="00A07978">
              <w:rPr>
                <w:color w:val="000000" w:themeColor="text1"/>
                <w:sz w:val="16"/>
                <w:szCs w:val="16"/>
                <w:lang w:val="en-GB"/>
              </w:rPr>
              <w:t>Frequency: Annually</w:t>
            </w:r>
          </w:p>
          <w:p w14:paraId="662AB520" w14:textId="77777777" w:rsidR="00932A12" w:rsidRPr="00A07978" w:rsidRDefault="00932A12" w:rsidP="00E02C69">
            <w:pPr>
              <w:suppressAutoHyphens/>
              <w:autoSpaceDN w:val="0"/>
              <w:spacing w:after="60"/>
              <w:textAlignment w:val="baseline"/>
              <w:rPr>
                <w:color w:val="000000" w:themeColor="text1"/>
                <w:sz w:val="16"/>
                <w:szCs w:val="16"/>
                <w:lang w:val="en-GB"/>
              </w:rPr>
            </w:pPr>
          </w:p>
          <w:p w14:paraId="20849D1F" w14:textId="77777777" w:rsidR="000C4202" w:rsidRPr="00A07978" w:rsidRDefault="000C4202" w:rsidP="000C4202">
            <w:pPr>
              <w:rPr>
                <w:color w:val="000000"/>
                <w:sz w:val="16"/>
                <w:szCs w:val="16"/>
                <w:lang w:val="en-GB"/>
              </w:rPr>
            </w:pPr>
          </w:p>
          <w:p w14:paraId="0F737F32" w14:textId="1A8C6F01" w:rsidR="00932A12" w:rsidRPr="00A07978" w:rsidRDefault="000C4202" w:rsidP="000C4202">
            <w:pPr>
              <w:suppressAutoHyphens/>
              <w:autoSpaceDN w:val="0"/>
              <w:spacing w:after="60"/>
              <w:textAlignment w:val="baseline"/>
              <w:rPr>
                <w:color w:val="000000" w:themeColor="text1"/>
                <w:sz w:val="16"/>
                <w:szCs w:val="16"/>
                <w:lang w:val="en-GB"/>
              </w:rPr>
            </w:pPr>
            <w:r w:rsidRPr="00A07978">
              <w:rPr>
                <w:color w:val="000000" w:themeColor="text1"/>
                <w:sz w:val="16"/>
                <w:szCs w:val="16"/>
                <w:lang w:val="en-GB"/>
              </w:rPr>
              <w:t xml:space="preserve">Indicator </w:t>
            </w:r>
            <w:r w:rsidR="00932A12" w:rsidRPr="00A07978">
              <w:rPr>
                <w:color w:val="000000" w:themeColor="text1"/>
                <w:sz w:val="16"/>
                <w:szCs w:val="16"/>
                <w:lang w:val="en-GB"/>
              </w:rPr>
              <w:t>1.1.3</w:t>
            </w:r>
            <w:r w:rsidR="00E63CAE" w:rsidRPr="00A07978">
              <w:rPr>
                <w:color w:val="000000" w:themeColor="text1"/>
                <w:sz w:val="16"/>
                <w:szCs w:val="16"/>
                <w:lang w:val="en-GB"/>
              </w:rPr>
              <w:t>.</w:t>
            </w:r>
            <w:r w:rsidR="00932A12" w:rsidRPr="00A07978">
              <w:rPr>
                <w:color w:val="000000" w:themeColor="text1"/>
                <w:sz w:val="16"/>
                <w:szCs w:val="16"/>
                <w:lang w:val="en-GB"/>
              </w:rPr>
              <w:t xml:space="preserve"> Number of people (disaggregated by gender and age) with knowledge acquired to meaningfully participate in decision making processes at all levels</w:t>
            </w:r>
            <w:r w:rsidR="00E63CAE" w:rsidRPr="00A07978">
              <w:rPr>
                <w:color w:val="000000" w:themeColor="text1"/>
                <w:sz w:val="16"/>
                <w:szCs w:val="16"/>
                <w:lang w:val="en-GB"/>
              </w:rPr>
              <w:t>.</w:t>
            </w:r>
          </w:p>
          <w:p w14:paraId="5CE34A39" w14:textId="77777777" w:rsidR="00932A12" w:rsidRPr="00A07978" w:rsidRDefault="00932A12" w:rsidP="00E02C69">
            <w:pPr>
              <w:suppressAutoHyphens/>
              <w:autoSpaceDN w:val="0"/>
              <w:spacing w:after="60"/>
              <w:textAlignment w:val="baseline"/>
              <w:rPr>
                <w:color w:val="000000" w:themeColor="text1"/>
                <w:sz w:val="16"/>
                <w:szCs w:val="16"/>
                <w:lang w:val="en-GB"/>
              </w:rPr>
            </w:pPr>
            <w:r w:rsidRPr="00A07978">
              <w:rPr>
                <w:color w:val="000000" w:themeColor="text1"/>
                <w:sz w:val="16"/>
                <w:szCs w:val="16"/>
                <w:lang w:val="en-GB"/>
              </w:rPr>
              <w:lastRenderedPageBreak/>
              <w:t>Baseline (2023) :0</w:t>
            </w:r>
          </w:p>
          <w:p w14:paraId="16A35B3B" w14:textId="77777777" w:rsidR="00932A12" w:rsidRPr="00A07978" w:rsidRDefault="00932A12" w:rsidP="00E02C69">
            <w:pPr>
              <w:suppressAutoHyphens/>
              <w:autoSpaceDN w:val="0"/>
              <w:spacing w:after="60"/>
              <w:textAlignment w:val="baseline"/>
              <w:rPr>
                <w:color w:val="000000" w:themeColor="text1"/>
                <w:sz w:val="16"/>
                <w:szCs w:val="16"/>
                <w:lang w:val="en-GB"/>
              </w:rPr>
            </w:pPr>
            <w:r w:rsidRPr="00A07978">
              <w:rPr>
                <w:color w:val="000000" w:themeColor="text1"/>
                <w:sz w:val="16"/>
                <w:szCs w:val="16"/>
                <w:lang w:val="en-GB"/>
              </w:rPr>
              <w:t>Target (2027): TBD</w:t>
            </w:r>
          </w:p>
          <w:p w14:paraId="13EF96D7" w14:textId="3ECEB2DA" w:rsidR="00932A12" w:rsidRPr="00A07978" w:rsidRDefault="005E2492" w:rsidP="00E02C69">
            <w:pPr>
              <w:suppressAutoHyphens/>
              <w:autoSpaceDN w:val="0"/>
              <w:spacing w:after="60"/>
              <w:textAlignment w:val="baseline"/>
              <w:rPr>
                <w:color w:val="000000" w:themeColor="text1"/>
                <w:sz w:val="16"/>
                <w:szCs w:val="16"/>
                <w:lang w:val="en-GB"/>
              </w:rPr>
            </w:pPr>
            <w:r w:rsidRPr="00A07978">
              <w:rPr>
                <w:color w:val="000000" w:themeColor="text1"/>
                <w:sz w:val="16"/>
                <w:szCs w:val="16"/>
                <w:lang w:val="en-GB"/>
              </w:rPr>
              <w:t>S</w:t>
            </w:r>
            <w:r w:rsidR="00932A12" w:rsidRPr="00A07978">
              <w:rPr>
                <w:color w:val="000000" w:themeColor="text1"/>
                <w:sz w:val="16"/>
                <w:szCs w:val="16"/>
                <w:lang w:val="en-GB"/>
              </w:rPr>
              <w:t>ource: INEC</w:t>
            </w:r>
          </w:p>
          <w:p w14:paraId="697A769E" w14:textId="77777777" w:rsidR="00932A12" w:rsidRPr="00A07978" w:rsidRDefault="00932A12" w:rsidP="00E02C69">
            <w:pPr>
              <w:suppressAutoHyphens/>
              <w:autoSpaceDN w:val="0"/>
              <w:spacing w:after="60"/>
              <w:textAlignment w:val="baseline"/>
              <w:rPr>
                <w:color w:val="000000" w:themeColor="text1"/>
                <w:sz w:val="16"/>
                <w:szCs w:val="16"/>
                <w:lang w:val="en-GB"/>
              </w:rPr>
            </w:pPr>
            <w:r w:rsidRPr="00A07978">
              <w:rPr>
                <w:color w:val="000000" w:themeColor="text1"/>
                <w:sz w:val="16"/>
                <w:szCs w:val="16"/>
                <w:lang w:val="en-GB"/>
              </w:rPr>
              <w:t>Frequency: Annually</w:t>
            </w:r>
          </w:p>
          <w:p w14:paraId="1A25744D" w14:textId="77777777" w:rsidR="00932A12" w:rsidRPr="00A07978" w:rsidRDefault="00932A12" w:rsidP="00E02C69">
            <w:pPr>
              <w:suppressAutoHyphens/>
              <w:autoSpaceDN w:val="0"/>
              <w:spacing w:after="60"/>
              <w:textAlignment w:val="baseline"/>
              <w:rPr>
                <w:color w:val="000000" w:themeColor="text1"/>
                <w:sz w:val="16"/>
                <w:szCs w:val="16"/>
                <w:lang w:val="en-GB"/>
              </w:rPr>
            </w:pPr>
          </w:p>
        </w:tc>
        <w:tc>
          <w:tcPr>
            <w:tcW w:w="709" w:type="pct"/>
            <w:gridSpan w:val="2"/>
            <w:vMerge w:val="restart"/>
          </w:tcPr>
          <w:p w14:paraId="47BB36CB" w14:textId="615F5B0C" w:rsidR="00932A12" w:rsidRPr="00A07978" w:rsidRDefault="00932A12" w:rsidP="00971293">
            <w:pPr>
              <w:spacing w:after="60"/>
              <w:rPr>
                <w:color w:val="000000"/>
                <w:sz w:val="16"/>
                <w:szCs w:val="16"/>
                <w:lang w:val="en-GB"/>
              </w:rPr>
            </w:pPr>
            <w:r w:rsidRPr="00A07978">
              <w:rPr>
                <w:bCs/>
                <w:iCs/>
                <w:color w:val="000000"/>
                <w:sz w:val="16"/>
                <w:szCs w:val="16"/>
                <w:lang w:val="en-GB"/>
              </w:rPr>
              <w:lastRenderedPageBreak/>
              <w:t>Min</w:t>
            </w:r>
            <w:r w:rsidR="00E63CAE" w:rsidRPr="00A07978">
              <w:rPr>
                <w:bCs/>
                <w:iCs/>
                <w:color w:val="000000"/>
                <w:sz w:val="16"/>
                <w:szCs w:val="16"/>
                <w:lang w:val="en-GB"/>
              </w:rPr>
              <w:t>istry of</w:t>
            </w:r>
            <w:r w:rsidRPr="00A07978">
              <w:rPr>
                <w:bCs/>
                <w:iCs/>
                <w:color w:val="000000"/>
                <w:sz w:val="16"/>
                <w:szCs w:val="16"/>
                <w:lang w:val="en-GB"/>
              </w:rPr>
              <w:t xml:space="preserve"> Justice; Min</w:t>
            </w:r>
            <w:r w:rsidR="00E63CAE" w:rsidRPr="00A07978">
              <w:rPr>
                <w:bCs/>
                <w:iCs/>
                <w:color w:val="000000"/>
                <w:sz w:val="16"/>
                <w:szCs w:val="16"/>
                <w:lang w:val="en-GB"/>
              </w:rPr>
              <w:t>istry of the</w:t>
            </w:r>
            <w:r w:rsidRPr="00A07978">
              <w:rPr>
                <w:bCs/>
                <w:iCs/>
                <w:color w:val="000000"/>
                <w:sz w:val="16"/>
                <w:szCs w:val="16"/>
                <w:lang w:val="en-GB"/>
              </w:rPr>
              <w:t xml:space="preserve"> Interior; Min</w:t>
            </w:r>
            <w:r w:rsidR="00E63CAE" w:rsidRPr="00A07978">
              <w:rPr>
                <w:bCs/>
                <w:iCs/>
                <w:color w:val="000000"/>
                <w:sz w:val="16"/>
                <w:szCs w:val="16"/>
                <w:lang w:val="en-GB"/>
              </w:rPr>
              <w:t>istry of</w:t>
            </w:r>
            <w:r w:rsidRPr="00A07978">
              <w:rPr>
                <w:bCs/>
                <w:iCs/>
                <w:color w:val="000000"/>
                <w:sz w:val="16"/>
                <w:szCs w:val="16"/>
                <w:lang w:val="en-GB"/>
              </w:rPr>
              <w:t xml:space="preserve"> Gender; Min</w:t>
            </w:r>
            <w:r w:rsidR="00215F00" w:rsidRPr="00A07978">
              <w:rPr>
                <w:bCs/>
                <w:iCs/>
                <w:color w:val="000000"/>
                <w:sz w:val="16"/>
                <w:szCs w:val="16"/>
                <w:lang w:val="en-GB"/>
              </w:rPr>
              <w:t>istry of</w:t>
            </w:r>
            <w:r w:rsidRPr="00A07978">
              <w:rPr>
                <w:bCs/>
                <w:iCs/>
                <w:color w:val="000000"/>
                <w:sz w:val="16"/>
                <w:szCs w:val="16"/>
                <w:lang w:val="en-GB"/>
              </w:rPr>
              <w:t>. Finance; Min</w:t>
            </w:r>
            <w:r w:rsidR="00215F00" w:rsidRPr="00A07978">
              <w:rPr>
                <w:bCs/>
                <w:iCs/>
                <w:color w:val="000000"/>
                <w:sz w:val="16"/>
                <w:szCs w:val="16"/>
                <w:lang w:val="en-GB"/>
              </w:rPr>
              <w:t>istry of Youth, Information Technology and Communication</w:t>
            </w:r>
            <w:r w:rsidRPr="00A07978">
              <w:rPr>
                <w:bCs/>
                <w:iCs/>
                <w:color w:val="000000"/>
                <w:sz w:val="16"/>
                <w:szCs w:val="16"/>
                <w:lang w:val="en-GB"/>
              </w:rPr>
              <w:t xml:space="preserve">; NHRC; </w:t>
            </w:r>
            <w:r w:rsidR="00215F00" w:rsidRPr="00A07978">
              <w:rPr>
                <w:bCs/>
                <w:iCs/>
                <w:color w:val="000000"/>
                <w:sz w:val="16"/>
                <w:szCs w:val="16"/>
                <w:lang w:val="en-GB"/>
              </w:rPr>
              <w:t>Ombudsman</w:t>
            </w:r>
            <w:r w:rsidRPr="00A07978">
              <w:rPr>
                <w:bCs/>
                <w:iCs/>
                <w:color w:val="000000"/>
                <w:sz w:val="16"/>
                <w:szCs w:val="16"/>
                <w:lang w:val="en-GB"/>
              </w:rPr>
              <w:t xml:space="preserve">; Netherlands; </w:t>
            </w:r>
            <w:r w:rsidR="00E63CAE" w:rsidRPr="00A07978">
              <w:rPr>
                <w:bCs/>
                <w:iCs/>
                <w:color w:val="000000"/>
                <w:sz w:val="16"/>
                <w:szCs w:val="16"/>
                <w:lang w:val="en-GB"/>
              </w:rPr>
              <w:t>Enabel</w:t>
            </w:r>
            <w:r w:rsidRPr="00A07978">
              <w:rPr>
                <w:bCs/>
                <w:iCs/>
                <w:color w:val="000000"/>
                <w:sz w:val="16"/>
                <w:szCs w:val="16"/>
                <w:lang w:val="en-GB"/>
              </w:rPr>
              <w:t xml:space="preserve">; CSO, </w:t>
            </w:r>
            <w:r w:rsidR="00ED7816" w:rsidRPr="00A07978">
              <w:rPr>
                <w:bCs/>
                <w:iCs/>
                <w:color w:val="000000"/>
                <w:sz w:val="16"/>
                <w:szCs w:val="16"/>
                <w:lang w:val="en-GB"/>
              </w:rPr>
              <w:t>Truth and Reconciliation Commission (</w:t>
            </w:r>
            <w:r w:rsidRPr="00A07978">
              <w:rPr>
                <w:bCs/>
                <w:iCs/>
                <w:color w:val="000000"/>
                <w:sz w:val="16"/>
                <w:szCs w:val="16"/>
                <w:lang w:val="en-GB"/>
              </w:rPr>
              <w:t>TRC</w:t>
            </w:r>
            <w:r w:rsidR="00ED7816" w:rsidRPr="00A07978">
              <w:rPr>
                <w:bCs/>
                <w:iCs/>
                <w:color w:val="000000"/>
                <w:sz w:val="16"/>
                <w:szCs w:val="16"/>
                <w:lang w:val="en-GB"/>
              </w:rPr>
              <w:t>)</w:t>
            </w:r>
            <w:r w:rsidRPr="00A07978">
              <w:rPr>
                <w:bCs/>
                <w:iCs/>
                <w:color w:val="000000"/>
                <w:sz w:val="16"/>
                <w:szCs w:val="16"/>
                <w:lang w:val="en-GB"/>
              </w:rPr>
              <w:t xml:space="preserve">, </w:t>
            </w:r>
            <w:r w:rsidR="001D12F4" w:rsidRPr="00A07978">
              <w:rPr>
                <w:bCs/>
                <w:iCs/>
                <w:color w:val="000000"/>
                <w:sz w:val="16"/>
                <w:szCs w:val="16"/>
                <w:lang w:val="en-GB"/>
              </w:rPr>
              <w:t xml:space="preserve">National </w:t>
            </w:r>
            <w:r w:rsidRPr="00A07978">
              <w:rPr>
                <w:bCs/>
                <w:iCs/>
                <w:color w:val="000000"/>
                <w:sz w:val="16"/>
                <w:szCs w:val="16"/>
                <w:lang w:val="en-GB"/>
              </w:rPr>
              <w:t>Bar Association, INEC</w:t>
            </w:r>
            <w:r w:rsidR="00E63CAE" w:rsidRPr="00A07978">
              <w:rPr>
                <w:color w:val="000000" w:themeColor="text1"/>
                <w:sz w:val="16"/>
                <w:szCs w:val="16"/>
                <w:lang w:val="en-GB"/>
              </w:rPr>
              <w:t xml:space="preserve">; </w:t>
            </w:r>
            <w:r w:rsidRPr="00A07978">
              <w:rPr>
                <w:color w:val="000000" w:themeColor="text1"/>
                <w:sz w:val="16"/>
                <w:szCs w:val="16"/>
                <w:lang w:val="en-GB"/>
              </w:rPr>
              <w:t>INSBU</w:t>
            </w:r>
            <w:r w:rsidR="00E63CAE" w:rsidRPr="00A07978">
              <w:rPr>
                <w:color w:val="000000" w:themeColor="text1"/>
                <w:sz w:val="16"/>
                <w:szCs w:val="16"/>
                <w:lang w:val="en-GB"/>
              </w:rPr>
              <w:t>;</w:t>
            </w:r>
            <w:r w:rsidRPr="00A07978">
              <w:rPr>
                <w:color w:val="000000" w:themeColor="text1"/>
                <w:sz w:val="16"/>
                <w:szCs w:val="16"/>
                <w:lang w:val="en-GB"/>
              </w:rPr>
              <w:t xml:space="preserve"> </w:t>
            </w:r>
            <w:r w:rsidR="00792BC9" w:rsidRPr="00A07978">
              <w:rPr>
                <w:color w:val="000000" w:themeColor="text1"/>
                <w:sz w:val="16"/>
                <w:szCs w:val="16"/>
                <w:lang w:val="en-GB"/>
              </w:rPr>
              <w:t>African Development Bank</w:t>
            </w:r>
            <w:r w:rsidRPr="00A07978">
              <w:rPr>
                <w:color w:val="000000" w:themeColor="text1"/>
                <w:sz w:val="16"/>
                <w:szCs w:val="16"/>
                <w:lang w:val="en-GB"/>
              </w:rPr>
              <w:t xml:space="preserve">; </w:t>
            </w:r>
            <w:r w:rsidR="00E63CAE" w:rsidRPr="00A07978">
              <w:rPr>
                <w:color w:val="000000" w:themeColor="text1"/>
                <w:sz w:val="16"/>
                <w:szCs w:val="16"/>
                <w:lang w:val="en-GB"/>
              </w:rPr>
              <w:t>World Bank</w:t>
            </w:r>
            <w:r w:rsidRPr="00A07978">
              <w:rPr>
                <w:color w:val="000000" w:themeColor="text1"/>
                <w:sz w:val="16"/>
                <w:szCs w:val="16"/>
                <w:lang w:val="en-GB"/>
              </w:rPr>
              <w:t xml:space="preserve">, </w:t>
            </w:r>
            <w:r w:rsidR="00792BC9" w:rsidRPr="00A07978">
              <w:rPr>
                <w:color w:val="000000" w:themeColor="text1"/>
                <w:sz w:val="16"/>
                <w:szCs w:val="16"/>
                <w:lang w:val="en-GB"/>
              </w:rPr>
              <w:t>European</w:t>
            </w:r>
            <w:r w:rsidR="00E63CAE" w:rsidRPr="00A07978">
              <w:rPr>
                <w:color w:val="000000" w:themeColor="text1"/>
                <w:sz w:val="16"/>
                <w:szCs w:val="16"/>
                <w:lang w:val="en-GB"/>
              </w:rPr>
              <w:t xml:space="preserve"> Union; </w:t>
            </w:r>
            <w:r w:rsidRPr="00A07978">
              <w:rPr>
                <w:color w:val="000000" w:themeColor="text1"/>
                <w:sz w:val="16"/>
                <w:szCs w:val="16"/>
                <w:lang w:val="en-GB"/>
              </w:rPr>
              <w:t>UN</w:t>
            </w:r>
            <w:r w:rsidR="00F74ABC" w:rsidRPr="00A07978">
              <w:rPr>
                <w:color w:val="000000" w:themeColor="text1"/>
                <w:sz w:val="16"/>
                <w:szCs w:val="16"/>
                <w:lang w:val="en-GB"/>
              </w:rPr>
              <w:t>-</w:t>
            </w:r>
            <w:r w:rsidRPr="00A07978">
              <w:rPr>
                <w:color w:val="000000" w:themeColor="text1"/>
                <w:sz w:val="16"/>
                <w:szCs w:val="16"/>
                <w:lang w:val="en-GB"/>
              </w:rPr>
              <w:t>Women</w:t>
            </w:r>
            <w:r w:rsidR="00E63CAE" w:rsidRPr="00A07978">
              <w:rPr>
                <w:color w:val="000000" w:themeColor="text1"/>
                <w:sz w:val="16"/>
                <w:szCs w:val="16"/>
                <w:lang w:val="en-GB"/>
              </w:rPr>
              <w:t>;</w:t>
            </w:r>
            <w:r w:rsidRPr="00A07978">
              <w:rPr>
                <w:color w:val="000000" w:themeColor="text1"/>
                <w:sz w:val="16"/>
                <w:szCs w:val="16"/>
                <w:lang w:val="en-GB"/>
              </w:rPr>
              <w:t xml:space="preserve"> UN</w:t>
            </w:r>
            <w:r w:rsidR="00E63CAE" w:rsidRPr="00A07978">
              <w:rPr>
                <w:color w:val="000000" w:themeColor="text1"/>
                <w:sz w:val="16"/>
                <w:szCs w:val="16"/>
                <w:lang w:val="en-GB"/>
              </w:rPr>
              <w:t>V, and the governments of Belgium, Switzerland, and the Netherlands.</w:t>
            </w:r>
          </w:p>
          <w:p w14:paraId="7431D68B" w14:textId="77777777" w:rsidR="00932A12" w:rsidRPr="00A07978" w:rsidRDefault="00932A12" w:rsidP="00E02C69">
            <w:pPr>
              <w:rPr>
                <w:iCs/>
                <w:color w:val="000000"/>
                <w:sz w:val="16"/>
                <w:szCs w:val="16"/>
                <w:lang w:val="en-GB"/>
              </w:rPr>
            </w:pPr>
          </w:p>
        </w:tc>
        <w:tc>
          <w:tcPr>
            <w:tcW w:w="846" w:type="pct"/>
            <w:gridSpan w:val="2"/>
            <w:tcMar>
              <w:top w:w="15" w:type="dxa"/>
              <w:left w:w="108" w:type="dxa"/>
              <w:bottom w:w="0" w:type="dxa"/>
              <w:right w:w="108" w:type="dxa"/>
            </w:tcMar>
          </w:tcPr>
          <w:p w14:paraId="370099AB" w14:textId="77777777" w:rsidR="00932A12" w:rsidRPr="00A07978" w:rsidRDefault="00932A12" w:rsidP="00E02C69">
            <w:pPr>
              <w:rPr>
                <w:rFonts w:ascii="Calibri" w:hAnsi="Calibri" w:cs="Calibri"/>
                <w:b/>
                <w:bCs/>
                <w:color w:val="000000"/>
                <w:sz w:val="22"/>
                <w:szCs w:val="22"/>
                <w:lang w:val="en-GB"/>
              </w:rPr>
            </w:pPr>
            <w:r w:rsidRPr="00A07978">
              <w:rPr>
                <w:b/>
                <w:color w:val="000000"/>
                <w:sz w:val="16"/>
                <w:szCs w:val="16"/>
                <w:lang w:val="en-GB"/>
              </w:rPr>
              <w:t>Regular:</w:t>
            </w:r>
            <w:r w:rsidRPr="00A07978">
              <w:rPr>
                <w:rFonts w:ascii="Calibri" w:hAnsi="Calibri" w:cs="Calibri"/>
                <w:b/>
                <w:bCs/>
                <w:color w:val="000000"/>
                <w:sz w:val="22"/>
                <w:szCs w:val="22"/>
                <w:lang w:val="en-GB"/>
              </w:rPr>
              <w:t xml:space="preserve"> </w:t>
            </w:r>
            <w:r w:rsidRPr="00A07978">
              <w:rPr>
                <w:b/>
                <w:bCs/>
                <w:color w:val="000000"/>
                <w:sz w:val="16"/>
                <w:szCs w:val="16"/>
                <w:lang w:val="en-GB"/>
              </w:rPr>
              <w:t>12,778</w:t>
            </w:r>
            <w:r w:rsidRPr="00A07978">
              <w:rPr>
                <w:rFonts w:ascii="Calibri" w:hAnsi="Calibri" w:cs="Calibri"/>
                <w:b/>
                <w:bCs/>
                <w:color w:val="000000"/>
                <w:sz w:val="16"/>
                <w:szCs w:val="16"/>
                <w:lang w:val="en-GB"/>
              </w:rPr>
              <w:t xml:space="preserve"> </w:t>
            </w:r>
          </w:p>
          <w:p w14:paraId="72E0815A" w14:textId="77777777" w:rsidR="00284734" w:rsidRPr="00A07978" w:rsidRDefault="00284734" w:rsidP="00284734">
            <w:pPr>
              <w:rPr>
                <w:b/>
                <w:bCs/>
                <w:color w:val="000000"/>
                <w:sz w:val="16"/>
                <w:szCs w:val="16"/>
                <w:lang w:val="en-GB"/>
              </w:rPr>
            </w:pPr>
            <w:r w:rsidRPr="00A07978">
              <w:rPr>
                <w:b/>
                <w:bCs/>
                <w:color w:val="000000"/>
                <w:sz w:val="16"/>
                <w:szCs w:val="16"/>
                <w:lang w:val="en-GB"/>
              </w:rPr>
              <w:t xml:space="preserve">Other: 11,501   </w:t>
            </w:r>
          </w:p>
          <w:p w14:paraId="01E203FC" w14:textId="77777777" w:rsidR="00932A12" w:rsidRPr="00A07978" w:rsidRDefault="00932A12" w:rsidP="00284734">
            <w:pPr>
              <w:rPr>
                <w:b/>
                <w:color w:val="000000"/>
                <w:sz w:val="16"/>
                <w:szCs w:val="16"/>
                <w:lang w:val="en-GB"/>
              </w:rPr>
            </w:pPr>
          </w:p>
        </w:tc>
      </w:tr>
      <w:tr w:rsidR="00932A12" w:rsidRPr="00A07978" w14:paraId="0D1F3DE8" w14:textId="77777777" w:rsidTr="00E02C69">
        <w:trPr>
          <w:trHeight w:val="1415"/>
        </w:trPr>
        <w:tc>
          <w:tcPr>
            <w:tcW w:w="1149" w:type="pct"/>
            <w:gridSpan w:val="2"/>
            <w:vMerge/>
            <w:tcMar>
              <w:top w:w="72" w:type="dxa"/>
              <w:left w:w="144" w:type="dxa"/>
              <w:bottom w:w="72" w:type="dxa"/>
              <w:right w:w="144" w:type="dxa"/>
            </w:tcMar>
          </w:tcPr>
          <w:p w14:paraId="0EC96192" w14:textId="77777777" w:rsidR="00932A12" w:rsidRPr="00A07978" w:rsidRDefault="00932A12" w:rsidP="00E02C69">
            <w:pPr>
              <w:spacing w:after="60"/>
              <w:rPr>
                <w:i/>
                <w:iCs/>
                <w:color w:val="000000"/>
                <w:sz w:val="16"/>
                <w:szCs w:val="16"/>
                <w:lang w:val="en-GB"/>
              </w:rPr>
            </w:pPr>
          </w:p>
        </w:tc>
        <w:tc>
          <w:tcPr>
            <w:tcW w:w="843" w:type="pct"/>
            <w:vMerge/>
          </w:tcPr>
          <w:p w14:paraId="5EB0E033" w14:textId="77777777" w:rsidR="00932A12" w:rsidRPr="00A07978" w:rsidRDefault="00932A12" w:rsidP="00E02C69">
            <w:pPr>
              <w:rPr>
                <w:i/>
                <w:iCs/>
                <w:color w:val="000000"/>
                <w:sz w:val="16"/>
                <w:szCs w:val="16"/>
                <w:lang w:val="en-GB"/>
              </w:rPr>
            </w:pPr>
          </w:p>
        </w:tc>
        <w:tc>
          <w:tcPr>
            <w:tcW w:w="1453" w:type="pct"/>
            <w:vMerge/>
            <w:tcMar>
              <w:top w:w="72" w:type="dxa"/>
              <w:left w:w="144" w:type="dxa"/>
              <w:bottom w:w="72" w:type="dxa"/>
              <w:right w:w="144" w:type="dxa"/>
            </w:tcMar>
          </w:tcPr>
          <w:p w14:paraId="4295ED47" w14:textId="77777777" w:rsidR="00932A12" w:rsidRPr="00A07978" w:rsidRDefault="00932A12" w:rsidP="00E02C69">
            <w:pPr>
              <w:rPr>
                <w:i/>
                <w:iCs/>
                <w:color w:val="000000"/>
                <w:sz w:val="16"/>
                <w:szCs w:val="16"/>
                <w:lang w:val="en-GB"/>
              </w:rPr>
            </w:pPr>
          </w:p>
        </w:tc>
        <w:tc>
          <w:tcPr>
            <w:tcW w:w="709" w:type="pct"/>
            <w:gridSpan w:val="2"/>
            <w:vMerge/>
          </w:tcPr>
          <w:p w14:paraId="0CBC9416" w14:textId="77777777" w:rsidR="00932A12" w:rsidRPr="00A07978" w:rsidRDefault="00932A12" w:rsidP="00E02C69">
            <w:pPr>
              <w:rPr>
                <w:i/>
                <w:iCs/>
                <w:color w:val="000000"/>
                <w:sz w:val="16"/>
                <w:szCs w:val="16"/>
                <w:lang w:val="en-GB"/>
              </w:rPr>
            </w:pPr>
          </w:p>
        </w:tc>
        <w:tc>
          <w:tcPr>
            <w:tcW w:w="846" w:type="pct"/>
            <w:gridSpan w:val="2"/>
            <w:tcMar>
              <w:top w:w="15" w:type="dxa"/>
              <w:left w:w="108" w:type="dxa"/>
              <w:bottom w:w="0" w:type="dxa"/>
              <w:right w:w="108" w:type="dxa"/>
            </w:tcMar>
          </w:tcPr>
          <w:p w14:paraId="5AC9DC8F" w14:textId="77777777" w:rsidR="00932A12" w:rsidRPr="00A07978" w:rsidRDefault="00932A12" w:rsidP="00284734">
            <w:pPr>
              <w:rPr>
                <w:b/>
                <w:color w:val="000000"/>
                <w:sz w:val="16"/>
                <w:szCs w:val="16"/>
                <w:lang w:val="en-GB"/>
              </w:rPr>
            </w:pPr>
          </w:p>
        </w:tc>
      </w:tr>
      <w:tr w:rsidR="00932A12" w:rsidRPr="00A07978" w14:paraId="55429CC7" w14:textId="77777777" w:rsidTr="00932A12">
        <w:trPr>
          <w:trHeight w:val="2742"/>
        </w:trPr>
        <w:tc>
          <w:tcPr>
            <w:tcW w:w="1149" w:type="pct"/>
            <w:gridSpan w:val="2"/>
            <w:tcMar>
              <w:top w:w="72" w:type="dxa"/>
              <w:left w:w="144" w:type="dxa"/>
              <w:bottom w:w="72" w:type="dxa"/>
              <w:right w:w="144" w:type="dxa"/>
            </w:tcMar>
          </w:tcPr>
          <w:p w14:paraId="0296AC9A" w14:textId="16365276" w:rsidR="00932A12" w:rsidRPr="00A07978" w:rsidRDefault="00932A12" w:rsidP="00E02C69">
            <w:pPr>
              <w:rPr>
                <w:sz w:val="16"/>
                <w:szCs w:val="16"/>
                <w:lang w:val="en-GB"/>
              </w:rPr>
            </w:pPr>
            <w:r w:rsidRPr="00A07978">
              <w:rPr>
                <w:sz w:val="16"/>
                <w:szCs w:val="16"/>
                <w:lang w:val="en-GB"/>
              </w:rPr>
              <w:t>B. % of women represented in decision-making bodies in the public sector</w:t>
            </w:r>
            <w:r w:rsidR="000F57D4" w:rsidRPr="00A07978">
              <w:rPr>
                <w:sz w:val="16"/>
                <w:szCs w:val="16"/>
                <w:lang w:val="en-GB"/>
              </w:rPr>
              <w:t>.</w:t>
            </w:r>
          </w:p>
          <w:p w14:paraId="27032FC9" w14:textId="77777777" w:rsidR="0020448C" w:rsidRPr="00A07978" w:rsidRDefault="0020448C" w:rsidP="0020448C">
            <w:pPr>
              <w:rPr>
                <w:sz w:val="16"/>
                <w:szCs w:val="16"/>
                <w:lang w:val="en-GB"/>
              </w:rPr>
            </w:pPr>
            <w:r w:rsidRPr="00A07978">
              <w:rPr>
                <w:sz w:val="16"/>
                <w:szCs w:val="16"/>
                <w:lang w:val="en-GB"/>
              </w:rPr>
              <w:t>Baseline (2022):</w:t>
            </w:r>
          </w:p>
          <w:p w14:paraId="404CFC0D" w14:textId="77777777" w:rsidR="0020448C" w:rsidRPr="00A07978" w:rsidRDefault="0020448C" w:rsidP="0020448C">
            <w:pPr>
              <w:rPr>
                <w:sz w:val="16"/>
                <w:szCs w:val="16"/>
                <w:lang w:val="en-GB"/>
              </w:rPr>
            </w:pPr>
            <w:r w:rsidRPr="00A07978">
              <w:rPr>
                <w:sz w:val="16"/>
                <w:szCs w:val="16"/>
                <w:lang w:val="en-GB"/>
              </w:rPr>
              <w:t xml:space="preserve">a. Senate: 41.03% </w:t>
            </w:r>
          </w:p>
          <w:p w14:paraId="646E43E1" w14:textId="77777777" w:rsidR="0020448C" w:rsidRPr="00A07978" w:rsidRDefault="0020448C" w:rsidP="0020448C">
            <w:pPr>
              <w:rPr>
                <w:sz w:val="16"/>
                <w:szCs w:val="16"/>
                <w:lang w:val="en-GB"/>
              </w:rPr>
            </w:pPr>
            <w:r w:rsidRPr="00A07978">
              <w:rPr>
                <w:sz w:val="16"/>
                <w:szCs w:val="16"/>
                <w:lang w:val="en-GB"/>
              </w:rPr>
              <w:t>b. MPs: 39.02%</w:t>
            </w:r>
          </w:p>
          <w:p w14:paraId="752F01AD" w14:textId="77777777" w:rsidR="0020448C" w:rsidRPr="00A07978" w:rsidRDefault="0020448C" w:rsidP="0020448C">
            <w:pPr>
              <w:rPr>
                <w:sz w:val="16"/>
                <w:szCs w:val="16"/>
                <w:lang w:val="en-GB"/>
              </w:rPr>
            </w:pPr>
            <w:r w:rsidRPr="00A07978">
              <w:rPr>
                <w:sz w:val="16"/>
                <w:szCs w:val="16"/>
                <w:lang w:val="en-GB"/>
              </w:rPr>
              <w:t xml:space="preserve">c. Government: 31.25% </w:t>
            </w:r>
          </w:p>
          <w:p w14:paraId="27603C1D" w14:textId="77777777" w:rsidR="0020448C" w:rsidRPr="00A07978" w:rsidRDefault="0020448C" w:rsidP="0020448C">
            <w:pPr>
              <w:rPr>
                <w:sz w:val="16"/>
                <w:szCs w:val="16"/>
                <w:lang w:val="en-GB"/>
              </w:rPr>
            </w:pPr>
            <w:r w:rsidRPr="00A07978">
              <w:rPr>
                <w:sz w:val="16"/>
                <w:szCs w:val="16"/>
                <w:lang w:val="en-GB"/>
              </w:rPr>
              <w:t xml:space="preserve">d. Governors: 17% </w:t>
            </w:r>
          </w:p>
          <w:p w14:paraId="31EEFE86" w14:textId="77777777" w:rsidR="0020448C" w:rsidRPr="00A07978" w:rsidRDefault="0020448C" w:rsidP="0020448C">
            <w:pPr>
              <w:rPr>
                <w:sz w:val="16"/>
                <w:szCs w:val="16"/>
                <w:lang w:val="en-GB"/>
              </w:rPr>
            </w:pPr>
            <w:r w:rsidRPr="00A07978">
              <w:rPr>
                <w:sz w:val="16"/>
                <w:szCs w:val="16"/>
                <w:lang w:val="en-GB"/>
              </w:rPr>
              <w:t xml:space="preserve">e. Communal administration: 36% </w:t>
            </w:r>
          </w:p>
          <w:p w14:paraId="38A73A4A" w14:textId="77777777" w:rsidR="0020448C" w:rsidRPr="00A07978" w:rsidRDefault="0020448C" w:rsidP="0020448C">
            <w:pPr>
              <w:rPr>
                <w:sz w:val="16"/>
                <w:szCs w:val="16"/>
                <w:lang w:val="en-GB"/>
              </w:rPr>
            </w:pPr>
            <w:r w:rsidRPr="00A07978">
              <w:rPr>
                <w:sz w:val="16"/>
                <w:szCs w:val="16"/>
                <w:lang w:val="en-GB"/>
              </w:rPr>
              <w:t>f. Hill/neighbourhood counsellors: 20%</w:t>
            </w:r>
          </w:p>
          <w:p w14:paraId="0273FA09" w14:textId="77777777" w:rsidR="0020448C" w:rsidRPr="00A07978" w:rsidRDefault="0020448C" w:rsidP="0020448C">
            <w:pPr>
              <w:rPr>
                <w:sz w:val="16"/>
                <w:szCs w:val="16"/>
                <w:lang w:val="en-GB"/>
              </w:rPr>
            </w:pPr>
            <w:r w:rsidRPr="00A07978">
              <w:rPr>
                <w:sz w:val="16"/>
                <w:szCs w:val="16"/>
                <w:lang w:val="en-GB"/>
              </w:rPr>
              <w:t xml:space="preserve">g. Hill leaders: 8% </w:t>
            </w:r>
          </w:p>
          <w:p w14:paraId="364BD3E2" w14:textId="77777777" w:rsidR="0020448C" w:rsidRPr="00A07978" w:rsidRDefault="0020448C" w:rsidP="0020448C">
            <w:pPr>
              <w:rPr>
                <w:sz w:val="16"/>
                <w:szCs w:val="16"/>
                <w:lang w:val="en-GB"/>
              </w:rPr>
            </w:pPr>
            <w:r w:rsidRPr="00A07978">
              <w:rPr>
                <w:sz w:val="16"/>
                <w:szCs w:val="16"/>
                <w:lang w:val="en-GB"/>
              </w:rPr>
              <w:t xml:space="preserve">h. Abahuza: 27.69% </w:t>
            </w:r>
          </w:p>
          <w:p w14:paraId="160C49D1" w14:textId="77777777" w:rsidR="0020448C" w:rsidRPr="00A07978" w:rsidRDefault="0020448C" w:rsidP="0020448C">
            <w:pPr>
              <w:rPr>
                <w:sz w:val="16"/>
                <w:szCs w:val="16"/>
                <w:lang w:val="en-GB"/>
              </w:rPr>
            </w:pPr>
          </w:p>
          <w:p w14:paraId="707890B1" w14:textId="77777777" w:rsidR="0020448C" w:rsidRPr="00A07978" w:rsidRDefault="0020448C" w:rsidP="0020448C">
            <w:pPr>
              <w:rPr>
                <w:sz w:val="16"/>
                <w:szCs w:val="16"/>
                <w:lang w:val="en-GB"/>
              </w:rPr>
            </w:pPr>
            <w:r w:rsidRPr="00A07978">
              <w:rPr>
                <w:sz w:val="16"/>
                <w:szCs w:val="16"/>
                <w:lang w:val="en-GB"/>
              </w:rPr>
              <w:t xml:space="preserve"> Target (2027): </w:t>
            </w:r>
          </w:p>
          <w:p w14:paraId="5C53D83A" w14:textId="77777777" w:rsidR="0020448C" w:rsidRPr="00A07978" w:rsidRDefault="0020448C" w:rsidP="0020448C">
            <w:pPr>
              <w:rPr>
                <w:sz w:val="16"/>
                <w:szCs w:val="16"/>
                <w:lang w:val="en-GB"/>
              </w:rPr>
            </w:pPr>
            <w:r w:rsidRPr="00A07978">
              <w:rPr>
                <w:sz w:val="16"/>
                <w:szCs w:val="16"/>
                <w:lang w:val="en-GB"/>
              </w:rPr>
              <w:t>a. 50%</w:t>
            </w:r>
          </w:p>
          <w:p w14:paraId="179B01B7" w14:textId="77777777" w:rsidR="0020448C" w:rsidRPr="00A07978" w:rsidRDefault="0020448C" w:rsidP="0020448C">
            <w:pPr>
              <w:rPr>
                <w:sz w:val="16"/>
                <w:szCs w:val="16"/>
                <w:lang w:val="en-GB"/>
              </w:rPr>
            </w:pPr>
            <w:r w:rsidRPr="00A07978">
              <w:rPr>
                <w:sz w:val="16"/>
                <w:szCs w:val="16"/>
                <w:lang w:val="en-GB"/>
              </w:rPr>
              <w:t>b. 45%</w:t>
            </w:r>
          </w:p>
          <w:p w14:paraId="309D7863" w14:textId="77777777" w:rsidR="0020448C" w:rsidRPr="00A07978" w:rsidRDefault="0020448C" w:rsidP="0020448C">
            <w:pPr>
              <w:rPr>
                <w:sz w:val="16"/>
                <w:szCs w:val="16"/>
                <w:lang w:val="en-GB"/>
              </w:rPr>
            </w:pPr>
            <w:r w:rsidRPr="00A07978">
              <w:rPr>
                <w:sz w:val="16"/>
                <w:szCs w:val="16"/>
                <w:lang w:val="en-GB"/>
              </w:rPr>
              <w:t>c. 31.25%</w:t>
            </w:r>
          </w:p>
          <w:p w14:paraId="24203C91" w14:textId="77777777" w:rsidR="0020448C" w:rsidRPr="00A07978" w:rsidRDefault="0020448C" w:rsidP="0020448C">
            <w:pPr>
              <w:rPr>
                <w:sz w:val="16"/>
                <w:szCs w:val="16"/>
                <w:lang w:val="en-GB"/>
              </w:rPr>
            </w:pPr>
            <w:r w:rsidRPr="00A07978">
              <w:rPr>
                <w:sz w:val="16"/>
                <w:szCs w:val="16"/>
                <w:lang w:val="en-GB"/>
              </w:rPr>
              <w:t>d. 22%</w:t>
            </w:r>
          </w:p>
          <w:p w14:paraId="03C04EE9" w14:textId="77777777" w:rsidR="0020448C" w:rsidRPr="00A07978" w:rsidRDefault="0020448C" w:rsidP="0020448C">
            <w:pPr>
              <w:rPr>
                <w:sz w:val="16"/>
                <w:szCs w:val="16"/>
                <w:lang w:val="en-GB"/>
              </w:rPr>
            </w:pPr>
            <w:r w:rsidRPr="00A07978">
              <w:rPr>
                <w:sz w:val="16"/>
                <w:szCs w:val="16"/>
                <w:lang w:val="en-GB"/>
              </w:rPr>
              <w:t>e. 40%</w:t>
            </w:r>
          </w:p>
          <w:p w14:paraId="039FF805" w14:textId="77777777" w:rsidR="0020448C" w:rsidRPr="00A07978" w:rsidRDefault="0020448C" w:rsidP="0020448C">
            <w:pPr>
              <w:rPr>
                <w:sz w:val="16"/>
                <w:szCs w:val="16"/>
                <w:lang w:val="en-GB"/>
              </w:rPr>
            </w:pPr>
            <w:r w:rsidRPr="00A07978">
              <w:rPr>
                <w:sz w:val="16"/>
                <w:szCs w:val="16"/>
                <w:lang w:val="en-GB"/>
              </w:rPr>
              <w:t>f. 30%</w:t>
            </w:r>
          </w:p>
          <w:p w14:paraId="2AFA9436" w14:textId="77777777" w:rsidR="0020448C" w:rsidRPr="00A07978" w:rsidRDefault="0020448C" w:rsidP="0020448C">
            <w:pPr>
              <w:rPr>
                <w:sz w:val="16"/>
                <w:szCs w:val="16"/>
                <w:lang w:val="en-GB"/>
              </w:rPr>
            </w:pPr>
            <w:r w:rsidRPr="00A07978">
              <w:rPr>
                <w:sz w:val="16"/>
                <w:szCs w:val="16"/>
                <w:lang w:val="en-GB"/>
              </w:rPr>
              <w:t>g. 30%</w:t>
            </w:r>
          </w:p>
          <w:p w14:paraId="6A149E87" w14:textId="77777777" w:rsidR="0020448C" w:rsidRPr="00A07978" w:rsidRDefault="0020448C" w:rsidP="0020448C">
            <w:pPr>
              <w:rPr>
                <w:sz w:val="16"/>
                <w:szCs w:val="16"/>
                <w:lang w:val="en-GB"/>
              </w:rPr>
            </w:pPr>
            <w:r w:rsidRPr="00A07978">
              <w:rPr>
                <w:sz w:val="16"/>
                <w:szCs w:val="16"/>
                <w:lang w:val="en-GB"/>
              </w:rPr>
              <w:t>h. 27.6%</w:t>
            </w:r>
          </w:p>
          <w:p w14:paraId="3E2D9974" w14:textId="2B28AF7A" w:rsidR="00932A12" w:rsidRPr="00A07978" w:rsidRDefault="00932A12" w:rsidP="00E02C69">
            <w:pPr>
              <w:rPr>
                <w:sz w:val="16"/>
                <w:szCs w:val="16"/>
                <w:lang w:val="en-GB"/>
              </w:rPr>
            </w:pPr>
          </w:p>
        </w:tc>
        <w:tc>
          <w:tcPr>
            <w:tcW w:w="843" w:type="pct"/>
          </w:tcPr>
          <w:p w14:paraId="46F388DB" w14:textId="77777777" w:rsidR="00F82E1F" w:rsidRPr="00A07978" w:rsidRDefault="00F82E1F" w:rsidP="00F82E1F">
            <w:pPr>
              <w:pBdr>
                <w:top w:val="single" w:sz="2" w:space="0" w:color="auto"/>
                <w:left w:val="single" w:sz="2" w:space="11" w:color="auto"/>
                <w:bottom w:val="single" w:sz="2" w:space="0" w:color="auto"/>
                <w:right w:val="single" w:sz="2" w:space="30" w:color="auto"/>
              </w:pBdr>
              <w:suppressAutoHyphens/>
              <w:autoSpaceDN w:val="0"/>
              <w:textAlignment w:val="baseline"/>
              <w:rPr>
                <w:rFonts w:cstheme="minorHAnsi"/>
                <w:iCs/>
                <w:sz w:val="16"/>
                <w:szCs w:val="16"/>
                <w:lang w:val="en-GB"/>
              </w:rPr>
            </w:pPr>
            <w:r w:rsidRPr="00A07978">
              <w:rPr>
                <w:rFonts w:cstheme="minorHAnsi"/>
                <w:iCs/>
                <w:sz w:val="16"/>
                <w:szCs w:val="16"/>
                <w:lang w:val="en-GB"/>
              </w:rPr>
              <w:t>Source: Independent Electoral Commission Report</w:t>
            </w:r>
          </w:p>
          <w:p w14:paraId="07D6041E" w14:textId="77777777" w:rsidR="00F82E1F" w:rsidRPr="00A07978" w:rsidRDefault="00F82E1F" w:rsidP="00F82E1F">
            <w:pPr>
              <w:pBdr>
                <w:top w:val="single" w:sz="2" w:space="0" w:color="auto"/>
                <w:left w:val="single" w:sz="2" w:space="11" w:color="auto"/>
                <w:bottom w:val="single" w:sz="2" w:space="0" w:color="auto"/>
                <w:right w:val="single" w:sz="2" w:space="30" w:color="auto"/>
              </w:pBdr>
              <w:suppressAutoHyphens/>
              <w:autoSpaceDN w:val="0"/>
              <w:textAlignment w:val="baseline"/>
              <w:rPr>
                <w:rFonts w:cstheme="minorHAnsi"/>
                <w:iCs/>
                <w:sz w:val="16"/>
                <w:szCs w:val="16"/>
                <w:lang w:val="en-GB"/>
              </w:rPr>
            </w:pPr>
          </w:p>
          <w:p w14:paraId="38689C1C" w14:textId="77777777" w:rsidR="00F82E1F" w:rsidRPr="00A07978" w:rsidRDefault="00F82E1F" w:rsidP="00F82E1F">
            <w:pPr>
              <w:pBdr>
                <w:top w:val="single" w:sz="2" w:space="0" w:color="auto"/>
                <w:left w:val="single" w:sz="2" w:space="11" w:color="auto"/>
                <w:bottom w:val="single" w:sz="2" w:space="0" w:color="auto"/>
                <w:right w:val="single" w:sz="2" w:space="30" w:color="auto"/>
              </w:pBdr>
              <w:suppressAutoHyphens/>
              <w:autoSpaceDN w:val="0"/>
              <w:textAlignment w:val="baseline"/>
              <w:rPr>
                <w:rFonts w:cstheme="minorHAnsi"/>
                <w:iCs/>
                <w:sz w:val="16"/>
                <w:szCs w:val="16"/>
                <w:lang w:val="en-GB"/>
              </w:rPr>
            </w:pPr>
            <w:r w:rsidRPr="00A07978">
              <w:rPr>
                <w:rFonts w:cstheme="minorHAnsi"/>
                <w:iCs/>
                <w:sz w:val="16"/>
                <w:szCs w:val="16"/>
                <w:lang w:val="en-GB"/>
              </w:rPr>
              <w:t>Frequency: Annually</w:t>
            </w:r>
          </w:p>
          <w:p w14:paraId="25C8573F" w14:textId="72811881" w:rsidR="003205E1" w:rsidRPr="00A07978" w:rsidRDefault="003205E1" w:rsidP="00F82E1F">
            <w:pPr>
              <w:pBdr>
                <w:top w:val="single" w:sz="2" w:space="0" w:color="auto"/>
                <w:left w:val="single" w:sz="2" w:space="11" w:color="auto"/>
                <w:bottom w:val="single" w:sz="2" w:space="0" w:color="auto"/>
                <w:right w:val="single" w:sz="2" w:space="30" w:color="auto"/>
              </w:pBdr>
              <w:suppressAutoHyphens/>
              <w:autoSpaceDN w:val="0"/>
              <w:textAlignment w:val="baseline"/>
              <w:rPr>
                <w:rFonts w:cstheme="minorHAnsi"/>
                <w:iCs/>
                <w:sz w:val="16"/>
                <w:szCs w:val="16"/>
                <w:lang w:val="en-GB"/>
              </w:rPr>
            </w:pPr>
            <w:r w:rsidRPr="00A07978">
              <w:rPr>
                <w:rFonts w:cstheme="minorHAnsi"/>
                <w:iCs/>
                <w:sz w:val="16"/>
                <w:szCs w:val="16"/>
                <w:lang w:val="en-GB"/>
              </w:rPr>
              <w:t>Responsible: Ministry of Gender</w:t>
            </w:r>
          </w:p>
          <w:p w14:paraId="1EDAE38D" w14:textId="77777777" w:rsidR="003205E1" w:rsidRPr="00A07978" w:rsidRDefault="003205E1" w:rsidP="00F82E1F">
            <w:pPr>
              <w:pBdr>
                <w:top w:val="single" w:sz="2" w:space="0" w:color="auto"/>
                <w:left w:val="single" w:sz="2" w:space="11" w:color="auto"/>
                <w:bottom w:val="single" w:sz="2" w:space="0" w:color="auto"/>
                <w:right w:val="single" w:sz="2" w:space="30" w:color="auto"/>
              </w:pBdr>
              <w:suppressAutoHyphens/>
              <w:autoSpaceDN w:val="0"/>
              <w:textAlignment w:val="baseline"/>
              <w:rPr>
                <w:rFonts w:cstheme="minorHAnsi"/>
                <w:iCs/>
                <w:sz w:val="16"/>
                <w:szCs w:val="16"/>
                <w:lang w:val="en-GB"/>
              </w:rPr>
            </w:pPr>
          </w:p>
          <w:p w14:paraId="7664C177" w14:textId="52E09D7B" w:rsidR="00932A12" w:rsidRPr="00A07978" w:rsidRDefault="00932A12" w:rsidP="00F82E1F">
            <w:pPr>
              <w:rPr>
                <w:sz w:val="16"/>
                <w:szCs w:val="16"/>
                <w:lang w:val="en-GB"/>
              </w:rPr>
            </w:pPr>
          </w:p>
        </w:tc>
        <w:tc>
          <w:tcPr>
            <w:tcW w:w="1453" w:type="pct"/>
            <w:tcMar>
              <w:top w:w="72" w:type="dxa"/>
              <w:left w:w="144" w:type="dxa"/>
              <w:bottom w:w="72" w:type="dxa"/>
              <w:right w:w="144" w:type="dxa"/>
            </w:tcMar>
          </w:tcPr>
          <w:p w14:paraId="125EF9A1" w14:textId="35344F13" w:rsidR="00932A12" w:rsidRPr="00A07978" w:rsidRDefault="00D154E4" w:rsidP="00D154E4">
            <w:pPr>
              <w:spacing w:line="259" w:lineRule="auto"/>
              <w:rPr>
                <w:sz w:val="16"/>
                <w:szCs w:val="16"/>
                <w:lang w:val="en-GB"/>
              </w:rPr>
            </w:pPr>
            <w:r w:rsidRPr="00A07978">
              <w:rPr>
                <w:color w:val="000000" w:themeColor="text1"/>
                <w:sz w:val="16"/>
                <w:szCs w:val="16"/>
                <w:lang w:val="en-GB"/>
              </w:rPr>
              <w:t xml:space="preserve">Output </w:t>
            </w:r>
            <w:r w:rsidR="00932A12" w:rsidRPr="00A07978">
              <w:rPr>
                <w:sz w:val="16"/>
                <w:szCs w:val="16"/>
                <w:lang w:val="en-GB"/>
              </w:rPr>
              <w:t>1.2. Civic space and access to justice expanded, discrimination addressed, and rule of law, human rights and equity strengthened</w:t>
            </w:r>
            <w:r w:rsidR="00E63CAE" w:rsidRPr="00A07978">
              <w:rPr>
                <w:sz w:val="16"/>
                <w:szCs w:val="16"/>
                <w:lang w:val="en-GB"/>
              </w:rPr>
              <w:t>.</w:t>
            </w:r>
          </w:p>
          <w:p w14:paraId="609B51A7" w14:textId="77777777" w:rsidR="00932A12" w:rsidRPr="00A07978" w:rsidRDefault="00932A12" w:rsidP="00E02C69">
            <w:pPr>
              <w:spacing w:line="259" w:lineRule="auto"/>
              <w:rPr>
                <w:sz w:val="16"/>
                <w:szCs w:val="16"/>
                <w:lang w:val="en-GB"/>
              </w:rPr>
            </w:pPr>
          </w:p>
          <w:p w14:paraId="03B9B59F" w14:textId="0E066070" w:rsidR="000C4202" w:rsidRPr="00A07978" w:rsidRDefault="000C4202" w:rsidP="000C4202">
            <w:pPr>
              <w:rPr>
                <w:color w:val="000000"/>
                <w:sz w:val="16"/>
                <w:szCs w:val="16"/>
                <w:lang w:val="en-GB"/>
              </w:rPr>
            </w:pPr>
          </w:p>
          <w:p w14:paraId="41986E67" w14:textId="25AE599E" w:rsidR="00932A12" w:rsidRPr="00A07978" w:rsidRDefault="000C4202" w:rsidP="000C4202">
            <w:pPr>
              <w:suppressAutoHyphens/>
              <w:autoSpaceDN w:val="0"/>
              <w:textAlignment w:val="baseline"/>
              <w:rPr>
                <w:sz w:val="16"/>
                <w:szCs w:val="16"/>
                <w:lang w:val="en-GB"/>
              </w:rPr>
            </w:pPr>
            <w:r w:rsidRPr="00A07978">
              <w:rPr>
                <w:color w:val="000000" w:themeColor="text1"/>
                <w:sz w:val="16"/>
                <w:szCs w:val="16"/>
                <w:lang w:val="en-GB"/>
              </w:rPr>
              <w:t xml:space="preserve">Indicator </w:t>
            </w:r>
            <w:r w:rsidR="00932A12" w:rsidRPr="00A07978">
              <w:rPr>
                <w:sz w:val="16"/>
                <w:szCs w:val="16"/>
                <w:lang w:val="en-GB"/>
              </w:rPr>
              <w:t>1.2.1</w:t>
            </w:r>
            <w:r w:rsidR="00E63CAE" w:rsidRPr="00A07978">
              <w:rPr>
                <w:sz w:val="16"/>
                <w:szCs w:val="16"/>
                <w:lang w:val="en-GB"/>
              </w:rPr>
              <w:t>.</w:t>
            </w:r>
            <w:r w:rsidR="00932A12" w:rsidRPr="00A07978">
              <w:rPr>
                <w:sz w:val="16"/>
                <w:szCs w:val="16"/>
                <w:lang w:val="en-GB"/>
              </w:rPr>
              <w:t xml:space="preserve"> Number of public monitoring, accountability</w:t>
            </w:r>
            <w:r w:rsidR="003205E1" w:rsidRPr="00A07978">
              <w:rPr>
                <w:sz w:val="16"/>
                <w:szCs w:val="16"/>
                <w:lang w:val="en-GB"/>
              </w:rPr>
              <w:t>,</w:t>
            </w:r>
            <w:r w:rsidR="00932A12" w:rsidRPr="00A07978">
              <w:rPr>
                <w:sz w:val="16"/>
                <w:szCs w:val="16"/>
                <w:lang w:val="en-GB"/>
              </w:rPr>
              <w:t xml:space="preserve"> and protection mechanisms in line with international human rights standards reinforced.</w:t>
            </w:r>
          </w:p>
          <w:p w14:paraId="492CDB31" w14:textId="77777777" w:rsidR="00534036" w:rsidRPr="00A07978" w:rsidRDefault="00534036" w:rsidP="00534036">
            <w:pPr>
              <w:suppressAutoHyphens/>
              <w:autoSpaceDN w:val="0"/>
              <w:textAlignment w:val="baseline"/>
              <w:rPr>
                <w:sz w:val="16"/>
                <w:szCs w:val="16"/>
                <w:lang w:val="en-GB"/>
              </w:rPr>
            </w:pPr>
            <w:r w:rsidRPr="00A07978">
              <w:rPr>
                <w:sz w:val="16"/>
                <w:szCs w:val="16"/>
                <w:lang w:val="en-GB"/>
              </w:rPr>
              <w:t>Baseline (2023):0</w:t>
            </w:r>
          </w:p>
          <w:p w14:paraId="58E1BFF7" w14:textId="77777777" w:rsidR="00534036" w:rsidRPr="00A07978" w:rsidRDefault="00534036" w:rsidP="00534036">
            <w:pPr>
              <w:suppressAutoHyphens/>
              <w:autoSpaceDN w:val="0"/>
              <w:textAlignment w:val="baseline"/>
              <w:rPr>
                <w:sz w:val="16"/>
                <w:szCs w:val="16"/>
                <w:lang w:val="en-GB"/>
              </w:rPr>
            </w:pPr>
            <w:r w:rsidRPr="00A07978">
              <w:rPr>
                <w:sz w:val="16"/>
                <w:szCs w:val="16"/>
                <w:lang w:val="en-GB"/>
              </w:rPr>
              <w:t>Target (2027):2</w:t>
            </w:r>
          </w:p>
          <w:p w14:paraId="73EC36D1" w14:textId="33A5D871" w:rsidR="00932A12" w:rsidRPr="00A07978" w:rsidRDefault="00767BB7" w:rsidP="00E02C69">
            <w:pPr>
              <w:suppressAutoHyphens/>
              <w:autoSpaceDN w:val="0"/>
              <w:textAlignment w:val="baseline"/>
              <w:rPr>
                <w:sz w:val="16"/>
                <w:szCs w:val="16"/>
                <w:lang w:val="en-GB"/>
              </w:rPr>
            </w:pPr>
            <w:r w:rsidRPr="00A07978">
              <w:rPr>
                <w:sz w:val="16"/>
                <w:szCs w:val="16"/>
                <w:lang w:val="en-GB"/>
              </w:rPr>
              <w:t>S</w:t>
            </w:r>
            <w:r w:rsidR="00932A12" w:rsidRPr="00A07978">
              <w:rPr>
                <w:sz w:val="16"/>
                <w:szCs w:val="16"/>
                <w:lang w:val="en-GB"/>
              </w:rPr>
              <w:t>ource: NHRC</w:t>
            </w:r>
          </w:p>
          <w:p w14:paraId="47FFEA49" w14:textId="77777777" w:rsidR="00932A12" w:rsidRPr="00A07978" w:rsidRDefault="00932A12" w:rsidP="00E02C69">
            <w:pPr>
              <w:suppressAutoHyphens/>
              <w:autoSpaceDN w:val="0"/>
              <w:textAlignment w:val="baseline"/>
              <w:rPr>
                <w:sz w:val="16"/>
                <w:szCs w:val="16"/>
                <w:lang w:val="en-GB"/>
              </w:rPr>
            </w:pPr>
            <w:r w:rsidRPr="00A07978">
              <w:rPr>
                <w:sz w:val="16"/>
                <w:szCs w:val="16"/>
                <w:lang w:val="en-GB"/>
              </w:rPr>
              <w:t>Frequency: Annually</w:t>
            </w:r>
          </w:p>
          <w:p w14:paraId="3FCBBDD3" w14:textId="77777777" w:rsidR="00932A12" w:rsidRPr="00A07978" w:rsidRDefault="00932A12" w:rsidP="00E02C69">
            <w:pPr>
              <w:suppressAutoHyphens/>
              <w:autoSpaceDN w:val="0"/>
              <w:textAlignment w:val="baseline"/>
              <w:rPr>
                <w:sz w:val="16"/>
                <w:szCs w:val="16"/>
                <w:lang w:val="en-GB"/>
              </w:rPr>
            </w:pPr>
          </w:p>
          <w:p w14:paraId="0DFDE0DD" w14:textId="77777777" w:rsidR="000C4202" w:rsidRPr="00A07978" w:rsidRDefault="000C4202" w:rsidP="000C4202">
            <w:pPr>
              <w:rPr>
                <w:color w:val="000000"/>
                <w:sz w:val="16"/>
                <w:szCs w:val="16"/>
                <w:lang w:val="en-GB"/>
              </w:rPr>
            </w:pPr>
          </w:p>
          <w:p w14:paraId="063E1030" w14:textId="7C6D3D11" w:rsidR="00932A12" w:rsidRPr="00A07978" w:rsidRDefault="000C4202" w:rsidP="000C4202">
            <w:pPr>
              <w:suppressAutoHyphens/>
              <w:autoSpaceDN w:val="0"/>
              <w:textAlignment w:val="baseline"/>
              <w:rPr>
                <w:sz w:val="16"/>
                <w:szCs w:val="16"/>
                <w:lang w:val="en-GB"/>
              </w:rPr>
            </w:pPr>
            <w:r w:rsidRPr="00A07978">
              <w:rPr>
                <w:color w:val="000000" w:themeColor="text1"/>
                <w:sz w:val="16"/>
                <w:szCs w:val="16"/>
                <w:lang w:val="en-GB"/>
              </w:rPr>
              <w:t xml:space="preserve">Indicator </w:t>
            </w:r>
            <w:r w:rsidR="00932A12" w:rsidRPr="00A07978">
              <w:rPr>
                <w:sz w:val="16"/>
                <w:szCs w:val="16"/>
                <w:lang w:val="en-GB"/>
              </w:rPr>
              <w:t>1.2.2</w:t>
            </w:r>
            <w:r w:rsidR="00E63CAE" w:rsidRPr="00A07978">
              <w:rPr>
                <w:sz w:val="16"/>
                <w:szCs w:val="16"/>
                <w:lang w:val="en-GB"/>
              </w:rPr>
              <w:t>.</w:t>
            </w:r>
            <w:r w:rsidR="00932A12" w:rsidRPr="00A07978">
              <w:rPr>
                <w:sz w:val="16"/>
                <w:szCs w:val="16"/>
                <w:lang w:val="en-GB"/>
              </w:rPr>
              <w:t xml:space="preserve"> Number of institutions with strengthened public administration and core government functions for </w:t>
            </w:r>
          </w:p>
          <w:p w14:paraId="15FFAE53" w14:textId="05CCA319" w:rsidR="00932A12" w:rsidRPr="00A07978" w:rsidRDefault="00932A12" w:rsidP="00E02C69">
            <w:pPr>
              <w:suppressAutoHyphens/>
              <w:autoSpaceDN w:val="0"/>
              <w:textAlignment w:val="baseline"/>
              <w:rPr>
                <w:sz w:val="16"/>
                <w:szCs w:val="16"/>
                <w:lang w:val="en-GB"/>
              </w:rPr>
            </w:pPr>
            <w:r w:rsidRPr="00A07978">
              <w:rPr>
                <w:sz w:val="16"/>
                <w:szCs w:val="16"/>
                <w:lang w:val="en-GB"/>
              </w:rPr>
              <w:t xml:space="preserve">a) improved service delivery b) community safety c) </w:t>
            </w:r>
            <w:r w:rsidR="00E63CAE" w:rsidRPr="00A07978">
              <w:rPr>
                <w:sz w:val="16"/>
                <w:szCs w:val="16"/>
                <w:lang w:val="en-GB"/>
              </w:rPr>
              <w:t>s</w:t>
            </w:r>
            <w:r w:rsidRPr="00A07978">
              <w:rPr>
                <w:sz w:val="16"/>
                <w:szCs w:val="16"/>
                <w:lang w:val="en-GB"/>
              </w:rPr>
              <w:t>ocial cohesion</w:t>
            </w:r>
            <w:r w:rsidR="00E63CAE" w:rsidRPr="00A07978">
              <w:rPr>
                <w:sz w:val="16"/>
                <w:szCs w:val="16"/>
                <w:lang w:val="en-GB"/>
              </w:rPr>
              <w:t>.</w:t>
            </w:r>
          </w:p>
          <w:p w14:paraId="02FD7BE6" w14:textId="77777777" w:rsidR="00F7715E" w:rsidRPr="00A07978" w:rsidRDefault="00F7715E" w:rsidP="00F7715E">
            <w:pPr>
              <w:suppressAutoHyphens/>
              <w:autoSpaceDN w:val="0"/>
              <w:textAlignment w:val="baseline"/>
              <w:rPr>
                <w:sz w:val="16"/>
                <w:szCs w:val="16"/>
                <w:lang w:val="en-GB"/>
              </w:rPr>
            </w:pPr>
            <w:r w:rsidRPr="00A07978">
              <w:rPr>
                <w:sz w:val="16"/>
                <w:szCs w:val="16"/>
                <w:lang w:val="en-GB"/>
              </w:rPr>
              <w:t>Baseline (2023):</w:t>
            </w:r>
          </w:p>
          <w:p w14:paraId="5186D5E9" w14:textId="77777777" w:rsidR="00F7715E" w:rsidRPr="00A07978" w:rsidRDefault="00F7715E" w:rsidP="00F7715E">
            <w:pPr>
              <w:suppressAutoHyphens/>
              <w:autoSpaceDN w:val="0"/>
              <w:textAlignment w:val="baseline"/>
              <w:rPr>
                <w:sz w:val="16"/>
                <w:szCs w:val="16"/>
                <w:lang w:val="en-GB"/>
              </w:rPr>
            </w:pPr>
            <w:r w:rsidRPr="00A07978">
              <w:rPr>
                <w:sz w:val="16"/>
                <w:szCs w:val="16"/>
                <w:lang w:val="en-GB"/>
              </w:rPr>
              <w:t>a) 15</w:t>
            </w:r>
          </w:p>
          <w:p w14:paraId="3CC91DB2" w14:textId="77777777" w:rsidR="00F7715E" w:rsidRPr="00A07978" w:rsidRDefault="00F7715E" w:rsidP="00F7715E">
            <w:pPr>
              <w:suppressAutoHyphens/>
              <w:autoSpaceDN w:val="0"/>
              <w:textAlignment w:val="baseline"/>
              <w:rPr>
                <w:sz w:val="16"/>
                <w:szCs w:val="16"/>
                <w:lang w:val="en-GB"/>
              </w:rPr>
            </w:pPr>
            <w:r w:rsidRPr="00A07978">
              <w:rPr>
                <w:sz w:val="16"/>
                <w:szCs w:val="16"/>
                <w:lang w:val="en-GB"/>
              </w:rPr>
              <w:t>b) 98</w:t>
            </w:r>
          </w:p>
          <w:p w14:paraId="0A84FC2D" w14:textId="77777777" w:rsidR="00F7715E" w:rsidRPr="00A07978" w:rsidRDefault="00F7715E" w:rsidP="00F7715E">
            <w:pPr>
              <w:suppressAutoHyphens/>
              <w:autoSpaceDN w:val="0"/>
              <w:textAlignment w:val="baseline"/>
              <w:rPr>
                <w:sz w:val="16"/>
                <w:szCs w:val="16"/>
                <w:lang w:val="en-GB"/>
              </w:rPr>
            </w:pPr>
            <w:r w:rsidRPr="00A07978">
              <w:rPr>
                <w:sz w:val="16"/>
                <w:szCs w:val="16"/>
                <w:lang w:val="en-GB"/>
              </w:rPr>
              <w:t>c) 1</w:t>
            </w:r>
          </w:p>
          <w:p w14:paraId="48083E5E" w14:textId="77777777" w:rsidR="00F7715E" w:rsidRPr="00A07978" w:rsidRDefault="00F7715E" w:rsidP="00F7715E">
            <w:pPr>
              <w:suppressAutoHyphens/>
              <w:autoSpaceDN w:val="0"/>
              <w:textAlignment w:val="baseline"/>
              <w:rPr>
                <w:sz w:val="16"/>
                <w:szCs w:val="16"/>
                <w:lang w:val="en-GB"/>
              </w:rPr>
            </w:pPr>
            <w:r w:rsidRPr="00A07978">
              <w:rPr>
                <w:sz w:val="16"/>
                <w:szCs w:val="16"/>
                <w:lang w:val="en-GB"/>
              </w:rPr>
              <w:t>Target (2027):</w:t>
            </w:r>
          </w:p>
          <w:p w14:paraId="7F4D7CCD" w14:textId="77777777" w:rsidR="00F7715E" w:rsidRPr="00A07978" w:rsidRDefault="00F7715E" w:rsidP="00F7715E">
            <w:pPr>
              <w:suppressAutoHyphens/>
              <w:autoSpaceDN w:val="0"/>
              <w:textAlignment w:val="baseline"/>
              <w:rPr>
                <w:sz w:val="16"/>
                <w:szCs w:val="16"/>
                <w:lang w:val="en-GB"/>
              </w:rPr>
            </w:pPr>
            <w:r w:rsidRPr="00A07978">
              <w:rPr>
                <w:sz w:val="16"/>
                <w:szCs w:val="16"/>
                <w:lang w:val="en-GB"/>
              </w:rPr>
              <w:t>a) 15</w:t>
            </w:r>
          </w:p>
          <w:p w14:paraId="5AB9D0D0" w14:textId="77777777" w:rsidR="00F7715E" w:rsidRPr="00A07978" w:rsidRDefault="00F7715E" w:rsidP="00F7715E">
            <w:pPr>
              <w:suppressAutoHyphens/>
              <w:autoSpaceDN w:val="0"/>
              <w:textAlignment w:val="baseline"/>
              <w:rPr>
                <w:sz w:val="16"/>
                <w:szCs w:val="16"/>
                <w:lang w:val="en-GB"/>
              </w:rPr>
            </w:pPr>
            <w:r w:rsidRPr="00A07978">
              <w:rPr>
                <w:sz w:val="16"/>
                <w:szCs w:val="16"/>
                <w:lang w:val="en-GB"/>
              </w:rPr>
              <w:t>b) 114</w:t>
            </w:r>
          </w:p>
          <w:p w14:paraId="258C9DA5" w14:textId="77777777" w:rsidR="00F7715E" w:rsidRPr="00A07978" w:rsidRDefault="00F7715E" w:rsidP="00F7715E">
            <w:pPr>
              <w:suppressAutoHyphens/>
              <w:autoSpaceDN w:val="0"/>
              <w:textAlignment w:val="baseline"/>
              <w:rPr>
                <w:sz w:val="16"/>
                <w:szCs w:val="16"/>
                <w:lang w:val="en-GB"/>
              </w:rPr>
            </w:pPr>
            <w:r w:rsidRPr="00A07978">
              <w:rPr>
                <w:sz w:val="16"/>
                <w:szCs w:val="16"/>
                <w:lang w:val="en-GB"/>
              </w:rPr>
              <w:t>c) 2</w:t>
            </w:r>
          </w:p>
          <w:p w14:paraId="59F948C8" w14:textId="77777777" w:rsidR="00932A12" w:rsidRPr="00A07978" w:rsidRDefault="00932A12" w:rsidP="00E02C69">
            <w:pPr>
              <w:suppressAutoHyphens/>
              <w:autoSpaceDN w:val="0"/>
              <w:textAlignment w:val="baseline"/>
              <w:rPr>
                <w:sz w:val="16"/>
                <w:szCs w:val="16"/>
                <w:lang w:val="en-GB"/>
              </w:rPr>
            </w:pPr>
          </w:p>
          <w:p w14:paraId="4B69F6D3" w14:textId="431A529E" w:rsidR="00932A12" w:rsidRPr="00A07978" w:rsidRDefault="00767BB7" w:rsidP="00E02C69">
            <w:pPr>
              <w:suppressAutoHyphens/>
              <w:autoSpaceDN w:val="0"/>
              <w:textAlignment w:val="baseline"/>
              <w:rPr>
                <w:sz w:val="16"/>
                <w:szCs w:val="16"/>
                <w:lang w:val="en-GB"/>
              </w:rPr>
            </w:pPr>
            <w:r w:rsidRPr="00A07978">
              <w:rPr>
                <w:sz w:val="16"/>
                <w:szCs w:val="16"/>
                <w:lang w:val="en-GB"/>
              </w:rPr>
              <w:t>S</w:t>
            </w:r>
            <w:r w:rsidR="00932A12" w:rsidRPr="00A07978">
              <w:rPr>
                <w:sz w:val="16"/>
                <w:szCs w:val="16"/>
                <w:lang w:val="en-GB"/>
              </w:rPr>
              <w:t>ource:</w:t>
            </w:r>
            <w:r w:rsidR="00E63CAE" w:rsidRPr="00A07978">
              <w:rPr>
                <w:sz w:val="16"/>
                <w:szCs w:val="16"/>
                <w:lang w:val="en-GB"/>
              </w:rPr>
              <w:t xml:space="preserve"> </w:t>
            </w:r>
            <w:r w:rsidR="00932A12" w:rsidRPr="00A07978">
              <w:rPr>
                <w:sz w:val="16"/>
                <w:szCs w:val="16"/>
                <w:lang w:val="en-GB"/>
              </w:rPr>
              <w:t>Ministry of Interior</w:t>
            </w:r>
          </w:p>
          <w:p w14:paraId="3B2ED225" w14:textId="77777777" w:rsidR="00932A12" w:rsidRPr="00A07978" w:rsidRDefault="00932A12" w:rsidP="00E02C69">
            <w:pPr>
              <w:suppressAutoHyphens/>
              <w:autoSpaceDN w:val="0"/>
              <w:textAlignment w:val="baseline"/>
              <w:rPr>
                <w:sz w:val="16"/>
                <w:szCs w:val="16"/>
                <w:lang w:val="en-GB"/>
              </w:rPr>
            </w:pPr>
            <w:r w:rsidRPr="00A07978">
              <w:rPr>
                <w:sz w:val="16"/>
                <w:szCs w:val="16"/>
                <w:lang w:val="en-GB"/>
              </w:rPr>
              <w:t>Frequency: Annually</w:t>
            </w:r>
          </w:p>
          <w:p w14:paraId="0E40B8F3" w14:textId="77777777" w:rsidR="00932A12" w:rsidRPr="00A07978" w:rsidRDefault="00932A12" w:rsidP="00E02C69">
            <w:pPr>
              <w:suppressAutoHyphens/>
              <w:autoSpaceDN w:val="0"/>
              <w:textAlignment w:val="baseline"/>
              <w:rPr>
                <w:sz w:val="16"/>
                <w:szCs w:val="16"/>
                <w:lang w:val="en-GB"/>
              </w:rPr>
            </w:pPr>
          </w:p>
          <w:p w14:paraId="15859D3C" w14:textId="77777777" w:rsidR="00767BB7" w:rsidRPr="00A07978" w:rsidRDefault="00767BB7" w:rsidP="00767BB7">
            <w:pPr>
              <w:rPr>
                <w:color w:val="000000"/>
                <w:sz w:val="16"/>
                <w:szCs w:val="16"/>
                <w:lang w:val="en-GB"/>
              </w:rPr>
            </w:pPr>
          </w:p>
          <w:p w14:paraId="6403FE25" w14:textId="30E9B3B4" w:rsidR="00932A12" w:rsidRPr="00A07978" w:rsidRDefault="00767BB7" w:rsidP="00767BB7">
            <w:pPr>
              <w:suppressAutoHyphens/>
              <w:autoSpaceDN w:val="0"/>
              <w:textAlignment w:val="baseline"/>
              <w:rPr>
                <w:sz w:val="16"/>
                <w:szCs w:val="16"/>
                <w:lang w:val="en-GB"/>
              </w:rPr>
            </w:pPr>
            <w:r w:rsidRPr="00A07978">
              <w:rPr>
                <w:color w:val="000000" w:themeColor="text1"/>
                <w:sz w:val="16"/>
                <w:szCs w:val="16"/>
                <w:lang w:val="en-GB"/>
              </w:rPr>
              <w:t>Indicator</w:t>
            </w:r>
            <w:r w:rsidR="00932A12" w:rsidRPr="00A07978">
              <w:rPr>
                <w:sz w:val="16"/>
                <w:szCs w:val="16"/>
                <w:lang w:val="en-GB"/>
              </w:rPr>
              <w:t>1.2.3</w:t>
            </w:r>
            <w:r w:rsidR="00E63CAE" w:rsidRPr="00A07978">
              <w:rPr>
                <w:sz w:val="16"/>
                <w:szCs w:val="16"/>
                <w:lang w:val="en-GB"/>
              </w:rPr>
              <w:t>.</w:t>
            </w:r>
            <w:r w:rsidR="00932A12" w:rsidRPr="00A07978">
              <w:rPr>
                <w:sz w:val="16"/>
                <w:szCs w:val="16"/>
                <w:lang w:val="en-GB"/>
              </w:rPr>
              <w:t xml:space="preserve"> Number of people supported, who have access to justice: Female, </w:t>
            </w:r>
            <w:r w:rsidR="00E63CAE" w:rsidRPr="00A07978">
              <w:rPr>
                <w:sz w:val="16"/>
                <w:szCs w:val="16"/>
                <w:lang w:val="en-GB"/>
              </w:rPr>
              <w:t>m</w:t>
            </w:r>
            <w:r w:rsidR="00932A12" w:rsidRPr="00A07978">
              <w:rPr>
                <w:sz w:val="16"/>
                <w:szCs w:val="16"/>
                <w:lang w:val="en-GB"/>
              </w:rPr>
              <w:t xml:space="preserve">ale, </w:t>
            </w:r>
            <w:r w:rsidR="00E63CAE" w:rsidRPr="00A07978">
              <w:rPr>
                <w:sz w:val="16"/>
                <w:szCs w:val="16"/>
                <w:lang w:val="en-GB"/>
              </w:rPr>
              <w:t>y</w:t>
            </w:r>
            <w:r w:rsidR="00932A12" w:rsidRPr="00A07978">
              <w:rPr>
                <w:sz w:val="16"/>
                <w:szCs w:val="16"/>
                <w:lang w:val="en-GB"/>
              </w:rPr>
              <w:t>out</w:t>
            </w:r>
            <w:r w:rsidR="00E63CAE" w:rsidRPr="00A07978">
              <w:rPr>
                <w:sz w:val="16"/>
                <w:szCs w:val="16"/>
                <w:lang w:val="en-GB"/>
              </w:rPr>
              <w:t>h, I</w:t>
            </w:r>
            <w:r w:rsidR="00932A12" w:rsidRPr="00A07978">
              <w:rPr>
                <w:sz w:val="16"/>
                <w:szCs w:val="16"/>
                <w:lang w:val="en-GB"/>
              </w:rPr>
              <w:t>PDs</w:t>
            </w:r>
            <w:r w:rsidR="00E63CAE" w:rsidRPr="00A07978">
              <w:rPr>
                <w:sz w:val="16"/>
                <w:szCs w:val="16"/>
                <w:lang w:val="en-GB"/>
              </w:rPr>
              <w:t xml:space="preserve"> and returnees</w:t>
            </w:r>
            <w:r w:rsidR="00932A12" w:rsidRPr="00A07978">
              <w:rPr>
                <w:sz w:val="16"/>
                <w:szCs w:val="16"/>
                <w:lang w:val="en-GB"/>
              </w:rPr>
              <w:t>, Batwa.</w:t>
            </w:r>
          </w:p>
          <w:p w14:paraId="282D522A" w14:textId="109FC3FB" w:rsidR="00932A12" w:rsidRPr="00A07978" w:rsidRDefault="00932A12" w:rsidP="00E02C69">
            <w:pPr>
              <w:suppressAutoHyphens/>
              <w:autoSpaceDN w:val="0"/>
              <w:textAlignment w:val="baseline"/>
              <w:rPr>
                <w:sz w:val="16"/>
                <w:szCs w:val="16"/>
                <w:lang w:val="en-GB"/>
              </w:rPr>
            </w:pPr>
            <w:r w:rsidRPr="00A07978">
              <w:rPr>
                <w:sz w:val="16"/>
                <w:szCs w:val="16"/>
                <w:lang w:val="en-GB"/>
              </w:rPr>
              <w:t xml:space="preserve"> Baseline (2023): 73749</w:t>
            </w:r>
          </w:p>
          <w:p w14:paraId="6DB5E714" w14:textId="77777777" w:rsidR="00932A12" w:rsidRPr="00A07978" w:rsidRDefault="00932A12" w:rsidP="00E02C69">
            <w:pPr>
              <w:suppressAutoHyphens/>
              <w:autoSpaceDN w:val="0"/>
              <w:textAlignment w:val="baseline"/>
              <w:rPr>
                <w:sz w:val="16"/>
                <w:szCs w:val="16"/>
                <w:lang w:val="en-GB"/>
              </w:rPr>
            </w:pPr>
            <w:r w:rsidRPr="00A07978">
              <w:rPr>
                <w:sz w:val="16"/>
                <w:szCs w:val="16"/>
                <w:lang w:val="en-GB"/>
              </w:rPr>
              <w:t xml:space="preserve">Target (2027):  103,249 </w:t>
            </w:r>
          </w:p>
          <w:p w14:paraId="766ED197" w14:textId="5C2E2184" w:rsidR="00932A12" w:rsidRPr="00A07978" w:rsidRDefault="00767BB7" w:rsidP="00E02C69">
            <w:pPr>
              <w:suppressAutoHyphens/>
              <w:autoSpaceDN w:val="0"/>
              <w:textAlignment w:val="baseline"/>
              <w:rPr>
                <w:sz w:val="16"/>
                <w:szCs w:val="16"/>
                <w:lang w:val="en-GB"/>
              </w:rPr>
            </w:pPr>
            <w:r w:rsidRPr="00A07978">
              <w:rPr>
                <w:sz w:val="16"/>
                <w:szCs w:val="16"/>
                <w:lang w:val="en-GB"/>
              </w:rPr>
              <w:t>S</w:t>
            </w:r>
            <w:r w:rsidR="00932A12" w:rsidRPr="00A07978">
              <w:rPr>
                <w:sz w:val="16"/>
                <w:szCs w:val="16"/>
                <w:lang w:val="en-GB"/>
              </w:rPr>
              <w:t>ource:</w:t>
            </w:r>
            <w:r w:rsidR="00E63CAE" w:rsidRPr="00A07978">
              <w:rPr>
                <w:sz w:val="16"/>
                <w:szCs w:val="16"/>
                <w:lang w:val="en-GB"/>
              </w:rPr>
              <w:t xml:space="preserve"> </w:t>
            </w:r>
            <w:r w:rsidR="00932A12" w:rsidRPr="00A07978">
              <w:rPr>
                <w:sz w:val="16"/>
                <w:szCs w:val="16"/>
                <w:lang w:val="en-GB"/>
              </w:rPr>
              <w:t>Ministry of Justice</w:t>
            </w:r>
          </w:p>
          <w:p w14:paraId="146B7A48" w14:textId="77777777" w:rsidR="00932A12" w:rsidRPr="00A07978" w:rsidRDefault="00932A12" w:rsidP="00E02C69">
            <w:pPr>
              <w:suppressAutoHyphens/>
              <w:autoSpaceDN w:val="0"/>
              <w:textAlignment w:val="baseline"/>
              <w:rPr>
                <w:sz w:val="16"/>
                <w:szCs w:val="16"/>
                <w:lang w:val="en-GB"/>
              </w:rPr>
            </w:pPr>
            <w:r w:rsidRPr="00A07978">
              <w:rPr>
                <w:sz w:val="16"/>
                <w:szCs w:val="16"/>
                <w:lang w:val="en-GB"/>
              </w:rPr>
              <w:t>Frequency: Annually</w:t>
            </w:r>
          </w:p>
          <w:p w14:paraId="7A3EC956" w14:textId="77777777" w:rsidR="00932A12" w:rsidRPr="00A07978" w:rsidRDefault="00932A12" w:rsidP="00E02C69">
            <w:pPr>
              <w:suppressAutoHyphens/>
              <w:autoSpaceDN w:val="0"/>
              <w:textAlignment w:val="baseline"/>
              <w:rPr>
                <w:sz w:val="16"/>
                <w:szCs w:val="16"/>
                <w:lang w:val="en-GB"/>
              </w:rPr>
            </w:pPr>
          </w:p>
          <w:p w14:paraId="4F13449A" w14:textId="77777777" w:rsidR="00767BB7" w:rsidRPr="00A07978" w:rsidRDefault="00767BB7" w:rsidP="00767BB7">
            <w:pPr>
              <w:rPr>
                <w:color w:val="000000"/>
                <w:sz w:val="16"/>
                <w:szCs w:val="16"/>
                <w:lang w:val="en-GB"/>
              </w:rPr>
            </w:pPr>
          </w:p>
          <w:p w14:paraId="3123D252" w14:textId="313B9ECA" w:rsidR="00932A12" w:rsidRPr="00A07978" w:rsidRDefault="00767BB7" w:rsidP="00767BB7">
            <w:pPr>
              <w:suppressAutoHyphens/>
              <w:autoSpaceDN w:val="0"/>
              <w:textAlignment w:val="baseline"/>
              <w:rPr>
                <w:sz w:val="16"/>
                <w:szCs w:val="16"/>
                <w:lang w:val="en-GB"/>
              </w:rPr>
            </w:pPr>
            <w:r w:rsidRPr="00A07978">
              <w:rPr>
                <w:color w:val="000000" w:themeColor="text1"/>
                <w:sz w:val="16"/>
                <w:szCs w:val="16"/>
                <w:lang w:val="en-GB"/>
              </w:rPr>
              <w:t xml:space="preserve">Indicator </w:t>
            </w:r>
            <w:r w:rsidR="00932A12" w:rsidRPr="00A07978">
              <w:rPr>
                <w:sz w:val="16"/>
                <w:szCs w:val="16"/>
                <w:lang w:val="en-GB"/>
              </w:rPr>
              <w:t>1.2.4. Number of women leadership and equal participation in decision-making in: Public institutions</w:t>
            </w:r>
            <w:r w:rsidR="00B13E07" w:rsidRPr="00A07978">
              <w:rPr>
                <w:sz w:val="16"/>
                <w:szCs w:val="16"/>
                <w:lang w:val="en-GB"/>
              </w:rPr>
              <w:t>, e</w:t>
            </w:r>
            <w:r w:rsidR="00932A12" w:rsidRPr="00A07978">
              <w:rPr>
                <w:sz w:val="16"/>
                <w:szCs w:val="16"/>
                <w:lang w:val="en-GB"/>
              </w:rPr>
              <w:t>lected offices, including parliaments</w:t>
            </w:r>
            <w:r w:rsidR="00B13E07" w:rsidRPr="00A07978">
              <w:rPr>
                <w:sz w:val="16"/>
                <w:szCs w:val="16"/>
                <w:lang w:val="en-GB"/>
              </w:rPr>
              <w:t>, m</w:t>
            </w:r>
            <w:r w:rsidR="00932A12" w:rsidRPr="00A07978">
              <w:rPr>
                <w:sz w:val="16"/>
                <w:szCs w:val="16"/>
                <w:lang w:val="en-GB"/>
              </w:rPr>
              <w:t>ediation, reconciliation, and peace-building mechanism</w:t>
            </w:r>
            <w:r w:rsidR="00B13E07" w:rsidRPr="00A07978">
              <w:rPr>
                <w:sz w:val="16"/>
                <w:szCs w:val="16"/>
                <w:lang w:val="en-GB"/>
              </w:rPr>
              <w:t>s, n</w:t>
            </w:r>
            <w:r w:rsidR="00932A12" w:rsidRPr="00A07978">
              <w:rPr>
                <w:sz w:val="16"/>
                <w:szCs w:val="16"/>
                <w:lang w:val="en-GB"/>
              </w:rPr>
              <w:t>atural resource management</w:t>
            </w:r>
            <w:r w:rsidR="00B13E07" w:rsidRPr="00A07978">
              <w:rPr>
                <w:sz w:val="16"/>
                <w:szCs w:val="16"/>
                <w:lang w:val="en-GB"/>
              </w:rPr>
              <w:t>.</w:t>
            </w:r>
          </w:p>
          <w:p w14:paraId="641865DB" w14:textId="04D0EBE4" w:rsidR="00932A12" w:rsidRPr="00A07978" w:rsidRDefault="00932A12" w:rsidP="00E02C69">
            <w:pPr>
              <w:suppressAutoHyphens/>
              <w:autoSpaceDN w:val="0"/>
              <w:textAlignment w:val="baseline"/>
              <w:rPr>
                <w:sz w:val="16"/>
                <w:szCs w:val="16"/>
                <w:lang w:val="en-GB"/>
              </w:rPr>
            </w:pPr>
            <w:r w:rsidRPr="00A07978">
              <w:rPr>
                <w:sz w:val="16"/>
                <w:szCs w:val="16"/>
                <w:lang w:val="en-GB"/>
              </w:rPr>
              <w:t>Baseline (2023):</w:t>
            </w:r>
            <w:r w:rsidR="00B13E07" w:rsidRPr="00A07978">
              <w:rPr>
                <w:sz w:val="16"/>
                <w:szCs w:val="16"/>
                <w:lang w:val="en-GB"/>
              </w:rPr>
              <w:t xml:space="preserve"> </w:t>
            </w:r>
            <w:r w:rsidRPr="00A07978">
              <w:rPr>
                <w:sz w:val="16"/>
                <w:szCs w:val="16"/>
                <w:lang w:val="en-GB"/>
              </w:rPr>
              <w:t>0</w:t>
            </w:r>
          </w:p>
          <w:p w14:paraId="170872CE" w14:textId="70C89AAB" w:rsidR="00932A12" w:rsidRPr="00A07978" w:rsidRDefault="00932A12" w:rsidP="00E02C69">
            <w:pPr>
              <w:suppressAutoHyphens/>
              <w:autoSpaceDN w:val="0"/>
              <w:textAlignment w:val="baseline"/>
              <w:rPr>
                <w:sz w:val="16"/>
                <w:szCs w:val="16"/>
                <w:lang w:val="en-GB"/>
              </w:rPr>
            </w:pPr>
            <w:r w:rsidRPr="00A07978">
              <w:rPr>
                <w:sz w:val="16"/>
                <w:szCs w:val="16"/>
                <w:lang w:val="en-GB"/>
              </w:rPr>
              <w:t xml:space="preserve">Target (2027): </w:t>
            </w:r>
            <w:r w:rsidR="003006E4" w:rsidRPr="00A07978">
              <w:rPr>
                <w:sz w:val="16"/>
                <w:szCs w:val="16"/>
                <w:lang w:val="en-GB"/>
              </w:rPr>
              <w:t>100</w:t>
            </w:r>
          </w:p>
          <w:p w14:paraId="3A29000F" w14:textId="5AE28A88" w:rsidR="00932A12" w:rsidRPr="00A07978" w:rsidRDefault="00767BB7" w:rsidP="00E02C69">
            <w:pPr>
              <w:suppressAutoHyphens/>
              <w:autoSpaceDN w:val="0"/>
              <w:textAlignment w:val="baseline"/>
              <w:rPr>
                <w:sz w:val="16"/>
                <w:szCs w:val="16"/>
                <w:lang w:val="en-GB"/>
              </w:rPr>
            </w:pPr>
            <w:r w:rsidRPr="00A07978">
              <w:rPr>
                <w:sz w:val="16"/>
                <w:szCs w:val="16"/>
                <w:lang w:val="en-GB"/>
              </w:rPr>
              <w:t>S</w:t>
            </w:r>
            <w:r w:rsidR="00932A12" w:rsidRPr="00A07978">
              <w:rPr>
                <w:sz w:val="16"/>
                <w:szCs w:val="16"/>
                <w:lang w:val="en-GB"/>
              </w:rPr>
              <w:t>ource: Ministry of Gender</w:t>
            </w:r>
          </w:p>
          <w:p w14:paraId="51F41444" w14:textId="77777777" w:rsidR="00932A12" w:rsidRPr="00A07978" w:rsidRDefault="00932A12" w:rsidP="00E02C69">
            <w:pPr>
              <w:suppressAutoHyphens/>
              <w:autoSpaceDN w:val="0"/>
              <w:textAlignment w:val="baseline"/>
              <w:rPr>
                <w:sz w:val="16"/>
                <w:szCs w:val="16"/>
                <w:lang w:val="en-GB"/>
              </w:rPr>
            </w:pPr>
            <w:r w:rsidRPr="00A07978">
              <w:rPr>
                <w:sz w:val="16"/>
                <w:szCs w:val="16"/>
                <w:lang w:val="en-GB"/>
              </w:rPr>
              <w:t xml:space="preserve">Frequency: Annually </w:t>
            </w:r>
          </w:p>
          <w:p w14:paraId="1BBA6639" w14:textId="77777777" w:rsidR="00932A12" w:rsidRPr="00A07978" w:rsidRDefault="00932A12" w:rsidP="00E02C69">
            <w:pPr>
              <w:suppressAutoHyphens/>
              <w:autoSpaceDN w:val="0"/>
              <w:textAlignment w:val="baseline"/>
              <w:rPr>
                <w:sz w:val="16"/>
                <w:szCs w:val="16"/>
                <w:lang w:val="en-GB"/>
              </w:rPr>
            </w:pPr>
          </w:p>
          <w:p w14:paraId="523A24DA" w14:textId="77777777" w:rsidR="00767BB7" w:rsidRPr="00A07978" w:rsidRDefault="00767BB7" w:rsidP="00767BB7">
            <w:pPr>
              <w:rPr>
                <w:color w:val="000000"/>
                <w:sz w:val="16"/>
                <w:szCs w:val="16"/>
                <w:lang w:val="en-GB"/>
              </w:rPr>
            </w:pPr>
          </w:p>
          <w:p w14:paraId="58F0534D" w14:textId="0BCAA93E" w:rsidR="00932A12" w:rsidRPr="00A07978" w:rsidRDefault="00767BB7" w:rsidP="00767BB7">
            <w:pPr>
              <w:suppressAutoHyphens/>
              <w:autoSpaceDN w:val="0"/>
              <w:textAlignment w:val="baseline"/>
              <w:rPr>
                <w:sz w:val="16"/>
                <w:szCs w:val="16"/>
                <w:lang w:val="en-GB"/>
              </w:rPr>
            </w:pPr>
            <w:r w:rsidRPr="00A07978">
              <w:rPr>
                <w:color w:val="000000" w:themeColor="text1"/>
                <w:sz w:val="16"/>
                <w:szCs w:val="16"/>
                <w:lang w:val="en-GB"/>
              </w:rPr>
              <w:t xml:space="preserve">Indicator </w:t>
            </w:r>
            <w:r w:rsidR="00932A12" w:rsidRPr="00A07978">
              <w:rPr>
                <w:sz w:val="16"/>
                <w:szCs w:val="16"/>
                <w:lang w:val="en-GB"/>
              </w:rPr>
              <w:t xml:space="preserve">1.2.5 Number </w:t>
            </w:r>
            <w:r w:rsidR="00932A12" w:rsidRPr="00A07978" w:rsidDel="00100544">
              <w:rPr>
                <w:sz w:val="16"/>
                <w:szCs w:val="16"/>
                <w:lang w:val="en-GB"/>
              </w:rPr>
              <w:t xml:space="preserve">of </w:t>
            </w:r>
            <w:r w:rsidR="00932A12" w:rsidRPr="00A07978">
              <w:rPr>
                <w:sz w:val="16"/>
                <w:szCs w:val="16"/>
                <w:lang w:val="en-GB"/>
              </w:rPr>
              <w:t xml:space="preserve">initiatives to </w:t>
            </w:r>
            <w:r w:rsidR="00932A12" w:rsidRPr="00A07978" w:rsidDel="00F66985">
              <w:rPr>
                <w:sz w:val="16"/>
                <w:szCs w:val="16"/>
                <w:lang w:val="en-GB"/>
              </w:rPr>
              <w:t>prevent</w:t>
            </w:r>
            <w:r w:rsidR="00932A12" w:rsidRPr="00A07978">
              <w:rPr>
                <w:sz w:val="16"/>
                <w:szCs w:val="16"/>
                <w:lang w:val="en-GB"/>
              </w:rPr>
              <w:t xml:space="preserve"> </w:t>
            </w:r>
            <w:r w:rsidR="00057482" w:rsidRPr="00A07978">
              <w:rPr>
                <w:sz w:val="16"/>
                <w:szCs w:val="16"/>
                <w:lang w:val="en-GB"/>
              </w:rPr>
              <w:t>sexual and gender-based violence</w:t>
            </w:r>
            <w:r w:rsidR="00932A12" w:rsidRPr="00A07978">
              <w:rPr>
                <w:sz w:val="16"/>
                <w:szCs w:val="16"/>
                <w:lang w:val="en-GB"/>
              </w:rPr>
              <w:t xml:space="preserve"> by addressing harmful social norms and gender discriminatory roles and practices</w:t>
            </w:r>
            <w:r w:rsidR="00B13E07" w:rsidRPr="00A07978">
              <w:rPr>
                <w:sz w:val="16"/>
                <w:szCs w:val="16"/>
                <w:lang w:val="en-GB"/>
              </w:rPr>
              <w:t>.</w:t>
            </w:r>
          </w:p>
          <w:p w14:paraId="40F15C64" w14:textId="3FE95959" w:rsidR="00932A12" w:rsidRPr="00A07978" w:rsidRDefault="00932A12" w:rsidP="00E02C69">
            <w:pPr>
              <w:suppressAutoHyphens/>
              <w:autoSpaceDN w:val="0"/>
              <w:textAlignment w:val="baseline"/>
              <w:rPr>
                <w:sz w:val="16"/>
                <w:szCs w:val="16"/>
                <w:lang w:val="en-GB"/>
              </w:rPr>
            </w:pPr>
            <w:r w:rsidRPr="00A07978">
              <w:rPr>
                <w:sz w:val="16"/>
                <w:szCs w:val="16"/>
                <w:lang w:val="en-GB"/>
              </w:rPr>
              <w:t xml:space="preserve">Baseline (2023): </w:t>
            </w:r>
            <w:r w:rsidR="00FD0A9B" w:rsidRPr="00A07978">
              <w:rPr>
                <w:sz w:val="16"/>
                <w:szCs w:val="16"/>
                <w:lang w:val="en-GB"/>
              </w:rPr>
              <w:t>2</w:t>
            </w:r>
          </w:p>
          <w:p w14:paraId="067233C9" w14:textId="76159248" w:rsidR="00932A12" w:rsidRPr="00A07978" w:rsidRDefault="00932A12" w:rsidP="00E02C69">
            <w:pPr>
              <w:suppressAutoHyphens/>
              <w:autoSpaceDN w:val="0"/>
              <w:textAlignment w:val="baseline"/>
              <w:rPr>
                <w:sz w:val="16"/>
                <w:szCs w:val="16"/>
                <w:lang w:val="en-GB"/>
              </w:rPr>
            </w:pPr>
            <w:r w:rsidRPr="00A07978">
              <w:rPr>
                <w:sz w:val="16"/>
                <w:szCs w:val="16"/>
                <w:lang w:val="en-GB"/>
              </w:rPr>
              <w:t xml:space="preserve">Target (2027): </w:t>
            </w:r>
            <w:r w:rsidR="00FD0A9B" w:rsidRPr="00A07978">
              <w:rPr>
                <w:sz w:val="16"/>
                <w:szCs w:val="16"/>
                <w:lang w:val="en-GB"/>
              </w:rPr>
              <w:t>4</w:t>
            </w:r>
          </w:p>
          <w:p w14:paraId="6639561F" w14:textId="3499C406" w:rsidR="00932A12" w:rsidRPr="00A07978" w:rsidRDefault="00767BB7" w:rsidP="00E02C69">
            <w:pPr>
              <w:suppressAutoHyphens/>
              <w:autoSpaceDN w:val="0"/>
              <w:textAlignment w:val="baseline"/>
              <w:rPr>
                <w:sz w:val="16"/>
                <w:szCs w:val="16"/>
                <w:lang w:val="en-GB"/>
              </w:rPr>
            </w:pPr>
            <w:r w:rsidRPr="00A07978">
              <w:rPr>
                <w:sz w:val="16"/>
                <w:szCs w:val="16"/>
                <w:lang w:val="en-GB"/>
              </w:rPr>
              <w:t>S</w:t>
            </w:r>
            <w:r w:rsidR="00932A12" w:rsidRPr="00A07978">
              <w:rPr>
                <w:sz w:val="16"/>
                <w:szCs w:val="16"/>
                <w:lang w:val="en-GB"/>
              </w:rPr>
              <w:t>ource: Ministry of Gender</w:t>
            </w:r>
          </w:p>
          <w:p w14:paraId="40A9D4A1" w14:textId="77777777" w:rsidR="00932A12" w:rsidRPr="00A07978" w:rsidRDefault="00932A12" w:rsidP="00E02C69">
            <w:pPr>
              <w:suppressAutoHyphens/>
              <w:autoSpaceDN w:val="0"/>
              <w:textAlignment w:val="baseline"/>
              <w:rPr>
                <w:sz w:val="16"/>
                <w:szCs w:val="16"/>
                <w:lang w:val="en-GB"/>
              </w:rPr>
            </w:pPr>
            <w:r w:rsidRPr="00A07978">
              <w:rPr>
                <w:sz w:val="16"/>
                <w:szCs w:val="16"/>
                <w:lang w:val="en-GB"/>
              </w:rPr>
              <w:t xml:space="preserve">Frequency: Annually </w:t>
            </w:r>
          </w:p>
        </w:tc>
        <w:tc>
          <w:tcPr>
            <w:tcW w:w="709" w:type="pct"/>
            <w:gridSpan w:val="2"/>
            <w:vMerge/>
          </w:tcPr>
          <w:p w14:paraId="4E4EF782" w14:textId="77777777" w:rsidR="00932A12" w:rsidRPr="00A07978" w:rsidRDefault="00932A12" w:rsidP="00E02C69">
            <w:pPr>
              <w:rPr>
                <w:i/>
                <w:iCs/>
                <w:color w:val="000000"/>
                <w:sz w:val="16"/>
                <w:szCs w:val="16"/>
                <w:lang w:val="en-GB"/>
              </w:rPr>
            </w:pPr>
          </w:p>
        </w:tc>
        <w:tc>
          <w:tcPr>
            <w:tcW w:w="846" w:type="pct"/>
            <w:gridSpan w:val="2"/>
            <w:tcMar>
              <w:top w:w="15" w:type="dxa"/>
              <w:left w:w="108" w:type="dxa"/>
              <w:bottom w:w="0" w:type="dxa"/>
              <w:right w:w="108" w:type="dxa"/>
            </w:tcMar>
          </w:tcPr>
          <w:p w14:paraId="467A19F5" w14:textId="77777777" w:rsidR="00932A12" w:rsidRPr="00A07978" w:rsidRDefault="00932A12" w:rsidP="00E02C69">
            <w:pPr>
              <w:rPr>
                <w:b/>
                <w:color w:val="000000"/>
                <w:sz w:val="16"/>
                <w:szCs w:val="16"/>
                <w:lang w:val="en-GB"/>
              </w:rPr>
            </w:pPr>
          </w:p>
        </w:tc>
      </w:tr>
      <w:tr w:rsidR="00793594" w:rsidRPr="00A07978" w14:paraId="3FFE0374" w14:textId="77777777" w:rsidTr="00E02C69">
        <w:trPr>
          <w:trHeight w:val="61"/>
        </w:trPr>
        <w:tc>
          <w:tcPr>
            <w:tcW w:w="1149" w:type="pct"/>
            <w:gridSpan w:val="2"/>
            <w:vMerge w:val="restart"/>
            <w:tcMar>
              <w:top w:w="72" w:type="dxa"/>
              <w:left w:w="144" w:type="dxa"/>
              <w:bottom w:w="72" w:type="dxa"/>
              <w:right w:w="144" w:type="dxa"/>
            </w:tcMar>
          </w:tcPr>
          <w:p w14:paraId="778550C9" w14:textId="4C98444C" w:rsidR="00793594" w:rsidRPr="00A07978" w:rsidRDefault="00793594" w:rsidP="00E02C69">
            <w:pPr>
              <w:rPr>
                <w:sz w:val="16"/>
                <w:szCs w:val="16"/>
                <w:lang w:val="en-GB"/>
              </w:rPr>
            </w:pPr>
            <w:r w:rsidRPr="00A07978">
              <w:rPr>
                <w:sz w:val="16"/>
                <w:szCs w:val="16"/>
                <w:lang w:val="en-GB"/>
              </w:rPr>
              <w:t>C. Percentage of industry and services excluding public administration in GDP and employment.</w:t>
            </w:r>
          </w:p>
          <w:p w14:paraId="50792EB2" w14:textId="77777777" w:rsidR="00793594" w:rsidRPr="00A07978" w:rsidRDefault="00793594" w:rsidP="00E02C69">
            <w:pPr>
              <w:rPr>
                <w:sz w:val="16"/>
                <w:szCs w:val="16"/>
                <w:lang w:val="en-GB"/>
              </w:rPr>
            </w:pPr>
          </w:p>
          <w:p w14:paraId="54015049" w14:textId="7C122E03" w:rsidR="00793594" w:rsidRPr="00A07978" w:rsidRDefault="00A07978" w:rsidP="00E02C69">
            <w:pPr>
              <w:rPr>
                <w:sz w:val="16"/>
                <w:szCs w:val="16"/>
                <w:lang w:val="en-GB"/>
              </w:rPr>
            </w:pPr>
            <w:r w:rsidRPr="00A07978">
              <w:rPr>
                <w:sz w:val="16"/>
                <w:szCs w:val="16"/>
                <w:lang w:val="en-GB"/>
              </w:rPr>
              <w:t>Baseline (</w:t>
            </w:r>
            <w:r w:rsidR="00793594" w:rsidRPr="00A07978">
              <w:rPr>
                <w:sz w:val="16"/>
                <w:szCs w:val="16"/>
                <w:lang w:val="en-GB"/>
              </w:rPr>
              <w:t xml:space="preserve">2019) </w:t>
            </w:r>
          </w:p>
          <w:p w14:paraId="5171D064" w14:textId="77777777" w:rsidR="00793594" w:rsidRPr="00A07978" w:rsidRDefault="00793594" w:rsidP="00E02C69">
            <w:pPr>
              <w:rPr>
                <w:sz w:val="16"/>
                <w:szCs w:val="16"/>
                <w:lang w:val="en-GB"/>
              </w:rPr>
            </w:pPr>
            <w:r w:rsidRPr="00A07978">
              <w:rPr>
                <w:sz w:val="16"/>
                <w:szCs w:val="16"/>
                <w:lang w:val="en-GB"/>
              </w:rPr>
              <w:t>GDP:</w:t>
            </w:r>
          </w:p>
          <w:p w14:paraId="09610FBD" w14:textId="02345F17" w:rsidR="00793594" w:rsidRPr="00A07978" w:rsidRDefault="00793594" w:rsidP="00216CE0">
            <w:pPr>
              <w:rPr>
                <w:sz w:val="16"/>
                <w:szCs w:val="16"/>
                <w:lang w:val="en-GB"/>
              </w:rPr>
            </w:pPr>
            <w:r w:rsidRPr="00A07978">
              <w:rPr>
                <w:sz w:val="16"/>
                <w:szCs w:val="16"/>
                <w:lang w:val="en-GB"/>
              </w:rPr>
              <w:t>a. Products of the food and beverage industries (including meat): 3.8%</w:t>
            </w:r>
          </w:p>
          <w:p w14:paraId="6BA5862C" w14:textId="2E309B92" w:rsidR="00793594" w:rsidRPr="00A07978" w:rsidRDefault="00793594" w:rsidP="00216CE0">
            <w:pPr>
              <w:rPr>
                <w:sz w:val="16"/>
                <w:szCs w:val="16"/>
                <w:lang w:val="en-GB"/>
              </w:rPr>
            </w:pPr>
            <w:r w:rsidRPr="00A07978">
              <w:rPr>
                <w:sz w:val="16"/>
                <w:szCs w:val="16"/>
                <w:lang w:val="en-GB"/>
              </w:rPr>
              <w:t>b. other manufacturing products: 2.2%</w:t>
            </w:r>
          </w:p>
          <w:p w14:paraId="48192EE2" w14:textId="77777777" w:rsidR="00793594" w:rsidRPr="00A07978" w:rsidRDefault="00793594" w:rsidP="00216CE0">
            <w:pPr>
              <w:rPr>
                <w:sz w:val="16"/>
                <w:szCs w:val="16"/>
                <w:lang w:val="en-GB"/>
              </w:rPr>
            </w:pPr>
            <w:r w:rsidRPr="00A07978">
              <w:rPr>
                <w:sz w:val="16"/>
                <w:szCs w:val="16"/>
                <w:lang w:val="en-GB"/>
              </w:rPr>
              <w:t xml:space="preserve">c. Sales: 3.6%. </w:t>
            </w:r>
          </w:p>
          <w:p w14:paraId="09287955" w14:textId="19CCFBF2" w:rsidR="00793594" w:rsidRPr="00A07978" w:rsidRDefault="00793594" w:rsidP="00216CE0">
            <w:pPr>
              <w:rPr>
                <w:sz w:val="16"/>
                <w:szCs w:val="16"/>
                <w:lang w:val="en-GB"/>
              </w:rPr>
            </w:pPr>
            <w:r w:rsidRPr="00A07978">
              <w:rPr>
                <w:sz w:val="16"/>
                <w:szCs w:val="16"/>
                <w:lang w:val="en-GB"/>
              </w:rPr>
              <w:t>d. repairs: 0.2%</w:t>
            </w:r>
          </w:p>
          <w:p w14:paraId="70C37490" w14:textId="77777777" w:rsidR="00793594" w:rsidRPr="00A07978" w:rsidRDefault="00793594" w:rsidP="00216CE0">
            <w:pPr>
              <w:rPr>
                <w:sz w:val="16"/>
                <w:szCs w:val="16"/>
                <w:lang w:val="en-GB"/>
              </w:rPr>
            </w:pPr>
            <w:r w:rsidRPr="00A07978">
              <w:rPr>
                <w:sz w:val="16"/>
                <w:szCs w:val="16"/>
                <w:lang w:val="en-GB"/>
              </w:rPr>
              <w:t xml:space="preserve">e. transport: 1.1%. </w:t>
            </w:r>
          </w:p>
          <w:p w14:paraId="155BAB7B" w14:textId="67EA3D77" w:rsidR="00793594" w:rsidRPr="00A07978" w:rsidRDefault="00793594" w:rsidP="00216CE0">
            <w:pPr>
              <w:rPr>
                <w:sz w:val="16"/>
                <w:szCs w:val="16"/>
                <w:lang w:val="en-GB"/>
              </w:rPr>
            </w:pPr>
            <w:r w:rsidRPr="00A07978">
              <w:rPr>
                <w:sz w:val="16"/>
                <w:szCs w:val="16"/>
                <w:lang w:val="en-GB"/>
              </w:rPr>
              <w:t xml:space="preserve">f. communication: 3% </w:t>
            </w:r>
          </w:p>
          <w:p w14:paraId="78CE4833" w14:textId="77777777" w:rsidR="00793594" w:rsidRPr="00A07978" w:rsidRDefault="00793594" w:rsidP="00216CE0">
            <w:pPr>
              <w:rPr>
                <w:sz w:val="16"/>
                <w:szCs w:val="16"/>
                <w:lang w:val="en-GB"/>
              </w:rPr>
            </w:pPr>
            <w:r w:rsidRPr="00A07978">
              <w:rPr>
                <w:sz w:val="16"/>
                <w:szCs w:val="16"/>
                <w:lang w:val="en-GB"/>
              </w:rPr>
              <w:t xml:space="preserve">g. banking and insurance 5.9% </w:t>
            </w:r>
          </w:p>
          <w:p w14:paraId="5E52DCC9" w14:textId="77777777" w:rsidR="00793594" w:rsidRPr="00A07978" w:rsidRDefault="00793594" w:rsidP="00216CE0">
            <w:pPr>
              <w:rPr>
                <w:sz w:val="16"/>
                <w:szCs w:val="16"/>
                <w:lang w:val="en-GB"/>
              </w:rPr>
            </w:pPr>
            <w:r w:rsidRPr="00A07978">
              <w:rPr>
                <w:sz w:val="16"/>
                <w:szCs w:val="16"/>
                <w:lang w:val="en-GB"/>
              </w:rPr>
              <w:t>h. hotels and restaurants: 12.4%.</w:t>
            </w:r>
          </w:p>
          <w:p w14:paraId="2BECFC76" w14:textId="77777777" w:rsidR="00793594" w:rsidRPr="00A07978" w:rsidRDefault="00793594" w:rsidP="00216CE0">
            <w:pPr>
              <w:rPr>
                <w:sz w:val="16"/>
                <w:szCs w:val="16"/>
                <w:lang w:val="en-GB"/>
              </w:rPr>
            </w:pPr>
          </w:p>
          <w:p w14:paraId="3D9E14DB" w14:textId="77777777" w:rsidR="00793594" w:rsidRPr="00A07978" w:rsidRDefault="00793594" w:rsidP="00216CE0">
            <w:pPr>
              <w:rPr>
                <w:sz w:val="16"/>
                <w:szCs w:val="16"/>
                <w:lang w:val="en-GB"/>
              </w:rPr>
            </w:pPr>
            <w:r w:rsidRPr="00A07978">
              <w:rPr>
                <w:sz w:val="16"/>
                <w:szCs w:val="16"/>
                <w:lang w:val="en-GB"/>
              </w:rPr>
              <w:t xml:space="preserve">Employment: </w:t>
            </w:r>
          </w:p>
          <w:p w14:paraId="7492F52A" w14:textId="77777777" w:rsidR="00793594" w:rsidRPr="00A07978" w:rsidRDefault="00793594" w:rsidP="00216CE0">
            <w:pPr>
              <w:rPr>
                <w:sz w:val="16"/>
                <w:szCs w:val="16"/>
                <w:lang w:val="en-GB"/>
              </w:rPr>
            </w:pPr>
            <w:r w:rsidRPr="00A07978">
              <w:rPr>
                <w:sz w:val="16"/>
                <w:szCs w:val="16"/>
                <w:lang w:val="en-GB"/>
              </w:rPr>
              <w:t xml:space="preserve">i. Industry: 3.1%. </w:t>
            </w:r>
          </w:p>
          <w:p w14:paraId="44D443C5" w14:textId="77777777" w:rsidR="00793594" w:rsidRPr="00A07978" w:rsidRDefault="00793594" w:rsidP="00216CE0">
            <w:pPr>
              <w:rPr>
                <w:sz w:val="16"/>
                <w:szCs w:val="16"/>
                <w:lang w:val="en-GB"/>
              </w:rPr>
            </w:pPr>
            <w:r w:rsidRPr="00A07978">
              <w:rPr>
                <w:sz w:val="16"/>
                <w:szCs w:val="16"/>
                <w:lang w:val="en-GB"/>
              </w:rPr>
              <w:t xml:space="preserve">j. trade: 3.8%. </w:t>
            </w:r>
          </w:p>
          <w:p w14:paraId="1E38AB9E" w14:textId="77777777" w:rsidR="00793594" w:rsidRPr="00A07978" w:rsidRDefault="00793594" w:rsidP="00216CE0">
            <w:pPr>
              <w:rPr>
                <w:sz w:val="16"/>
                <w:szCs w:val="16"/>
                <w:lang w:val="en-GB"/>
              </w:rPr>
            </w:pPr>
            <w:r w:rsidRPr="00A07978">
              <w:rPr>
                <w:sz w:val="16"/>
                <w:szCs w:val="16"/>
                <w:lang w:val="en-GB"/>
              </w:rPr>
              <w:t xml:space="preserve">k. services (excluding public administration): 6%. </w:t>
            </w:r>
          </w:p>
          <w:p w14:paraId="7F1C9813" w14:textId="77777777" w:rsidR="00793594" w:rsidRPr="00A07978" w:rsidRDefault="00793594" w:rsidP="00216CE0">
            <w:pPr>
              <w:rPr>
                <w:sz w:val="16"/>
                <w:szCs w:val="16"/>
                <w:lang w:val="en-GB"/>
              </w:rPr>
            </w:pPr>
          </w:p>
          <w:p w14:paraId="0702FC47" w14:textId="77777777" w:rsidR="00793594" w:rsidRPr="00A07978" w:rsidRDefault="00793594" w:rsidP="00216CE0">
            <w:pPr>
              <w:rPr>
                <w:sz w:val="16"/>
                <w:szCs w:val="16"/>
                <w:lang w:val="en-GB"/>
              </w:rPr>
            </w:pPr>
            <w:r w:rsidRPr="00A07978">
              <w:rPr>
                <w:sz w:val="16"/>
                <w:szCs w:val="16"/>
                <w:lang w:val="en-GB"/>
              </w:rPr>
              <w:t>Target (2027)</w:t>
            </w:r>
          </w:p>
          <w:p w14:paraId="1894EE83" w14:textId="103624F6" w:rsidR="00793594" w:rsidRPr="00A07978" w:rsidRDefault="00793594" w:rsidP="00216CE0">
            <w:pPr>
              <w:rPr>
                <w:sz w:val="16"/>
                <w:szCs w:val="16"/>
                <w:lang w:val="en-GB"/>
              </w:rPr>
            </w:pPr>
            <w:r w:rsidRPr="00A07978">
              <w:rPr>
                <w:sz w:val="16"/>
                <w:szCs w:val="16"/>
                <w:lang w:val="en-GB"/>
              </w:rPr>
              <w:t>GDP: TBD</w:t>
            </w:r>
          </w:p>
          <w:p w14:paraId="2D4314C1" w14:textId="77777777" w:rsidR="00793594" w:rsidRPr="00A07978" w:rsidRDefault="00793594" w:rsidP="00216CE0">
            <w:pPr>
              <w:rPr>
                <w:sz w:val="16"/>
                <w:szCs w:val="16"/>
                <w:lang w:val="en-GB"/>
              </w:rPr>
            </w:pPr>
          </w:p>
          <w:p w14:paraId="018007EF" w14:textId="6B7B172B" w:rsidR="00793594" w:rsidRPr="00A07978" w:rsidRDefault="00793594" w:rsidP="00216CE0">
            <w:pPr>
              <w:rPr>
                <w:sz w:val="16"/>
                <w:szCs w:val="16"/>
                <w:lang w:val="en-GB"/>
              </w:rPr>
            </w:pPr>
            <w:r w:rsidRPr="00A07978">
              <w:rPr>
                <w:sz w:val="16"/>
                <w:szCs w:val="16"/>
                <w:lang w:val="en-GB"/>
              </w:rPr>
              <w:t>Employment: TBD</w:t>
            </w:r>
          </w:p>
          <w:p w14:paraId="3140C761" w14:textId="77777777" w:rsidR="00793594" w:rsidRPr="00A07978" w:rsidRDefault="00793594" w:rsidP="00E02C69">
            <w:pPr>
              <w:rPr>
                <w:sz w:val="16"/>
                <w:szCs w:val="16"/>
                <w:lang w:val="en-GB"/>
              </w:rPr>
            </w:pPr>
          </w:p>
          <w:p w14:paraId="1D2DB439" w14:textId="77777777" w:rsidR="00793594" w:rsidRPr="00A07978" w:rsidRDefault="00793594" w:rsidP="00E02C69">
            <w:pPr>
              <w:rPr>
                <w:sz w:val="16"/>
                <w:szCs w:val="16"/>
                <w:lang w:val="en-GB"/>
              </w:rPr>
            </w:pPr>
            <w:r w:rsidRPr="00A07978">
              <w:rPr>
                <w:sz w:val="16"/>
                <w:szCs w:val="16"/>
                <w:lang w:val="en-GB"/>
              </w:rPr>
              <w:lastRenderedPageBreak/>
              <w:t>D. Export growth rate</w:t>
            </w:r>
          </w:p>
          <w:p w14:paraId="7D67BC54" w14:textId="04877A26" w:rsidR="00793594" w:rsidRPr="00A07978" w:rsidRDefault="00793594" w:rsidP="00E02C69">
            <w:pPr>
              <w:rPr>
                <w:sz w:val="16"/>
                <w:szCs w:val="16"/>
                <w:lang w:val="en-GB"/>
              </w:rPr>
            </w:pPr>
            <w:r w:rsidRPr="00A07978">
              <w:rPr>
                <w:sz w:val="16"/>
                <w:szCs w:val="16"/>
                <w:lang w:val="en-GB"/>
              </w:rPr>
              <w:t>Baseline (2022): 20,9%</w:t>
            </w:r>
          </w:p>
          <w:p w14:paraId="0FB0E99D" w14:textId="77777777" w:rsidR="00793594" w:rsidRPr="00A07978" w:rsidRDefault="00793594" w:rsidP="00E02C69">
            <w:pPr>
              <w:rPr>
                <w:sz w:val="16"/>
                <w:szCs w:val="16"/>
                <w:lang w:val="en-GB"/>
              </w:rPr>
            </w:pPr>
            <w:r w:rsidRPr="00A07978">
              <w:rPr>
                <w:sz w:val="16"/>
                <w:szCs w:val="16"/>
                <w:lang w:val="en-GB"/>
              </w:rPr>
              <w:t>Target (2027): 35%</w:t>
            </w:r>
          </w:p>
          <w:p w14:paraId="10FEF2B2" w14:textId="77777777" w:rsidR="00793594" w:rsidRPr="00A07978" w:rsidRDefault="00793594" w:rsidP="00E02C69">
            <w:pPr>
              <w:rPr>
                <w:sz w:val="16"/>
                <w:szCs w:val="16"/>
                <w:lang w:val="en-GB"/>
              </w:rPr>
            </w:pPr>
          </w:p>
          <w:p w14:paraId="1FB15528" w14:textId="7C3D28B8" w:rsidR="00793594" w:rsidRPr="00A07978" w:rsidRDefault="00793594" w:rsidP="00E02C69">
            <w:pPr>
              <w:rPr>
                <w:sz w:val="16"/>
                <w:szCs w:val="16"/>
                <w:lang w:val="en-GB"/>
              </w:rPr>
            </w:pPr>
            <w:r w:rsidRPr="00A07978">
              <w:rPr>
                <w:sz w:val="16"/>
                <w:szCs w:val="16"/>
                <w:lang w:val="en-GB"/>
              </w:rPr>
              <w:t>Frequency: Annually</w:t>
            </w:r>
          </w:p>
          <w:p w14:paraId="711CA5BD" w14:textId="77777777" w:rsidR="00793594" w:rsidRPr="00A07978" w:rsidRDefault="00793594" w:rsidP="00E02C69">
            <w:pPr>
              <w:rPr>
                <w:sz w:val="16"/>
                <w:szCs w:val="16"/>
                <w:lang w:val="en-GB"/>
              </w:rPr>
            </w:pPr>
          </w:p>
          <w:p w14:paraId="730F2510" w14:textId="77777777" w:rsidR="00793594" w:rsidRPr="00A07978" w:rsidRDefault="00793594" w:rsidP="00E02C69">
            <w:pPr>
              <w:rPr>
                <w:sz w:val="16"/>
                <w:szCs w:val="16"/>
                <w:lang w:val="en-GB"/>
              </w:rPr>
            </w:pPr>
            <w:r w:rsidRPr="00A07978">
              <w:rPr>
                <w:sz w:val="16"/>
                <w:szCs w:val="16"/>
                <w:lang w:val="en-GB"/>
              </w:rPr>
              <w:t>E. Proportion of active youth (15-35 years) neither in employment, nor in education, nor in training</w:t>
            </w:r>
          </w:p>
          <w:p w14:paraId="30FBF832" w14:textId="77777777" w:rsidR="00793594" w:rsidRPr="00A07978" w:rsidRDefault="00793594" w:rsidP="006E1EDA">
            <w:pPr>
              <w:rPr>
                <w:sz w:val="16"/>
                <w:szCs w:val="16"/>
                <w:lang w:val="en-GB"/>
              </w:rPr>
            </w:pPr>
            <w:r w:rsidRPr="00A07978">
              <w:rPr>
                <w:sz w:val="16"/>
                <w:szCs w:val="16"/>
                <w:lang w:val="en-GB"/>
              </w:rPr>
              <w:t xml:space="preserve">Baseline (2019) </w:t>
            </w:r>
          </w:p>
          <w:p w14:paraId="4D6D6B6F" w14:textId="77777777" w:rsidR="00793594" w:rsidRPr="00A07978" w:rsidRDefault="00793594" w:rsidP="006E1EDA">
            <w:pPr>
              <w:rPr>
                <w:sz w:val="16"/>
                <w:szCs w:val="16"/>
                <w:lang w:val="en-GB"/>
              </w:rPr>
            </w:pPr>
            <w:r w:rsidRPr="00A07978">
              <w:rPr>
                <w:sz w:val="16"/>
                <w:szCs w:val="16"/>
                <w:lang w:val="en-GB"/>
              </w:rPr>
              <w:t xml:space="preserve">a. National: 92 </w:t>
            </w:r>
          </w:p>
          <w:p w14:paraId="79BF4FEC" w14:textId="77777777" w:rsidR="00793594" w:rsidRPr="00A07978" w:rsidRDefault="00793594" w:rsidP="006E1EDA">
            <w:pPr>
              <w:rPr>
                <w:sz w:val="16"/>
                <w:szCs w:val="16"/>
                <w:lang w:val="en-GB"/>
              </w:rPr>
            </w:pPr>
            <w:r w:rsidRPr="00A07978">
              <w:rPr>
                <w:sz w:val="16"/>
                <w:szCs w:val="16"/>
                <w:lang w:val="en-GB"/>
              </w:rPr>
              <w:t xml:space="preserve">b. Urban: 86.4 </w:t>
            </w:r>
          </w:p>
          <w:p w14:paraId="3B69FF54" w14:textId="77777777" w:rsidR="00793594" w:rsidRPr="00A07978" w:rsidRDefault="00793594" w:rsidP="006E1EDA">
            <w:pPr>
              <w:rPr>
                <w:sz w:val="16"/>
                <w:szCs w:val="16"/>
                <w:lang w:val="en-GB"/>
              </w:rPr>
            </w:pPr>
            <w:r w:rsidRPr="00A07978">
              <w:rPr>
                <w:sz w:val="16"/>
                <w:szCs w:val="16"/>
                <w:lang w:val="en-GB"/>
              </w:rPr>
              <w:t xml:space="preserve">c. Rural: 93.4 </w:t>
            </w:r>
          </w:p>
          <w:p w14:paraId="6C751740" w14:textId="77777777" w:rsidR="00793594" w:rsidRPr="00A07978" w:rsidRDefault="00793594" w:rsidP="006E1EDA">
            <w:pPr>
              <w:rPr>
                <w:sz w:val="16"/>
                <w:szCs w:val="16"/>
                <w:lang w:val="en-GB"/>
              </w:rPr>
            </w:pPr>
            <w:r w:rsidRPr="00A07978">
              <w:rPr>
                <w:sz w:val="16"/>
                <w:szCs w:val="16"/>
                <w:lang w:val="en-GB"/>
              </w:rPr>
              <w:t xml:space="preserve">d. Women: 92% </w:t>
            </w:r>
          </w:p>
          <w:p w14:paraId="6309D501" w14:textId="77777777" w:rsidR="00793594" w:rsidRPr="00A07978" w:rsidRDefault="00793594" w:rsidP="006E1EDA">
            <w:pPr>
              <w:rPr>
                <w:sz w:val="16"/>
                <w:szCs w:val="16"/>
                <w:lang w:val="en-GB"/>
              </w:rPr>
            </w:pPr>
            <w:r w:rsidRPr="00A07978">
              <w:rPr>
                <w:sz w:val="16"/>
                <w:szCs w:val="16"/>
                <w:lang w:val="en-GB"/>
              </w:rPr>
              <w:t xml:space="preserve">e. Men: 93.2%. </w:t>
            </w:r>
          </w:p>
          <w:p w14:paraId="0B3D70CA" w14:textId="77777777" w:rsidR="00793594" w:rsidRPr="00A07978" w:rsidRDefault="00793594" w:rsidP="006E1EDA">
            <w:pPr>
              <w:rPr>
                <w:sz w:val="16"/>
                <w:szCs w:val="16"/>
                <w:lang w:val="en-GB"/>
              </w:rPr>
            </w:pPr>
          </w:p>
          <w:p w14:paraId="4F1CBEA9" w14:textId="77777777" w:rsidR="00793594" w:rsidRPr="00A07978" w:rsidRDefault="00793594" w:rsidP="006E1EDA">
            <w:pPr>
              <w:rPr>
                <w:sz w:val="16"/>
                <w:szCs w:val="16"/>
                <w:lang w:val="en-GB"/>
              </w:rPr>
            </w:pPr>
            <w:r w:rsidRPr="00A07978">
              <w:rPr>
                <w:sz w:val="16"/>
                <w:szCs w:val="16"/>
                <w:lang w:val="en-GB"/>
              </w:rPr>
              <w:t>Target (2027)</w:t>
            </w:r>
          </w:p>
          <w:p w14:paraId="1CCB4BF6" w14:textId="77777777" w:rsidR="00793594" w:rsidRPr="00A07978" w:rsidRDefault="00793594" w:rsidP="006E1EDA">
            <w:pPr>
              <w:rPr>
                <w:sz w:val="16"/>
                <w:szCs w:val="16"/>
                <w:lang w:val="en-GB"/>
              </w:rPr>
            </w:pPr>
            <w:r w:rsidRPr="00A07978">
              <w:rPr>
                <w:sz w:val="16"/>
                <w:szCs w:val="16"/>
                <w:lang w:val="en-GB"/>
              </w:rPr>
              <w:t>a. 75%</w:t>
            </w:r>
          </w:p>
          <w:p w14:paraId="3E2DEBCB" w14:textId="77777777" w:rsidR="00793594" w:rsidRPr="00A07978" w:rsidRDefault="00793594" w:rsidP="006E1EDA">
            <w:pPr>
              <w:rPr>
                <w:sz w:val="16"/>
                <w:szCs w:val="16"/>
                <w:lang w:val="en-GB"/>
              </w:rPr>
            </w:pPr>
            <w:r w:rsidRPr="00A07978">
              <w:rPr>
                <w:sz w:val="16"/>
                <w:szCs w:val="16"/>
                <w:lang w:val="en-GB"/>
              </w:rPr>
              <w:t>b.  60%</w:t>
            </w:r>
          </w:p>
          <w:p w14:paraId="02BB92E8" w14:textId="77777777" w:rsidR="00793594" w:rsidRPr="00A07978" w:rsidRDefault="00793594" w:rsidP="006E1EDA">
            <w:pPr>
              <w:rPr>
                <w:sz w:val="16"/>
                <w:szCs w:val="16"/>
                <w:lang w:val="en-GB"/>
              </w:rPr>
            </w:pPr>
            <w:r w:rsidRPr="00A07978">
              <w:rPr>
                <w:sz w:val="16"/>
                <w:szCs w:val="16"/>
                <w:lang w:val="en-GB"/>
              </w:rPr>
              <w:t>c. 80%</w:t>
            </w:r>
          </w:p>
          <w:p w14:paraId="70FF7EAF" w14:textId="77777777" w:rsidR="00793594" w:rsidRPr="00A07978" w:rsidRDefault="00793594" w:rsidP="006E1EDA">
            <w:pPr>
              <w:rPr>
                <w:sz w:val="16"/>
                <w:szCs w:val="16"/>
                <w:lang w:val="en-GB"/>
              </w:rPr>
            </w:pPr>
            <w:r w:rsidRPr="00A07978">
              <w:rPr>
                <w:sz w:val="16"/>
                <w:szCs w:val="16"/>
                <w:lang w:val="en-GB"/>
              </w:rPr>
              <w:t>d.  75%</w:t>
            </w:r>
          </w:p>
          <w:p w14:paraId="14ABE675" w14:textId="77777777" w:rsidR="00793594" w:rsidRPr="00A07978" w:rsidRDefault="00793594" w:rsidP="006E1EDA">
            <w:pPr>
              <w:rPr>
                <w:sz w:val="16"/>
                <w:szCs w:val="16"/>
                <w:lang w:val="en-GB"/>
              </w:rPr>
            </w:pPr>
            <w:r w:rsidRPr="00A07978">
              <w:rPr>
                <w:sz w:val="16"/>
                <w:szCs w:val="16"/>
                <w:lang w:val="en-GB"/>
              </w:rPr>
              <w:t>e.  80%</w:t>
            </w:r>
          </w:p>
          <w:p w14:paraId="1FCF435E" w14:textId="77777777" w:rsidR="00793594" w:rsidRPr="00A07978" w:rsidRDefault="00793594" w:rsidP="00E02C69">
            <w:pPr>
              <w:rPr>
                <w:sz w:val="16"/>
                <w:szCs w:val="16"/>
                <w:lang w:val="en-GB"/>
              </w:rPr>
            </w:pPr>
          </w:p>
          <w:p w14:paraId="6D582E09" w14:textId="77777777" w:rsidR="00793594" w:rsidRPr="00A07978" w:rsidRDefault="00793594" w:rsidP="00E02C69">
            <w:pPr>
              <w:rPr>
                <w:sz w:val="16"/>
                <w:szCs w:val="16"/>
                <w:lang w:val="en-GB"/>
              </w:rPr>
            </w:pPr>
            <w:r w:rsidRPr="00A07978">
              <w:rPr>
                <w:sz w:val="16"/>
                <w:szCs w:val="16"/>
                <w:lang w:val="en-GB"/>
              </w:rPr>
              <w:t>F. Rate of access to administrative and financial services</w:t>
            </w:r>
          </w:p>
          <w:p w14:paraId="6AEAF4A5" w14:textId="1A11F225" w:rsidR="00793594" w:rsidRPr="00A07978" w:rsidRDefault="00A07978" w:rsidP="00E02C69">
            <w:pPr>
              <w:rPr>
                <w:sz w:val="16"/>
                <w:szCs w:val="16"/>
                <w:lang w:val="en-GB"/>
              </w:rPr>
            </w:pPr>
            <w:r w:rsidRPr="00A07978">
              <w:rPr>
                <w:sz w:val="16"/>
                <w:szCs w:val="16"/>
                <w:lang w:val="en-GB"/>
              </w:rPr>
              <w:t>Baseline (</w:t>
            </w:r>
            <w:r w:rsidR="00793594" w:rsidRPr="00A07978">
              <w:rPr>
                <w:sz w:val="16"/>
                <w:szCs w:val="16"/>
                <w:lang w:val="en-GB"/>
              </w:rPr>
              <w:t>2019</w:t>
            </w:r>
            <w:r w:rsidRPr="00A07978">
              <w:rPr>
                <w:sz w:val="16"/>
                <w:szCs w:val="16"/>
                <w:lang w:val="en-GB"/>
              </w:rPr>
              <w:t>):</w:t>
            </w:r>
          </w:p>
          <w:p w14:paraId="509A038D" w14:textId="77777777" w:rsidR="00793594" w:rsidRPr="00A07978" w:rsidRDefault="00793594" w:rsidP="009343DD">
            <w:pPr>
              <w:rPr>
                <w:sz w:val="16"/>
                <w:szCs w:val="16"/>
                <w:lang w:val="en-GB"/>
              </w:rPr>
            </w:pPr>
            <w:r w:rsidRPr="00A07978">
              <w:rPr>
                <w:sz w:val="16"/>
                <w:szCs w:val="16"/>
                <w:lang w:val="en-GB"/>
              </w:rPr>
              <w:t xml:space="preserve">a. Administration: 12.6% </w:t>
            </w:r>
          </w:p>
          <w:p w14:paraId="3F872984" w14:textId="37D916EB" w:rsidR="00793594" w:rsidRPr="00A07978" w:rsidRDefault="00793594" w:rsidP="009343DD">
            <w:pPr>
              <w:rPr>
                <w:sz w:val="16"/>
                <w:szCs w:val="16"/>
                <w:lang w:val="en-GB"/>
              </w:rPr>
            </w:pPr>
            <w:r w:rsidRPr="00A07978">
              <w:rPr>
                <w:sz w:val="16"/>
                <w:szCs w:val="16"/>
                <w:lang w:val="en-GB"/>
              </w:rPr>
              <w:t>b. Justice: 5.4%</w:t>
            </w:r>
          </w:p>
          <w:p w14:paraId="3F507901" w14:textId="77777777" w:rsidR="00793594" w:rsidRPr="00A07978" w:rsidRDefault="00793594" w:rsidP="009343DD">
            <w:pPr>
              <w:rPr>
                <w:sz w:val="16"/>
                <w:szCs w:val="16"/>
                <w:lang w:val="en-GB"/>
              </w:rPr>
            </w:pPr>
            <w:r w:rsidRPr="00A07978">
              <w:rPr>
                <w:sz w:val="16"/>
                <w:szCs w:val="16"/>
                <w:lang w:val="en-GB"/>
              </w:rPr>
              <w:t xml:space="preserve">c. Civil status: 9.3%, </w:t>
            </w:r>
          </w:p>
          <w:p w14:paraId="0D3F0338" w14:textId="1E510C97" w:rsidR="00793594" w:rsidRPr="00A07978" w:rsidRDefault="00793594" w:rsidP="009343DD">
            <w:pPr>
              <w:rPr>
                <w:sz w:val="16"/>
                <w:szCs w:val="16"/>
                <w:lang w:val="en-GB"/>
              </w:rPr>
            </w:pPr>
            <w:r w:rsidRPr="00A07978">
              <w:rPr>
                <w:sz w:val="16"/>
                <w:szCs w:val="16"/>
                <w:lang w:val="en-GB"/>
              </w:rPr>
              <w:t>d. Police: 2.7%</w:t>
            </w:r>
          </w:p>
          <w:p w14:paraId="456B2561" w14:textId="77777777" w:rsidR="00793594" w:rsidRPr="00A07978" w:rsidRDefault="00793594" w:rsidP="009343DD">
            <w:pPr>
              <w:rPr>
                <w:sz w:val="16"/>
                <w:szCs w:val="16"/>
                <w:lang w:val="en-GB"/>
              </w:rPr>
            </w:pPr>
            <w:r w:rsidRPr="00A07978">
              <w:rPr>
                <w:sz w:val="16"/>
                <w:szCs w:val="16"/>
                <w:lang w:val="en-GB"/>
              </w:rPr>
              <w:t xml:space="preserve">e. Provincial administration/municipalities: 0.7%, </w:t>
            </w:r>
          </w:p>
          <w:p w14:paraId="3A85D042" w14:textId="77777777" w:rsidR="00793594" w:rsidRPr="00A07978" w:rsidRDefault="00793594" w:rsidP="009343DD">
            <w:pPr>
              <w:rPr>
                <w:sz w:val="16"/>
                <w:szCs w:val="16"/>
                <w:lang w:val="en-GB"/>
              </w:rPr>
            </w:pPr>
            <w:r w:rsidRPr="00A07978">
              <w:rPr>
                <w:sz w:val="16"/>
                <w:szCs w:val="16"/>
                <w:lang w:val="en-GB"/>
              </w:rPr>
              <w:t xml:space="preserve">F. Financial: 10% </w:t>
            </w:r>
          </w:p>
          <w:p w14:paraId="3A933B89" w14:textId="77777777" w:rsidR="00793594" w:rsidRPr="00A07978" w:rsidRDefault="00793594" w:rsidP="009343DD">
            <w:pPr>
              <w:rPr>
                <w:sz w:val="16"/>
                <w:szCs w:val="16"/>
                <w:lang w:val="en-GB"/>
              </w:rPr>
            </w:pPr>
          </w:p>
          <w:p w14:paraId="3D5FBC27" w14:textId="77777777" w:rsidR="00793594" w:rsidRPr="00A07978" w:rsidRDefault="00793594" w:rsidP="009343DD">
            <w:pPr>
              <w:rPr>
                <w:sz w:val="16"/>
                <w:szCs w:val="16"/>
                <w:lang w:val="en-GB"/>
              </w:rPr>
            </w:pPr>
            <w:r w:rsidRPr="00A07978">
              <w:rPr>
                <w:sz w:val="16"/>
                <w:szCs w:val="16"/>
                <w:lang w:val="en-GB"/>
              </w:rPr>
              <w:t>Target (2027):</w:t>
            </w:r>
          </w:p>
          <w:p w14:paraId="1CC205A7" w14:textId="77777777" w:rsidR="00793594" w:rsidRPr="00A07978" w:rsidRDefault="00793594" w:rsidP="009343DD">
            <w:pPr>
              <w:rPr>
                <w:sz w:val="16"/>
                <w:szCs w:val="16"/>
                <w:lang w:val="en-GB"/>
              </w:rPr>
            </w:pPr>
            <w:r w:rsidRPr="00A07978">
              <w:rPr>
                <w:sz w:val="16"/>
                <w:szCs w:val="16"/>
                <w:lang w:val="en-GB"/>
              </w:rPr>
              <w:t>a.  25%,</w:t>
            </w:r>
          </w:p>
          <w:p w14:paraId="5A5F9735" w14:textId="77777777" w:rsidR="00793594" w:rsidRPr="00A07978" w:rsidRDefault="00793594" w:rsidP="009343DD">
            <w:pPr>
              <w:rPr>
                <w:sz w:val="16"/>
                <w:szCs w:val="16"/>
                <w:lang w:val="en-GB"/>
              </w:rPr>
            </w:pPr>
            <w:r w:rsidRPr="00A07978">
              <w:rPr>
                <w:sz w:val="16"/>
                <w:szCs w:val="16"/>
                <w:lang w:val="en-GB"/>
              </w:rPr>
              <w:t>b.  17%,</w:t>
            </w:r>
          </w:p>
          <w:p w14:paraId="2038A74B" w14:textId="77777777" w:rsidR="00793594" w:rsidRPr="00A07978" w:rsidRDefault="00793594" w:rsidP="009343DD">
            <w:pPr>
              <w:rPr>
                <w:sz w:val="16"/>
                <w:szCs w:val="16"/>
                <w:lang w:val="en-GB"/>
              </w:rPr>
            </w:pPr>
            <w:r w:rsidRPr="00A07978">
              <w:rPr>
                <w:sz w:val="16"/>
                <w:szCs w:val="16"/>
                <w:lang w:val="en-GB"/>
              </w:rPr>
              <w:t>c. 23%,</w:t>
            </w:r>
          </w:p>
          <w:p w14:paraId="3876B652" w14:textId="77777777" w:rsidR="00793594" w:rsidRPr="00A07978" w:rsidRDefault="00793594" w:rsidP="009343DD">
            <w:pPr>
              <w:rPr>
                <w:sz w:val="16"/>
                <w:szCs w:val="16"/>
                <w:lang w:val="en-GB"/>
              </w:rPr>
            </w:pPr>
            <w:r w:rsidRPr="00A07978">
              <w:rPr>
                <w:sz w:val="16"/>
                <w:szCs w:val="16"/>
                <w:lang w:val="en-GB"/>
              </w:rPr>
              <w:t>d. 17%,</w:t>
            </w:r>
          </w:p>
          <w:p w14:paraId="3D3D4BF8" w14:textId="77777777" w:rsidR="00793594" w:rsidRPr="00A07978" w:rsidRDefault="00793594" w:rsidP="009343DD">
            <w:pPr>
              <w:rPr>
                <w:sz w:val="16"/>
                <w:szCs w:val="16"/>
                <w:lang w:val="en-GB"/>
              </w:rPr>
            </w:pPr>
            <w:r w:rsidRPr="00A07978">
              <w:rPr>
                <w:sz w:val="16"/>
                <w:szCs w:val="16"/>
                <w:lang w:val="en-GB"/>
              </w:rPr>
              <w:t>e.  15%</w:t>
            </w:r>
          </w:p>
          <w:p w14:paraId="73983D4F" w14:textId="77777777" w:rsidR="00793594" w:rsidRPr="00A07978" w:rsidRDefault="00793594" w:rsidP="009343DD">
            <w:pPr>
              <w:rPr>
                <w:sz w:val="16"/>
                <w:szCs w:val="16"/>
                <w:lang w:val="en-GB"/>
              </w:rPr>
            </w:pPr>
            <w:r w:rsidRPr="00A07978">
              <w:rPr>
                <w:sz w:val="16"/>
                <w:szCs w:val="16"/>
                <w:lang w:val="en-GB"/>
              </w:rPr>
              <w:t>F.  30%</w:t>
            </w:r>
          </w:p>
          <w:p w14:paraId="3D39B471" w14:textId="035D9EC6" w:rsidR="00793594" w:rsidRPr="00A07978" w:rsidRDefault="00793594" w:rsidP="00E02C69">
            <w:pPr>
              <w:rPr>
                <w:sz w:val="16"/>
                <w:szCs w:val="16"/>
                <w:lang w:val="en-GB"/>
              </w:rPr>
            </w:pPr>
          </w:p>
        </w:tc>
        <w:tc>
          <w:tcPr>
            <w:tcW w:w="843" w:type="pct"/>
            <w:vMerge w:val="restart"/>
          </w:tcPr>
          <w:p w14:paraId="488F9394" w14:textId="50549D1D" w:rsidR="00793594" w:rsidRPr="00A07978" w:rsidRDefault="00793594" w:rsidP="00D80500">
            <w:pPr>
              <w:suppressAutoHyphens/>
              <w:autoSpaceDN w:val="0"/>
              <w:textAlignment w:val="baseline"/>
              <w:rPr>
                <w:color w:val="000000" w:themeColor="text1"/>
                <w:sz w:val="16"/>
                <w:szCs w:val="16"/>
                <w:lang w:val="en-GB"/>
              </w:rPr>
            </w:pPr>
            <w:r w:rsidRPr="00A07978">
              <w:rPr>
                <w:color w:val="000000" w:themeColor="text1"/>
                <w:sz w:val="16"/>
                <w:szCs w:val="16"/>
                <w:lang w:val="en-GB"/>
              </w:rPr>
              <w:lastRenderedPageBreak/>
              <w:t>Indicators</w:t>
            </w:r>
            <w:r w:rsidR="00F74ABC" w:rsidRPr="00A07978">
              <w:rPr>
                <w:color w:val="000000" w:themeColor="text1"/>
                <w:sz w:val="16"/>
                <w:szCs w:val="16"/>
                <w:lang w:val="en-GB"/>
              </w:rPr>
              <w:t>:</w:t>
            </w:r>
            <w:r w:rsidRPr="00A07978">
              <w:rPr>
                <w:color w:val="000000" w:themeColor="text1"/>
                <w:sz w:val="16"/>
                <w:szCs w:val="16"/>
                <w:lang w:val="en-GB"/>
              </w:rPr>
              <w:t xml:space="preserve"> C, D, E, F:</w:t>
            </w:r>
          </w:p>
          <w:p w14:paraId="20A380FE" w14:textId="15CBDAA4" w:rsidR="00793594" w:rsidRPr="00A07978" w:rsidRDefault="00793594" w:rsidP="00D80500">
            <w:pPr>
              <w:suppressAutoHyphens/>
              <w:autoSpaceDN w:val="0"/>
              <w:textAlignment w:val="baseline"/>
              <w:rPr>
                <w:color w:val="000000" w:themeColor="text1"/>
                <w:sz w:val="16"/>
                <w:szCs w:val="16"/>
                <w:lang w:val="en-GB"/>
              </w:rPr>
            </w:pPr>
            <w:r w:rsidRPr="00A07978">
              <w:rPr>
                <w:color w:val="000000" w:themeColor="text1"/>
                <w:sz w:val="16"/>
                <w:szCs w:val="16"/>
                <w:lang w:val="en-GB"/>
              </w:rPr>
              <w:t>Source: ISLH</w:t>
            </w:r>
          </w:p>
          <w:p w14:paraId="3B985655" w14:textId="77777777" w:rsidR="00793594" w:rsidRPr="00A07978" w:rsidRDefault="00793594" w:rsidP="00D80500">
            <w:pPr>
              <w:suppressAutoHyphens/>
              <w:autoSpaceDN w:val="0"/>
              <w:textAlignment w:val="baseline"/>
              <w:rPr>
                <w:color w:val="000000" w:themeColor="text1"/>
                <w:sz w:val="16"/>
                <w:szCs w:val="16"/>
                <w:lang w:val="en-GB"/>
              </w:rPr>
            </w:pPr>
            <w:r w:rsidRPr="00A07978">
              <w:rPr>
                <w:color w:val="000000" w:themeColor="text1"/>
                <w:sz w:val="16"/>
                <w:szCs w:val="16"/>
                <w:lang w:val="en-GB"/>
              </w:rPr>
              <w:t>Frequency: Bi yearly</w:t>
            </w:r>
          </w:p>
          <w:p w14:paraId="5E34CE59" w14:textId="77777777" w:rsidR="00793594" w:rsidRPr="00A07978" w:rsidRDefault="00793594" w:rsidP="00D80500">
            <w:pPr>
              <w:suppressAutoHyphens/>
              <w:autoSpaceDN w:val="0"/>
              <w:textAlignment w:val="baseline"/>
              <w:rPr>
                <w:color w:val="000000" w:themeColor="text1"/>
                <w:sz w:val="16"/>
                <w:szCs w:val="16"/>
                <w:lang w:val="en-GB"/>
              </w:rPr>
            </w:pPr>
          </w:p>
          <w:p w14:paraId="2ADD1383" w14:textId="77777777" w:rsidR="00793594" w:rsidRPr="00A07978" w:rsidRDefault="00793594" w:rsidP="00D80500">
            <w:pPr>
              <w:suppressAutoHyphens/>
              <w:autoSpaceDN w:val="0"/>
              <w:textAlignment w:val="baseline"/>
              <w:rPr>
                <w:color w:val="000000" w:themeColor="text1"/>
                <w:sz w:val="16"/>
                <w:szCs w:val="16"/>
                <w:lang w:val="en-GB"/>
              </w:rPr>
            </w:pPr>
            <w:r w:rsidRPr="00A07978">
              <w:rPr>
                <w:color w:val="000000" w:themeColor="text1"/>
                <w:sz w:val="16"/>
                <w:szCs w:val="16"/>
                <w:lang w:val="en-GB"/>
              </w:rPr>
              <w:t>Responsible: INSBU</w:t>
            </w:r>
          </w:p>
          <w:p w14:paraId="422A47EB" w14:textId="39A0CA0D" w:rsidR="00793594" w:rsidRPr="00A07978" w:rsidRDefault="00793594" w:rsidP="00E02C69">
            <w:pPr>
              <w:rPr>
                <w:sz w:val="16"/>
                <w:szCs w:val="16"/>
                <w:lang w:val="en-GB"/>
              </w:rPr>
            </w:pPr>
          </w:p>
          <w:p w14:paraId="69CC277E" w14:textId="291DC210" w:rsidR="00793594" w:rsidRPr="00A07978" w:rsidRDefault="00793594" w:rsidP="00E02C69">
            <w:pPr>
              <w:rPr>
                <w:sz w:val="16"/>
                <w:szCs w:val="16"/>
                <w:lang w:val="en-GB"/>
              </w:rPr>
            </w:pPr>
          </w:p>
        </w:tc>
        <w:tc>
          <w:tcPr>
            <w:tcW w:w="1453" w:type="pct"/>
            <w:tcMar>
              <w:top w:w="72" w:type="dxa"/>
              <w:left w:w="144" w:type="dxa"/>
              <w:bottom w:w="72" w:type="dxa"/>
              <w:right w:w="144" w:type="dxa"/>
            </w:tcMar>
          </w:tcPr>
          <w:p w14:paraId="581401CF" w14:textId="3B03192B" w:rsidR="00793594" w:rsidRPr="00A07978" w:rsidRDefault="00D154E4" w:rsidP="00E02C69">
            <w:pPr>
              <w:suppressAutoHyphens/>
              <w:autoSpaceDN w:val="0"/>
              <w:textAlignment w:val="baseline"/>
              <w:rPr>
                <w:sz w:val="16"/>
                <w:szCs w:val="16"/>
                <w:lang w:val="en-GB"/>
              </w:rPr>
            </w:pPr>
            <w:r w:rsidRPr="00A07978">
              <w:rPr>
                <w:color w:val="000000" w:themeColor="text1"/>
                <w:sz w:val="16"/>
                <w:szCs w:val="16"/>
                <w:lang w:val="en-GB"/>
              </w:rPr>
              <w:t xml:space="preserve">Output </w:t>
            </w:r>
            <w:r w:rsidR="00793594" w:rsidRPr="00A07978">
              <w:rPr>
                <w:sz w:val="16"/>
                <w:szCs w:val="16"/>
                <w:lang w:val="en-GB"/>
              </w:rPr>
              <w:t>1.3. National capacities for steering, coordinating, and reporting on public policies are strengthened for the acceleration of the Sustainable Development Goals, structural transformation and diversification of the economy including through regional integration.</w:t>
            </w:r>
          </w:p>
          <w:p w14:paraId="129657C4" w14:textId="77777777" w:rsidR="00793594" w:rsidRPr="00A07978" w:rsidRDefault="00793594" w:rsidP="00E02C69">
            <w:pPr>
              <w:suppressAutoHyphens/>
              <w:autoSpaceDN w:val="0"/>
              <w:textAlignment w:val="baseline"/>
              <w:rPr>
                <w:sz w:val="16"/>
                <w:szCs w:val="16"/>
                <w:lang w:val="en-GB"/>
              </w:rPr>
            </w:pPr>
          </w:p>
          <w:p w14:paraId="2CB1AD75" w14:textId="77777777" w:rsidR="00793594" w:rsidRPr="00A07978" w:rsidRDefault="00793594" w:rsidP="00E02C69">
            <w:pPr>
              <w:suppressAutoHyphens/>
              <w:autoSpaceDN w:val="0"/>
              <w:textAlignment w:val="baseline"/>
              <w:rPr>
                <w:sz w:val="16"/>
                <w:szCs w:val="16"/>
                <w:lang w:val="en-GB"/>
              </w:rPr>
            </w:pPr>
          </w:p>
          <w:p w14:paraId="2A8AC13A" w14:textId="77777777" w:rsidR="00767BB7" w:rsidRPr="00A07978" w:rsidRDefault="00767BB7" w:rsidP="00767BB7">
            <w:pPr>
              <w:rPr>
                <w:color w:val="000000"/>
                <w:sz w:val="16"/>
                <w:szCs w:val="16"/>
                <w:lang w:val="en-GB"/>
              </w:rPr>
            </w:pPr>
          </w:p>
          <w:p w14:paraId="37581E46" w14:textId="75AAA27F" w:rsidR="00793594" w:rsidRPr="00A07978" w:rsidRDefault="00767BB7" w:rsidP="00767BB7">
            <w:pPr>
              <w:suppressAutoHyphens/>
              <w:autoSpaceDN w:val="0"/>
              <w:textAlignment w:val="baseline"/>
              <w:rPr>
                <w:sz w:val="16"/>
                <w:szCs w:val="16"/>
                <w:lang w:val="en-GB"/>
              </w:rPr>
            </w:pPr>
            <w:r w:rsidRPr="00A07978">
              <w:rPr>
                <w:color w:val="000000" w:themeColor="text1"/>
                <w:sz w:val="16"/>
                <w:szCs w:val="16"/>
                <w:lang w:val="en-GB"/>
              </w:rPr>
              <w:t xml:space="preserve">Indicator </w:t>
            </w:r>
            <w:r w:rsidR="00793594" w:rsidRPr="00A07978">
              <w:rPr>
                <w:sz w:val="16"/>
                <w:szCs w:val="16"/>
                <w:lang w:val="en-GB"/>
              </w:rPr>
              <w:t>1.3.1. Number of institutions, policies/strategies in place or strengthened that promote or facilitate promotion of private investment.</w:t>
            </w:r>
          </w:p>
          <w:p w14:paraId="4A8E22D2" w14:textId="2E28D54E" w:rsidR="00793594" w:rsidRPr="00A07978" w:rsidRDefault="00793594" w:rsidP="000F57D4">
            <w:pPr>
              <w:suppressAutoHyphens/>
              <w:autoSpaceDN w:val="0"/>
              <w:spacing w:after="60"/>
              <w:jc w:val="both"/>
              <w:rPr>
                <w:sz w:val="16"/>
                <w:szCs w:val="16"/>
                <w:lang w:val="en-GB"/>
              </w:rPr>
            </w:pPr>
            <w:r w:rsidRPr="00A07978">
              <w:rPr>
                <w:sz w:val="16"/>
                <w:szCs w:val="16"/>
                <w:lang w:val="en-GB"/>
              </w:rPr>
              <w:t>Baseline (2023): 0</w:t>
            </w:r>
          </w:p>
          <w:p w14:paraId="49DA9F64" w14:textId="6F8BCBDA" w:rsidR="00793594" w:rsidRPr="00A07978" w:rsidRDefault="00793594" w:rsidP="000F57D4">
            <w:pPr>
              <w:suppressAutoHyphens/>
              <w:autoSpaceDN w:val="0"/>
              <w:spacing w:after="60"/>
              <w:jc w:val="both"/>
              <w:rPr>
                <w:sz w:val="16"/>
                <w:szCs w:val="16"/>
                <w:lang w:val="en-GB"/>
              </w:rPr>
            </w:pPr>
            <w:r w:rsidRPr="00A07978">
              <w:rPr>
                <w:sz w:val="16"/>
                <w:szCs w:val="16"/>
                <w:lang w:val="en-GB"/>
              </w:rPr>
              <w:t>Target (2027):2</w:t>
            </w:r>
          </w:p>
          <w:p w14:paraId="632195A5" w14:textId="61186513" w:rsidR="00793594" w:rsidRPr="00A07978" w:rsidRDefault="00767BB7" w:rsidP="000F57D4">
            <w:pPr>
              <w:suppressAutoHyphens/>
              <w:autoSpaceDN w:val="0"/>
              <w:spacing w:after="60"/>
              <w:jc w:val="both"/>
              <w:rPr>
                <w:sz w:val="16"/>
                <w:szCs w:val="16"/>
                <w:lang w:val="en-GB"/>
              </w:rPr>
            </w:pPr>
            <w:r w:rsidRPr="00A07978">
              <w:rPr>
                <w:sz w:val="16"/>
                <w:szCs w:val="16"/>
                <w:lang w:val="en-GB"/>
              </w:rPr>
              <w:t>S</w:t>
            </w:r>
            <w:r w:rsidR="00793594" w:rsidRPr="00A07978">
              <w:rPr>
                <w:sz w:val="16"/>
                <w:szCs w:val="16"/>
                <w:lang w:val="en-GB"/>
              </w:rPr>
              <w:t>ource: Ministry of Finance</w:t>
            </w:r>
          </w:p>
          <w:p w14:paraId="1A76BE60" w14:textId="77777777" w:rsidR="00793594" w:rsidRPr="00A07978" w:rsidRDefault="00793594" w:rsidP="000F57D4">
            <w:pPr>
              <w:suppressAutoHyphens/>
              <w:autoSpaceDN w:val="0"/>
              <w:spacing w:after="60"/>
              <w:jc w:val="both"/>
              <w:rPr>
                <w:sz w:val="16"/>
                <w:szCs w:val="16"/>
                <w:lang w:val="en-GB"/>
              </w:rPr>
            </w:pPr>
            <w:r w:rsidRPr="00A07978">
              <w:rPr>
                <w:sz w:val="16"/>
                <w:szCs w:val="16"/>
                <w:lang w:val="en-GB"/>
              </w:rPr>
              <w:t>Frequency: Annually</w:t>
            </w:r>
          </w:p>
          <w:p w14:paraId="58721DC6" w14:textId="77777777" w:rsidR="00793594" w:rsidRPr="00A07978" w:rsidRDefault="00793594" w:rsidP="00E02C69">
            <w:pPr>
              <w:suppressAutoHyphens/>
              <w:autoSpaceDN w:val="0"/>
              <w:textAlignment w:val="baseline"/>
              <w:rPr>
                <w:sz w:val="16"/>
                <w:szCs w:val="16"/>
                <w:lang w:val="en-GB"/>
              </w:rPr>
            </w:pPr>
          </w:p>
          <w:p w14:paraId="2CED17E9" w14:textId="7FEA85E8" w:rsidR="00793594" w:rsidRPr="00A07978" w:rsidRDefault="00793594" w:rsidP="00E02C69">
            <w:pPr>
              <w:suppressAutoHyphens/>
              <w:autoSpaceDN w:val="0"/>
              <w:textAlignment w:val="baseline"/>
              <w:rPr>
                <w:sz w:val="16"/>
                <w:szCs w:val="16"/>
                <w:lang w:val="en-GB"/>
              </w:rPr>
            </w:pPr>
            <w:r w:rsidRPr="00A07978">
              <w:rPr>
                <w:sz w:val="16"/>
                <w:szCs w:val="16"/>
                <w:lang w:val="en-GB"/>
              </w:rPr>
              <w:t>1.3.2. Number of policies, regulatory and institutional frameworks developed by public and private actors to align public and private finance with the Sustainable Development Goals.</w:t>
            </w:r>
          </w:p>
          <w:p w14:paraId="0B660D37" w14:textId="77777777" w:rsidR="00793594" w:rsidRPr="00A07978" w:rsidRDefault="00793594" w:rsidP="00E02C69">
            <w:pPr>
              <w:suppressAutoHyphens/>
              <w:autoSpaceDN w:val="0"/>
              <w:textAlignment w:val="baseline"/>
              <w:rPr>
                <w:sz w:val="16"/>
                <w:szCs w:val="16"/>
                <w:lang w:val="en-GB"/>
              </w:rPr>
            </w:pPr>
            <w:r w:rsidRPr="00A07978">
              <w:rPr>
                <w:sz w:val="16"/>
                <w:szCs w:val="16"/>
                <w:lang w:val="en-GB"/>
              </w:rPr>
              <w:t>Baseline (2023):0</w:t>
            </w:r>
          </w:p>
          <w:p w14:paraId="6515A62F" w14:textId="713C3A83" w:rsidR="00793594" w:rsidRPr="00A07978" w:rsidRDefault="00793594" w:rsidP="00E02C69">
            <w:pPr>
              <w:suppressAutoHyphens/>
              <w:autoSpaceDN w:val="0"/>
              <w:textAlignment w:val="baseline"/>
              <w:rPr>
                <w:sz w:val="16"/>
                <w:szCs w:val="16"/>
                <w:lang w:val="en-GB"/>
              </w:rPr>
            </w:pPr>
            <w:r w:rsidRPr="00A07978">
              <w:rPr>
                <w:sz w:val="16"/>
                <w:szCs w:val="16"/>
                <w:lang w:val="en-GB"/>
              </w:rPr>
              <w:t>Target (2027): 2</w:t>
            </w:r>
          </w:p>
          <w:p w14:paraId="0A95438D" w14:textId="2E9DA2DC" w:rsidR="00793594" w:rsidRPr="00A07978" w:rsidRDefault="00767BB7" w:rsidP="00E02C69">
            <w:pPr>
              <w:suppressAutoHyphens/>
              <w:autoSpaceDN w:val="0"/>
              <w:textAlignment w:val="baseline"/>
              <w:rPr>
                <w:sz w:val="16"/>
                <w:szCs w:val="16"/>
                <w:lang w:val="en-GB"/>
              </w:rPr>
            </w:pPr>
            <w:r w:rsidRPr="00A07978">
              <w:rPr>
                <w:sz w:val="16"/>
                <w:szCs w:val="16"/>
                <w:lang w:val="en-GB"/>
              </w:rPr>
              <w:t>S</w:t>
            </w:r>
            <w:r w:rsidR="00793594" w:rsidRPr="00A07978">
              <w:rPr>
                <w:sz w:val="16"/>
                <w:szCs w:val="16"/>
                <w:lang w:val="en-GB"/>
              </w:rPr>
              <w:t>ource: Ministry of Finance</w:t>
            </w:r>
          </w:p>
          <w:p w14:paraId="1B4D2FF9" w14:textId="77777777" w:rsidR="00793594" w:rsidRPr="00A07978" w:rsidRDefault="00793594" w:rsidP="00E02C69">
            <w:pPr>
              <w:suppressAutoHyphens/>
              <w:autoSpaceDN w:val="0"/>
              <w:textAlignment w:val="baseline"/>
              <w:rPr>
                <w:sz w:val="16"/>
                <w:szCs w:val="16"/>
                <w:lang w:val="en-GB"/>
              </w:rPr>
            </w:pPr>
            <w:r w:rsidRPr="00A07978">
              <w:rPr>
                <w:sz w:val="16"/>
                <w:szCs w:val="16"/>
                <w:lang w:val="en-GB"/>
              </w:rPr>
              <w:t xml:space="preserve">Frequency: Annually </w:t>
            </w:r>
          </w:p>
          <w:p w14:paraId="7B361C53" w14:textId="77777777" w:rsidR="00793594" w:rsidRPr="00A07978" w:rsidRDefault="00793594" w:rsidP="00E02C69">
            <w:pPr>
              <w:suppressAutoHyphens/>
              <w:autoSpaceDN w:val="0"/>
              <w:textAlignment w:val="baseline"/>
              <w:rPr>
                <w:sz w:val="16"/>
                <w:szCs w:val="16"/>
                <w:lang w:val="en-GB"/>
              </w:rPr>
            </w:pPr>
          </w:p>
          <w:p w14:paraId="56EB7F71" w14:textId="77777777" w:rsidR="00767BB7" w:rsidRPr="00A07978" w:rsidRDefault="00767BB7" w:rsidP="00767BB7">
            <w:pPr>
              <w:rPr>
                <w:color w:val="000000"/>
                <w:sz w:val="16"/>
                <w:szCs w:val="16"/>
                <w:lang w:val="en-GB"/>
              </w:rPr>
            </w:pPr>
          </w:p>
          <w:p w14:paraId="65E9972F" w14:textId="238508AA" w:rsidR="00793594" w:rsidRPr="00A07978" w:rsidRDefault="00767BB7" w:rsidP="00767BB7">
            <w:pPr>
              <w:suppressAutoHyphens/>
              <w:autoSpaceDN w:val="0"/>
              <w:textAlignment w:val="baseline"/>
              <w:rPr>
                <w:sz w:val="16"/>
                <w:szCs w:val="16"/>
                <w:lang w:val="en-GB"/>
              </w:rPr>
            </w:pPr>
            <w:r w:rsidRPr="00A07978">
              <w:rPr>
                <w:color w:val="000000" w:themeColor="text1"/>
                <w:sz w:val="16"/>
                <w:szCs w:val="16"/>
                <w:lang w:val="en-GB"/>
              </w:rPr>
              <w:t xml:space="preserve">Indicator </w:t>
            </w:r>
            <w:r w:rsidR="00793594" w:rsidRPr="00A07978">
              <w:rPr>
                <w:sz w:val="16"/>
                <w:szCs w:val="16"/>
                <w:lang w:val="en-GB"/>
              </w:rPr>
              <w:t>1.3.3. Number of institutions, policies/strategies put in place/strengthened for competitiveness.</w:t>
            </w:r>
          </w:p>
          <w:p w14:paraId="089FB49D" w14:textId="77777777" w:rsidR="00793594" w:rsidRPr="00A07978" w:rsidRDefault="00793594" w:rsidP="00E02C69">
            <w:pPr>
              <w:suppressAutoHyphens/>
              <w:autoSpaceDN w:val="0"/>
              <w:textAlignment w:val="baseline"/>
              <w:rPr>
                <w:sz w:val="16"/>
                <w:szCs w:val="16"/>
                <w:lang w:val="en-GB"/>
              </w:rPr>
            </w:pPr>
            <w:r w:rsidRPr="00A07978">
              <w:rPr>
                <w:sz w:val="16"/>
                <w:szCs w:val="16"/>
                <w:lang w:val="en-GB"/>
              </w:rPr>
              <w:t>Baseline (2023):0</w:t>
            </w:r>
          </w:p>
          <w:p w14:paraId="71E0972A" w14:textId="1EB1FAD8" w:rsidR="00793594" w:rsidRPr="00A07978" w:rsidRDefault="00793594" w:rsidP="00E02C69">
            <w:pPr>
              <w:suppressAutoHyphens/>
              <w:autoSpaceDN w:val="0"/>
              <w:textAlignment w:val="baseline"/>
              <w:rPr>
                <w:sz w:val="16"/>
                <w:szCs w:val="16"/>
                <w:lang w:val="en-GB"/>
              </w:rPr>
            </w:pPr>
            <w:r w:rsidRPr="00A07978">
              <w:rPr>
                <w:sz w:val="16"/>
                <w:szCs w:val="16"/>
                <w:lang w:val="en-GB"/>
              </w:rPr>
              <w:t>Target (2027): 2</w:t>
            </w:r>
          </w:p>
          <w:p w14:paraId="501425EF" w14:textId="2CF0F2A2" w:rsidR="00793594" w:rsidRPr="00A07978" w:rsidRDefault="00767BB7" w:rsidP="00E02C69">
            <w:pPr>
              <w:suppressAutoHyphens/>
              <w:autoSpaceDN w:val="0"/>
              <w:textAlignment w:val="baseline"/>
              <w:rPr>
                <w:sz w:val="16"/>
                <w:szCs w:val="16"/>
                <w:lang w:val="en-GB"/>
              </w:rPr>
            </w:pPr>
            <w:r w:rsidRPr="00A07978">
              <w:rPr>
                <w:sz w:val="16"/>
                <w:szCs w:val="16"/>
                <w:lang w:val="en-GB"/>
              </w:rPr>
              <w:t>S</w:t>
            </w:r>
            <w:r w:rsidR="00793594" w:rsidRPr="00A07978">
              <w:rPr>
                <w:sz w:val="16"/>
                <w:szCs w:val="16"/>
                <w:lang w:val="en-GB"/>
              </w:rPr>
              <w:t>ource: Ministry of Finance</w:t>
            </w:r>
          </w:p>
          <w:p w14:paraId="30002F72" w14:textId="77777777" w:rsidR="00793594" w:rsidRPr="00A07978" w:rsidRDefault="00793594" w:rsidP="00E02C69">
            <w:pPr>
              <w:suppressAutoHyphens/>
              <w:autoSpaceDN w:val="0"/>
              <w:textAlignment w:val="baseline"/>
              <w:rPr>
                <w:sz w:val="16"/>
                <w:szCs w:val="16"/>
                <w:lang w:val="en-GB"/>
              </w:rPr>
            </w:pPr>
            <w:r w:rsidRPr="00A07978">
              <w:rPr>
                <w:sz w:val="16"/>
                <w:szCs w:val="16"/>
                <w:lang w:val="en-GB"/>
              </w:rPr>
              <w:t>Frequency: Annually</w:t>
            </w:r>
          </w:p>
          <w:p w14:paraId="48C9FA7C" w14:textId="77777777" w:rsidR="00793594" w:rsidRPr="00A07978" w:rsidRDefault="00793594" w:rsidP="00E02C69">
            <w:pPr>
              <w:suppressAutoHyphens/>
              <w:autoSpaceDN w:val="0"/>
              <w:textAlignment w:val="baseline"/>
              <w:rPr>
                <w:sz w:val="16"/>
                <w:szCs w:val="16"/>
                <w:lang w:val="en-GB"/>
              </w:rPr>
            </w:pPr>
          </w:p>
          <w:p w14:paraId="222488CF" w14:textId="77777777" w:rsidR="00767BB7" w:rsidRPr="00A07978" w:rsidRDefault="00767BB7" w:rsidP="00767BB7">
            <w:pPr>
              <w:rPr>
                <w:color w:val="000000"/>
                <w:sz w:val="16"/>
                <w:szCs w:val="16"/>
                <w:lang w:val="en-GB"/>
              </w:rPr>
            </w:pPr>
          </w:p>
          <w:p w14:paraId="079B4B74" w14:textId="6EA12C70" w:rsidR="00793594" w:rsidRPr="00A07978" w:rsidRDefault="00767BB7" w:rsidP="00767BB7">
            <w:pPr>
              <w:suppressAutoHyphens/>
              <w:autoSpaceDN w:val="0"/>
              <w:textAlignment w:val="baseline"/>
              <w:rPr>
                <w:sz w:val="16"/>
                <w:szCs w:val="16"/>
                <w:lang w:val="en-GB"/>
              </w:rPr>
            </w:pPr>
            <w:r w:rsidRPr="00A07978">
              <w:rPr>
                <w:color w:val="000000" w:themeColor="text1"/>
                <w:sz w:val="16"/>
                <w:szCs w:val="16"/>
                <w:lang w:val="en-GB"/>
              </w:rPr>
              <w:t xml:space="preserve">Indicator </w:t>
            </w:r>
            <w:r w:rsidR="00793594" w:rsidRPr="00A07978">
              <w:rPr>
                <w:sz w:val="16"/>
                <w:szCs w:val="16"/>
                <w:lang w:val="en-GB"/>
              </w:rPr>
              <w:t>1.3.4. Number of institutions, policies/strategies put in place/strengthened for economic diversification including green and blue economy.</w:t>
            </w:r>
          </w:p>
          <w:p w14:paraId="02C768B1" w14:textId="77777777" w:rsidR="00793594" w:rsidRPr="00A07978" w:rsidRDefault="00793594" w:rsidP="00E02C69">
            <w:pPr>
              <w:suppressAutoHyphens/>
              <w:autoSpaceDN w:val="0"/>
              <w:textAlignment w:val="baseline"/>
              <w:rPr>
                <w:sz w:val="16"/>
                <w:szCs w:val="16"/>
                <w:lang w:val="en-GB"/>
              </w:rPr>
            </w:pPr>
            <w:r w:rsidRPr="00A07978">
              <w:rPr>
                <w:sz w:val="16"/>
                <w:szCs w:val="16"/>
                <w:lang w:val="en-GB"/>
              </w:rPr>
              <w:t>Baseline (2023): 0</w:t>
            </w:r>
          </w:p>
          <w:p w14:paraId="370804C6" w14:textId="30B84274" w:rsidR="00793594" w:rsidRPr="00A07978" w:rsidRDefault="00793594" w:rsidP="00E02C69">
            <w:pPr>
              <w:suppressAutoHyphens/>
              <w:autoSpaceDN w:val="0"/>
              <w:textAlignment w:val="baseline"/>
              <w:rPr>
                <w:sz w:val="16"/>
                <w:szCs w:val="16"/>
                <w:lang w:val="en-GB"/>
              </w:rPr>
            </w:pPr>
            <w:r w:rsidRPr="00A07978">
              <w:rPr>
                <w:sz w:val="16"/>
                <w:szCs w:val="16"/>
                <w:lang w:val="en-GB"/>
              </w:rPr>
              <w:t>Target (2027): 2</w:t>
            </w:r>
          </w:p>
          <w:p w14:paraId="49ABFBCB" w14:textId="27DA2712" w:rsidR="00793594" w:rsidRPr="00A07978" w:rsidRDefault="00767BB7" w:rsidP="00E02C69">
            <w:pPr>
              <w:suppressAutoHyphens/>
              <w:autoSpaceDN w:val="0"/>
              <w:textAlignment w:val="baseline"/>
              <w:rPr>
                <w:sz w:val="16"/>
                <w:szCs w:val="16"/>
                <w:lang w:val="en-GB"/>
              </w:rPr>
            </w:pPr>
            <w:r w:rsidRPr="00A07978">
              <w:rPr>
                <w:sz w:val="16"/>
                <w:szCs w:val="16"/>
                <w:lang w:val="en-GB"/>
              </w:rPr>
              <w:t>S</w:t>
            </w:r>
            <w:r w:rsidR="00793594" w:rsidRPr="00A07978">
              <w:rPr>
                <w:sz w:val="16"/>
                <w:szCs w:val="16"/>
                <w:lang w:val="en-GB"/>
              </w:rPr>
              <w:t>ource: Ministry of Finance</w:t>
            </w:r>
          </w:p>
          <w:p w14:paraId="65E77FBF" w14:textId="77777777" w:rsidR="00793594" w:rsidRPr="00A07978" w:rsidRDefault="00793594" w:rsidP="00E02C69">
            <w:pPr>
              <w:suppressAutoHyphens/>
              <w:autoSpaceDN w:val="0"/>
              <w:textAlignment w:val="baseline"/>
              <w:rPr>
                <w:sz w:val="16"/>
                <w:szCs w:val="16"/>
                <w:lang w:val="en-GB"/>
              </w:rPr>
            </w:pPr>
            <w:r w:rsidRPr="00A07978">
              <w:rPr>
                <w:sz w:val="16"/>
                <w:szCs w:val="16"/>
                <w:lang w:val="en-GB"/>
              </w:rPr>
              <w:t>Frequency: Annually</w:t>
            </w:r>
          </w:p>
        </w:tc>
        <w:tc>
          <w:tcPr>
            <w:tcW w:w="709" w:type="pct"/>
            <w:gridSpan w:val="2"/>
            <w:vMerge w:val="restart"/>
          </w:tcPr>
          <w:p w14:paraId="7D1CBCE4" w14:textId="751FFD5B" w:rsidR="00793594" w:rsidRPr="00A07978" w:rsidRDefault="00793594" w:rsidP="00E02C69">
            <w:pPr>
              <w:spacing w:after="120"/>
              <w:rPr>
                <w:i/>
                <w:iCs/>
                <w:sz w:val="16"/>
                <w:szCs w:val="16"/>
                <w:lang w:val="en-GB"/>
              </w:rPr>
            </w:pPr>
            <w:r w:rsidRPr="00A07978">
              <w:rPr>
                <w:rFonts w:cstheme="minorHAnsi"/>
                <w:bCs/>
                <w:iCs/>
                <w:sz w:val="16"/>
                <w:szCs w:val="16"/>
                <w:lang w:val="en-GB"/>
              </w:rPr>
              <w:lastRenderedPageBreak/>
              <w:t xml:space="preserve">Ministry of Finance; Ministry of the Interior; National Parliament; Enabel; European Union; governments of Belgium and the Netherlands; the private sector; </w:t>
            </w:r>
            <w:r w:rsidRPr="00A07978">
              <w:rPr>
                <w:bCs/>
                <w:iCs/>
                <w:color w:val="000000"/>
                <w:sz w:val="16"/>
                <w:szCs w:val="16"/>
                <w:lang w:val="en-GB"/>
              </w:rPr>
              <w:t>GFTAM, Ministry of Health, UNV.</w:t>
            </w:r>
          </w:p>
        </w:tc>
        <w:tc>
          <w:tcPr>
            <w:tcW w:w="846" w:type="pct"/>
            <w:gridSpan w:val="2"/>
            <w:vMerge w:val="restart"/>
            <w:tcMar>
              <w:top w:w="15" w:type="dxa"/>
              <w:left w:w="108" w:type="dxa"/>
              <w:bottom w:w="0" w:type="dxa"/>
              <w:right w:w="108" w:type="dxa"/>
            </w:tcMar>
          </w:tcPr>
          <w:p w14:paraId="5287765B" w14:textId="77777777" w:rsidR="00793594" w:rsidRPr="00A07978" w:rsidRDefault="00793594" w:rsidP="00E02C69">
            <w:pPr>
              <w:rPr>
                <w:b/>
                <w:sz w:val="16"/>
                <w:szCs w:val="16"/>
                <w:lang w:val="en-GB"/>
              </w:rPr>
            </w:pPr>
          </w:p>
          <w:p w14:paraId="31D460E5" w14:textId="77777777" w:rsidR="00793594" w:rsidRPr="00A07978" w:rsidRDefault="00793594" w:rsidP="00E02C69">
            <w:pPr>
              <w:rPr>
                <w:rFonts w:ascii="Calibri" w:hAnsi="Calibri" w:cs="Calibri"/>
                <w:color w:val="000000"/>
                <w:sz w:val="22"/>
                <w:szCs w:val="22"/>
                <w:lang w:val="en-GB"/>
              </w:rPr>
            </w:pPr>
          </w:p>
          <w:p w14:paraId="3B95F0E2" w14:textId="77777777" w:rsidR="00793594" w:rsidRPr="00A07978" w:rsidRDefault="00793594" w:rsidP="00E02C69">
            <w:pPr>
              <w:rPr>
                <w:b/>
                <w:sz w:val="16"/>
                <w:szCs w:val="16"/>
                <w:lang w:val="en-GB"/>
              </w:rPr>
            </w:pPr>
          </w:p>
          <w:p w14:paraId="0246D0B8" w14:textId="77777777" w:rsidR="00793594" w:rsidRPr="00A07978" w:rsidRDefault="00793594" w:rsidP="00E02C69">
            <w:pPr>
              <w:ind w:left="360"/>
              <w:rPr>
                <w:b/>
                <w:sz w:val="16"/>
                <w:szCs w:val="16"/>
                <w:lang w:val="en-GB"/>
              </w:rPr>
            </w:pPr>
            <w:r w:rsidRPr="00A07978">
              <w:rPr>
                <w:b/>
                <w:bCs/>
                <w:sz w:val="16"/>
                <w:szCs w:val="16"/>
                <w:lang w:val="en-GB"/>
              </w:rPr>
              <w:t xml:space="preserve"> </w:t>
            </w:r>
          </w:p>
          <w:p w14:paraId="71C1C250" w14:textId="77777777" w:rsidR="00793594" w:rsidRPr="00A07978" w:rsidRDefault="00793594" w:rsidP="00E02C69">
            <w:pPr>
              <w:rPr>
                <w:b/>
                <w:sz w:val="16"/>
                <w:szCs w:val="16"/>
                <w:lang w:val="en-GB"/>
              </w:rPr>
            </w:pPr>
          </w:p>
          <w:p w14:paraId="31485BFF" w14:textId="77777777" w:rsidR="00793594" w:rsidRPr="00A07978" w:rsidRDefault="00793594" w:rsidP="00E02C69">
            <w:pPr>
              <w:rPr>
                <w:b/>
                <w:sz w:val="16"/>
                <w:szCs w:val="16"/>
                <w:lang w:val="en-GB"/>
              </w:rPr>
            </w:pPr>
          </w:p>
        </w:tc>
      </w:tr>
      <w:tr w:rsidR="00793594" w:rsidRPr="00A07978" w14:paraId="31DFF1DA" w14:textId="77777777" w:rsidTr="00E02C69">
        <w:trPr>
          <w:trHeight w:val="1065"/>
        </w:trPr>
        <w:tc>
          <w:tcPr>
            <w:tcW w:w="1149" w:type="pct"/>
            <w:gridSpan w:val="2"/>
            <w:vMerge/>
            <w:tcMar>
              <w:top w:w="72" w:type="dxa"/>
              <w:left w:w="144" w:type="dxa"/>
              <w:bottom w:w="72" w:type="dxa"/>
              <w:right w:w="144" w:type="dxa"/>
            </w:tcMar>
          </w:tcPr>
          <w:p w14:paraId="0ED74D5D" w14:textId="77777777" w:rsidR="00793594" w:rsidRPr="00A07978" w:rsidRDefault="00793594" w:rsidP="00E02C69">
            <w:pPr>
              <w:rPr>
                <w:b/>
                <w:bCs/>
                <w:i/>
                <w:iCs/>
                <w:sz w:val="16"/>
                <w:szCs w:val="16"/>
                <w:lang w:val="en-GB"/>
              </w:rPr>
            </w:pPr>
          </w:p>
        </w:tc>
        <w:tc>
          <w:tcPr>
            <w:tcW w:w="843" w:type="pct"/>
            <w:vMerge/>
          </w:tcPr>
          <w:p w14:paraId="74BFA28D" w14:textId="16D1B1D5" w:rsidR="00793594" w:rsidRPr="00A07978" w:rsidRDefault="00793594" w:rsidP="00E02C69">
            <w:pPr>
              <w:rPr>
                <w:sz w:val="16"/>
                <w:szCs w:val="16"/>
                <w:lang w:val="en-GB"/>
              </w:rPr>
            </w:pPr>
          </w:p>
        </w:tc>
        <w:tc>
          <w:tcPr>
            <w:tcW w:w="1453" w:type="pct"/>
            <w:vMerge w:val="restart"/>
            <w:tcMar>
              <w:top w:w="72" w:type="dxa"/>
              <w:left w:w="144" w:type="dxa"/>
              <w:bottom w:w="72" w:type="dxa"/>
              <w:right w:w="144" w:type="dxa"/>
            </w:tcMar>
          </w:tcPr>
          <w:p w14:paraId="76CBFD25" w14:textId="62758D2E" w:rsidR="00793594" w:rsidRPr="00A07978" w:rsidRDefault="00D154E4" w:rsidP="00E02C69">
            <w:pPr>
              <w:suppressAutoHyphens/>
              <w:autoSpaceDN w:val="0"/>
              <w:textAlignment w:val="baseline"/>
              <w:rPr>
                <w:color w:val="000000" w:themeColor="text1"/>
                <w:sz w:val="16"/>
                <w:szCs w:val="16"/>
                <w:lang w:val="en-GB"/>
              </w:rPr>
            </w:pPr>
            <w:r w:rsidRPr="00A07978">
              <w:rPr>
                <w:color w:val="000000" w:themeColor="text1"/>
                <w:sz w:val="16"/>
                <w:szCs w:val="16"/>
                <w:lang w:val="en-GB"/>
              </w:rPr>
              <w:t xml:space="preserve">Output </w:t>
            </w:r>
            <w:r w:rsidR="00793594" w:rsidRPr="00A07978">
              <w:rPr>
                <w:color w:val="000000" w:themeColor="text1"/>
                <w:sz w:val="16"/>
                <w:szCs w:val="16"/>
                <w:lang w:val="en-GB"/>
              </w:rPr>
              <w:t>1.4. Local governance enhanced for inclusive and equitable access to quality basic services, including health.</w:t>
            </w:r>
          </w:p>
          <w:p w14:paraId="5448B1C2" w14:textId="77777777" w:rsidR="00793594" w:rsidRPr="00A07978" w:rsidRDefault="00793594" w:rsidP="00E02C69">
            <w:pPr>
              <w:suppressAutoHyphens/>
              <w:autoSpaceDN w:val="0"/>
              <w:textAlignment w:val="baseline"/>
              <w:rPr>
                <w:color w:val="000000" w:themeColor="text1"/>
                <w:sz w:val="16"/>
                <w:szCs w:val="16"/>
                <w:lang w:val="en-GB"/>
              </w:rPr>
            </w:pPr>
          </w:p>
          <w:p w14:paraId="0894A6F5" w14:textId="77777777" w:rsidR="00767BB7" w:rsidRPr="00A07978" w:rsidRDefault="00767BB7" w:rsidP="00767BB7">
            <w:pPr>
              <w:rPr>
                <w:color w:val="000000"/>
                <w:sz w:val="16"/>
                <w:szCs w:val="16"/>
                <w:lang w:val="en-GB"/>
              </w:rPr>
            </w:pPr>
          </w:p>
          <w:p w14:paraId="47ABC6B4" w14:textId="591C38AD" w:rsidR="00793594" w:rsidRPr="00A07978" w:rsidRDefault="00767BB7" w:rsidP="00767BB7">
            <w:pPr>
              <w:suppressAutoHyphens/>
              <w:autoSpaceDN w:val="0"/>
              <w:textAlignment w:val="baseline"/>
              <w:rPr>
                <w:color w:val="000000" w:themeColor="text1"/>
                <w:sz w:val="16"/>
                <w:szCs w:val="16"/>
                <w:lang w:val="en-GB"/>
              </w:rPr>
            </w:pPr>
            <w:r w:rsidRPr="00A07978">
              <w:rPr>
                <w:color w:val="000000" w:themeColor="text1"/>
                <w:sz w:val="16"/>
                <w:szCs w:val="16"/>
                <w:lang w:val="en-GB"/>
              </w:rPr>
              <w:t>Indicator</w:t>
            </w:r>
            <w:r w:rsidR="00F74ABC" w:rsidRPr="00A07978">
              <w:rPr>
                <w:color w:val="000000" w:themeColor="text1"/>
                <w:sz w:val="16"/>
                <w:szCs w:val="16"/>
                <w:lang w:val="en-GB"/>
              </w:rPr>
              <w:t xml:space="preserve"> </w:t>
            </w:r>
            <w:r w:rsidR="00793594" w:rsidRPr="00A07978">
              <w:rPr>
                <w:color w:val="000000" w:themeColor="text1"/>
                <w:sz w:val="16"/>
                <w:szCs w:val="16"/>
                <w:lang w:val="en-GB"/>
              </w:rPr>
              <w:t xml:space="preserve">1.4.1. Number of new measures that have improved the agility and responsiveness of local governance institutions for: provision of basic services and social cohesion.  </w:t>
            </w:r>
          </w:p>
          <w:p w14:paraId="33BABCCC" w14:textId="77777777" w:rsidR="00793594" w:rsidRPr="00A07978" w:rsidRDefault="00793594" w:rsidP="00E02C69">
            <w:pPr>
              <w:suppressAutoHyphens/>
              <w:autoSpaceDN w:val="0"/>
              <w:textAlignment w:val="baseline"/>
              <w:rPr>
                <w:color w:val="000000" w:themeColor="text1"/>
                <w:sz w:val="16"/>
                <w:szCs w:val="16"/>
                <w:lang w:val="en-GB"/>
              </w:rPr>
            </w:pPr>
            <w:r w:rsidRPr="00A07978">
              <w:rPr>
                <w:color w:val="000000" w:themeColor="text1"/>
                <w:sz w:val="16"/>
                <w:szCs w:val="16"/>
                <w:lang w:val="en-GB"/>
              </w:rPr>
              <w:t>Baseline (2023):0</w:t>
            </w:r>
          </w:p>
          <w:p w14:paraId="1DE99B54" w14:textId="77777777" w:rsidR="00793594" w:rsidRPr="00A07978" w:rsidRDefault="00793594" w:rsidP="00E02C69">
            <w:pPr>
              <w:suppressAutoHyphens/>
              <w:autoSpaceDN w:val="0"/>
              <w:textAlignment w:val="baseline"/>
              <w:rPr>
                <w:color w:val="000000" w:themeColor="text1"/>
                <w:sz w:val="16"/>
                <w:szCs w:val="16"/>
                <w:lang w:val="en-GB"/>
              </w:rPr>
            </w:pPr>
            <w:r w:rsidRPr="00A07978">
              <w:rPr>
                <w:color w:val="000000" w:themeColor="text1"/>
                <w:sz w:val="16"/>
                <w:szCs w:val="16"/>
                <w:lang w:val="en-GB"/>
              </w:rPr>
              <w:t>Target (2027): TBD</w:t>
            </w:r>
          </w:p>
          <w:p w14:paraId="25F8A85B" w14:textId="492B094D" w:rsidR="00793594" w:rsidRPr="00A07978" w:rsidRDefault="00767BB7" w:rsidP="00E02C69">
            <w:pPr>
              <w:suppressAutoHyphens/>
              <w:autoSpaceDN w:val="0"/>
              <w:textAlignment w:val="baseline"/>
              <w:rPr>
                <w:color w:val="000000" w:themeColor="text1"/>
                <w:sz w:val="16"/>
                <w:szCs w:val="16"/>
                <w:lang w:val="en-GB"/>
              </w:rPr>
            </w:pPr>
            <w:r w:rsidRPr="00A07978">
              <w:rPr>
                <w:color w:val="000000" w:themeColor="text1"/>
                <w:sz w:val="16"/>
                <w:szCs w:val="16"/>
                <w:lang w:val="en-GB"/>
              </w:rPr>
              <w:t>S</w:t>
            </w:r>
            <w:r w:rsidR="00793594" w:rsidRPr="00A07978">
              <w:rPr>
                <w:color w:val="000000" w:themeColor="text1"/>
                <w:sz w:val="16"/>
                <w:szCs w:val="16"/>
                <w:lang w:val="en-GB"/>
              </w:rPr>
              <w:t>ource: Ministry of Interior</w:t>
            </w:r>
          </w:p>
          <w:p w14:paraId="4F5F5F6F" w14:textId="77777777" w:rsidR="00793594" w:rsidRPr="00A07978" w:rsidRDefault="00793594" w:rsidP="00E02C69">
            <w:pPr>
              <w:suppressAutoHyphens/>
              <w:autoSpaceDN w:val="0"/>
              <w:textAlignment w:val="baseline"/>
              <w:rPr>
                <w:color w:val="000000" w:themeColor="text1"/>
                <w:sz w:val="16"/>
                <w:szCs w:val="16"/>
                <w:lang w:val="en-GB"/>
              </w:rPr>
            </w:pPr>
            <w:r w:rsidRPr="00A07978">
              <w:rPr>
                <w:color w:val="000000" w:themeColor="text1"/>
                <w:sz w:val="16"/>
                <w:szCs w:val="16"/>
                <w:lang w:val="en-GB"/>
              </w:rPr>
              <w:t>Frequency: Annually</w:t>
            </w:r>
          </w:p>
          <w:p w14:paraId="18DCFDE4" w14:textId="77777777" w:rsidR="00793594" w:rsidRPr="00A07978" w:rsidRDefault="00793594" w:rsidP="00E02C69">
            <w:pPr>
              <w:suppressAutoHyphens/>
              <w:autoSpaceDN w:val="0"/>
              <w:textAlignment w:val="baseline"/>
              <w:rPr>
                <w:color w:val="000000" w:themeColor="text1"/>
                <w:sz w:val="16"/>
                <w:szCs w:val="16"/>
                <w:lang w:val="en-GB"/>
              </w:rPr>
            </w:pPr>
          </w:p>
          <w:p w14:paraId="7C66BFA9" w14:textId="77777777" w:rsidR="00767BB7" w:rsidRPr="00A07978" w:rsidRDefault="00767BB7" w:rsidP="00767BB7">
            <w:pPr>
              <w:rPr>
                <w:color w:val="000000"/>
                <w:sz w:val="16"/>
                <w:szCs w:val="16"/>
                <w:lang w:val="en-GB"/>
              </w:rPr>
            </w:pPr>
          </w:p>
          <w:p w14:paraId="7104E220" w14:textId="0CD3C2F7" w:rsidR="00793594" w:rsidRPr="00A07978" w:rsidRDefault="00767BB7" w:rsidP="00767BB7">
            <w:pPr>
              <w:suppressAutoHyphens/>
              <w:autoSpaceDN w:val="0"/>
              <w:textAlignment w:val="baseline"/>
              <w:rPr>
                <w:color w:val="000000" w:themeColor="text1"/>
                <w:sz w:val="16"/>
                <w:szCs w:val="16"/>
                <w:lang w:val="en-GB"/>
              </w:rPr>
            </w:pPr>
            <w:r w:rsidRPr="00A07978">
              <w:rPr>
                <w:color w:val="000000" w:themeColor="text1"/>
                <w:sz w:val="16"/>
                <w:szCs w:val="16"/>
                <w:lang w:val="en-GB"/>
              </w:rPr>
              <w:t xml:space="preserve">Indicator </w:t>
            </w:r>
            <w:r w:rsidR="00793594" w:rsidRPr="00A07978">
              <w:rPr>
                <w:color w:val="000000" w:themeColor="text1"/>
                <w:sz w:val="16"/>
                <w:szCs w:val="16"/>
                <w:lang w:val="en-GB"/>
              </w:rPr>
              <w:t xml:space="preserve">1.4.2. Number of people disaggregated by sex and group who have access to malaria, HIV, tuberculosis treatment and related services. </w:t>
            </w:r>
          </w:p>
          <w:p w14:paraId="6363DEB5" w14:textId="538C44DF" w:rsidR="00793594" w:rsidRPr="00A07978" w:rsidRDefault="00793594" w:rsidP="00E02C69">
            <w:pPr>
              <w:suppressAutoHyphens/>
              <w:autoSpaceDN w:val="0"/>
              <w:spacing w:after="60"/>
              <w:jc w:val="both"/>
              <w:textAlignment w:val="baseline"/>
              <w:rPr>
                <w:color w:val="000000" w:themeColor="text1"/>
                <w:sz w:val="16"/>
                <w:szCs w:val="16"/>
                <w:lang w:val="en-GB"/>
              </w:rPr>
            </w:pPr>
            <w:r w:rsidRPr="00A07978">
              <w:rPr>
                <w:color w:val="000000" w:themeColor="text1"/>
                <w:sz w:val="16"/>
                <w:szCs w:val="16"/>
                <w:lang w:val="en-GB"/>
              </w:rPr>
              <w:t xml:space="preserve">Baseline (2023): 3,078,753 </w:t>
            </w:r>
          </w:p>
          <w:p w14:paraId="50FC38B7" w14:textId="77777777" w:rsidR="00793594" w:rsidRPr="00A07978" w:rsidRDefault="00793594" w:rsidP="00E02C69">
            <w:pPr>
              <w:suppressAutoHyphens/>
              <w:autoSpaceDN w:val="0"/>
              <w:spacing w:after="60"/>
              <w:jc w:val="both"/>
              <w:textAlignment w:val="baseline"/>
              <w:rPr>
                <w:color w:val="000000" w:themeColor="text1"/>
                <w:sz w:val="16"/>
                <w:szCs w:val="16"/>
                <w:lang w:val="en-GB"/>
              </w:rPr>
            </w:pPr>
            <w:r w:rsidRPr="00A07978">
              <w:rPr>
                <w:color w:val="000000" w:themeColor="text1"/>
                <w:sz w:val="16"/>
                <w:szCs w:val="16"/>
                <w:lang w:val="en-GB"/>
              </w:rPr>
              <w:t xml:space="preserve">Target (2027): 3,694,504 </w:t>
            </w:r>
          </w:p>
          <w:p w14:paraId="7718957A" w14:textId="1310B2EE" w:rsidR="00793594" w:rsidRPr="00A07978" w:rsidRDefault="00767BB7" w:rsidP="00E02C69">
            <w:pPr>
              <w:suppressAutoHyphens/>
              <w:autoSpaceDN w:val="0"/>
              <w:spacing w:after="60"/>
              <w:jc w:val="both"/>
              <w:textAlignment w:val="baseline"/>
              <w:rPr>
                <w:color w:val="000000" w:themeColor="text1"/>
                <w:sz w:val="16"/>
                <w:szCs w:val="16"/>
                <w:lang w:val="en-GB"/>
              </w:rPr>
            </w:pPr>
            <w:r w:rsidRPr="00A07978">
              <w:rPr>
                <w:color w:val="000000" w:themeColor="text1"/>
                <w:sz w:val="16"/>
                <w:szCs w:val="16"/>
                <w:lang w:val="en-GB"/>
              </w:rPr>
              <w:t>S</w:t>
            </w:r>
            <w:r w:rsidR="00793594" w:rsidRPr="00A07978">
              <w:rPr>
                <w:color w:val="000000" w:themeColor="text1"/>
                <w:sz w:val="16"/>
                <w:szCs w:val="16"/>
                <w:lang w:val="en-GB"/>
              </w:rPr>
              <w:t>ource: Ministry of Public Health</w:t>
            </w:r>
          </w:p>
          <w:p w14:paraId="052B50BA" w14:textId="77777777" w:rsidR="00793594" w:rsidRPr="00A07978" w:rsidRDefault="00793594" w:rsidP="00E02C69">
            <w:pPr>
              <w:suppressAutoHyphens/>
              <w:autoSpaceDN w:val="0"/>
              <w:spacing w:after="60"/>
              <w:jc w:val="both"/>
              <w:textAlignment w:val="baseline"/>
              <w:rPr>
                <w:color w:val="000000" w:themeColor="text1"/>
                <w:sz w:val="16"/>
                <w:szCs w:val="16"/>
                <w:lang w:val="en-GB"/>
              </w:rPr>
            </w:pPr>
            <w:r w:rsidRPr="00A07978">
              <w:rPr>
                <w:color w:val="000000" w:themeColor="text1"/>
                <w:sz w:val="16"/>
                <w:szCs w:val="16"/>
                <w:lang w:val="en-GB"/>
              </w:rPr>
              <w:t>Frequency: Annually</w:t>
            </w:r>
          </w:p>
          <w:p w14:paraId="72B8ACA3" w14:textId="77777777" w:rsidR="00767BB7" w:rsidRPr="00A07978" w:rsidRDefault="00767BB7" w:rsidP="00767BB7">
            <w:pPr>
              <w:rPr>
                <w:color w:val="000000"/>
                <w:sz w:val="16"/>
                <w:szCs w:val="16"/>
                <w:lang w:val="en-GB"/>
              </w:rPr>
            </w:pPr>
          </w:p>
          <w:p w14:paraId="35C16B47" w14:textId="02AD13C8" w:rsidR="00793594" w:rsidRPr="00A07978" w:rsidRDefault="00767BB7" w:rsidP="001F3895">
            <w:pPr>
              <w:suppressAutoHyphens/>
              <w:autoSpaceDN w:val="0"/>
              <w:spacing w:after="60"/>
              <w:jc w:val="both"/>
              <w:textAlignment w:val="baseline"/>
              <w:rPr>
                <w:color w:val="000000" w:themeColor="text1"/>
                <w:sz w:val="16"/>
                <w:szCs w:val="16"/>
                <w:lang w:val="en-GB"/>
              </w:rPr>
            </w:pPr>
            <w:r w:rsidRPr="00A07978">
              <w:rPr>
                <w:color w:val="000000" w:themeColor="text1"/>
                <w:sz w:val="16"/>
                <w:szCs w:val="16"/>
                <w:lang w:val="en-GB"/>
              </w:rPr>
              <w:t xml:space="preserve">Indicator </w:t>
            </w:r>
            <w:r w:rsidR="00793594" w:rsidRPr="00A07978">
              <w:rPr>
                <w:color w:val="000000" w:themeColor="text1"/>
                <w:sz w:val="16"/>
                <w:szCs w:val="16"/>
                <w:lang w:val="en-GB"/>
              </w:rPr>
              <w:t xml:space="preserve">1.4.3. Number of people disaggregated by sex and group with access to basic services. </w:t>
            </w:r>
          </w:p>
          <w:p w14:paraId="583D481A" w14:textId="5A11530A" w:rsidR="00793594" w:rsidRPr="00A07978" w:rsidRDefault="00793594" w:rsidP="00E02C69">
            <w:pPr>
              <w:suppressAutoHyphens/>
              <w:autoSpaceDN w:val="0"/>
              <w:textAlignment w:val="baseline"/>
              <w:rPr>
                <w:color w:val="000000" w:themeColor="text1"/>
                <w:sz w:val="16"/>
                <w:szCs w:val="16"/>
                <w:lang w:val="en-GB"/>
              </w:rPr>
            </w:pPr>
            <w:r w:rsidRPr="00A07978">
              <w:rPr>
                <w:color w:val="000000" w:themeColor="text1"/>
                <w:sz w:val="16"/>
                <w:szCs w:val="16"/>
                <w:lang w:val="en-GB"/>
              </w:rPr>
              <w:t>Baseline (2023): 4,007,313</w:t>
            </w:r>
          </w:p>
          <w:p w14:paraId="4203E7F5" w14:textId="7E80BE3B" w:rsidR="00793594" w:rsidRPr="00A07978" w:rsidRDefault="00793594" w:rsidP="00E02C69">
            <w:pPr>
              <w:suppressAutoHyphens/>
              <w:autoSpaceDN w:val="0"/>
              <w:textAlignment w:val="baseline"/>
              <w:rPr>
                <w:color w:val="000000" w:themeColor="text1"/>
                <w:sz w:val="16"/>
                <w:szCs w:val="16"/>
                <w:lang w:val="en-GB"/>
              </w:rPr>
            </w:pPr>
            <w:r w:rsidRPr="00A07978">
              <w:rPr>
                <w:color w:val="000000" w:themeColor="text1"/>
                <w:sz w:val="16"/>
                <w:szCs w:val="16"/>
                <w:lang w:val="en-GB"/>
              </w:rPr>
              <w:t>Target (2027): 6,768,192</w:t>
            </w:r>
          </w:p>
          <w:p w14:paraId="2AE68C07" w14:textId="2C0ED5D8" w:rsidR="00793594" w:rsidRPr="00A07978" w:rsidRDefault="00767BB7" w:rsidP="00E02C69">
            <w:pPr>
              <w:suppressAutoHyphens/>
              <w:autoSpaceDN w:val="0"/>
              <w:spacing w:after="60"/>
              <w:jc w:val="both"/>
              <w:textAlignment w:val="baseline"/>
              <w:rPr>
                <w:color w:val="000000" w:themeColor="text1"/>
                <w:sz w:val="16"/>
                <w:szCs w:val="16"/>
                <w:lang w:val="en-GB"/>
              </w:rPr>
            </w:pPr>
            <w:r w:rsidRPr="00A07978">
              <w:rPr>
                <w:color w:val="000000" w:themeColor="text1"/>
                <w:sz w:val="16"/>
                <w:szCs w:val="16"/>
                <w:lang w:val="en-GB"/>
              </w:rPr>
              <w:t>S</w:t>
            </w:r>
            <w:r w:rsidR="00793594" w:rsidRPr="00A07978">
              <w:rPr>
                <w:color w:val="000000" w:themeColor="text1"/>
                <w:sz w:val="16"/>
                <w:szCs w:val="16"/>
                <w:lang w:val="en-GB"/>
              </w:rPr>
              <w:t>ource: UNICEF</w:t>
            </w:r>
          </w:p>
          <w:p w14:paraId="71AEC1B3" w14:textId="218D8A7F" w:rsidR="00793594" w:rsidRPr="00A07978" w:rsidRDefault="00793594" w:rsidP="00932A12">
            <w:pPr>
              <w:suppressAutoHyphens/>
              <w:autoSpaceDN w:val="0"/>
              <w:spacing w:after="60"/>
              <w:jc w:val="both"/>
              <w:textAlignment w:val="baseline"/>
              <w:rPr>
                <w:color w:val="000000" w:themeColor="text1"/>
                <w:sz w:val="16"/>
                <w:szCs w:val="16"/>
                <w:lang w:val="en-GB"/>
              </w:rPr>
            </w:pPr>
            <w:r w:rsidRPr="00A07978">
              <w:rPr>
                <w:color w:val="000000" w:themeColor="text1"/>
                <w:sz w:val="16"/>
                <w:szCs w:val="16"/>
                <w:lang w:val="en-GB"/>
              </w:rPr>
              <w:lastRenderedPageBreak/>
              <w:t xml:space="preserve"> Frequency: Annually</w:t>
            </w:r>
          </w:p>
          <w:p w14:paraId="5849E597" w14:textId="77777777" w:rsidR="00793594" w:rsidRPr="00A07978" w:rsidRDefault="00793594" w:rsidP="00E02C69">
            <w:pPr>
              <w:suppressAutoHyphens/>
              <w:autoSpaceDN w:val="0"/>
              <w:textAlignment w:val="baseline"/>
              <w:rPr>
                <w:color w:val="000000" w:themeColor="text1"/>
                <w:sz w:val="16"/>
                <w:szCs w:val="16"/>
                <w:lang w:val="en-GB"/>
              </w:rPr>
            </w:pPr>
          </w:p>
        </w:tc>
        <w:tc>
          <w:tcPr>
            <w:tcW w:w="709" w:type="pct"/>
            <w:gridSpan w:val="2"/>
            <w:vMerge/>
          </w:tcPr>
          <w:p w14:paraId="25F9AB8C" w14:textId="77777777" w:rsidR="00793594" w:rsidRPr="00A07978" w:rsidRDefault="00793594" w:rsidP="00E02C69">
            <w:pPr>
              <w:spacing w:after="120"/>
              <w:rPr>
                <w:b/>
                <w:sz w:val="16"/>
                <w:szCs w:val="16"/>
                <w:lang w:val="en-GB"/>
              </w:rPr>
            </w:pPr>
          </w:p>
        </w:tc>
        <w:tc>
          <w:tcPr>
            <w:tcW w:w="846" w:type="pct"/>
            <w:gridSpan w:val="2"/>
            <w:vMerge/>
            <w:tcMar>
              <w:top w:w="15" w:type="dxa"/>
              <w:left w:w="108" w:type="dxa"/>
              <w:bottom w:w="0" w:type="dxa"/>
              <w:right w:w="108" w:type="dxa"/>
            </w:tcMar>
          </w:tcPr>
          <w:p w14:paraId="7636DD97" w14:textId="77777777" w:rsidR="00793594" w:rsidRPr="00A07978" w:rsidRDefault="00793594" w:rsidP="00E02C69">
            <w:pPr>
              <w:rPr>
                <w:b/>
                <w:sz w:val="16"/>
                <w:szCs w:val="16"/>
                <w:lang w:val="en-GB"/>
              </w:rPr>
            </w:pPr>
          </w:p>
        </w:tc>
      </w:tr>
      <w:tr w:rsidR="00793594" w:rsidRPr="00A07978" w14:paraId="56150716" w14:textId="77777777" w:rsidTr="00E02C69">
        <w:trPr>
          <w:trHeight w:val="393"/>
        </w:trPr>
        <w:tc>
          <w:tcPr>
            <w:tcW w:w="1149" w:type="pct"/>
            <w:gridSpan w:val="2"/>
            <w:vMerge/>
            <w:tcMar>
              <w:top w:w="72" w:type="dxa"/>
              <w:left w:w="144" w:type="dxa"/>
              <w:bottom w:w="72" w:type="dxa"/>
              <w:right w:w="144" w:type="dxa"/>
            </w:tcMar>
          </w:tcPr>
          <w:p w14:paraId="774E05BE" w14:textId="77777777" w:rsidR="00793594" w:rsidRPr="00A07978" w:rsidRDefault="00793594" w:rsidP="00E02C69">
            <w:pPr>
              <w:rPr>
                <w:b/>
                <w:bCs/>
                <w:i/>
                <w:iCs/>
                <w:sz w:val="16"/>
                <w:szCs w:val="16"/>
                <w:lang w:val="en-GB"/>
              </w:rPr>
            </w:pPr>
          </w:p>
        </w:tc>
        <w:tc>
          <w:tcPr>
            <w:tcW w:w="843" w:type="pct"/>
            <w:vMerge/>
          </w:tcPr>
          <w:p w14:paraId="073F4A28" w14:textId="77777777" w:rsidR="00793594" w:rsidRPr="00A07978" w:rsidRDefault="00793594" w:rsidP="00E02C69">
            <w:pPr>
              <w:jc w:val="center"/>
              <w:rPr>
                <w:sz w:val="16"/>
                <w:szCs w:val="16"/>
                <w:lang w:val="en-GB"/>
              </w:rPr>
            </w:pPr>
          </w:p>
        </w:tc>
        <w:tc>
          <w:tcPr>
            <w:tcW w:w="1453" w:type="pct"/>
            <w:vMerge/>
            <w:tcMar>
              <w:top w:w="72" w:type="dxa"/>
              <w:left w:w="144" w:type="dxa"/>
              <w:bottom w:w="72" w:type="dxa"/>
              <w:right w:w="144" w:type="dxa"/>
            </w:tcMar>
          </w:tcPr>
          <w:p w14:paraId="220C8506" w14:textId="77777777" w:rsidR="00793594" w:rsidRPr="00A07978" w:rsidRDefault="00793594" w:rsidP="00E02C69">
            <w:pPr>
              <w:rPr>
                <w:rFonts w:cstheme="minorHAnsi"/>
                <w:b/>
                <w:bCs/>
                <w:iCs/>
                <w:sz w:val="16"/>
                <w:szCs w:val="16"/>
                <w:lang w:val="en-GB"/>
              </w:rPr>
            </w:pPr>
          </w:p>
        </w:tc>
        <w:tc>
          <w:tcPr>
            <w:tcW w:w="709" w:type="pct"/>
            <w:gridSpan w:val="2"/>
            <w:vMerge/>
          </w:tcPr>
          <w:p w14:paraId="5557FC43" w14:textId="77777777" w:rsidR="00793594" w:rsidRPr="00A07978" w:rsidRDefault="00793594" w:rsidP="00E02C69">
            <w:pPr>
              <w:spacing w:after="120"/>
              <w:rPr>
                <w:rFonts w:cstheme="minorHAnsi"/>
                <w:bCs/>
                <w:iCs/>
                <w:sz w:val="16"/>
                <w:szCs w:val="16"/>
                <w:lang w:val="en-GB"/>
              </w:rPr>
            </w:pPr>
          </w:p>
        </w:tc>
        <w:tc>
          <w:tcPr>
            <w:tcW w:w="846" w:type="pct"/>
            <w:gridSpan w:val="2"/>
            <w:tcMar>
              <w:top w:w="15" w:type="dxa"/>
              <w:left w:w="108" w:type="dxa"/>
              <w:bottom w:w="0" w:type="dxa"/>
              <w:right w:w="108" w:type="dxa"/>
            </w:tcMar>
          </w:tcPr>
          <w:p w14:paraId="2B758250" w14:textId="77777777" w:rsidR="00793594" w:rsidRPr="00A07978" w:rsidRDefault="00793594" w:rsidP="00E02C69">
            <w:pPr>
              <w:rPr>
                <w:b/>
                <w:sz w:val="16"/>
                <w:szCs w:val="16"/>
                <w:lang w:val="en-GB"/>
              </w:rPr>
            </w:pPr>
          </w:p>
        </w:tc>
      </w:tr>
      <w:tr w:rsidR="00932A12" w:rsidRPr="00A07978" w14:paraId="2B2A2D92" w14:textId="77777777" w:rsidTr="00E02C69">
        <w:trPr>
          <w:trHeight w:val="226"/>
        </w:trPr>
        <w:tc>
          <w:tcPr>
            <w:tcW w:w="5000" w:type="pct"/>
            <w:gridSpan w:val="8"/>
            <w:shd w:val="clear" w:color="auto" w:fill="DBE5F1" w:themeFill="accent1" w:themeFillTint="33"/>
            <w:tcMar>
              <w:top w:w="72" w:type="dxa"/>
              <w:left w:w="144" w:type="dxa"/>
              <w:bottom w:w="72" w:type="dxa"/>
              <w:right w:w="144" w:type="dxa"/>
            </w:tcMar>
          </w:tcPr>
          <w:p w14:paraId="7FBDB087" w14:textId="77777777" w:rsidR="00932A12" w:rsidRPr="00A07978" w:rsidRDefault="00932A12" w:rsidP="00E02C69">
            <w:pPr>
              <w:rPr>
                <w:color w:val="000000"/>
                <w:sz w:val="16"/>
                <w:szCs w:val="16"/>
                <w:lang w:val="en-GB"/>
              </w:rPr>
            </w:pPr>
            <w:r w:rsidRPr="00A07978">
              <w:rPr>
                <w:b/>
                <w:bCs/>
                <w:color w:val="000000"/>
                <w:sz w:val="16"/>
                <w:szCs w:val="16"/>
                <w:lang w:val="en-GB"/>
              </w:rPr>
              <w:t xml:space="preserve">NATIONAL PRIORITY OR GOAL 2: </w:t>
            </w:r>
            <w:r w:rsidRPr="00A07978">
              <w:rPr>
                <w:b/>
                <w:sz w:val="16"/>
                <w:szCs w:val="16"/>
                <w:lang w:val="en-GB"/>
              </w:rPr>
              <w:t>Boosting growth sectors</w:t>
            </w:r>
          </w:p>
        </w:tc>
      </w:tr>
      <w:tr w:rsidR="00932A12" w:rsidRPr="00A07978" w14:paraId="356B96B1" w14:textId="77777777" w:rsidTr="00E02C69">
        <w:trPr>
          <w:trHeight w:val="394"/>
        </w:trPr>
        <w:tc>
          <w:tcPr>
            <w:tcW w:w="5000" w:type="pct"/>
            <w:gridSpan w:val="8"/>
            <w:shd w:val="clear" w:color="auto" w:fill="DBE5F1" w:themeFill="accent1" w:themeFillTint="33"/>
            <w:tcMar>
              <w:top w:w="72" w:type="dxa"/>
              <w:left w:w="144" w:type="dxa"/>
              <w:bottom w:w="72" w:type="dxa"/>
              <w:right w:w="144" w:type="dxa"/>
            </w:tcMar>
          </w:tcPr>
          <w:p w14:paraId="0C22FDB4" w14:textId="1F0DA716" w:rsidR="00932A12" w:rsidRPr="00A07978" w:rsidRDefault="00932A12" w:rsidP="00E02C69">
            <w:pPr>
              <w:rPr>
                <w:color w:val="000000" w:themeColor="text1"/>
                <w:sz w:val="16"/>
                <w:szCs w:val="16"/>
                <w:lang w:val="en-GB"/>
              </w:rPr>
            </w:pPr>
            <w:r w:rsidRPr="00A07978">
              <w:rPr>
                <w:b/>
                <w:bCs/>
                <w:color w:val="000000" w:themeColor="text1"/>
                <w:sz w:val="16"/>
                <w:szCs w:val="16"/>
                <w:lang w:val="en-GB"/>
              </w:rPr>
              <w:t>COOPERATION FRAMEWORK (OR EQUIVALENT) OUTCOME INVOLVING UNDP #1</w:t>
            </w:r>
            <w:r w:rsidRPr="00A07978">
              <w:rPr>
                <w:b/>
                <w:color w:val="000000" w:themeColor="text1"/>
                <w:sz w:val="16"/>
                <w:szCs w:val="16"/>
                <w:lang w:val="en-GB"/>
              </w:rPr>
              <w:t>: By 2027, the people of Burundi benefits from inclusive and sustainable food systems.</w:t>
            </w:r>
            <w:r w:rsidR="000F57D4" w:rsidRPr="00A07978">
              <w:rPr>
                <w:b/>
                <w:color w:val="000000" w:themeColor="text1"/>
                <w:sz w:val="16"/>
                <w:szCs w:val="16"/>
                <w:lang w:val="en-GB"/>
              </w:rPr>
              <w:t xml:space="preserve"> (</w:t>
            </w:r>
            <w:r w:rsidRPr="00A07978">
              <w:rPr>
                <w:b/>
                <w:color w:val="000000" w:themeColor="text1"/>
                <w:sz w:val="16"/>
                <w:szCs w:val="16"/>
                <w:lang w:val="en-GB"/>
              </w:rPr>
              <w:t>SGDs 1,2,3,6,8,9,11,12,13,14,15,17 Agenda 2063: Goals 1, 3 and 5</w:t>
            </w:r>
            <w:r w:rsidR="000F57D4" w:rsidRPr="00A07978">
              <w:rPr>
                <w:b/>
                <w:color w:val="000000" w:themeColor="text1"/>
                <w:sz w:val="16"/>
                <w:szCs w:val="16"/>
                <w:lang w:val="en-GB"/>
              </w:rPr>
              <w:t>.)</w:t>
            </w:r>
          </w:p>
        </w:tc>
      </w:tr>
      <w:tr w:rsidR="00932A12" w:rsidRPr="00A07978" w14:paraId="189AAAFB" w14:textId="77777777" w:rsidTr="00E02C69">
        <w:trPr>
          <w:trHeight w:val="124"/>
        </w:trPr>
        <w:tc>
          <w:tcPr>
            <w:tcW w:w="5000" w:type="pct"/>
            <w:gridSpan w:val="8"/>
            <w:shd w:val="clear" w:color="auto" w:fill="DBE5F1" w:themeFill="accent1" w:themeFillTint="33"/>
            <w:tcMar>
              <w:top w:w="72" w:type="dxa"/>
              <w:left w:w="144" w:type="dxa"/>
              <w:bottom w:w="72" w:type="dxa"/>
              <w:right w:w="144" w:type="dxa"/>
            </w:tcMar>
          </w:tcPr>
          <w:p w14:paraId="7B80D5E5" w14:textId="77777777" w:rsidR="00932A12" w:rsidRPr="00A07978" w:rsidRDefault="00932A12" w:rsidP="00E02C69">
            <w:pPr>
              <w:rPr>
                <w:color w:val="000000" w:themeColor="text1"/>
                <w:sz w:val="16"/>
                <w:szCs w:val="16"/>
                <w:lang w:val="en-GB"/>
              </w:rPr>
            </w:pPr>
            <w:r w:rsidRPr="00A07978">
              <w:rPr>
                <w:b/>
                <w:bCs/>
                <w:color w:val="000000" w:themeColor="text1"/>
                <w:sz w:val="16"/>
                <w:szCs w:val="16"/>
                <w:lang w:val="en-GB"/>
              </w:rPr>
              <w:t>RELATED STRATEGIC PLAN OUTCOME 1: No one left behind centring on equitable access to opportunities and a rights-based approach to human agency and human development</w:t>
            </w:r>
          </w:p>
        </w:tc>
      </w:tr>
      <w:tr w:rsidR="00932A12" w:rsidRPr="00A07978" w14:paraId="6CBA0A53" w14:textId="77777777" w:rsidTr="00E02C69">
        <w:trPr>
          <w:trHeight w:val="607"/>
        </w:trPr>
        <w:tc>
          <w:tcPr>
            <w:tcW w:w="1146" w:type="pct"/>
            <w:shd w:val="clear" w:color="auto" w:fill="DBE5F1" w:themeFill="accent1" w:themeFillTint="33"/>
            <w:tcMar>
              <w:top w:w="72" w:type="dxa"/>
              <w:left w:w="144" w:type="dxa"/>
              <w:bottom w:w="72" w:type="dxa"/>
              <w:right w:w="144" w:type="dxa"/>
            </w:tcMar>
            <w:vAlign w:val="center"/>
          </w:tcPr>
          <w:p w14:paraId="009E0B2C" w14:textId="77777777" w:rsidR="00932A12" w:rsidRPr="00A07978" w:rsidRDefault="00932A12" w:rsidP="00E02C69">
            <w:pPr>
              <w:jc w:val="center"/>
              <w:rPr>
                <w:color w:val="000000"/>
                <w:sz w:val="16"/>
                <w:szCs w:val="16"/>
                <w:lang w:val="en-GB"/>
              </w:rPr>
            </w:pPr>
            <w:r w:rsidRPr="00A07978">
              <w:rPr>
                <w:b/>
                <w:bCs/>
                <w:color w:val="000000"/>
                <w:sz w:val="16"/>
                <w:szCs w:val="16"/>
                <w:lang w:val="en-GB"/>
              </w:rPr>
              <w:t>COOPERATION FRAMEWORK OUTCOME INDICATOR(S), BASELINES, TARGET(S)</w:t>
            </w:r>
          </w:p>
        </w:tc>
        <w:tc>
          <w:tcPr>
            <w:tcW w:w="846" w:type="pct"/>
            <w:gridSpan w:val="2"/>
            <w:shd w:val="clear" w:color="auto" w:fill="DBE5F1" w:themeFill="accent1" w:themeFillTint="33"/>
            <w:vAlign w:val="center"/>
          </w:tcPr>
          <w:p w14:paraId="4A1F3C00" w14:textId="77777777" w:rsidR="00932A12" w:rsidRPr="00A07978" w:rsidRDefault="00932A12" w:rsidP="00E02C69">
            <w:pPr>
              <w:jc w:val="center"/>
              <w:rPr>
                <w:b/>
                <w:color w:val="000000"/>
                <w:sz w:val="16"/>
                <w:szCs w:val="16"/>
                <w:lang w:val="en-GB"/>
              </w:rPr>
            </w:pPr>
            <w:r w:rsidRPr="00A07978">
              <w:rPr>
                <w:b/>
                <w:color w:val="000000"/>
                <w:sz w:val="16"/>
                <w:szCs w:val="16"/>
                <w:lang w:val="en-GB"/>
              </w:rPr>
              <w:t>DATA SOURCE AND FREQUENCY OF DATA COLLECTION, AND RESPONSIBILITIES</w:t>
            </w:r>
          </w:p>
        </w:tc>
        <w:tc>
          <w:tcPr>
            <w:tcW w:w="1487" w:type="pct"/>
            <w:gridSpan w:val="2"/>
            <w:shd w:val="clear" w:color="auto" w:fill="DBE5F1" w:themeFill="accent1" w:themeFillTint="33"/>
            <w:tcMar>
              <w:top w:w="72" w:type="dxa"/>
              <w:left w:w="144" w:type="dxa"/>
              <w:bottom w:w="72" w:type="dxa"/>
              <w:right w:w="144" w:type="dxa"/>
            </w:tcMar>
            <w:vAlign w:val="center"/>
          </w:tcPr>
          <w:p w14:paraId="2B4D9B80" w14:textId="77777777" w:rsidR="00932A12" w:rsidRPr="00A07978" w:rsidRDefault="00932A12" w:rsidP="00E02C69">
            <w:pPr>
              <w:jc w:val="center"/>
              <w:rPr>
                <w:color w:val="000000"/>
                <w:sz w:val="16"/>
                <w:szCs w:val="16"/>
                <w:lang w:val="en-GB"/>
              </w:rPr>
            </w:pPr>
            <w:r w:rsidRPr="00A07978">
              <w:rPr>
                <w:b/>
                <w:bCs/>
                <w:color w:val="000000"/>
                <w:sz w:val="16"/>
                <w:szCs w:val="16"/>
                <w:lang w:val="en-GB"/>
              </w:rPr>
              <w:t xml:space="preserve">INDICATIVE COUNTRY PROGRAMME OUTPUTS </w:t>
            </w:r>
            <w:r w:rsidRPr="00A07978">
              <w:rPr>
                <w:b/>
                <w:bCs/>
                <w:i/>
                <w:color w:val="000000"/>
                <w:sz w:val="16"/>
                <w:szCs w:val="16"/>
                <w:lang w:val="en-GB"/>
              </w:rPr>
              <w:t>(including indicators, baselines targets)</w:t>
            </w:r>
          </w:p>
        </w:tc>
        <w:tc>
          <w:tcPr>
            <w:tcW w:w="710" w:type="pct"/>
            <w:gridSpan w:val="2"/>
            <w:shd w:val="clear" w:color="auto" w:fill="DBE5F1" w:themeFill="accent1" w:themeFillTint="33"/>
            <w:vAlign w:val="center"/>
          </w:tcPr>
          <w:p w14:paraId="5B535816" w14:textId="502E9569" w:rsidR="00932A12" w:rsidRPr="00A07978" w:rsidRDefault="00932A12" w:rsidP="00E02C69">
            <w:pPr>
              <w:jc w:val="center"/>
              <w:rPr>
                <w:b/>
                <w:bCs/>
                <w:color w:val="000000"/>
                <w:sz w:val="16"/>
                <w:szCs w:val="16"/>
                <w:lang w:val="en-GB"/>
              </w:rPr>
            </w:pPr>
            <w:r w:rsidRPr="00A07978">
              <w:rPr>
                <w:b/>
                <w:bCs/>
                <w:color w:val="000000"/>
                <w:sz w:val="16"/>
                <w:szCs w:val="16"/>
                <w:lang w:val="en-GB"/>
              </w:rPr>
              <w:t>MAJOR PARTNERS/ PARTNERSHIPS</w:t>
            </w:r>
          </w:p>
          <w:p w14:paraId="276734FC" w14:textId="77777777" w:rsidR="00932A12" w:rsidRPr="00A07978" w:rsidRDefault="00932A12" w:rsidP="00E02C69">
            <w:pPr>
              <w:jc w:val="center"/>
              <w:rPr>
                <w:b/>
                <w:bCs/>
                <w:color w:val="000000"/>
                <w:sz w:val="16"/>
                <w:szCs w:val="16"/>
                <w:lang w:val="en-GB"/>
              </w:rPr>
            </w:pPr>
            <w:r w:rsidRPr="00A07978">
              <w:rPr>
                <w:b/>
                <w:bCs/>
                <w:color w:val="000000"/>
                <w:sz w:val="16"/>
                <w:szCs w:val="16"/>
                <w:lang w:val="en-GB"/>
              </w:rPr>
              <w:t>FRAMEWORKS</w:t>
            </w:r>
          </w:p>
        </w:tc>
        <w:tc>
          <w:tcPr>
            <w:tcW w:w="811" w:type="pct"/>
            <w:shd w:val="clear" w:color="auto" w:fill="DBE5F1" w:themeFill="accent1" w:themeFillTint="33"/>
            <w:tcMar>
              <w:top w:w="15" w:type="dxa"/>
              <w:left w:w="108" w:type="dxa"/>
              <w:bottom w:w="0" w:type="dxa"/>
              <w:right w:w="108" w:type="dxa"/>
            </w:tcMar>
            <w:vAlign w:val="center"/>
          </w:tcPr>
          <w:p w14:paraId="3D687E17" w14:textId="77777777" w:rsidR="00932A12" w:rsidRPr="00A07978" w:rsidRDefault="00932A12" w:rsidP="00E02C69">
            <w:pPr>
              <w:jc w:val="center"/>
              <w:rPr>
                <w:i/>
                <w:color w:val="0000FF"/>
                <w:sz w:val="16"/>
                <w:szCs w:val="16"/>
                <w:lang w:val="en-GB"/>
              </w:rPr>
            </w:pPr>
            <w:r w:rsidRPr="00A07978">
              <w:rPr>
                <w:b/>
                <w:bCs/>
                <w:color w:val="000000"/>
                <w:sz w:val="16"/>
                <w:szCs w:val="16"/>
                <w:lang w:val="en-GB"/>
              </w:rPr>
              <w:t>ESTIMATED COST BY OUTCOME (US$)</w:t>
            </w:r>
          </w:p>
        </w:tc>
      </w:tr>
      <w:tr w:rsidR="00932A12" w:rsidRPr="00A07978" w14:paraId="437C3F07" w14:textId="77777777" w:rsidTr="00932A12">
        <w:trPr>
          <w:trHeight w:val="1428"/>
        </w:trPr>
        <w:tc>
          <w:tcPr>
            <w:tcW w:w="1146" w:type="pct"/>
            <w:vMerge w:val="restart"/>
            <w:tcMar>
              <w:top w:w="72" w:type="dxa"/>
              <w:left w:w="144" w:type="dxa"/>
              <w:bottom w:w="72" w:type="dxa"/>
              <w:right w:w="144" w:type="dxa"/>
            </w:tcMar>
          </w:tcPr>
          <w:p w14:paraId="382B076A" w14:textId="6C338DF9" w:rsidR="00932A12" w:rsidRPr="00A07978" w:rsidRDefault="00932A12" w:rsidP="00E02C69">
            <w:pPr>
              <w:rPr>
                <w:sz w:val="16"/>
                <w:szCs w:val="16"/>
                <w:lang w:val="en-GB"/>
              </w:rPr>
            </w:pPr>
            <w:r w:rsidRPr="00A07978">
              <w:rPr>
                <w:sz w:val="16"/>
                <w:szCs w:val="16"/>
                <w:lang w:val="en-GB"/>
              </w:rPr>
              <w:t>G. Proportion of men and women engaged in agro-industry (agro-sylvo-pastoral</w:t>
            </w:r>
            <w:r w:rsidR="009B62BB" w:rsidRPr="00A07978">
              <w:rPr>
                <w:sz w:val="16"/>
                <w:szCs w:val="16"/>
                <w:lang w:val="en-GB"/>
              </w:rPr>
              <w:t xml:space="preserve"> system</w:t>
            </w:r>
            <w:r w:rsidR="004A1013" w:rsidRPr="00A07978">
              <w:rPr>
                <w:sz w:val="16"/>
                <w:szCs w:val="16"/>
                <w:lang w:val="en-GB"/>
              </w:rPr>
              <w:t>s</w:t>
            </w:r>
            <w:r w:rsidRPr="00A07978">
              <w:rPr>
                <w:sz w:val="16"/>
                <w:szCs w:val="16"/>
                <w:lang w:val="en-GB"/>
              </w:rPr>
              <w:t xml:space="preserve">) with access to finance. </w:t>
            </w:r>
          </w:p>
          <w:p w14:paraId="65C851AF" w14:textId="256D6521" w:rsidR="00932A12" w:rsidRPr="00A07978" w:rsidRDefault="00932A12" w:rsidP="00E02C69">
            <w:pPr>
              <w:rPr>
                <w:sz w:val="16"/>
                <w:szCs w:val="16"/>
                <w:lang w:val="en-GB"/>
              </w:rPr>
            </w:pPr>
            <w:r w:rsidRPr="00A07978">
              <w:rPr>
                <w:sz w:val="16"/>
                <w:szCs w:val="16"/>
                <w:lang w:val="en-GB"/>
              </w:rPr>
              <w:t xml:space="preserve">Baseline (year): </w:t>
            </w:r>
            <w:r w:rsidR="00D8574A" w:rsidRPr="00A07978">
              <w:rPr>
                <w:sz w:val="16"/>
                <w:szCs w:val="16"/>
                <w:lang w:val="en-GB"/>
              </w:rPr>
              <w:t>TBD</w:t>
            </w:r>
          </w:p>
          <w:p w14:paraId="4FDF7647" w14:textId="77777777" w:rsidR="00932A12" w:rsidRPr="00A07978" w:rsidRDefault="00932A12" w:rsidP="00E02C69">
            <w:pPr>
              <w:rPr>
                <w:sz w:val="16"/>
                <w:szCs w:val="16"/>
                <w:lang w:val="en-GB"/>
              </w:rPr>
            </w:pPr>
            <w:r w:rsidRPr="00A07978">
              <w:rPr>
                <w:sz w:val="16"/>
                <w:szCs w:val="16"/>
                <w:lang w:val="en-GB"/>
              </w:rPr>
              <w:t>Target (year): TBD</w:t>
            </w:r>
          </w:p>
          <w:p w14:paraId="2CC6E541" w14:textId="77777777" w:rsidR="00932A12" w:rsidRPr="00A07978" w:rsidRDefault="00932A12" w:rsidP="00D8574A">
            <w:pPr>
              <w:rPr>
                <w:bCs/>
                <w:i/>
                <w:color w:val="000000"/>
                <w:sz w:val="16"/>
                <w:szCs w:val="16"/>
                <w:lang w:val="en-GB"/>
              </w:rPr>
            </w:pPr>
          </w:p>
        </w:tc>
        <w:tc>
          <w:tcPr>
            <w:tcW w:w="846" w:type="pct"/>
            <w:gridSpan w:val="2"/>
            <w:vMerge w:val="restart"/>
          </w:tcPr>
          <w:p w14:paraId="07CBEC46" w14:textId="77777777" w:rsidR="000852DC" w:rsidRPr="00A07978" w:rsidRDefault="000852DC" w:rsidP="000852DC">
            <w:pPr>
              <w:suppressAutoHyphens/>
              <w:autoSpaceDN w:val="0"/>
              <w:textAlignment w:val="baseline"/>
              <w:rPr>
                <w:color w:val="000000" w:themeColor="text1"/>
                <w:sz w:val="16"/>
                <w:szCs w:val="16"/>
                <w:lang w:val="en-GB"/>
              </w:rPr>
            </w:pPr>
            <w:r w:rsidRPr="00A07978">
              <w:rPr>
                <w:color w:val="000000" w:themeColor="text1"/>
                <w:sz w:val="16"/>
                <w:szCs w:val="16"/>
                <w:lang w:val="en-GB"/>
              </w:rPr>
              <w:t>Source: ISLH</w:t>
            </w:r>
          </w:p>
          <w:p w14:paraId="3533FA65" w14:textId="24F80440" w:rsidR="000852DC" w:rsidRPr="00A07978" w:rsidRDefault="000852DC" w:rsidP="000852DC">
            <w:pPr>
              <w:suppressAutoHyphens/>
              <w:autoSpaceDN w:val="0"/>
              <w:textAlignment w:val="baseline"/>
              <w:rPr>
                <w:color w:val="000000" w:themeColor="text1"/>
                <w:sz w:val="16"/>
                <w:szCs w:val="16"/>
                <w:lang w:val="en-GB"/>
              </w:rPr>
            </w:pPr>
            <w:r w:rsidRPr="00A07978">
              <w:rPr>
                <w:color w:val="000000" w:themeColor="text1"/>
                <w:sz w:val="16"/>
                <w:szCs w:val="16"/>
                <w:lang w:val="en-GB"/>
              </w:rPr>
              <w:t xml:space="preserve">Frequency: </w:t>
            </w:r>
            <w:r w:rsidR="00F74ABC" w:rsidRPr="00A07978">
              <w:rPr>
                <w:color w:val="000000" w:themeColor="text1"/>
                <w:sz w:val="16"/>
                <w:szCs w:val="16"/>
                <w:lang w:val="en-GB"/>
              </w:rPr>
              <w:t>b</w:t>
            </w:r>
            <w:r w:rsidRPr="00A07978">
              <w:rPr>
                <w:color w:val="000000" w:themeColor="text1"/>
                <w:sz w:val="16"/>
                <w:szCs w:val="16"/>
                <w:lang w:val="en-GB"/>
              </w:rPr>
              <w:t>i</w:t>
            </w:r>
            <w:r w:rsidR="00F74ABC" w:rsidRPr="00A07978">
              <w:rPr>
                <w:color w:val="000000" w:themeColor="text1"/>
                <w:sz w:val="16"/>
                <w:szCs w:val="16"/>
                <w:lang w:val="en-GB"/>
              </w:rPr>
              <w:t>-</w:t>
            </w:r>
            <w:r w:rsidRPr="00A07978">
              <w:rPr>
                <w:color w:val="000000" w:themeColor="text1"/>
                <w:sz w:val="16"/>
                <w:szCs w:val="16"/>
                <w:lang w:val="en-GB"/>
              </w:rPr>
              <w:t>yearly</w:t>
            </w:r>
          </w:p>
          <w:p w14:paraId="2619BAAD" w14:textId="77777777" w:rsidR="000852DC" w:rsidRPr="00A07978" w:rsidRDefault="000852DC" w:rsidP="000852DC">
            <w:pPr>
              <w:suppressAutoHyphens/>
              <w:autoSpaceDN w:val="0"/>
              <w:textAlignment w:val="baseline"/>
              <w:rPr>
                <w:color w:val="000000" w:themeColor="text1"/>
                <w:sz w:val="16"/>
                <w:szCs w:val="16"/>
                <w:lang w:val="en-GB"/>
              </w:rPr>
            </w:pPr>
          </w:p>
          <w:p w14:paraId="441B4B59" w14:textId="77777777" w:rsidR="000852DC" w:rsidRPr="00A07978" w:rsidRDefault="000852DC" w:rsidP="000852DC">
            <w:pPr>
              <w:suppressAutoHyphens/>
              <w:autoSpaceDN w:val="0"/>
              <w:textAlignment w:val="baseline"/>
              <w:rPr>
                <w:color w:val="000000" w:themeColor="text1"/>
                <w:sz w:val="16"/>
                <w:szCs w:val="16"/>
                <w:lang w:val="en-GB"/>
              </w:rPr>
            </w:pPr>
            <w:r w:rsidRPr="00A07978">
              <w:rPr>
                <w:color w:val="000000" w:themeColor="text1"/>
                <w:sz w:val="16"/>
                <w:szCs w:val="16"/>
                <w:lang w:val="en-GB"/>
              </w:rPr>
              <w:t>Responsible: (INSBU)</w:t>
            </w:r>
          </w:p>
          <w:p w14:paraId="24379B80" w14:textId="77777777" w:rsidR="00932A12" w:rsidRPr="00A07978" w:rsidRDefault="00932A12" w:rsidP="00E02C69">
            <w:pPr>
              <w:ind w:left="57"/>
              <w:rPr>
                <w:i/>
                <w:iCs/>
                <w:lang w:val="en-GB"/>
              </w:rPr>
            </w:pPr>
          </w:p>
        </w:tc>
        <w:tc>
          <w:tcPr>
            <w:tcW w:w="1487" w:type="pct"/>
            <w:gridSpan w:val="2"/>
            <w:vMerge w:val="restart"/>
            <w:tcMar>
              <w:top w:w="72" w:type="dxa"/>
              <w:left w:w="144" w:type="dxa"/>
              <w:bottom w:w="72" w:type="dxa"/>
              <w:right w:w="144" w:type="dxa"/>
            </w:tcMar>
          </w:tcPr>
          <w:p w14:paraId="04553CBE" w14:textId="2AB72834" w:rsidR="00932A12" w:rsidRPr="00A07978" w:rsidRDefault="00D154E4" w:rsidP="00E02C69">
            <w:pPr>
              <w:rPr>
                <w:color w:val="000000" w:themeColor="text1"/>
                <w:sz w:val="16"/>
                <w:szCs w:val="16"/>
                <w:lang w:val="en-GB"/>
              </w:rPr>
            </w:pPr>
            <w:r w:rsidRPr="00A07978">
              <w:rPr>
                <w:color w:val="000000" w:themeColor="text1"/>
                <w:sz w:val="16"/>
                <w:szCs w:val="16"/>
                <w:lang w:val="en-GB"/>
              </w:rPr>
              <w:t>Output</w:t>
            </w:r>
            <w:r w:rsidR="00F74ABC" w:rsidRPr="00A07978">
              <w:rPr>
                <w:color w:val="000000" w:themeColor="text1"/>
                <w:sz w:val="16"/>
                <w:szCs w:val="16"/>
                <w:lang w:val="en-GB"/>
              </w:rPr>
              <w:t xml:space="preserve"> </w:t>
            </w:r>
            <w:r w:rsidR="00932A12" w:rsidRPr="00A07978">
              <w:rPr>
                <w:color w:val="000000" w:themeColor="text1"/>
                <w:sz w:val="16"/>
                <w:szCs w:val="16"/>
                <w:lang w:val="en-GB"/>
              </w:rPr>
              <w:t xml:space="preserve">2.1. Growth-enhancing value chains, including in agribusiness, blue, green and circular economy, are promoted for diversification of economic opportunities. </w:t>
            </w:r>
          </w:p>
          <w:p w14:paraId="55080430" w14:textId="77777777" w:rsidR="00932A12" w:rsidRPr="00A07978" w:rsidRDefault="00932A12" w:rsidP="00E02C69">
            <w:pPr>
              <w:rPr>
                <w:b/>
                <w:bCs/>
                <w:color w:val="000000" w:themeColor="text1"/>
                <w:sz w:val="16"/>
                <w:szCs w:val="16"/>
                <w:lang w:val="en-GB"/>
              </w:rPr>
            </w:pPr>
          </w:p>
          <w:p w14:paraId="32E615BE" w14:textId="15E6904C" w:rsidR="00767BB7" w:rsidRPr="00A07978" w:rsidRDefault="00767BB7" w:rsidP="00767BB7">
            <w:pPr>
              <w:rPr>
                <w:color w:val="000000"/>
                <w:sz w:val="16"/>
                <w:szCs w:val="16"/>
                <w:lang w:val="en-GB"/>
              </w:rPr>
            </w:pPr>
          </w:p>
          <w:p w14:paraId="2F958400" w14:textId="3FDCD837" w:rsidR="00932A12" w:rsidRPr="00A07978" w:rsidRDefault="00767BB7" w:rsidP="00767BB7">
            <w:pPr>
              <w:pStyle w:val="CommentText"/>
              <w:rPr>
                <w:color w:val="000000" w:themeColor="text1"/>
                <w:sz w:val="16"/>
                <w:szCs w:val="16"/>
                <w:lang w:val="en-GB"/>
              </w:rPr>
            </w:pPr>
            <w:r w:rsidRPr="00A07978">
              <w:rPr>
                <w:color w:val="000000" w:themeColor="text1"/>
                <w:sz w:val="16"/>
                <w:szCs w:val="16"/>
                <w:lang w:val="en-GB"/>
              </w:rPr>
              <w:t xml:space="preserve">Indicator </w:t>
            </w:r>
            <w:r w:rsidR="00932A12" w:rsidRPr="00A07978">
              <w:rPr>
                <w:color w:val="000000" w:themeColor="text1"/>
                <w:sz w:val="16"/>
                <w:szCs w:val="16"/>
                <w:lang w:val="en-GB"/>
              </w:rPr>
              <w:t>2.1.1</w:t>
            </w:r>
            <w:r w:rsidR="000F57D4" w:rsidRPr="00A07978">
              <w:rPr>
                <w:color w:val="000000" w:themeColor="text1"/>
                <w:sz w:val="16"/>
                <w:szCs w:val="16"/>
                <w:lang w:val="en-GB"/>
              </w:rPr>
              <w:t>.</w:t>
            </w:r>
            <w:r w:rsidR="00932A12" w:rsidRPr="00A07978">
              <w:rPr>
                <w:color w:val="000000" w:themeColor="text1"/>
                <w:sz w:val="16"/>
                <w:szCs w:val="16"/>
                <w:lang w:val="en-GB"/>
              </w:rPr>
              <w:t xml:space="preserve"> Number of functional value chains (production, storage, processing, marketing, consumption) </w:t>
            </w:r>
            <w:r w:rsidR="000F57D4" w:rsidRPr="00A07978">
              <w:rPr>
                <w:color w:val="000000" w:themeColor="text1"/>
                <w:sz w:val="16"/>
                <w:szCs w:val="16"/>
                <w:lang w:val="en-GB"/>
              </w:rPr>
              <w:t>p</w:t>
            </w:r>
            <w:r w:rsidR="00932A12" w:rsidRPr="00A07978">
              <w:rPr>
                <w:color w:val="000000" w:themeColor="text1"/>
                <w:sz w:val="16"/>
                <w:szCs w:val="16"/>
                <w:lang w:val="en-GB"/>
              </w:rPr>
              <w:t>romoted</w:t>
            </w:r>
            <w:r w:rsidR="000F57D4" w:rsidRPr="00A07978">
              <w:rPr>
                <w:color w:val="000000" w:themeColor="text1"/>
                <w:sz w:val="16"/>
                <w:szCs w:val="16"/>
                <w:lang w:val="en-GB"/>
              </w:rPr>
              <w:t>.</w:t>
            </w:r>
            <w:r w:rsidR="00932A12" w:rsidRPr="00A07978">
              <w:rPr>
                <w:color w:val="000000" w:themeColor="text1"/>
                <w:sz w:val="16"/>
                <w:szCs w:val="16"/>
                <w:lang w:val="en-GB"/>
              </w:rPr>
              <w:t xml:space="preserve"> </w:t>
            </w:r>
          </w:p>
          <w:p w14:paraId="15F5B052" w14:textId="77777777" w:rsidR="00932A12" w:rsidRPr="00A07978" w:rsidRDefault="00932A12" w:rsidP="00E02C69">
            <w:pPr>
              <w:pStyle w:val="CommentText"/>
              <w:rPr>
                <w:color w:val="000000" w:themeColor="text1"/>
                <w:sz w:val="16"/>
                <w:szCs w:val="16"/>
                <w:lang w:val="en-GB"/>
              </w:rPr>
            </w:pPr>
          </w:p>
          <w:p w14:paraId="0D79F5BC" w14:textId="62D90E69" w:rsidR="00932A12" w:rsidRPr="00A07978" w:rsidRDefault="00932A12" w:rsidP="00932A12">
            <w:pPr>
              <w:pStyle w:val="CommentText"/>
              <w:rPr>
                <w:color w:val="000000" w:themeColor="text1"/>
                <w:sz w:val="16"/>
                <w:szCs w:val="16"/>
                <w:lang w:val="en-GB"/>
              </w:rPr>
            </w:pPr>
            <w:r w:rsidRPr="00A07978">
              <w:rPr>
                <w:color w:val="000000" w:themeColor="text1"/>
                <w:sz w:val="16"/>
                <w:szCs w:val="16"/>
                <w:lang w:val="en-GB"/>
              </w:rPr>
              <w:t xml:space="preserve">Baseline (2023): </w:t>
            </w:r>
            <w:r w:rsidR="000852DC" w:rsidRPr="00A07978">
              <w:rPr>
                <w:color w:val="000000" w:themeColor="text1"/>
                <w:sz w:val="16"/>
                <w:szCs w:val="16"/>
                <w:lang w:val="en-GB"/>
              </w:rPr>
              <w:t>0</w:t>
            </w:r>
          </w:p>
          <w:p w14:paraId="1AD4ECC4" w14:textId="01800832" w:rsidR="00932A12" w:rsidRPr="00A07978" w:rsidRDefault="00932A12" w:rsidP="00932A12">
            <w:pPr>
              <w:rPr>
                <w:color w:val="000000" w:themeColor="text1"/>
                <w:sz w:val="16"/>
                <w:szCs w:val="16"/>
                <w:lang w:val="en-GB"/>
              </w:rPr>
            </w:pPr>
            <w:r w:rsidRPr="00A07978">
              <w:rPr>
                <w:color w:val="000000" w:themeColor="text1"/>
                <w:sz w:val="16"/>
                <w:szCs w:val="16"/>
                <w:lang w:val="en-GB"/>
              </w:rPr>
              <w:t xml:space="preserve">Target (2027): </w:t>
            </w:r>
            <w:r w:rsidR="00895806" w:rsidRPr="00A07978">
              <w:rPr>
                <w:color w:val="000000" w:themeColor="text1"/>
                <w:sz w:val="16"/>
                <w:szCs w:val="16"/>
                <w:lang w:val="en-GB"/>
              </w:rPr>
              <w:t>3</w:t>
            </w:r>
          </w:p>
          <w:p w14:paraId="758BC8E8" w14:textId="1C2C9A62" w:rsidR="00932A12" w:rsidRPr="00A07978" w:rsidRDefault="00767BB7" w:rsidP="00932A12">
            <w:pPr>
              <w:rPr>
                <w:color w:val="000000" w:themeColor="text1"/>
                <w:sz w:val="16"/>
                <w:szCs w:val="16"/>
                <w:lang w:val="en-GB"/>
              </w:rPr>
            </w:pPr>
            <w:r w:rsidRPr="00A07978">
              <w:rPr>
                <w:color w:val="000000" w:themeColor="text1"/>
                <w:sz w:val="16"/>
                <w:szCs w:val="16"/>
                <w:lang w:val="en-GB"/>
              </w:rPr>
              <w:t>S</w:t>
            </w:r>
            <w:r w:rsidR="00932A12" w:rsidRPr="00A07978">
              <w:rPr>
                <w:color w:val="000000" w:themeColor="text1"/>
                <w:sz w:val="16"/>
                <w:szCs w:val="16"/>
                <w:lang w:val="en-GB"/>
              </w:rPr>
              <w:t>ource: MINEAGRI</w:t>
            </w:r>
          </w:p>
          <w:p w14:paraId="0EA764D8" w14:textId="77777777" w:rsidR="00932A12" w:rsidRPr="00A07978" w:rsidRDefault="00932A12" w:rsidP="00932A12">
            <w:pPr>
              <w:rPr>
                <w:color w:val="000000" w:themeColor="text1"/>
                <w:sz w:val="16"/>
                <w:szCs w:val="16"/>
                <w:lang w:val="en-GB"/>
              </w:rPr>
            </w:pPr>
            <w:r w:rsidRPr="00A07978">
              <w:rPr>
                <w:color w:val="000000" w:themeColor="text1"/>
                <w:sz w:val="16"/>
                <w:szCs w:val="16"/>
                <w:lang w:val="en-GB"/>
              </w:rPr>
              <w:t xml:space="preserve">Frequency: Annually </w:t>
            </w:r>
          </w:p>
          <w:p w14:paraId="46D46FFC" w14:textId="77777777" w:rsidR="00932A12" w:rsidRPr="00A07978" w:rsidRDefault="00932A12" w:rsidP="00932A12">
            <w:pPr>
              <w:jc w:val="both"/>
              <w:rPr>
                <w:color w:val="000000" w:themeColor="text1"/>
                <w:sz w:val="16"/>
                <w:szCs w:val="16"/>
                <w:lang w:val="en-GB"/>
              </w:rPr>
            </w:pPr>
            <w:r w:rsidRPr="00A07978">
              <w:rPr>
                <w:color w:val="000000" w:themeColor="text1"/>
                <w:sz w:val="16"/>
                <w:szCs w:val="16"/>
                <w:lang w:val="en-GB"/>
              </w:rPr>
              <w:t xml:space="preserve">  </w:t>
            </w:r>
          </w:p>
          <w:p w14:paraId="366AC42A" w14:textId="77777777" w:rsidR="00767BB7" w:rsidRPr="00A07978" w:rsidRDefault="00767BB7" w:rsidP="00767BB7">
            <w:pPr>
              <w:rPr>
                <w:color w:val="000000"/>
                <w:sz w:val="16"/>
                <w:szCs w:val="16"/>
                <w:lang w:val="en-GB"/>
              </w:rPr>
            </w:pPr>
          </w:p>
          <w:p w14:paraId="5ED8F541" w14:textId="38F4501B" w:rsidR="00932A12" w:rsidRPr="00A07978" w:rsidRDefault="00767BB7" w:rsidP="00767BB7">
            <w:pPr>
              <w:jc w:val="both"/>
              <w:rPr>
                <w:color w:val="000000" w:themeColor="text1"/>
                <w:sz w:val="16"/>
                <w:szCs w:val="16"/>
                <w:lang w:val="en-GB"/>
              </w:rPr>
            </w:pPr>
            <w:r w:rsidRPr="00A07978">
              <w:rPr>
                <w:color w:val="000000" w:themeColor="text1"/>
                <w:sz w:val="16"/>
                <w:szCs w:val="16"/>
                <w:lang w:val="en-GB"/>
              </w:rPr>
              <w:t xml:space="preserve">Indicator </w:t>
            </w:r>
            <w:r w:rsidR="00932A12" w:rsidRPr="00A07978">
              <w:rPr>
                <w:color w:val="000000" w:themeColor="text1"/>
                <w:sz w:val="16"/>
                <w:szCs w:val="16"/>
                <w:lang w:val="en-GB"/>
              </w:rPr>
              <w:t>2.1</w:t>
            </w:r>
            <w:r w:rsidR="000F57D4" w:rsidRPr="00A07978">
              <w:rPr>
                <w:color w:val="000000" w:themeColor="text1"/>
                <w:sz w:val="16"/>
                <w:szCs w:val="16"/>
                <w:lang w:val="en-GB"/>
              </w:rPr>
              <w:t>.</w:t>
            </w:r>
            <w:r w:rsidR="00932A12" w:rsidRPr="00A07978">
              <w:rPr>
                <w:color w:val="000000" w:themeColor="text1"/>
                <w:sz w:val="16"/>
                <w:szCs w:val="16"/>
                <w:lang w:val="en-GB"/>
              </w:rPr>
              <w:t>2</w:t>
            </w:r>
            <w:r w:rsidR="000F57D4" w:rsidRPr="00A07978">
              <w:rPr>
                <w:color w:val="000000" w:themeColor="text1"/>
                <w:sz w:val="16"/>
                <w:szCs w:val="16"/>
                <w:lang w:val="en-GB"/>
              </w:rPr>
              <w:t>.</w:t>
            </w:r>
            <w:r w:rsidR="00932A12" w:rsidRPr="00A07978">
              <w:rPr>
                <w:color w:val="000000" w:themeColor="text1"/>
                <w:sz w:val="16"/>
                <w:szCs w:val="16"/>
                <w:lang w:val="en-GB"/>
              </w:rPr>
              <w:t xml:space="preserve"> Number of national laws, strategies and policies on value chains developed/revised</w:t>
            </w:r>
            <w:r w:rsidR="000F57D4" w:rsidRPr="00A07978">
              <w:rPr>
                <w:color w:val="000000" w:themeColor="text1"/>
                <w:sz w:val="16"/>
                <w:szCs w:val="16"/>
                <w:lang w:val="en-GB"/>
              </w:rPr>
              <w:t>.</w:t>
            </w:r>
            <w:r w:rsidR="00932A12" w:rsidRPr="00A07978">
              <w:rPr>
                <w:color w:val="000000" w:themeColor="text1"/>
                <w:sz w:val="16"/>
                <w:szCs w:val="16"/>
                <w:lang w:val="en-GB"/>
              </w:rPr>
              <w:t xml:space="preserve"> </w:t>
            </w:r>
          </w:p>
          <w:p w14:paraId="4445AF3B" w14:textId="77777777" w:rsidR="00932A12" w:rsidRPr="00A07978" w:rsidRDefault="00932A12" w:rsidP="00932A12">
            <w:pPr>
              <w:jc w:val="both"/>
              <w:rPr>
                <w:color w:val="000000" w:themeColor="text1"/>
                <w:sz w:val="16"/>
                <w:szCs w:val="16"/>
                <w:lang w:val="en-GB"/>
              </w:rPr>
            </w:pPr>
          </w:p>
          <w:p w14:paraId="4060447F" w14:textId="762B643F" w:rsidR="00932A12" w:rsidRPr="00A07978" w:rsidRDefault="00932A12" w:rsidP="00932A12">
            <w:pPr>
              <w:pStyle w:val="CommentText"/>
              <w:rPr>
                <w:color w:val="000000" w:themeColor="text1"/>
                <w:sz w:val="16"/>
                <w:szCs w:val="16"/>
                <w:lang w:val="en-GB"/>
              </w:rPr>
            </w:pPr>
            <w:r w:rsidRPr="00A07978">
              <w:rPr>
                <w:color w:val="000000" w:themeColor="text1"/>
                <w:sz w:val="16"/>
                <w:szCs w:val="16"/>
                <w:lang w:val="en-GB"/>
              </w:rPr>
              <w:t xml:space="preserve">Baseline (2023): </w:t>
            </w:r>
            <w:r w:rsidR="00895806" w:rsidRPr="00A07978">
              <w:rPr>
                <w:color w:val="000000" w:themeColor="text1"/>
                <w:sz w:val="16"/>
                <w:szCs w:val="16"/>
                <w:lang w:val="en-GB"/>
              </w:rPr>
              <w:t>0</w:t>
            </w:r>
          </w:p>
          <w:p w14:paraId="4830A2B7" w14:textId="79B1C7BF" w:rsidR="00932A12" w:rsidRPr="00A07978" w:rsidRDefault="00932A12" w:rsidP="00932A12">
            <w:pPr>
              <w:rPr>
                <w:color w:val="000000" w:themeColor="text1"/>
                <w:sz w:val="16"/>
                <w:szCs w:val="16"/>
                <w:lang w:val="en-GB"/>
              </w:rPr>
            </w:pPr>
            <w:r w:rsidRPr="00A07978">
              <w:rPr>
                <w:color w:val="000000" w:themeColor="text1"/>
                <w:sz w:val="16"/>
                <w:szCs w:val="16"/>
                <w:lang w:val="en-GB"/>
              </w:rPr>
              <w:t xml:space="preserve">Target (2027): </w:t>
            </w:r>
            <w:r w:rsidR="00895806" w:rsidRPr="00A07978">
              <w:rPr>
                <w:color w:val="000000" w:themeColor="text1"/>
                <w:sz w:val="16"/>
                <w:szCs w:val="16"/>
                <w:lang w:val="en-GB"/>
              </w:rPr>
              <w:t>2</w:t>
            </w:r>
          </w:p>
          <w:p w14:paraId="0CDF1383" w14:textId="3448E08D" w:rsidR="00932A12" w:rsidRPr="00A07978" w:rsidRDefault="00767BB7" w:rsidP="00932A12">
            <w:pPr>
              <w:rPr>
                <w:color w:val="000000" w:themeColor="text1"/>
                <w:sz w:val="16"/>
                <w:szCs w:val="16"/>
                <w:lang w:val="en-GB"/>
              </w:rPr>
            </w:pPr>
            <w:r w:rsidRPr="00A07978">
              <w:rPr>
                <w:color w:val="000000" w:themeColor="text1"/>
                <w:sz w:val="16"/>
                <w:szCs w:val="16"/>
                <w:lang w:val="en-GB"/>
              </w:rPr>
              <w:t>S</w:t>
            </w:r>
            <w:r w:rsidR="00932A12" w:rsidRPr="00A07978">
              <w:rPr>
                <w:color w:val="000000" w:themeColor="text1"/>
                <w:sz w:val="16"/>
                <w:szCs w:val="16"/>
                <w:lang w:val="en-GB"/>
              </w:rPr>
              <w:t>ource: Min</w:t>
            </w:r>
            <w:r w:rsidR="000F57D4" w:rsidRPr="00A07978">
              <w:rPr>
                <w:color w:val="000000" w:themeColor="text1"/>
                <w:sz w:val="16"/>
                <w:szCs w:val="16"/>
                <w:lang w:val="en-GB"/>
              </w:rPr>
              <w:t>istry of</w:t>
            </w:r>
            <w:r w:rsidR="00932A12" w:rsidRPr="00A07978">
              <w:rPr>
                <w:color w:val="000000" w:themeColor="text1"/>
                <w:sz w:val="16"/>
                <w:szCs w:val="16"/>
                <w:lang w:val="en-GB"/>
              </w:rPr>
              <w:t xml:space="preserve"> Trade and Industry</w:t>
            </w:r>
          </w:p>
          <w:p w14:paraId="64FC3193" w14:textId="77777777" w:rsidR="00932A12" w:rsidRPr="00A07978" w:rsidRDefault="00932A12" w:rsidP="00932A12">
            <w:pPr>
              <w:rPr>
                <w:color w:val="000000" w:themeColor="text1"/>
                <w:sz w:val="16"/>
                <w:szCs w:val="16"/>
                <w:lang w:val="en-GB"/>
              </w:rPr>
            </w:pPr>
            <w:r w:rsidRPr="00A07978">
              <w:rPr>
                <w:color w:val="000000" w:themeColor="text1"/>
                <w:sz w:val="16"/>
                <w:szCs w:val="16"/>
                <w:lang w:val="en-GB"/>
              </w:rPr>
              <w:t xml:space="preserve">Frequency: Annually </w:t>
            </w:r>
          </w:p>
          <w:p w14:paraId="3A06BBF4" w14:textId="77777777" w:rsidR="00932A12" w:rsidRPr="00A07978" w:rsidRDefault="00932A12" w:rsidP="00932A12">
            <w:pPr>
              <w:rPr>
                <w:color w:val="000000" w:themeColor="text1"/>
                <w:sz w:val="16"/>
                <w:szCs w:val="16"/>
                <w:lang w:val="en-GB"/>
              </w:rPr>
            </w:pPr>
          </w:p>
          <w:p w14:paraId="4ED9232E" w14:textId="77777777" w:rsidR="00767BB7" w:rsidRPr="00A07978" w:rsidRDefault="00767BB7" w:rsidP="00767BB7">
            <w:pPr>
              <w:rPr>
                <w:color w:val="000000"/>
                <w:sz w:val="16"/>
                <w:szCs w:val="16"/>
                <w:lang w:val="en-GB"/>
              </w:rPr>
            </w:pPr>
          </w:p>
          <w:p w14:paraId="2F655A88" w14:textId="7B276AC2" w:rsidR="00932A12" w:rsidRPr="00A07978" w:rsidRDefault="00767BB7" w:rsidP="00767BB7">
            <w:pPr>
              <w:rPr>
                <w:color w:val="000000" w:themeColor="text1"/>
                <w:sz w:val="16"/>
                <w:szCs w:val="16"/>
                <w:lang w:val="en-GB"/>
              </w:rPr>
            </w:pPr>
            <w:r w:rsidRPr="00A07978">
              <w:rPr>
                <w:color w:val="000000" w:themeColor="text1"/>
                <w:sz w:val="16"/>
                <w:szCs w:val="16"/>
                <w:lang w:val="en-GB"/>
              </w:rPr>
              <w:t xml:space="preserve">Indicator </w:t>
            </w:r>
            <w:r w:rsidR="00932A12" w:rsidRPr="00A07978">
              <w:rPr>
                <w:color w:val="000000" w:themeColor="text1"/>
                <w:sz w:val="16"/>
                <w:szCs w:val="16"/>
                <w:lang w:val="en-GB"/>
              </w:rPr>
              <w:t>2.1.3. Number of digital tools used to develop value chain</w:t>
            </w:r>
            <w:r w:rsidR="000F57D4" w:rsidRPr="00A07978">
              <w:rPr>
                <w:color w:val="000000" w:themeColor="text1"/>
                <w:sz w:val="16"/>
                <w:szCs w:val="16"/>
                <w:lang w:val="en-GB"/>
              </w:rPr>
              <w:t>s.</w:t>
            </w:r>
          </w:p>
          <w:p w14:paraId="5E4ED38B" w14:textId="6ADB45EE" w:rsidR="00932A12" w:rsidRPr="00A07978" w:rsidRDefault="00932A12" w:rsidP="00932A12">
            <w:pPr>
              <w:rPr>
                <w:color w:val="000000" w:themeColor="text1"/>
                <w:sz w:val="16"/>
                <w:szCs w:val="16"/>
                <w:lang w:val="en-GB"/>
              </w:rPr>
            </w:pPr>
            <w:r w:rsidRPr="00A07978">
              <w:rPr>
                <w:color w:val="000000" w:themeColor="text1"/>
                <w:sz w:val="16"/>
                <w:szCs w:val="16"/>
                <w:lang w:val="en-GB"/>
              </w:rPr>
              <w:t xml:space="preserve">Baseline (2023): </w:t>
            </w:r>
            <w:r w:rsidR="00CC6064" w:rsidRPr="00A07978">
              <w:rPr>
                <w:color w:val="000000" w:themeColor="text1"/>
                <w:sz w:val="16"/>
                <w:szCs w:val="16"/>
                <w:lang w:val="en-GB"/>
              </w:rPr>
              <w:t>1</w:t>
            </w:r>
          </w:p>
          <w:p w14:paraId="111667EC" w14:textId="7916AAF3" w:rsidR="00932A12" w:rsidRPr="00A07978" w:rsidRDefault="00932A12" w:rsidP="00932A12">
            <w:pPr>
              <w:rPr>
                <w:color w:val="000000" w:themeColor="text1"/>
                <w:sz w:val="16"/>
                <w:szCs w:val="16"/>
                <w:lang w:val="en-GB"/>
              </w:rPr>
            </w:pPr>
            <w:r w:rsidRPr="00A07978">
              <w:rPr>
                <w:color w:val="000000" w:themeColor="text1"/>
                <w:sz w:val="16"/>
                <w:szCs w:val="16"/>
                <w:lang w:val="en-GB"/>
              </w:rPr>
              <w:t>Target (2027</w:t>
            </w:r>
            <w:r w:rsidR="00971293" w:rsidRPr="00A07978">
              <w:rPr>
                <w:color w:val="000000" w:themeColor="text1"/>
                <w:sz w:val="16"/>
                <w:szCs w:val="16"/>
                <w:lang w:val="en-GB"/>
              </w:rPr>
              <w:t xml:space="preserve">): </w:t>
            </w:r>
            <w:r w:rsidR="00CC6064" w:rsidRPr="00A07978">
              <w:rPr>
                <w:color w:val="000000" w:themeColor="text1"/>
                <w:sz w:val="16"/>
                <w:szCs w:val="16"/>
                <w:lang w:val="en-GB"/>
              </w:rPr>
              <w:t>3</w:t>
            </w:r>
          </w:p>
          <w:p w14:paraId="239D75D8" w14:textId="75A93744" w:rsidR="00932A12" w:rsidRPr="00A07978" w:rsidRDefault="00767BB7" w:rsidP="00932A12">
            <w:pPr>
              <w:rPr>
                <w:color w:val="000000" w:themeColor="text1"/>
                <w:sz w:val="16"/>
                <w:szCs w:val="16"/>
                <w:lang w:val="en-GB"/>
              </w:rPr>
            </w:pPr>
            <w:r w:rsidRPr="00A07978">
              <w:rPr>
                <w:color w:val="000000" w:themeColor="text1"/>
                <w:sz w:val="16"/>
                <w:szCs w:val="16"/>
                <w:lang w:val="en-GB"/>
              </w:rPr>
              <w:t>S</w:t>
            </w:r>
            <w:r w:rsidR="00932A12" w:rsidRPr="00A07978">
              <w:rPr>
                <w:color w:val="000000" w:themeColor="text1"/>
                <w:sz w:val="16"/>
                <w:szCs w:val="16"/>
                <w:lang w:val="en-GB"/>
              </w:rPr>
              <w:t xml:space="preserve">ource: </w:t>
            </w:r>
            <w:r w:rsidR="000F57D4" w:rsidRPr="00A07978">
              <w:rPr>
                <w:color w:val="000000" w:themeColor="text1"/>
                <w:sz w:val="16"/>
                <w:szCs w:val="16"/>
                <w:lang w:val="en-GB"/>
              </w:rPr>
              <w:t xml:space="preserve">Ministry of </w:t>
            </w:r>
            <w:r w:rsidR="00932A12" w:rsidRPr="00A07978">
              <w:rPr>
                <w:color w:val="000000" w:themeColor="text1"/>
                <w:sz w:val="16"/>
                <w:szCs w:val="16"/>
                <w:lang w:val="en-GB"/>
              </w:rPr>
              <w:t>Trade and Industry</w:t>
            </w:r>
          </w:p>
          <w:p w14:paraId="6ABEA048" w14:textId="77777777" w:rsidR="00932A12" w:rsidRPr="00A07978" w:rsidRDefault="00932A12" w:rsidP="00932A12">
            <w:pPr>
              <w:rPr>
                <w:color w:val="000000" w:themeColor="text1"/>
                <w:sz w:val="16"/>
                <w:szCs w:val="16"/>
                <w:lang w:val="en-GB"/>
              </w:rPr>
            </w:pPr>
            <w:r w:rsidRPr="00A07978">
              <w:rPr>
                <w:color w:val="000000" w:themeColor="text1"/>
                <w:sz w:val="16"/>
                <w:szCs w:val="16"/>
                <w:lang w:val="en-GB"/>
              </w:rPr>
              <w:t xml:space="preserve">Frequency: Annually </w:t>
            </w:r>
          </w:p>
          <w:p w14:paraId="2E17C891" w14:textId="77777777" w:rsidR="00932A12" w:rsidRPr="00A07978" w:rsidRDefault="00932A12" w:rsidP="00932A12">
            <w:pPr>
              <w:rPr>
                <w:color w:val="000000" w:themeColor="text1"/>
                <w:sz w:val="16"/>
                <w:szCs w:val="16"/>
                <w:lang w:val="en-GB"/>
              </w:rPr>
            </w:pPr>
          </w:p>
          <w:p w14:paraId="51AE14EE" w14:textId="77777777" w:rsidR="00767BB7" w:rsidRPr="00A07978" w:rsidRDefault="00767BB7" w:rsidP="00767BB7">
            <w:pPr>
              <w:rPr>
                <w:color w:val="000000"/>
                <w:sz w:val="16"/>
                <w:szCs w:val="16"/>
                <w:lang w:val="en-GB"/>
              </w:rPr>
            </w:pPr>
          </w:p>
          <w:p w14:paraId="6176376B" w14:textId="1E65C6E1" w:rsidR="00932A12" w:rsidRPr="00A07978" w:rsidRDefault="00767BB7" w:rsidP="00767BB7">
            <w:pPr>
              <w:rPr>
                <w:color w:val="000000" w:themeColor="text1"/>
                <w:sz w:val="16"/>
                <w:szCs w:val="16"/>
                <w:lang w:val="en-GB"/>
              </w:rPr>
            </w:pPr>
            <w:r w:rsidRPr="00A07978">
              <w:rPr>
                <w:color w:val="000000" w:themeColor="text1"/>
                <w:sz w:val="16"/>
                <w:szCs w:val="16"/>
                <w:lang w:val="en-GB"/>
              </w:rPr>
              <w:lastRenderedPageBreak/>
              <w:t xml:space="preserve">Indicator </w:t>
            </w:r>
            <w:r w:rsidR="00932A12" w:rsidRPr="00A07978">
              <w:rPr>
                <w:color w:val="000000" w:themeColor="text1"/>
                <w:sz w:val="16"/>
                <w:szCs w:val="16"/>
                <w:lang w:val="en-GB"/>
              </w:rPr>
              <w:t>2.1.4. Number of jobs created by through value chain, disaggregated by sector and gender</w:t>
            </w:r>
            <w:r w:rsidR="000F57D4" w:rsidRPr="00A07978">
              <w:rPr>
                <w:color w:val="000000" w:themeColor="text1"/>
                <w:sz w:val="16"/>
                <w:szCs w:val="16"/>
                <w:lang w:val="en-GB"/>
              </w:rPr>
              <w:t>.</w:t>
            </w:r>
          </w:p>
          <w:p w14:paraId="0F38EE6C" w14:textId="77BA29CE" w:rsidR="00932A12" w:rsidRPr="00A07978" w:rsidRDefault="00932A12" w:rsidP="00932A12">
            <w:pPr>
              <w:rPr>
                <w:color w:val="000000" w:themeColor="text1"/>
                <w:sz w:val="16"/>
                <w:szCs w:val="16"/>
                <w:lang w:val="en-GB"/>
              </w:rPr>
            </w:pPr>
            <w:r w:rsidRPr="00A07978">
              <w:rPr>
                <w:color w:val="000000" w:themeColor="text1"/>
                <w:sz w:val="16"/>
                <w:szCs w:val="16"/>
                <w:lang w:val="en-GB"/>
              </w:rPr>
              <w:t xml:space="preserve">Baseline (2023): </w:t>
            </w:r>
            <w:r w:rsidR="00B750D3" w:rsidRPr="00A07978">
              <w:rPr>
                <w:color w:val="000000" w:themeColor="text1"/>
                <w:sz w:val="16"/>
                <w:szCs w:val="16"/>
                <w:lang w:val="en-GB"/>
              </w:rPr>
              <w:t>0</w:t>
            </w:r>
          </w:p>
          <w:p w14:paraId="161F63F4" w14:textId="3BE2B8A6" w:rsidR="00932A12" w:rsidRPr="00A07978" w:rsidRDefault="00932A12" w:rsidP="00932A12">
            <w:pPr>
              <w:rPr>
                <w:color w:val="000000" w:themeColor="text1"/>
                <w:sz w:val="16"/>
                <w:szCs w:val="16"/>
                <w:lang w:val="en-GB"/>
              </w:rPr>
            </w:pPr>
            <w:r w:rsidRPr="00A07978">
              <w:rPr>
                <w:color w:val="000000" w:themeColor="text1"/>
                <w:sz w:val="16"/>
                <w:szCs w:val="16"/>
                <w:lang w:val="en-GB"/>
              </w:rPr>
              <w:t xml:space="preserve">Target (2027): </w:t>
            </w:r>
            <w:r w:rsidR="00B750D3" w:rsidRPr="00A07978">
              <w:rPr>
                <w:color w:val="000000" w:themeColor="text1"/>
                <w:sz w:val="16"/>
                <w:szCs w:val="16"/>
                <w:lang w:val="en-GB"/>
              </w:rPr>
              <w:t>10000</w:t>
            </w:r>
          </w:p>
          <w:p w14:paraId="4D4A3C64" w14:textId="03D2990B" w:rsidR="00932A12" w:rsidRPr="00A07978" w:rsidRDefault="00767BB7" w:rsidP="00932A12">
            <w:pPr>
              <w:rPr>
                <w:color w:val="000000" w:themeColor="text1"/>
                <w:sz w:val="16"/>
                <w:szCs w:val="16"/>
                <w:lang w:val="en-GB"/>
              </w:rPr>
            </w:pPr>
            <w:r w:rsidRPr="00A07978">
              <w:rPr>
                <w:color w:val="000000" w:themeColor="text1"/>
                <w:sz w:val="16"/>
                <w:szCs w:val="16"/>
                <w:lang w:val="en-GB"/>
              </w:rPr>
              <w:t>S</w:t>
            </w:r>
            <w:r w:rsidR="00932A12" w:rsidRPr="00A07978">
              <w:rPr>
                <w:color w:val="000000" w:themeColor="text1"/>
                <w:sz w:val="16"/>
                <w:szCs w:val="16"/>
                <w:lang w:val="en-GB"/>
              </w:rPr>
              <w:t xml:space="preserve">ource: </w:t>
            </w:r>
            <w:r w:rsidR="000F57D4" w:rsidRPr="00A07978">
              <w:rPr>
                <w:color w:val="000000" w:themeColor="text1"/>
                <w:sz w:val="16"/>
                <w:szCs w:val="16"/>
                <w:lang w:val="en-GB"/>
              </w:rPr>
              <w:t xml:space="preserve">Ministry of </w:t>
            </w:r>
            <w:r w:rsidR="00932A12" w:rsidRPr="00A07978">
              <w:rPr>
                <w:color w:val="000000" w:themeColor="text1"/>
                <w:sz w:val="16"/>
                <w:szCs w:val="16"/>
                <w:lang w:val="en-GB"/>
              </w:rPr>
              <w:t>Trade and Industry</w:t>
            </w:r>
          </w:p>
          <w:p w14:paraId="309B26A2" w14:textId="38820939" w:rsidR="00932A12" w:rsidRPr="00A07978" w:rsidRDefault="00932A12" w:rsidP="00971293">
            <w:pPr>
              <w:rPr>
                <w:color w:val="000000" w:themeColor="text1"/>
                <w:sz w:val="16"/>
                <w:szCs w:val="16"/>
                <w:lang w:val="en-GB"/>
              </w:rPr>
            </w:pPr>
            <w:r w:rsidRPr="00A07978">
              <w:rPr>
                <w:color w:val="000000" w:themeColor="text1"/>
                <w:sz w:val="16"/>
                <w:szCs w:val="16"/>
                <w:lang w:val="en-GB"/>
              </w:rPr>
              <w:t xml:space="preserve">Frequency: Annually </w:t>
            </w:r>
          </w:p>
        </w:tc>
        <w:tc>
          <w:tcPr>
            <w:tcW w:w="710" w:type="pct"/>
            <w:gridSpan w:val="2"/>
            <w:vMerge w:val="restart"/>
          </w:tcPr>
          <w:p w14:paraId="4B25F176" w14:textId="116C1F6E" w:rsidR="00932A12" w:rsidRPr="00A07978" w:rsidRDefault="00932A12" w:rsidP="00E02C69">
            <w:pPr>
              <w:rPr>
                <w:iCs/>
                <w:color w:val="000000"/>
                <w:sz w:val="16"/>
                <w:szCs w:val="16"/>
                <w:lang w:val="en-GB"/>
              </w:rPr>
            </w:pPr>
            <w:r w:rsidRPr="00A07978">
              <w:rPr>
                <w:iCs/>
                <w:color w:val="000000"/>
                <w:sz w:val="16"/>
                <w:szCs w:val="16"/>
                <w:lang w:val="en-GB"/>
              </w:rPr>
              <w:lastRenderedPageBreak/>
              <w:t>Min</w:t>
            </w:r>
            <w:r w:rsidR="0072710C" w:rsidRPr="00A07978">
              <w:rPr>
                <w:iCs/>
                <w:color w:val="000000"/>
                <w:sz w:val="16"/>
                <w:szCs w:val="16"/>
                <w:lang w:val="en-GB"/>
              </w:rPr>
              <w:t>istry of</w:t>
            </w:r>
            <w:r w:rsidRPr="00A07978">
              <w:rPr>
                <w:iCs/>
                <w:color w:val="000000"/>
                <w:sz w:val="16"/>
                <w:szCs w:val="16"/>
                <w:lang w:val="en-GB"/>
              </w:rPr>
              <w:t xml:space="preserve"> Trade; Min</w:t>
            </w:r>
            <w:r w:rsidR="0072710C" w:rsidRPr="00A07978">
              <w:rPr>
                <w:iCs/>
                <w:color w:val="000000"/>
                <w:sz w:val="16"/>
                <w:szCs w:val="16"/>
                <w:lang w:val="en-GB"/>
              </w:rPr>
              <w:t>istry of</w:t>
            </w:r>
            <w:r w:rsidRPr="00A07978">
              <w:rPr>
                <w:iCs/>
                <w:color w:val="000000"/>
                <w:sz w:val="16"/>
                <w:szCs w:val="16"/>
                <w:lang w:val="en-GB"/>
              </w:rPr>
              <w:t xml:space="preserve"> Gender; </w:t>
            </w:r>
            <w:r w:rsidR="00F74ABC" w:rsidRPr="00A07978">
              <w:rPr>
                <w:iCs/>
                <w:color w:val="000000"/>
                <w:sz w:val="16"/>
                <w:szCs w:val="16"/>
                <w:lang w:val="en-GB"/>
              </w:rPr>
              <w:t>M</w:t>
            </w:r>
            <w:r w:rsidR="00EE6A4E" w:rsidRPr="00A07978">
              <w:rPr>
                <w:iCs/>
                <w:color w:val="000000"/>
                <w:sz w:val="16"/>
                <w:szCs w:val="16"/>
                <w:lang w:val="en-GB"/>
              </w:rPr>
              <w:t>inistry of Environment, Agriculture and Livestock (</w:t>
            </w:r>
            <w:r w:rsidRPr="00A07978">
              <w:rPr>
                <w:iCs/>
                <w:color w:val="000000"/>
                <w:sz w:val="16"/>
                <w:szCs w:val="16"/>
                <w:lang w:val="en-GB"/>
              </w:rPr>
              <w:t>MINEAGRI</w:t>
            </w:r>
            <w:r w:rsidR="00EE6A4E" w:rsidRPr="00A07978">
              <w:rPr>
                <w:iCs/>
                <w:color w:val="000000"/>
                <w:sz w:val="16"/>
                <w:szCs w:val="16"/>
                <w:lang w:val="en-GB"/>
              </w:rPr>
              <w:t>)</w:t>
            </w:r>
            <w:r w:rsidRPr="00A07978">
              <w:rPr>
                <w:iCs/>
                <w:color w:val="000000"/>
                <w:sz w:val="16"/>
                <w:szCs w:val="16"/>
                <w:lang w:val="en-GB"/>
              </w:rPr>
              <w:t>; Min</w:t>
            </w:r>
            <w:r w:rsidR="0072710C" w:rsidRPr="00A07978">
              <w:rPr>
                <w:iCs/>
                <w:color w:val="000000"/>
                <w:sz w:val="16"/>
                <w:szCs w:val="16"/>
                <w:lang w:val="en-GB"/>
              </w:rPr>
              <w:t>istry of</w:t>
            </w:r>
            <w:r w:rsidRPr="00A07978">
              <w:rPr>
                <w:iCs/>
                <w:color w:val="000000"/>
                <w:sz w:val="16"/>
                <w:szCs w:val="16"/>
                <w:lang w:val="en-GB"/>
              </w:rPr>
              <w:t xml:space="preserve"> Energy; </w:t>
            </w:r>
            <w:r w:rsidR="000F57D4" w:rsidRPr="00A07978">
              <w:rPr>
                <w:iCs/>
                <w:color w:val="000000"/>
                <w:sz w:val="16"/>
                <w:szCs w:val="16"/>
                <w:lang w:val="en-GB"/>
              </w:rPr>
              <w:t>European Union</w:t>
            </w:r>
            <w:r w:rsidRPr="00A07978">
              <w:rPr>
                <w:iCs/>
                <w:color w:val="000000"/>
                <w:sz w:val="16"/>
                <w:szCs w:val="16"/>
                <w:lang w:val="en-GB"/>
              </w:rPr>
              <w:t>; IFIs; FAO; WFP; UNIDO; UN</w:t>
            </w:r>
            <w:r w:rsidR="00F74ABC" w:rsidRPr="00A07978">
              <w:rPr>
                <w:iCs/>
                <w:color w:val="000000"/>
                <w:sz w:val="16"/>
                <w:szCs w:val="16"/>
                <w:lang w:val="en-GB"/>
              </w:rPr>
              <w:t>-</w:t>
            </w:r>
            <w:r w:rsidRPr="00A07978">
              <w:rPr>
                <w:iCs/>
                <w:color w:val="000000"/>
                <w:sz w:val="16"/>
                <w:szCs w:val="16"/>
                <w:lang w:val="en-GB"/>
              </w:rPr>
              <w:t xml:space="preserve">Women, UNV, private </w:t>
            </w:r>
            <w:r w:rsidR="000F57D4" w:rsidRPr="00A07978">
              <w:rPr>
                <w:iCs/>
                <w:color w:val="000000"/>
                <w:sz w:val="16"/>
                <w:szCs w:val="16"/>
                <w:lang w:val="en-GB"/>
              </w:rPr>
              <w:t>s</w:t>
            </w:r>
            <w:r w:rsidRPr="00A07978">
              <w:rPr>
                <w:iCs/>
                <w:color w:val="000000"/>
                <w:sz w:val="16"/>
                <w:szCs w:val="16"/>
                <w:lang w:val="en-GB"/>
              </w:rPr>
              <w:t>ector, CSO</w:t>
            </w:r>
            <w:r w:rsidR="000F57D4" w:rsidRPr="00A07978">
              <w:rPr>
                <w:iCs/>
                <w:color w:val="000000"/>
                <w:sz w:val="16"/>
                <w:szCs w:val="16"/>
                <w:lang w:val="en-GB"/>
              </w:rPr>
              <w:t>s.</w:t>
            </w:r>
          </w:p>
          <w:p w14:paraId="09AD2931" w14:textId="77777777" w:rsidR="00932A12" w:rsidRPr="00A07978" w:rsidRDefault="00932A12" w:rsidP="00E02C69">
            <w:pPr>
              <w:rPr>
                <w:i/>
                <w:iCs/>
                <w:color w:val="000000"/>
                <w:sz w:val="16"/>
                <w:szCs w:val="16"/>
                <w:lang w:val="en-GB"/>
              </w:rPr>
            </w:pPr>
          </w:p>
        </w:tc>
        <w:tc>
          <w:tcPr>
            <w:tcW w:w="811" w:type="pct"/>
            <w:tcMar>
              <w:top w:w="15" w:type="dxa"/>
              <w:left w:w="108" w:type="dxa"/>
              <w:bottom w:w="0" w:type="dxa"/>
              <w:right w:w="108" w:type="dxa"/>
            </w:tcMar>
          </w:tcPr>
          <w:p w14:paraId="5311F0CD" w14:textId="77777777" w:rsidR="00932A12" w:rsidRPr="00A07978" w:rsidRDefault="00932A12" w:rsidP="00E02C69">
            <w:pPr>
              <w:rPr>
                <w:b/>
                <w:color w:val="000000"/>
                <w:sz w:val="16"/>
                <w:szCs w:val="16"/>
                <w:lang w:val="en-GB"/>
              </w:rPr>
            </w:pPr>
            <w:r w:rsidRPr="00A07978">
              <w:rPr>
                <w:b/>
                <w:color w:val="000000"/>
                <w:sz w:val="16"/>
                <w:szCs w:val="16"/>
                <w:lang w:val="en-GB"/>
              </w:rPr>
              <w:t>Regular: 23,808</w:t>
            </w:r>
          </w:p>
          <w:p w14:paraId="34F90D0E" w14:textId="77777777" w:rsidR="00284734" w:rsidRPr="00A07978" w:rsidRDefault="00284734" w:rsidP="00284734">
            <w:pPr>
              <w:rPr>
                <w:b/>
                <w:color w:val="000000"/>
                <w:sz w:val="16"/>
                <w:szCs w:val="16"/>
                <w:lang w:val="en-GB"/>
              </w:rPr>
            </w:pPr>
            <w:r w:rsidRPr="00A07978">
              <w:rPr>
                <w:b/>
                <w:color w:val="000000"/>
                <w:sz w:val="16"/>
                <w:szCs w:val="16"/>
                <w:lang w:val="en-GB"/>
              </w:rPr>
              <w:t>Other:  57, 852</w:t>
            </w:r>
          </w:p>
          <w:p w14:paraId="724FC48F" w14:textId="77777777" w:rsidR="00932A12" w:rsidRPr="00A07978" w:rsidRDefault="00932A12" w:rsidP="00E02C69">
            <w:pPr>
              <w:rPr>
                <w:b/>
                <w:color w:val="000000"/>
                <w:sz w:val="16"/>
                <w:szCs w:val="16"/>
                <w:lang w:val="en-GB"/>
              </w:rPr>
            </w:pPr>
          </w:p>
          <w:p w14:paraId="793484DA" w14:textId="77777777" w:rsidR="00932A12" w:rsidRPr="00A07978" w:rsidDel="0003636C" w:rsidRDefault="00932A12" w:rsidP="00E02C69">
            <w:pPr>
              <w:rPr>
                <w:b/>
                <w:color w:val="000000"/>
                <w:sz w:val="16"/>
                <w:szCs w:val="16"/>
                <w:lang w:val="en-GB"/>
              </w:rPr>
            </w:pPr>
            <w:r w:rsidRPr="00A07978">
              <w:rPr>
                <w:b/>
                <w:color w:val="000000"/>
                <w:sz w:val="16"/>
                <w:szCs w:val="16"/>
                <w:lang w:val="en-GB"/>
              </w:rPr>
              <w:t xml:space="preserve">            </w:t>
            </w:r>
          </w:p>
          <w:p w14:paraId="6ED99667" w14:textId="77777777" w:rsidR="00932A12" w:rsidRPr="00A07978" w:rsidRDefault="00932A12" w:rsidP="00E02C69">
            <w:pPr>
              <w:rPr>
                <w:b/>
                <w:color w:val="000000"/>
                <w:sz w:val="16"/>
                <w:szCs w:val="16"/>
                <w:lang w:val="en-GB"/>
              </w:rPr>
            </w:pPr>
          </w:p>
          <w:p w14:paraId="2C6BED52" w14:textId="77777777" w:rsidR="00932A12" w:rsidRPr="00A07978" w:rsidRDefault="00932A12" w:rsidP="00E02C69">
            <w:pPr>
              <w:rPr>
                <w:b/>
                <w:color w:val="000000"/>
                <w:sz w:val="16"/>
                <w:szCs w:val="16"/>
                <w:lang w:val="en-GB"/>
              </w:rPr>
            </w:pPr>
          </w:p>
        </w:tc>
      </w:tr>
      <w:tr w:rsidR="00932A12" w:rsidRPr="00A07978" w14:paraId="012275BD" w14:textId="77777777" w:rsidTr="00E02C69">
        <w:trPr>
          <w:trHeight w:val="2900"/>
        </w:trPr>
        <w:tc>
          <w:tcPr>
            <w:tcW w:w="1146" w:type="pct"/>
            <w:vMerge/>
            <w:tcMar>
              <w:top w:w="72" w:type="dxa"/>
              <w:left w:w="144" w:type="dxa"/>
              <w:bottom w:w="72" w:type="dxa"/>
              <w:right w:w="144" w:type="dxa"/>
            </w:tcMar>
          </w:tcPr>
          <w:p w14:paraId="108ABA06" w14:textId="77777777" w:rsidR="00932A12" w:rsidRPr="00A07978" w:rsidRDefault="00932A12" w:rsidP="00E02C69">
            <w:pPr>
              <w:rPr>
                <w:i/>
                <w:iCs/>
                <w:color w:val="000000"/>
                <w:sz w:val="16"/>
                <w:szCs w:val="16"/>
                <w:lang w:val="en-GB"/>
              </w:rPr>
            </w:pPr>
          </w:p>
        </w:tc>
        <w:tc>
          <w:tcPr>
            <w:tcW w:w="846" w:type="pct"/>
            <w:gridSpan w:val="2"/>
            <w:vMerge/>
          </w:tcPr>
          <w:p w14:paraId="350F40C9" w14:textId="77777777" w:rsidR="00932A12" w:rsidRPr="00A07978" w:rsidRDefault="00932A12" w:rsidP="00E02C69">
            <w:pPr>
              <w:rPr>
                <w:i/>
                <w:iCs/>
                <w:color w:val="000000"/>
                <w:sz w:val="16"/>
                <w:szCs w:val="16"/>
                <w:lang w:val="en-GB"/>
              </w:rPr>
            </w:pPr>
          </w:p>
        </w:tc>
        <w:tc>
          <w:tcPr>
            <w:tcW w:w="1487" w:type="pct"/>
            <w:gridSpan w:val="2"/>
            <w:vMerge/>
            <w:tcMar>
              <w:top w:w="72" w:type="dxa"/>
              <w:left w:w="144" w:type="dxa"/>
              <w:bottom w:w="72" w:type="dxa"/>
              <w:right w:w="144" w:type="dxa"/>
            </w:tcMar>
          </w:tcPr>
          <w:p w14:paraId="2535393C" w14:textId="77777777" w:rsidR="00932A12" w:rsidRPr="00A07978" w:rsidRDefault="00932A12" w:rsidP="00E02C69">
            <w:pPr>
              <w:rPr>
                <w:i/>
                <w:iCs/>
                <w:color w:val="000000"/>
                <w:sz w:val="16"/>
                <w:szCs w:val="16"/>
                <w:lang w:val="en-GB"/>
              </w:rPr>
            </w:pPr>
          </w:p>
        </w:tc>
        <w:tc>
          <w:tcPr>
            <w:tcW w:w="710" w:type="pct"/>
            <w:gridSpan w:val="2"/>
            <w:vMerge/>
          </w:tcPr>
          <w:p w14:paraId="05E180F3" w14:textId="77777777" w:rsidR="00932A12" w:rsidRPr="00A07978" w:rsidRDefault="00932A12" w:rsidP="00E02C69">
            <w:pPr>
              <w:rPr>
                <w:i/>
                <w:iCs/>
                <w:color w:val="000000"/>
                <w:sz w:val="16"/>
                <w:szCs w:val="16"/>
                <w:lang w:val="en-GB"/>
              </w:rPr>
            </w:pPr>
          </w:p>
        </w:tc>
        <w:tc>
          <w:tcPr>
            <w:tcW w:w="811" w:type="pct"/>
            <w:tcMar>
              <w:top w:w="15" w:type="dxa"/>
              <w:left w:w="108" w:type="dxa"/>
              <w:bottom w:w="0" w:type="dxa"/>
              <w:right w:w="108" w:type="dxa"/>
            </w:tcMar>
          </w:tcPr>
          <w:p w14:paraId="6274C8E9" w14:textId="77777777" w:rsidR="00932A12" w:rsidRPr="00A07978" w:rsidRDefault="00932A12" w:rsidP="00E02C69">
            <w:pPr>
              <w:rPr>
                <w:b/>
                <w:color w:val="000000"/>
                <w:sz w:val="16"/>
                <w:szCs w:val="16"/>
                <w:lang w:val="en-GB"/>
              </w:rPr>
            </w:pPr>
          </w:p>
          <w:p w14:paraId="354C7327" w14:textId="77777777" w:rsidR="00932A12" w:rsidRPr="00A07978" w:rsidRDefault="00932A12" w:rsidP="00E02C69">
            <w:pPr>
              <w:rPr>
                <w:b/>
                <w:color w:val="000000"/>
                <w:sz w:val="16"/>
                <w:szCs w:val="16"/>
                <w:lang w:val="en-GB"/>
              </w:rPr>
            </w:pPr>
          </w:p>
          <w:p w14:paraId="4DEC1680" w14:textId="77777777" w:rsidR="00932A12" w:rsidRPr="00A07978" w:rsidRDefault="00932A12" w:rsidP="00E02C69">
            <w:pPr>
              <w:rPr>
                <w:b/>
                <w:color w:val="000000"/>
                <w:sz w:val="16"/>
                <w:szCs w:val="16"/>
                <w:lang w:val="en-GB"/>
              </w:rPr>
            </w:pPr>
          </w:p>
          <w:p w14:paraId="75281C11" w14:textId="77777777" w:rsidR="00932A12" w:rsidRPr="00A07978" w:rsidRDefault="00932A12" w:rsidP="00E02C69">
            <w:pPr>
              <w:rPr>
                <w:b/>
                <w:color w:val="000000"/>
                <w:sz w:val="16"/>
                <w:szCs w:val="16"/>
                <w:lang w:val="en-GB"/>
              </w:rPr>
            </w:pPr>
          </w:p>
          <w:p w14:paraId="1EC9A3C6" w14:textId="77777777" w:rsidR="00932A12" w:rsidRPr="00A07978" w:rsidRDefault="00932A12" w:rsidP="00E02C69">
            <w:pPr>
              <w:rPr>
                <w:b/>
                <w:color w:val="000000"/>
                <w:sz w:val="16"/>
                <w:szCs w:val="16"/>
                <w:lang w:val="en-GB"/>
              </w:rPr>
            </w:pPr>
          </w:p>
          <w:p w14:paraId="389CB67A" w14:textId="77777777" w:rsidR="00932A12" w:rsidRPr="00A07978" w:rsidRDefault="00932A12" w:rsidP="00E02C69">
            <w:pPr>
              <w:rPr>
                <w:b/>
                <w:color w:val="000000"/>
                <w:sz w:val="16"/>
                <w:szCs w:val="16"/>
                <w:lang w:val="en-GB"/>
              </w:rPr>
            </w:pPr>
          </w:p>
          <w:p w14:paraId="6F112E19" w14:textId="77777777" w:rsidR="00932A12" w:rsidRPr="00A07978" w:rsidRDefault="00932A12" w:rsidP="00E02C69">
            <w:pPr>
              <w:rPr>
                <w:b/>
                <w:color w:val="000000"/>
                <w:sz w:val="16"/>
                <w:szCs w:val="16"/>
                <w:lang w:val="en-GB"/>
              </w:rPr>
            </w:pPr>
          </w:p>
        </w:tc>
      </w:tr>
      <w:tr w:rsidR="00932A12" w:rsidRPr="00A07978" w14:paraId="02319835" w14:textId="77777777" w:rsidTr="00971293">
        <w:trPr>
          <w:trHeight w:val="5408"/>
        </w:trPr>
        <w:tc>
          <w:tcPr>
            <w:tcW w:w="1146" w:type="pct"/>
            <w:vMerge/>
            <w:tcMar>
              <w:top w:w="72" w:type="dxa"/>
              <w:left w:w="144" w:type="dxa"/>
              <w:bottom w:w="72" w:type="dxa"/>
              <w:right w:w="144" w:type="dxa"/>
            </w:tcMar>
          </w:tcPr>
          <w:p w14:paraId="220B827E" w14:textId="77777777" w:rsidR="00932A12" w:rsidRPr="00A07978" w:rsidRDefault="00932A12" w:rsidP="00E02C69">
            <w:pPr>
              <w:rPr>
                <w:i/>
                <w:iCs/>
                <w:color w:val="000000"/>
                <w:sz w:val="16"/>
                <w:szCs w:val="16"/>
                <w:lang w:val="en-GB"/>
              </w:rPr>
            </w:pPr>
          </w:p>
        </w:tc>
        <w:tc>
          <w:tcPr>
            <w:tcW w:w="846" w:type="pct"/>
            <w:gridSpan w:val="2"/>
            <w:vMerge/>
          </w:tcPr>
          <w:p w14:paraId="2E99E368" w14:textId="77777777" w:rsidR="00932A12" w:rsidRPr="00A07978" w:rsidRDefault="00932A12" w:rsidP="00E02C69">
            <w:pPr>
              <w:rPr>
                <w:i/>
                <w:iCs/>
                <w:color w:val="000000"/>
                <w:sz w:val="16"/>
                <w:szCs w:val="16"/>
                <w:lang w:val="en-GB"/>
              </w:rPr>
            </w:pPr>
          </w:p>
        </w:tc>
        <w:tc>
          <w:tcPr>
            <w:tcW w:w="1487" w:type="pct"/>
            <w:gridSpan w:val="2"/>
            <w:tcMar>
              <w:top w:w="72" w:type="dxa"/>
              <w:left w:w="144" w:type="dxa"/>
              <w:bottom w:w="72" w:type="dxa"/>
              <w:right w:w="144" w:type="dxa"/>
            </w:tcMar>
          </w:tcPr>
          <w:p w14:paraId="60B5E4A2" w14:textId="0C077B19" w:rsidR="00932A12" w:rsidRPr="00A07978" w:rsidRDefault="00D154E4" w:rsidP="00E02C69">
            <w:pPr>
              <w:rPr>
                <w:color w:val="000000" w:themeColor="text1"/>
                <w:sz w:val="16"/>
                <w:szCs w:val="16"/>
                <w:lang w:val="en-GB"/>
              </w:rPr>
            </w:pPr>
            <w:r w:rsidRPr="00A07978">
              <w:rPr>
                <w:color w:val="000000" w:themeColor="text1"/>
                <w:sz w:val="16"/>
                <w:szCs w:val="16"/>
                <w:lang w:val="en-GB"/>
              </w:rPr>
              <w:t>Output</w:t>
            </w:r>
            <w:r w:rsidR="00932A12" w:rsidRPr="00A07978">
              <w:rPr>
                <w:color w:val="000000" w:themeColor="text1"/>
                <w:sz w:val="16"/>
                <w:szCs w:val="16"/>
                <w:lang w:val="en-GB"/>
              </w:rPr>
              <w:t>2.2</w:t>
            </w:r>
            <w:r w:rsidR="000F57D4" w:rsidRPr="00A07978">
              <w:rPr>
                <w:color w:val="000000" w:themeColor="text1"/>
                <w:sz w:val="16"/>
                <w:szCs w:val="16"/>
                <w:lang w:val="en-GB"/>
              </w:rPr>
              <w:t>.</w:t>
            </w:r>
            <w:r w:rsidR="00932A12" w:rsidRPr="00A07978">
              <w:rPr>
                <w:color w:val="000000" w:themeColor="text1"/>
                <w:sz w:val="16"/>
                <w:szCs w:val="16"/>
                <w:lang w:val="en-GB"/>
              </w:rPr>
              <w:t xml:space="preserve"> Innovative and entrepreneurial solutions developed and promoted for the sustainable empowerment of youth and women, including in the agropastoral sector</w:t>
            </w:r>
            <w:r w:rsidR="000F57D4" w:rsidRPr="00A07978">
              <w:rPr>
                <w:color w:val="000000" w:themeColor="text1"/>
                <w:sz w:val="16"/>
                <w:szCs w:val="16"/>
                <w:lang w:val="en-GB"/>
              </w:rPr>
              <w:t>.</w:t>
            </w:r>
            <w:r w:rsidR="00932A12" w:rsidRPr="00A07978">
              <w:rPr>
                <w:color w:val="000000" w:themeColor="text1"/>
                <w:sz w:val="16"/>
                <w:szCs w:val="16"/>
                <w:lang w:val="en-GB"/>
              </w:rPr>
              <w:t xml:space="preserve"> </w:t>
            </w:r>
          </w:p>
          <w:p w14:paraId="3D1106DC" w14:textId="77777777" w:rsidR="00932A12" w:rsidRPr="00A07978" w:rsidRDefault="00932A12" w:rsidP="00E02C69">
            <w:pPr>
              <w:tabs>
                <w:tab w:val="num" w:pos="720"/>
              </w:tabs>
              <w:rPr>
                <w:i/>
                <w:iCs/>
                <w:color w:val="000000" w:themeColor="text1"/>
                <w:sz w:val="16"/>
                <w:szCs w:val="16"/>
                <w:lang w:val="en-GB"/>
              </w:rPr>
            </w:pPr>
            <w:r w:rsidRPr="00A07978">
              <w:rPr>
                <w:i/>
                <w:iCs/>
                <w:color w:val="000000" w:themeColor="text1"/>
                <w:sz w:val="16"/>
                <w:szCs w:val="16"/>
                <w:lang w:val="en-GB"/>
              </w:rPr>
              <w:t xml:space="preserve"> </w:t>
            </w:r>
          </w:p>
          <w:p w14:paraId="779BE748" w14:textId="77777777" w:rsidR="00767BB7" w:rsidRPr="00A07978" w:rsidRDefault="00767BB7" w:rsidP="00767BB7">
            <w:pPr>
              <w:rPr>
                <w:color w:val="000000"/>
                <w:sz w:val="16"/>
                <w:szCs w:val="16"/>
                <w:lang w:val="en-GB"/>
              </w:rPr>
            </w:pPr>
          </w:p>
          <w:p w14:paraId="51410C93" w14:textId="3FFA9AE3" w:rsidR="00932A12" w:rsidRPr="00A07978" w:rsidRDefault="00767BB7" w:rsidP="00767BB7">
            <w:pPr>
              <w:tabs>
                <w:tab w:val="num" w:pos="720"/>
              </w:tabs>
              <w:rPr>
                <w:color w:val="000000" w:themeColor="text1"/>
                <w:sz w:val="16"/>
                <w:szCs w:val="16"/>
                <w:lang w:val="en-GB"/>
              </w:rPr>
            </w:pPr>
            <w:r w:rsidRPr="00A07978">
              <w:rPr>
                <w:color w:val="000000" w:themeColor="text1"/>
                <w:sz w:val="16"/>
                <w:szCs w:val="16"/>
                <w:lang w:val="en-GB"/>
              </w:rPr>
              <w:t xml:space="preserve">Indicator </w:t>
            </w:r>
            <w:r w:rsidR="00932A12" w:rsidRPr="00A07978">
              <w:rPr>
                <w:color w:val="000000" w:themeColor="text1"/>
                <w:sz w:val="16"/>
                <w:szCs w:val="16"/>
                <w:lang w:val="en-GB"/>
              </w:rPr>
              <w:t>2.2.1</w:t>
            </w:r>
            <w:r w:rsidR="000F57D4" w:rsidRPr="00A07978">
              <w:rPr>
                <w:color w:val="000000" w:themeColor="text1"/>
                <w:sz w:val="16"/>
                <w:szCs w:val="16"/>
                <w:lang w:val="en-GB"/>
              </w:rPr>
              <w:t>.</w:t>
            </w:r>
            <w:r w:rsidR="00932A12" w:rsidRPr="00A07978">
              <w:rPr>
                <w:color w:val="000000" w:themeColor="text1"/>
                <w:sz w:val="16"/>
                <w:szCs w:val="16"/>
                <w:lang w:val="en-GB"/>
              </w:rPr>
              <w:t xml:space="preserve"> Number of innovative solutions for youth and women developed and scaled up</w:t>
            </w:r>
            <w:r w:rsidR="000F57D4" w:rsidRPr="00A07978">
              <w:rPr>
                <w:color w:val="000000" w:themeColor="text1"/>
                <w:sz w:val="16"/>
                <w:szCs w:val="16"/>
                <w:lang w:val="en-GB"/>
              </w:rPr>
              <w:t>.</w:t>
            </w:r>
            <w:r w:rsidR="00932A12" w:rsidRPr="00A07978">
              <w:rPr>
                <w:color w:val="000000" w:themeColor="text1"/>
                <w:sz w:val="16"/>
                <w:szCs w:val="16"/>
                <w:lang w:val="en-GB"/>
              </w:rPr>
              <w:t xml:space="preserve">  </w:t>
            </w:r>
          </w:p>
          <w:p w14:paraId="478C3766" w14:textId="77777777" w:rsidR="00932A12" w:rsidRPr="00A07978" w:rsidRDefault="00932A12" w:rsidP="00932A12">
            <w:pPr>
              <w:tabs>
                <w:tab w:val="num" w:pos="720"/>
              </w:tabs>
              <w:rPr>
                <w:color w:val="000000" w:themeColor="text1"/>
                <w:sz w:val="16"/>
                <w:szCs w:val="16"/>
                <w:lang w:val="en-GB"/>
              </w:rPr>
            </w:pPr>
            <w:r w:rsidRPr="00A07978">
              <w:rPr>
                <w:color w:val="000000" w:themeColor="text1"/>
                <w:sz w:val="16"/>
                <w:szCs w:val="16"/>
                <w:lang w:val="en-GB"/>
              </w:rPr>
              <w:t xml:space="preserve"> </w:t>
            </w:r>
          </w:p>
          <w:p w14:paraId="59F52515" w14:textId="17ECA0F1" w:rsidR="00932A12" w:rsidRPr="00A07978" w:rsidRDefault="00932A12" w:rsidP="000F57D4">
            <w:pPr>
              <w:tabs>
                <w:tab w:val="num" w:pos="720"/>
              </w:tabs>
              <w:rPr>
                <w:color w:val="000000" w:themeColor="text1"/>
                <w:sz w:val="16"/>
                <w:szCs w:val="16"/>
                <w:lang w:val="en-GB"/>
              </w:rPr>
            </w:pPr>
            <w:r w:rsidRPr="00A07978">
              <w:rPr>
                <w:color w:val="000000" w:themeColor="text1"/>
                <w:sz w:val="16"/>
                <w:szCs w:val="16"/>
                <w:lang w:val="en-GB"/>
              </w:rPr>
              <w:t>Baseline (2023): 3</w:t>
            </w:r>
          </w:p>
          <w:p w14:paraId="2C9C6DFF" w14:textId="0C14D34E" w:rsidR="00932A12" w:rsidRPr="00A07978" w:rsidRDefault="00932A12" w:rsidP="00932A12">
            <w:pPr>
              <w:tabs>
                <w:tab w:val="num" w:pos="720"/>
              </w:tabs>
              <w:rPr>
                <w:color w:val="000000" w:themeColor="text1"/>
                <w:sz w:val="16"/>
                <w:szCs w:val="16"/>
                <w:lang w:val="en-GB"/>
              </w:rPr>
            </w:pPr>
            <w:r w:rsidRPr="00A07978">
              <w:rPr>
                <w:color w:val="000000" w:themeColor="text1"/>
                <w:sz w:val="16"/>
                <w:szCs w:val="16"/>
                <w:lang w:val="en-GB"/>
              </w:rPr>
              <w:t xml:space="preserve">Target (2027): </w:t>
            </w:r>
            <w:r w:rsidR="000E3365" w:rsidRPr="00A07978">
              <w:rPr>
                <w:color w:val="000000" w:themeColor="text1"/>
                <w:sz w:val="16"/>
                <w:szCs w:val="16"/>
                <w:lang w:val="en-GB"/>
              </w:rPr>
              <w:t>4</w:t>
            </w:r>
          </w:p>
          <w:p w14:paraId="0834A189" w14:textId="15FB0CD6" w:rsidR="00932A12" w:rsidRPr="00A07978" w:rsidRDefault="00767BB7" w:rsidP="00932A12">
            <w:pPr>
              <w:rPr>
                <w:color w:val="000000" w:themeColor="text1"/>
                <w:sz w:val="16"/>
                <w:szCs w:val="16"/>
                <w:lang w:val="en-GB"/>
              </w:rPr>
            </w:pPr>
            <w:r w:rsidRPr="00A07978">
              <w:rPr>
                <w:color w:val="000000" w:themeColor="text1"/>
                <w:sz w:val="16"/>
                <w:szCs w:val="16"/>
                <w:lang w:val="en-GB"/>
              </w:rPr>
              <w:t>S</w:t>
            </w:r>
            <w:r w:rsidR="00932A12" w:rsidRPr="00A07978">
              <w:rPr>
                <w:color w:val="000000" w:themeColor="text1"/>
                <w:sz w:val="16"/>
                <w:szCs w:val="16"/>
                <w:lang w:val="en-GB"/>
              </w:rPr>
              <w:t xml:space="preserve">ource: </w:t>
            </w:r>
            <w:r w:rsidR="000F57D4" w:rsidRPr="00A07978">
              <w:rPr>
                <w:color w:val="000000" w:themeColor="text1"/>
                <w:sz w:val="16"/>
                <w:szCs w:val="16"/>
                <w:lang w:val="en-GB"/>
              </w:rPr>
              <w:t>Ministry of</w:t>
            </w:r>
            <w:r w:rsidR="00932A12" w:rsidRPr="00A07978">
              <w:rPr>
                <w:color w:val="000000" w:themeColor="text1"/>
                <w:sz w:val="16"/>
                <w:szCs w:val="16"/>
                <w:lang w:val="en-GB"/>
              </w:rPr>
              <w:t xml:space="preserve"> Trade and Industry</w:t>
            </w:r>
          </w:p>
          <w:p w14:paraId="6625CCB3" w14:textId="77777777" w:rsidR="00932A12" w:rsidRPr="00A07978" w:rsidRDefault="00932A12" w:rsidP="00932A12">
            <w:pPr>
              <w:rPr>
                <w:color w:val="000000" w:themeColor="text1"/>
                <w:sz w:val="16"/>
                <w:szCs w:val="16"/>
                <w:lang w:val="en-GB"/>
              </w:rPr>
            </w:pPr>
            <w:r w:rsidRPr="00A07978">
              <w:rPr>
                <w:color w:val="000000" w:themeColor="text1"/>
                <w:sz w:val="16"/>
                <w:szCs w:val="16"/>
                <w:lang w:val="en-GB"/>
              </w:rPr>
              <w:t xml:space="preserve">Frequency: Annually </w:t>
            </w:r>
          </w:p>
          <w:p w14:paraId="532AD740" w14:textId="77777777" w:rsidR="00932A12" w:rsidRPr="00A07978" w:rsidRDefault="00932A12" w:rsidP="00932A12">
            <w:pPr>
              <w:tabs>
                <w:tab w:val="num" w:pos="720"/>
              </w:tabs>
              <w:rPr>
                <w:color w:val="000000" w:themeColor="text1"/>
                <w:sz w:val="16"/>
                <w:szCs w:val="16"/>
                <w:lang w:val="en-GB"/>
              </w:rPr>
            </w:pPr>
          </w:p>
          <w:p w14:paraId="2D90A57E" w14:textId="77777777" w:rsidR="00932A12" w:rsidRPr="00A07978" w:rsidRDefault="00932A12" w:rsidP="00932A12">
            <w:pPr>
              <w:tabs>
                <w:tab w:val="num" w:pos="720"/>
              </w:tabs>
              <w:rPr>
                <w:color w:val="000000" w:themeColor="text1"/>
                <w:sz w:val="16"/>
                <w:szCs w:val="16"/>
                <w:lang w:val="en-GB"/>
              </w:rPr>
            </w:pPr>
            <w:r w:rsidRPr="00A07978">
              <w:rPr>
                <w:color w:val="000000" w:themeColor="text1"/>
                <w:sz w:val="16"/>
                <w:szCs w:val="16"/>
                <w:lang w:val="en-GB"/>
              </w:rPr>
              <w:t xml:space="preserve"> </w:t>
            </w:r>
          </w:p>
          <w:p w14:paraId="4C85CC2C" w14:textId="77777777" w:rsidR="00767BB7" w:rsidRPr="00A07978" w:rsidRDefault="00767BB7" w:rsidP="00767BB7">
            <w:pPr>
              <w:rPr>
                <w:color w:val="000000"/>
                <w:sz w:val="16"/>
                <w:szCs w:val="16"/>
                <w:lang w:val="en-GB"/>
              </w:rPr>
            </w:pPr>
          </w:p>
          <w:p w14:paraId="21299430" w14:textId="43F6959E" w:rsidR="00932A12" w:rsidRPr="00A07978" w:rsidRDefault="00767BB7" w:rsidP="00767BB7">
            <w:pPr>
              <w:tabs>
                <w:tab w:val="num" w:pos="720"/>
              </w:tabs>
              <w:rPr>
                <w:color w:val="000000" w:themeColor="text1"/>
                <w:sz w:val="16"/>
                <w:szCs w:val="16"/>
                <w:lang w:val="en-GB"/>
              </w:rPr>
            </w:pPr>
            <w:r w:rsidRPr="00A07978">
              <w:rPr>
                <w:color w:val="000000" w:themeColor="text1"/>
                <w:sz w:val="16"/>
                <w:szCs w:val="16"/>
                <w:lang w:val="en-GB"/>
              </w:rPr>
              <w:t xml:space="preserve">Indicator </w:t>
            </w:r>
            <w:r w:rsidR="00932A12" w:rsidRPr="00A07978">
              <w:rPr>
                <w:color w:val="000000" w:themeColor="text1"/>
                <w:sz w:val="16"/>
                <w:szCs w:val="16"/>
                <w:lang w:val="en-GB"/>
              </w:rPr>
              <w:t>2.2.2</w:t>
            </w:r>
            <w:r w:rsidR="000F57D4" w:rsidRPr="00A07978">
              <w:rPr>
                <w:color w:val="000000" w:themeColor="text1"/>
                <w:sz w:val="16"/>
                <w:szCs w:val="16"/>
                <w:lang w:val="en-GB"/>
              </w:rPr>
              <w:t>.</w:t>
            </w:r>
            <w:r w:rsidR="00932A12" w:rsidRPr="00A07978">
              <w:rPr>
                <w:color w:val="000000" w:themeColor="text1"/>
                <w:sz w:val="16"/>
                <w:szCs w:val="16"/>
                <w:lang w:val="en-GB"/>
              </w:rPr>
              <w:t xml:space="preserve"> Number of jobs created for youth and women entrepreneurs</w:t>
            </w:r>
            <w:r w:rsidR="000F57D4" w:rsidRPr="00A07978">
              <w:rPr>
                <w:color w:val="000000" w:themeColor="text1"/>
                <w:sz w:val="16"/>
                <w:szCs w:val="16"/>
                <w:lang w:val="en-GB"/>
              </w:rPr>
              <w:t>.</w:t>
            </w:r>
            <w:r w:rsidR="00932A12" w:rsidRPr="00A07978">
              <w:rPr>
                <w:color w:val="000000" w:themeColor="text1"/>
                <w:sz w:val="16"/>
                <w:szCs w:val="16"/>
                <w:lang w:val="en-GB"/>
              </w:rPr>
              <w:t xml:space="preserve">  </w:t>
            </w:r>
          </w:p>
          <w:p w14:paraId="107524CA" w14:textId="5B283BBE" w:rsidR="00932A12" w:rsidRPr="00A07978" w:rsidRDefault="00932A12" w:rsidP="000F57D4">
            <w:pPr>
              <w:tabs>
                <w:tab w:val="num" w:pos="720"/>
              </w:tabs>
              <w:rPr>
                <w:color w:val="000000" w:themeColor="text1"/>
                <w:sz w:val="16"/>
                <w:szCs w:val="16"/>
                <w:lang w:val="en-GB"/>
              </w:rPr>
            </w:pPr>
            <w:r w:rsidRPr="00A07978">
              <w:rPr>
                <w:color w:val="000000" w:themeColor="text1"/>
                <w:sz w:val="16"/>
                <w:szCs w:val="16"/>
                <w:lang w:val="en-GB"/>
              </w:rPr>
              <w:t xml:space="preserve">Baseline (2023): </w:t>
            </w:r>
            <w:r w:rsidR="001C3155" w:rsidRPr="00A07978">
              <w:rPr>
                <w:color w:val="000000" w:themeColor="text1"/>
                <w:sz w:val="16"/>
                <w:szCs w:val="16"/>
                <w:lang w:val="en-GB"/>
              </w:rPr>
              <w:t>0</w:t>
            </w:r>
          </w:p>
          <w:p w14:paraId="79112090" w14:textId="3188C53C" w:rsidR="00932A12" w:rsidRPr="00A07978" w:rsidRDefault="00932A12" w:rsidP="00932A12">
            <w:pPr>
              <w:tabs>
                <w:tab w:val="num" w:pos="720"/>
              </w:tabs>
              <w:rPr>
                <w:color w:val="000000" w:themeColor="text1"/>
                <w:sz w:val="16"/>
                <w:szCs w:val="16"/>
                <w:lang w:val="en-GB"/>
              </w:rPr>
            </w:pPr>
            <w:r w:rsidRPr="00A07978">
              <w:rPr>
                <w:color w:val="000000" w:themeColor="text1"/>
                <w:sz w:val="16"/>
                <w:szCs w:val="16"/>
                <w:lang w:val="en-GB"/>
              </w:rPr>
              <w:t xml:space="preserve">Target (2027): </w:t>
            </w:r>
            <w:r w:rsidR="001C3155" w:rsidRPr="00A07978">
              <w:rPr>
                <w:color w:val="000000" w:themeColor="text1"/>
                <w:sz w:val="16"/>
                <w:szCs w:val="16"/>
                <w:lang w:val="en-GB"/>
              </w:rPr>
              <w:t>10000</w:t>
            </w:r>
          </w:p>
          <w:p w14:paraId="211B2395" w14:textId="67036723" w:rsidR="00932A12" w:rsidRPr="00A07978" w:rsidRDefault="00767BB7" w:rsidP="00932A12">
            <w:pPr>
              <w:rPr>
                <w:color w:val="000000" w:themeColor="text1"/>
                <w:sz w:val="16"/>
                <w:szCs w:val="16"/>
                <w:lang w:val="en-GB"/>
              </w:rPr>
            </w:pPr>
            <w:r w:rsidRPr="00A07978">
              <w:rPr>
                <w:color w:val="000000" w:themeColor="text1"/>
                <w:sz w:val="16"/>
                <w:szCs w:val="16"/>
                <w:lang w:val="en-GB"/>
              </w:rPr>
              <w:t>S</w:t>
            </w:r>
            <w:r w:rsidR="00932A12" w:rsidRPr="00A07978">
              <w:rPr>
                <w:color w:val="000000" w:themeColor="text1"/>
                <w:sz w:val="16"/>
                <w:szCs w:val="16"/>
                <w:lang w:val="en-GB"/>
              </w:rPr>
              <w:t>ource: Min. Trade and Industry</w:t>
            </w:r>
          </w:p>
          <w:p w14:paraId="2930DAEE" w14:textId="77777777" w:rsidR="00932A12" w:rsidRPr="00A07978" w:rsidRDefault="00932A12" w:rsidP="00932A12">
            <w:pPr>
              <w:rPr>
                <w:color w:val="000000" w:themeColor="text1"/>
                <w:sz w:val="16"/>
                <w:szCs w:val="16"/>
                <w:lang w:val="en-GB"/>
              </w:rPr>
            </w:pPr>
            <w:r w:rsidRPr="00A07978">
              <w:rPr>
                <w:color w:val="000000" w:themeColor="text1"/>
                <w:sz w:val="16"/>
                <w:szCs w:val="16"/>
                <w:lang w:val="en-GB"/>
              </w:rPr>
              <w:t xml:space="preserve">Frequency: Annually </w:t>
            </w:r>
          </w:p>
          <w:p w14:paraId="524BA118" w14:textId="77777777" w:rsidR="00932A12" w:rsidRPr="00A07978" w:rsidRDefault="00932A12" w:rsidP="00932A12">
            <w:pPr>
              <w:tabs>
                <w:tab w:val="num" w:pos="720"/>
              </w:tabs>
              <w:rPr>
                <w:color w:val="000000" w:themeColor="text1"/>
                <w:sz w:val="16"/>
                <w:szCs w:val="16"/>
                <w:lang w:val="en-GB"/>
              </w:rPr>
            </w:pPr>
          </w:p>
          <w:p w14:paraId="3A6FFE3F" w14:textId="77777777" w:rsidR="00932A12" w:rsidRPr="00A07978" w:rsidRDefault="00932A12" w:rsidP="00932A12">
            <w:pPr>
              <w:tabs>
                <w:tab w:val="num" w:pos="720"/>
              </w:tabs>
              <w:rPr>
                <w:color w:val="000000" w:themeColor="text1"/>
                <w:sz w:val="16"/>
                <w:szCs w:val="16"/>
                <w:lang w:val="en-GB"/>
              </w:rPr>
            </w:pPr>
            <w:r w:rsidRPr="00A07978">
              <w:rPr>
                <w:color w:val="000000" w:themeColor="text1"/>
                <w:sz w:val="16"/>
                <w:szCs w:val="16"/>
                <w:lang w:val="en-GB"/>
              </w:rPr>
              <w:t xml:space="preserve"> </w:t>
            </w:r>
          </w:p>
          <w:p w14:paraId="099B1E11" w14:textId="77777777" w:rsidR="00767BB7" w:rsidRPr="00A07978" w:rsidRDefault="00767BB7" w:rsidP="00767BB7">
            <w:pPr>
              <w:rPr>
                <w:color w:val="000000"/>
                <w:sz w:val="16"/>
                <w:szCs w:val="16"/>
                <w:lang w:val="en-GB"/>
              </w:rPr>
            </w:pPr>
          </w:p>
          <w:p w14:paraId="75797945" w14:textId="1EDD14F2" w:rsidR="00932A12" w:rsidRPr="00A07978" w:rsidRDefault="00767BB7" w:rsidP="00767BB7">
            <w:pPr>
              <w:pStyle w:val="CommentText"/>
              <w:rPr>
                <w:color w:val="000000" w:themeColor="text1"/>
                <w:sz w:val="16"/>
                <w:szCs w:val="16"/>
                <w:lang w:val="en-GB"/>
              </w:rPr>
            </w:pPr>
            <w:r w:rsidRPr="00A07978">
              <w:rPr>
                <w:color w:val="000000" w:themeColor="text1"/>
                <w:sz w:val="16"/>
                <w:szCs w:val="16"/>
                <w:lang w:val="en-GB"/>
              </w:rPr>
              <w:t xml:space="preserve">Indicator </w:t>
            </w:r>
            <w:r w:rsidR="00932A12" w:rsidRPr="00A07978">
              <w:rPr>
                <w:color w:val="000000" w:themeColor="text1"/>
                <w:sz w:val="16"/>
                <w:szCs w:val="16"/>
                <w:lang w:val="en-GB"/>
              </w:rPr>
              <w:t>2.2.3</w:t>
            </w:r>
            <w:r w:rsidR="000F57D4" w:rsidRPr="00A07978">
              <w:rPr>
                <w:color w:val="000000" w:themeColor="text1"/>
                <w:sz w:val="16"/>
                <w:szCs w:val="16"/>
                <w:lang w:val="en-GB"/>
              </w:rPr>
              <w:t>.</w:t>
            </w:r>
            <w:r w:rsidR="00932A12" w:rsidRPr="00A07978">
              <w:rPr>
                <w:color w:val="000000" w:themeColor="text1"/>
                <w:sz w:val="16"/>
                <w:szCs w:val="16"/>
                <w:lang w:val="en-GB"/>
              </w:rPr>
              <w:t xml:space="preserve"> Existence of a financing mechanisms to support youth and women established or strengthened</w:t>
            </w:r>
            <w:r w:rsidR="000F57D4" w:rsidRPr="00A07978">
              <w:rPr>
                <w:color w:val="000000" w:themeColor="text1"/>
                <w:sz w:val="16"/>
                <w:szCs w:val="16"/>
                <w:lang w:val="en-GB"/>
              </w:rPr>
              <w:t>.</w:t>
            </w:r>
            <w:r w:rsidR="00932A12" w:rsidRPr="00A07978">
              <w:rPr>
                <w:color w:val="000000" w:themeColor="text1"/>
                <w:sz w:val="16"/>
                <w:szCs w:val="16"/>
                <w:lang w:val="en-GB"/>
              </w:rPr>
              <w:t xml:space="preserve"> </w:t>
            </w:r>
          </w:p>
          <w:p w14:paraId="13A12FA4" w14:textId="2FA5EBEB" w:rsidR="00932A12" w:rsidRPr="00A07978" w:rsidRDefault="00932A12" w:rsidP="000F57D4">
            <w:pPr>
              <w:tabs>
                <w:tab w:val="num" w:pos="720"/>
              </w:tabs>
              <w:rPr>
                <w:color w:val="000000" w:themeColor="text1"/>
                <w:sz w:val="16"/>
                <w:szCs w:val="16"/>
                <w:lang w:val="en-GB"/>
              </w:rPr>
            </w:pPr>
            <w:r w:rsidRPr="00A07978">
              <w:rPr>
                <w:color w:val="000000" w:themeColor="text1"/>
                <w:sz w:val="16"/>
                <w:szCs w:val="16"/>
                <w:lang w:val="en-GB"/>
              </w:rPr>
              <w:t xml:space="preserve">Baseline (2023): Yes </w:t>
            </w:r>
          </w:p>
          <w:p w14:paraId="29AD63F2" w14:textId="77777777" w:rsidR="00932A12" w:rsidRPr="00A07978" w:rsidRDefault="00932A12" w:rsidP="00932A12">
            <w:pPr>
              <w:tabs>
                <w:tab w:val="num" w:pos="720"/>
              </w:tabs>
              <w:rPr>
                <w:color w:val="000000" w:themeColor="text1"/>
                <w:sz w:val="16"/>
                <w:szCs w:val="16"/>
                <w:lang w:val="en-GB"/>
              </w:rPr>
            </w:pPr>
            <w:r w:rsidRPr="00A07978">
              <w:rPr>
                <w:color w:val="000000" w:themeColor="text1"/>
                <w:sz w:val="16"/>
                <w:szCs w:val="16"/>
                <w:lang w:val="en-GB"/>
              </w:rPr>
              <w:t xml:space="preserve">Target (2027): Yes </w:t>
            </w:r>
          </w:p>
          <w:p w14:paraId="7BE00BAF" w14:textId="5EDEC60A" w:rsidR="00932A12" w:rsidRPr="00A07978" w:rsidRDefault="00767BB7" w:rsidP="00932A12">
            <w:pPr>
              <w:rPr>
                <w:color w:val="000000" w:themeColor="text1"/>
                <w:sz w:val="16"/>
                <w:szCs w:val="16"/>
                <w:lang w:val="en-GB"/>
              </w:rPr>
            </w:pPr>
            <w:r w:rsidRPr="00A07978">
              <w:rPr>
                <w:color w:val="000000" w:themeColor="text1"/>
                <w:sz w:val="16"/>
                <w:szCs w:val="16"/>
                <w:lang w:val="en-GB"/>
              </w:rPr>
              <w:t>S</w:t>
            </w:r>
            <w:r w:rsidR="00932A12" w:rsidRPr="00A07978">
              <w:rPr>
                <w:color w:val="000000" w:themeColor="text1"/>
                <w:sz w:val="16"/>
                <w:szCs w:val="16"/>
                <w:lang w:val="en-GB"/>
              </w:rPr>
              <w:t>ource: Min</w:t>
            </w:r>
            <w:r w:rsidR="000F57D4" w:rsidRPr="00A07978">
              <w:rPr>
                <w:color w:val="000000" w:themeColor="text1"/>
                <w:sz w:val="16"/>
                <w:szCs w:val="16"/>
                <w:lang w:val="en-GB"/>
              </w:rPr>
              <w:t>istry of</w:t>
            </w:r>
            <w:r w:rsidR="00932A12" w:rsidRPr="00A07978">
              <w:rPr>
                <w:color w:val="000000" w:themeColor="text1"/>
                <w:sz w:val="16"/>
                <w:szCs w:val="16"/>
                <w:lang w:val="en-GB"/>
              </w:rPr>
              <w:t xml:space="preserve"> Trade and Industry</w:t>
            </w:r>
          </w:p>
          <w:p w14:paraId="5D2D316F" w14:textId="77777777" w:rsidR="00932A12" w:rsidRPr="00A07978" w:rsidRDefault="00932A12" w:rsidP="00932A12">
            <w:pPr>
              <w:rPr>
                <w:color w:val="000000" w:themeColor="text1"/>
                <w:sz w:val="16"/>
                <w:szCs w:val="16"/>
                <w:lang w:val="en-GB"/>
              </w:rPr>
            </w:pPr>
            <w:r w:rsidRPr="00A07978">
              <w:rPr>
                <w:color w:val="000000" w:themeColor="text1"/>
                <w:sz w:val="16"/>
                <w:szCs w:val="16"/>
                <w:lang w:val="en-GB"/>
              </w:rPr>
              <w:t xml:space="preserve">Frequency: Annually </w:t>
            </w:r>
          </w:p>
          <w:p w14:paraId="29CE48B7" w14:textId="77777777" w:rsidR="00932A12" w:rsidRPr="00A07978" w:rsidRDefault="00932A12" w:rsidP="00E02C69">
            <w:pPr>
              <w:jc w:val="both"/>
              <w:rPr>
                <w:i/>
                <w:iCs/>
                <w:color w:val="000000"/>
                <w:sz w:val="16"/>
                <w:szCs w:val="16"/>
                <w:lang w:val="en-GB"/>
              </w:rPr>
            </w:pPr>
          </w:p>
        </w:tc>
        <w:tc>
          <w:tcPr>
            <w:tcW w:w="710" w:type="pct"/>
            <w:gridSpan w:val="2"/>
            <w:vMerge/>
          </w:tcPr>
          <w:p w14:paraId="69C862B4" w14:textId="77777777" w:rsidR="00932A12" w:rsidRPr="00A07978" w:rsidRDefault="00932A12" w:rsidP="00E02C69">
            <w:pPr>
              <w:rPr>
                <w:iCs/>
                <w:color w:val="000000"/>
                <w:sz w:val="16"/>
                <w:szCs w:val="16"/>
                <w:lang w:val="en-GB"/>
              </w:rPr>
            </w:pPr>
          </w:p>
        </w:tc>
        <w:tc>
          <w:tcPr>
            <w:tcW w:w="811" w:type="pct"/>
            <w:tcMar>
              <w:top w:w="15" w:type="dxa"/>
              <w:left w:w="108" w:type="dxa"/>
              <w:bottom w:w="0" w:type="dxa"/>
              <w:right w:w="108" w:type="dxa"/>
            </w:tcMar>
          </w:tcPr>
          <w:p w14:paraId="477F8582" w14:textId="77777777" w:rsidR="00932A12" w:rsidRPr="00A07978" w:rsidRDefault="00932A12" w:rsidP="00E02C69">
            <w:pPr>
              <w:rPr>
                <w:b/>
                <w:color w:val="000000"/>
                <w:sz w:val="16"/>
                <w:szCs w:val="16"/>
                <w:lang w:val="en-GB"/>
              </w:rPr>
            </w:pPr>
          </w:p>
        </w:tc>
      </w:tr>
      <w:tr w:rsidR="00932A12" w:rsidRPr="00A07978" w14:paraId="4136F774" w14:textId="77777777" w:rsidTr="00E02C69">
        <w:trPr>
          <w:trHeight w:val="226"/>
        </w:trPr>
        <w:tc>
          <w:tcPr>
            <w:tcW w:w="5000" w:type="pct"/>
            <w:gridSpan w:val="8"/>
            <w:shd w:val="clear" w:color="auto" w:fill="DBE5F1" w:themeFill="accent1" w:themeFillTint="33"/>
            <w:tcMar>
              <w:top w:w="72" w:type="dxa"/>
              <w:left w:w="144" w:type="dxa"/>
              <w:bottom w:w="72" w:type="dxa"/>
              <w:right w:w="144" w:type="dxa"/>
            </w:tcMar>
          </w:tcPr>
          <w:p w14:paraId="43A8E3C6" w14:textId="777B4E4E" w:rsidR="00932A12" w:rsidRPr="00A07978" w:rsidRDefault="00932A12" w:rsidP="00E02C69">
            <w:pPr>
              <w:rPr>
                <w:color w:val="000000" w:themeColor="text1"/>
                <w:sz w:val="16"/>
                <w:szCs w:val="16"/>
                <w:lang w:val="en-GB"/>
              </w:rPr>
            </w:pPr>
            <w:r w:rsidRPr="00A07978">
              <w:rPr>
                <w:b/>
                <w:bCs/>
                <w:color w:val="000000" w:themeColor="text1"/>
                <w:sz w:val="16"/>
                <w:szCs w:val="16"/>
                <w:lang w:val="en-GB"/>
              </w:rPr>
              <w:lastRenderedPageBreak/>
              <w:t>NATIONAL PRIORITY OR GOAL: Sustainable environmental management and enhanced resilience to climate change and other risks</w:t>
            </w:r>
            <w:r w:rsidR="000F57D4" w:rsidRPr="00A07978">
              <w:rPr>
                <w:b/>
                <w:bCs/>
                <w:color w:val="000000" w:themeColor="text1"/>
                <w:sz w:val="16"/>
                <w:szCs w:val="16"/>
                <w:lang w:val="en-GB"/>
              </w:rPr>
              <w:t>.</w:t>
            </w:r>
          </w:p>
        </w:tc>
      </w:tr>
      <w:tr w:rsidR="00932A12" w:rsidRPr="00A07978" w14:paraId="00848E9D" w14:textId="77777777" w:rsidTr="00E02C69">
        <w:trPr>
          <w:trHeight w:val="222"/>
        </w:trPr>
        <w:tc>
          <w:tcPr>
            <w:tcW w:w="5000" w:type="pct"/>
            <w:gridSpan w:val="8"/>
            <w:shd w:val="clear" w:color="auto" w:fill="DBE5F1" w:themeFill="accent1" w:themeFillTint="33"/>
            <w:tcMar>
              <w:top w:w="72" w:type="dxa"/>
              <w:left w:w="144" w:type="dxa"/>
              <w:bottom w:w="72" w:type="dxa"/>
              <w:right w:w="144" w:type="dxa"/>
            </w:tcMar>
          </w:tcPr>
          <w:p w14:paraId="74BFE36C" w14:textId="7CF79B61" w:rsidR="00932A12" w:rsidRPr="00A07978" w:rsidRDefault="00932A12" w:rsidP="00E02C69">
            <w:pPr>
              <w:rPr>
                <w:color w:val="000000" w:themeColor="text1"/>
                <w:sz w:val="16"/>
                <w:szCs w:val="16"/>
                <w:lang w:val="en-GB"/>
              </w:rPr>
            </w:pPr>
            <w:r w:rsidRPr="00A07978">
              <w:rPr>
                <w:b/>
                <w:bCs/>
                <w:color w:val="000000" w:themeColor="text1"/>
                <w:sz w:val="16"/>
                <w:szCs w:val="16"/>
                <w:lang w:val="en-GB"/>
              </w:rPr>
              <w:t>COOPERATION FRAMEWORK OUTCOME INVOLVING UNDP #5:</w:t>
            </w:r>
            <w:r w:rsidRPr="00A07978">
              <w:rPr>
                <w:color w:val="000000" w:themeColor="text1"/>
                <w:sz w:val="16"/>
                <w:szCs w:val="16"/>
                <w:lang w:val="en-GB"/>
              </w:rPr>
              <w:t xml:space="preserve"> </w:t>
            </w:r>
            <w:r w:rsidRPr="00A07978">
              <w:rPr>
                <w:b/>
                <w:color w:val="000000" w:themeColor="text1"/>
                <w:sz w:val="16"/>
                <w:szCs w:val="16"/>
                <w:lang w:val="en-GB"/>
              </w:rPr>
              <w:t xml:space="preserve">By 2027, the people of Burundi benefit from improved environmental and natural resource management practices, including adaptive capacities and systems to prepare for and respond to natural and man-made shocks </w:t>
            </w:r>
            <w:r w:rsidR="000F57D4" w:rsidRPr="00A07978">
              <w:rPr>
                <w:b/>
                <w:color w:val="000000" w:themeColor="text1"/>
                <w:sz w:val="16"/>
                <w:szCs w:val="16"/>
                <w:lang w:val="en-GB"/>
              </w:rPr>
              <w:t>(</w:t>
            </w:r>
            <w:r w:rsidRPr="00A07978">
              <w:rPr>
                <w:b/>
                <w:color w:val="000000" w:themeColor="text1"/>
                <w:sz w:val="16"/>
                <w:szCs w:val="16"/>
                <w:lang w:val="en-GB"/>
              </w:rPr>
              <w:t>Sustainable Development Goals 3, 4, 5, 6, 7, 8, 9, 10, 11 and 16 Agenda 2063, Goal 1, 2, 3 and 17</w:t>
            </w:r>
            <w:r w:rsidR="000F57D4" w:rsidRPr="00A07978">
              <w:rPr>
                <w:b/>
                <w:color w:val="000000" w:themeColor="text1"/>
                <w:sz w:val="16"/>
                <w:szCs w:val="16"/>
                <w:lang w:val="en-GB"/>
              </w:rPr>
              <w:t>).</w:t>
            </w:r>
            <w:r w:rsidRPr="00A07978">
              <w:rPr>
                <w:color w:val="000000" w:themeColor="text1"/>
                <w:sz w:val="16"/>
                <w:szCs w:val="16"/>
                <w:lang w:val="en-GB"/>
              </w:rPr>
              <w:t xml:space="preserve"> </w:t>
            </w:r>
          </w:p>
        </w:tc>
      </w:tr>
      <w:tr w:rsidR="00932A12" w:rsidRPr="00A07978" w14:paraId="0EF74175" w14:textId="77777777" w:rsidTr="00E02C69">
        <w:trPr>
          <w:trHeight w:val="124"/>
        </w:trPr>
        <w:tc>
          <w:tcPr>
            <w:tcW w:w="5000" w:type="pct"/>
            <w:gridSpan w:val="8"/>
            <w:shd w:val="clear" w:color="auto" w:fill="DBE5F1" w:themeFill="accent1" w:themeFillTint="33"/>
            <w:tcMar>
              <w:top w:w="72" w:type="dxa"/>
              <w:left w:w="144" w:type="dxa"/>
              <w:bottom w:w="72" w:type="dxa"/>
              <w:right w:w="144" w:type="dxa"/>
            </w:tcMar>
          </w:tcPr>
          <w:p w14:paraId="785FD18F" w14:textId="0EE8B124" w:rsidR="00932A12" w:rsidRPr="00A07978" w:rsidRDefault="00932A12" w:rsidP="00E02C69">
            <w:pPr>
              <w:rPr>
                <w:b/>
                <w:bCs/>
                <w:color w:val="000000" w:themeColor="text1"/>
                <w:sz w:val="16"/>
                <w:szCs w:val="16"/>
                <w:lang w:val="en-GB"/>
              </w:rPr>
            </w:pPr>
            <w:r w:rsidRPr="00A07978">
              <w:rPr>
                <w:b/>
                <w:bCs/>
                <w:color w:val="000000" w:themeColor="text1"/>
                <w:sz w:val="16"/>
                <w:szCs w:val="16"/>
                <w:lang w:val="en-GB"/>
              </w:rPr>
              <w:t xml:space="preserve">RELATED STRATEGIC PLAN OUTCOME 3: </w:t>
            </w:r>
            <w:r w:rsidRPr="00A07978">
              <w:rPr>
                <w:b/>
                <w:color w:val="000000" w:themeColor="text1"/>
                <w:sz w:val="16"/>
                <w:szCs w:val="16"/>
                <w:lang w:val="en-GB"/>
              </w:rPr>
              <w:t>Resilience built to respond to systemic uncertainty and risk</w:t>
            </w:r>
            <w:r w:rsidR="000F57D4" w:rsidRPr="00A07978">
              <w:rPr>
                <w:b/>
                <w:color w:val="000000" w:themeColor="text1"/>
                <w:sz w:val="16"/>
                <w:szCs w:val="16"/>
                <w:lang w:val="en-GB"/>
              </w:rPr>
              <w:t>.</w:t>
            </w:r>
          </w:p>
        </w:tc>
      </w:tr>
      <w:tr w:rsidR="00932A12" w:rsidRPr="00A07978" w14:paraId="345697C5" w14:textId="77777777" w:rsidTr="00E02C69">
        <w:trPr>
          <w:trHeight w:val="738"/>
        </w:trPr>
        <w:tc>
          <w:tcPr>
            <w:tcW w:w="1149" w:type="pct"/>
            <w:gridSpan w:val="2"/>
            <w:shd w:val="clear" w:color="auto" w:fill="DBE5F1" w:themeFill="accent1" w:themeFillTint="33"/>
            <w:tcMar>
              <w:top w:w="72" w:type="dxa"/>
              <w:left w:w="144" w:type="dxa"/>
              <w:bottom w:w="72" w:type="dxa"/>
              <w:right w:w="144" w:type="dxa"/>
            </w:tcMar>
            <w:vAlign w:val="center"/>
          </w:tcPr>
          <w:p w14:paraId="3E96D0BD" w14:textId="77777777" w:rsidR="00932A12" w:rsidRPr="00A07978" w:rsidRDefault="00932A12" w:rsidP="00E02C69">
            <w:pPr>
              <w:jc w:val="center"/>
              <w:rPr>
                <w:color w:val="000000"/>
                <w:sz w:val="16"/>
                <w:szCs w:val="16"/>
                <w:lang w:val="en-GB"/>
              </w:rPr>
            </w:pPr>
            <w:r w:rsidRPr="00A07978">
              <w:rPr>
                <w:b/>
                <w:bCs/>
                <w:color w:val="000000"/>
                <w:sz w:val="16"/>
                <w:szCs w:val="16"/>
                <w:lang w:val="en-GB"/>
              </w:rPr>
              <w:t>COOPERATION FRAMEWORK OUTCOME INDICATOR(S), BASELINES, TARGET(S)</w:t>
            </w:r>
          </w:p>
        </w:tc>
        <w:tc>
          <w:tcPr>
            <w:tcW w:w="843" w:type="pct"/>
            <w:shd w:val="clear" w:color="auto" w:fill="DBE5F1" w:themeFill="accent1" w:themeFillTint="33"/>
            <w:vAlign w:val="center"/>
          </w:tcPr>
          <w:p w14:paraId="3AD2B515" w14:textId="77777777" w:rsidR="00932A12" w:rsidRPr="00A07978" w:rsidRDefault="00932A12" w:rsidP="00E02C69">
            <w:pPr>
              <w:jc w:val="center"/>
              <w:rPr>
                <w:b/>
                <w:color w:val="000000"/>
                <w:sz w:val="16"/>
                <w:szCs w:val="16"/>
                <w:lang w:val="en-GB"/>
              </w:rPr>
            </w:pPr>
            <w:r w:rsidRPr="00A07978">
              <w:rPr>
                <w:b/>
                <w:color w:val="000000"/>
                <w:sz w:val="16"/>
                <w:szCs w:val="16"/>
                <w:lang w:val="en-GB"/>
              </w:rPr>
              <w:t>DATA SOURCE AND FREQUENCY OF DATA COLLECTION, AND RESPONSIBILITIES</w:t>
            </w:r>
          </w:p>
        </w:tc>
        <w:tc>
          <w:tcPr>
            <w:tcW w:w="1487" w:type="pct"/>
            <w:gridSpan w:val="2"/>
            <w:shd w:val="clear" w:color="auto" w:fill="DBE5F1" w:themeFill="accent1" w:themeFillTint="33"/>
            <w:tcMar>
              <w:top w:w="72" w:type="dxa"/>
              <w:left w:w="144" w:type="dxa"/>
              <w:bottom w:w="72" w:type="dxa"/>
              <w:right w:w="144" w:type="dxa"/>
            </w:tcMar>
            <w:vAlign w:val="center"/>
          </w:tcPr>
          <w:p w14:paraId="4079B8FA" w14:textId="77777777" w:rsidR="00932A12" w:rsidRPr="00A07978" w:rsidRDefault="00932A12" w:rsidP="00E02C69">
            <w:pPr>
              <w:jc w:val="center"/>
              <w:rPr>
                <w:color w:val="000000"/>
                <w:sz w:val="16"/>
                <w:szCs w:val="16"/>
                <w:lang w:val="en-GB"/>
              </w:rPr>
            </w:pPr>
            <w:r w:rsidRPr="00A07978">
              <w:rPr>
                <w:b/>
                <w:bCs/>
                <w:color w:val="000000"/>
                <w:sz w:val="16"/>
                <w:szCs w:val="16"/>
                <w:lang w:val="en-GB"/>
              </w:rPr>
              <w:t xml:space="preserve">INDICATIVE COUNTRY PROGRAMME OUTPUTS </w:t>
            </w:r>
            <w:r w:rsidRPr="00A07978">
              <w:rPr>
                <w:b/>
                <w:bCs/>
                <w:iCs/>
                <w:color w:val="000000"/>
                <w:sz w:val="16"/>
                <w:szCs w:val="16"/>
                <w:lang w:val="en-GB"/>
              </w:rPr>
              <w:t>(including indicators, baselines targets)</w:t>
            </w:r>
          </w:p>
        </w:tc>
        <w:tc>
          <w:tcPr>
            <w:tcW w:w="710" w:type="pct"/>
            <w:gridSpan w:val="2"/>
            <w:shd w:val="clear" w:color="auto" w:fill="DBE5F1" w:themeFill="accent1" w:themeFillTint="33"/>
            <w:vAlign w:val="center"/>
          </w:tcPr>
          <w:p w14:paraId="18BA1A33" w14:textId="23605ABB" w:rsidR="00932A12" w:rsidRPr="00A07978" w:rsidRDefault="00932A12" w:rsidP="00E02C69">
            <w:pPr>
              <w:jc w:val="center"/>
              <w:rPr>
                <w:b/>
                <w:bCs/>
                <w:color w:val="000000"/>
                <w:sz w:val="16"/>
                <w:szCs w:val="16"/>
                <w:lang w:val="en-GB"/>
              </w:rPr>
            </w:pPr>
            <w:r w:rsidRPr="00A07978">
              <w:rPr>
                <w:b/>
                <w:bCs/>
                <w:color w:val="000000"/>
                <w:sz w:val="16"/>
                <w:szCs w:val="16"/>
                <w:lang w:val="en-GB"/>
              </w:rPr>
              <w:t>MAJOR PARTNERS/ PARTNERSHIPS</w:t>
            </w:r>
          </w:p>
          <w:p w14:paraId="368BE607" w14:textId="77777777" w:rsidR="00932A12" w:rsidRPr="00A07978" w:rsidRDefault="00932A12" w:rsidP="00E02C69">
            <w:pPr>
              <w:jc w:val="center"/>
              <w:rPr>
                <w:b/>
                <w:bCs/>
                <w:color w:val="000000"/>
                <w:sz w:val="16"/>
                <w:szCs w:val="16"/>
                <w:lang w:val="en-GB"/>
              </w:rPr>
            </w:pPr>
            <w:r w:rsidRPr="00A07978">
              <w:rPr>
                <w:b/>
                <w:bCs/>
                <w:color w:val="000000"/>
                <w:sz w:val="16"/>
                <w:szCs w:val="16"/>
                <w:lang w:val="en-GB"/>
              </w:rPr>
              <w:t>FRAMEWORKS</w:t>
            </w:r>
          </w:p>
        </w:tc>
        <w:tc>
          <w:tcPr>
            <w:tcW w:w="811" w:type="pct"/>
            <w:shd w:val="clear" w:color="auto" w:fill="DBE5F1" w:themeFill="accent1" w:themeFillTint="33"/>
            <w:tcMar>
              <w:top w:w="15" w:type="dxa"/>
              <w:left w:w="108" w:type="dxa"/>
              <w:bottom w:w="0" w:type="dxa"/>
              <w:right w:w="108" w:type="dxa"/>
            </w:tcMar>
            <w:vAlign w:val="center"/>
          </w:tcPr>
          <w:p w14:paraId="300469AB" w14:textId="77777777" w:rsidR="00932A12" w:rsidRPr="00A07978" w:rsidRDefault="00932A12" w:rsidP="00E02C69">
            <w:pPr>
              <w:jc w:val="center"/>
              <w:rPr>
                <w:i/>
                <w:color w:val="0000FF"/>
                <w:sz w:val="16"/>
                <w:szCs w:val="16"/>
                <w:lang w:val="en-GB"/>
              </w:rPr>
            </w:pPr>
            <w:r w:rsidRPr="00A07978">
              <w:rPr>
                <w:b/>
                <w:bCs/>
                <w:color w:val="000000"/>
                <w:sz w:val="16"/>
                <w:szCs w:val="16"/>
                <w:lang w:val="en-GB"/>
              </w:rPr>
              <w:t>ESTIMATED COST BY OUTCOME (US$)</w:t>
            </w:r>
          </w:p>
        </w:tc>
      </w:tr>
      <w:tr w:rsidR="00932A12" w:rsidRPr="00A07978" w14:paraId="78307DBA" w14:textId="77777777" w:rsidTr="00E02C69">
        <w:trPr>
          <w:trHeight w:val="133"/>
        </w:trPr>
        <w:tc>
          <w:tcPr>
            <w:tcW w:w="1149" w:type="pct"/>
            <w:gridSpan w:val="2"/>
            <w:vMerge w:val="restart"/>
            <w:tcMar>
              <w:top w:w="72" w:type="dxa"/>
              <w:left w:w="144" w:type="dxa"/>
              <w:bottom w:w="72" w:type="dxa"/>
              <w:right w:w="144" w:type="dxa"/>
            </w:tcMar>
          </w:tcPr>
          <w:p w14:paraId="79092173" w14:textId="77777777" w:rsidR="00932A12" w:rsidRPr="00A07978" w:rsidRDefault="00932A12" w:rsidP="00E02C69">
            <w:pPr>
              <w:rPr>
                <w:sz w:val="16"/>
                <w:szCs w:val="16"/>
                <w:lang w:val="en-GB"/>
              </w:rPr>
            </w:pPr>
            <w:r w:rsidRPr="00A07978">
              <w:rPr>
                <w:sz w:val="16"/>
                <w:szCs w:val="16"/>
                <w:lang w:val="en-GB"/>
              </w:rPr>
              <w:t>H. Number of deaths, missing persons and people directly affected attributed to disasters per 100,000 population:</w:t>
            </w:r>
          </w:p>
          <w:p w14:paraId="6E554484" w14:textId="16284DC8" w:rsidR="00932A12" w:rsidRPr="00A07978" w:rsidRDefault="00932A12" w:rsidP="00E02C69">
            <w:pPr>
              <w:rPr>
                <w:sz w:val="16"/>
                <w:szCs w:val="16"/>
                <w:lang w:val="en-GB"/>
              </w:rPr>
            </w:pPr>
            <w:r w:rsidRPr="00A07978">
              <w:rPr>
                <w:sz w:val="16"/>
                <w:szCs w:val="16"/>
                <w:lang w:val="en-GB"/>
              </w:rPr>
              <w:t>Baseline 2021</w:t>
            </w:r>
            <w:r w:rsidR="00D8574A" w:rsidRPr="00A07978">
              <w:rPr>
                <w:sz w:val="16"/>
                <w:szCs w:val="16"/>
                <w:lang w:val="en-GB"/>
              </w:rPr>
              <w:t>:</w:t>
            </w:r>
          </w:p>
          <w:p w14:paraId="58327303" w14:textId="0165C98A" w:rsidR="00932A12" w:rsidRPr="00A07978" w:rsidRDefault="00932A12" w:rsidP="00E02C69">
            <w:pPr>
              <w:rPr>
                <w:sz w:val="16"/>
                <w:szCs w:val="16"/>
                <w:lang w:val="en-GB"/>
              </w:rPr>
            </w:pPr>
            <w:r w:rsidRPr="00A07978">
              <w:rPr>
                <w:sz w:val="16"/>
                <w:szCs w:val="16"/>
                <w:lang w:val="en-GB"/>
              </w:rPr>
              <w:t xml:space="preserve">a. Men - host community </w:t>
            </w:r>
            <w:r w:rsidR="0084786D" w:rsidRPr="00A07978">
              <w:rPr>
                <w:sz w:val="16"/>
                <w:szCs w:val="16"/>
                <w:lang w:val="en-GB"/>
              </w:rPr>
              <w:t>members:</w:t>
            </w:r>
            <w:r w:rsidRPr="00A07978">
              <w:rPr>
                <w:sz w:val="16"/>
                <w:szCs w:val="16"/>
                <w:lang w:val="en-GB"/>
              </w:rPr>
              <w:t>33</w:t>
            </w:r>
            <w:r w:rsidR="00792BC9" w:rsidRPr="00A07978">
              <w:rPr>
                <w:sz w:val="16"/>
                <w:szCs w:val="16"/>
                <w:lang w:val="en-GB"/>
              </w:rPr>
              <w:t>,</w:t>
            </w:r>
            <w:r w:rsidRPr="00A07978">
              <w:rPr>
                <w:sz w:val="16"/>
                <w:szCs w:val="16"/>
                <w:lang w:val="en-GB"/>
              </w:rPr>
              <w:t>601</w:t>
            </w:r>
          </w:p>
          <w:p w14:paraId="22732C0F" w14:textId="4BACF851" w:rsidR="00932A12" w:rsidRPr="00A07978" w:rsidRDefault="00932A12" w:rsidP="00E02C69">
            <w:pPr>
              <w:rPr>
                <w:sz w:val="16"/>
                <w:szCs w:val="16"/>
                <w:lang w:val="en-GB"/>
              </w:rPr>
            </w:pPr>
            <w:r w:rsidRPr="00A07978">
              <w:rPr>
                <w:sz w:val="16"/>
                <w:szCs w:val="16"/>
                <w:lang w:val="en-GB"/>
              </w:rPr>
              <w:t>b. Women - host community member</w:t>
            </w:r>
            <w:r w:rsidR="00792BC9" w:rsidRPr="00A07978">
              <w:rPr>
                <w:sz w:val="16"/>
                <w:szCs w:val="16"/>
                <w:lang w:val="en-GB"/>
              </w:rPr>
              <w:t>s</w:t>
            </w:r>
            <w:r w:rsidR="0059508D" w:rsidRPr="00A07978">
              <w:rPr>
                <w:sz w:val="16"/>
                <w:szCs w:val="16"/>
                <w:lang w:val="en-GB"/>
              </w:rPr>
              <w:t>:</w:t>
            </w:r>
            <w:r w:rsidRPr="00A07978">
              <w:rPr>
                <w:sz w:val="16"/>
                <w:szCs w:val="16"/>
                <w:lang w:val="en-GB"/>
              </w:rPr>
              <w:t>44</w:t>
            </w:r>
            <w:r w:rsidR="00792BC9" w:rsidRPr="00A07978">
              <w:rPr>
                <w:sz w:val="16"/>
                <w:szCs w:val="16"/>
                <w:lang w:val="en-GB"/>
              </w:rPr>
              <w:t>,</w:t>
            </w:r>
            <w:r w:rsidRPr="00A07978">
              <w:rPr>
                <w:sz w:val="16"/>
                <w:szCs w:val="16"/>
                <w:lang w:val="en-GB"/>
              </w:rPr>
              <w:t xml:space="preserve">141 </w:t>
            </w:r>
          </w:p>
          <w:p w14:paraId="376DF97E" w14:textId="2F6A0BD5" w:rsidR="00932A12" w:rsidRPr="00A07978" w:rsidRDefault="00932A12" w:rsidP="00E02C69">
            <w:pPr>
              <w:rPr>
                <w:sz w:val="16"/>
                <w:szCs w:val="16"/>
                <w:lang w:val="en-GB"/>
              </w:rPr>
            </w:pPr>
            <w:r w:rsidRPr="00A07978">
              <w:rPr>
                <w:sz w:val="16"/>
                <w:szCs w:val="16"/>
                <w:lang w:val="en-GB"/>
              </w:rPr>
              <w:t xml:space="preserve"> c. Men </w:t>
            </w:r>
            <w:r w:rsidR="001A0EB8" w:rsidRPr="00A07978">
              <w:rPr>
                <w:sz w:val="16"/>
                <w:szCs w:val="16"/>
                <w:lang w:val="en-GB"/>
              </w:rPr>
              <w:t>–</w:t>
            </w:r>
            <w:r w:rsidRPr="00A07978">
              <w:rPr>
                <w:sz w:val="16"/>
                <w:szCs w:val="16"/>
                <w:lang w:val="en-GB"/>
              </w:rPr>
              <w:t xml:space="preserve"> IDP</w:t>
            </w:r>
            <w:r w:rsidR="001A0EB8" w:rsidRPr="00A07978">
              <w:rPr>
                <w:sz w:val="16"/>
                <w:szCs w:val="16"/>
                <w:lang w:val="en-GB"/>
              </w:rPr>
              <w:t>:</w:t>
            </w:r>
            <w:r w:rsidRPr="00A07978">
              <w:rPr>
                <w:sz w:val="16"/>
                <w:szCs w:val="16"/>
                <w:lang w:val="en-GB"/>
              </w:rPr>
              <w:t xml:space="preserve"> 15</w:t>
            </w:r>
            <w:r w:rsidR="00792BC9" w:rsidRPr="00A07978">
              <w:rPr>
                <w:sz w:val="16"/>
                <w:szCs w:val="16"/>
                <w:lang w:val="en-GB"/>
              </w:rPr>
              <w:t>,</w:t>
            </w:r>
            <w:r w:rsidRPr="00A07978">
              <w:rPr>
                <w:sz w:val="16"/>
                <w:szCs w:val="16"/>
                <w:lang w:val="en-GB"/>
              </w:rPr>
              <w:t xml:space="preserve">151 </w:t>
            </w:r>
          </w:p>
          <w:p w14:paraId="1109198A" w14:textId="65B0EA4D" w:rsidR="00932A12" w:rsidRPr="00A07978" w:rsidRDefault="00932A12" w:rsidP="00E02C69">
            <w:pPr>
              <w:rPr>
                <w:sz w:val="16"/>
                <w:szCs w:val="16"/>
                <w:lang w:val="en-GB"/>
              </w:rPr>
            </w:pPr>
            <w:r w:rsidRPr="00A07978">
              <w:rPr>
                <w:sz w:val="16"/>
                <w:szCs w:val="16"/>
                <w:lang w:val="en-GB"/>
              </w:rPr>
              <w:t xml:space="preserve">d. Female - </w:t>
            </w:r>
            <w:r w:rsidR="00A07978" w:rsidRPr="00A07978">
              <w:rPr>
                <w:sz w:val="16"/>
                <w:szCs w:val="16"/>
                <w:lang w:val="en-GB"/>
              </w:rPr>
              <w:t>IDP:</w:t>
            </w:r>
            <w:r w:rsidR="00A07978">
              <w:rPr>
                <w:sz w:val="16"/>
                <w:szCs w:val="16"/>
                <w:lang w:val="en-GB"/>
              </w:rPr>
              <w:t xml:space="preserve"> </w:t>
            </w:r>
            <w:r w:rsidRPr="00A07978">
              <w:rPr>
                <w:sz w:val="16"/>
                <w:szCs w:val="16"/>
                <w:lang w:val="en-GB"/>
              </w:rPr>
              <w:t>20</w:t>
            </w:r>
            <w:r w:rsidR="00792BC9" w:rsidRPr="00A07978">
              <w:rPr>
                <w:sz w:val="16"/>
                <w:szCs w:val="16"/>
                <w:lang w:val="en-GB"/>
              </w:rPr>
              <w:t>,</w:t>
            </w:r>
            <w:r w:rsidRPr="00A07978">
              <w:rPr>
                <w:sz w:val="16"/>
                <w:szCs w:val="16"/>
                <w:lang w:val="en-GB"/>
              </w:rPr>
              <w:t xml:space="preserve">576 </w:t>
            </w:r>
          </w:p>
          <w:p w14:paraId="55B5836E" w14:textId="088B389C" w:rsidR="00D10294" w:rsidRPr="00A07978" w:rsidRDefault="00D10294" w:rsidP="00E02C69">
            <w:pPr>
              <w:rPr>
                <w:sz w:val="16"/>
                <w:szCs w:val="16"/>
                <w:lang w:val="en-GB"/>
              </w:rPr>
            </w:pPr>
          </w:p>
          <w:p w14:paraId="45C64577" w14:textId="77A4BC98" w:rsidR="00D10294" w:rsidRPr="00A07978" w:rsidRDefault="00D10294" w:rsidP="00D10294">
            <w:pPr>
              <w:rPr>
                <w:sz w:val="16"/>
                <w:szCs w:val="16"/>
                <w:lang w:val="en-GB"/>
              </w:rPr>
            </w:pPr>
            <w:r w:rsidRPr="00A07978">
              <w:rPr>
                <w:sz w:val="16"/>
                <w:szCs w:val="16"/>
                <w:lang w:val="en-GB"/>
              </w:rPr>
              <w:t>Target 2027</w:t>
            </w:r>
            <w:r w:rsidR="00D8574A" w:rsidRPr="00A07978">
              <w:rPr>
                <w:sz w:val="16"/>
                <w:szCs w:val="16"/>
                <w:lang w:val="en-GB"/>
              </w:rPr>
              <w:t>:</w:t>
            </w:r>
          </w:p>
          <w:p w14:paraId="6263CA68" w14:textId="77777777" w:rsidR="00D10294" w:rsidRPr="00A07978" w:rsidRDefault="00D10294" w:rsidP="00D10294">
            <w:pPr>
              <w:rPr>
                <w:sz w:val="16"/>
                <w:szCs w:val="16"/>
                <w:lang w:val="en-GB"/>
              </w:rPr>
            </w:pPr>
            <w:r w:rsidRPr="00A07978">
              <w:rPr>
                <w:sz w:val="16"/>
                <w:szCs w:val="16"/>
                <w:lang w:val="en-GB"/>
              </w:rPr>
              <w:t>a. 28 000</w:t>
            </w:r>
            <w:r w:rsidRPr="00A07978">
              <w:rPr>
                <w:sz w:val="16"/>
                <w:szCs w:val="16"/>
                <w:lang w:val="en-GB"/>
              </w:rPr>
              <w:br/>
              <w:t>b. 32 000</w:t>
            </w:r>
            <w:r w:rsidRPr="00A07978">
              <w:rPr>
                <w:sz w:val="16"/>
                <w:szCs w:val="16"/>
                <w:lang w:val="en-GB"/>
              </w:rPr>
              <w:br/>
              <w:t>c. 3 000</w:t>
            </w:r>
            <w:r w:rsidRPr="00A07978">
              <w:rPr>
                <w:sz w:val="16"/>
                <w:szCs w:val="16"/>
                <w:lang w:val="en-GB"/>
              </w:rPr>
              <w:br/>
              <w:t>d. 4 000</w:t>
            </w:r>
          </w:p>
          <w:p w14:paraId="4EEC5837" w14:textId="633DD231" w:rsidR="00932A12" w:rsidRPr="00A07978" w:rsidRDefault="00932A12" w:rsidP="00E02C69">
            <w:pPr>
              <w:rPr>
                <w:bCs/>
                <w:i/>
                <w:color w:val="000000"/>
                <w:sz w:val="16"/>
                <w:szCs w:val="16"/>
                <w:lang w:val="en-GB"/>
              </w:rPr>
            </w:pPr>
            <w:r w:rsidRPr="00A07978">
              <w:rPr>
                <w:b/>
                <w:bCs/>
                <w:i/>
                <w:color w:val="000000"/>
                <w:sz w:val="16"/>
                <w:szCs w:val="16"/>
                <w:lang w:val="en-GB"/>
              </w:rPr>
              <w:br/>
            </w:r>
          </w:p>
          <w:p w14:paraId="5C010C39" w14:textId="17C1AB2A" w:rsidR="00932A12" w:rsidRPr="00A07978" w:rsidRDefault="00932A12" w:rsidP="00E02C69">
            <w:pPr>
              <w:rPr>
                <w:bCs/>
                <w:i/>
                <w:color w:val="000000"/>
                <w:sz w:val="16"/>
                <w:szCs w:val="16"/>
                <w:lang w:val="en-GB"/>
              </w:rPr>
            </w:pPr>
          </w:p>
        </w:tc>
        <w:tc>
          <w:tcPr>
            <w:tcW w:w="843" w:type="pct"/>
            <w:vMerge w:val="restart"/>
          </w:tcPr>
          <w:p w14:paraId="21BFF641" w14:textId="77777777" w:rsidR="00450F80" w:rsidRPr="00A07978" w:rsidRDefault="00450F80" w:rsidP="00450F80">
            <w:pPr>
              <w:rPr>
                <w:sz w:val="16"/>
                <w:szCs w:val="16"/>
                <w:lang w:val="en-GB"/>
              </w:rPr>
            </w:pPr>
            <w:r w:rsidRPr="00A07978">
              <w:rPr>
                <w:sz w:val="16"/>
                <w:szCs w:val="16"/>
                <w:lang w:val="en-GB"/>
              </w:rPr>
              <w:t>Source: Displacement Tracking Matrix (DTM)</w:t>
            </w:r>
          </w:p>
          <w:p w14:paraId="5C56D708" w14:textId="77777777" w:rsidR="00450F80" w:rsidRPr="00A07978" w:rsidRDefault="00450F80" w:rsidP="00450F80">
            <w:pPr>
              <w:rPr>
                <w:sz w:val="16"/>
                <w:szCs w:val="16"/>
                <w:lang w:val="en-GB"/>
              </w:rPr>
            </w:pPr>
            <w:r w:rsidRPr="00A07978">
              <w:rPr>
                <w:sz w:val="16"/>
                <w:szCs w:val="16"/>
                <w:lang w:val="en-GB"/>
              </w:rPr>
              <w:t>Frequency: Annually</w:t>
            </w:r>
          </w:p>
          <w:p w14:paraId="0A842953" w14:textId="1E2F998B" w:rsidR="00450F80" w:rsidRPr="00A07978" w:rsidRDefault="00450F80" w:rsidP="00450F80">
            <w:pPr>
              <w:rPr>
                <w:b/>
                <w:sz w:val="16"/>
                <w:szCs w:val="16"/>
                <w:lang w:val="en-GB"/>
              </w:rPr>
            </w:pPr>
            <w:r w:rsidRPr="00A07978">
              <w:rPr>
                <w:sz w:val="16"/>
                <w:szCs w:val="16"/>
                <w:lang w:val="en-GB"/>
              </w:rPr>
              <w:t xml:space="preserve">Responsible: International Organization </w:t>
            </w:r>
            <w:r w:rsidR="00A07978" w:rsidRPr="00A07978">
              <w:rPr>
                <w:sz w:val="16"/>
                <w:szCs w:val="16"/>
                <w:lang w:val="en-GB"/>
              </w:rPr>
              <w:t>for</w:t>
            </w:r>
            <w:r w:rsidRPr="00A07978">
              <w:rPr>
                <w:sz w:val="16"/>
                <w:szCs w:val="16"/>
                <w:lang w:val="en-GB"/>
              </w:rPr>
              <w:t xml:space="preserve"> Migration (IOM)</w:t>
            </w:r>
          </w:p>
          <w:p w14:paraId="2F3EC32B" w14:textId="1EF3BE78" w:rsidR="00932A12" w:rsidRPr="00A07978" w:rsidRDefault="00932A12" w:rsidP="00971293">
            <w:pPr>
              <w:spacing w:before="120" w:after="120"/>
              <w:rPr>
                <w:i/>
                <w:iCs/>
                <w:sz w:val="16"/>
                <w:szCs w:val="16"/>
                <w:lang w:val="en-GB"/>
              </w:rPr>
            </w:pPr>
          </w:p>
        </w:tc>
        <w:tc>
          <w:tcPr>
            <w:tcW w:w="1487" w:type="pct"/>
            <w:gridSpan w:val="2"/>
            <w:vMerge w:val="restart"/>
            <w:tcMar>
              <w:top w:w="72" w:type="dxa"/>
              <w:left w:w="144" w:type="dxa"/>
              <w:bottom w:w="72" w:type="dxa"/>
              <w:right w:w="144" w:type="dxa"/>
            </w:tcMar>
          </w:tcPr>
          <w:p w14:paraId="15D22802" w14:textId="74F865D7" w:rsidR="00932A12" w:rsidRPr="00A07978" w:rsidRDefault="00D154E4" w:rsidP="00E02C69">
            <w:pPr>
              <w:rPr>
                <w:color w:val="000000" w:themeColor="text1"/>
                <w:sz w:val="16"/>
                <w:szCs w:val="16"/>
                <w:lang w:val="en-GB"/>
              </w:rPr>
            </w:pPr>
            <w:r w:rsidRPr="00A07978">
              <w:rPr>
                <w:color w:val="000000" w:themeColor="text1"/>
                <w:sz w:val="16"/>
                <w:szCs w:val="16"/>
                <w:lang w:val="en-GB"/>
              </w:rPr>
              <w:t xml:space="preserve">Output </w:t>
            </w:r>
            <w:r w:rsidR="00932A12" w:rsidRPr="00A07978">
              <w:rPr>
                <w:color w:val="000000" w:themeColor="text1"/>
                <w:sz w:val="16"/>
                <w:szCs w:val="16"/>
                <w:lang w:val="en-GB"/>
              </w:rPr>
              <w:t>3.1. Resilient governance systems for prevention and management of climate and disaster risks that value women's knowledge and capacities strengthened at all levels.</w:t>
            </w:r>
          </w:p>
          <w:p w14:paraId="3A5590F8" w14:textId="77777777" w:rsidR="00932A12" w:rsidRPr="00A07978" w:rsidRDefault="00932A12" w:rsidP="00E02C69">
            <w:pPr>
              <w:rPr>
                <w:b/>
                <w:bCs/>
                <w:i/>
                <w:iCs/>
                <w:color w:val="000000" w:themeColor="text1"/>
                <w:sz w:val="16"/>
                <w:szCs w:val="16"/>
                <w:lang w:val="en-GB"/>
              </w:rPr>
            </w:pPr>
          </w:p>
          <w:p w14:paraId="292D511D" w14:textId="77777777" w:rsidR="00767BB7" w:rsidRPr="00A07978" w:rsidRDefault="00767BB7" w:rsidP="00767BB7">
            <w:pPr>
              <w:rPr>
                <w:color w:val="000000"/>
                <w:sz w:val="16"/>
                <w:szCs w:val="16"/>
                <w:lang w:val="en-GB"/>
              </w:rPr>
            </w:pPr>
          </w:p>
          <w:p w14:paraId="7FA7556E" w14:textId="07DEC93B" w:rsidR="00932A12" w:rsidRPr="00A07978" w:rsidRDefault="00767BB7" w:rsidP="00767BB7">
            <w:pPr>
              <w:rPr>
                <w:color w:val="000000"/>
                <w:sz w:val="16"/>
                <w:szCs w:val="16"/>
                <w:lang w:val="en-GB"/>
              </w:rPr>
            </w:pPr>
            <w:r w:rsidRPr="00A07978">
              <w:rPr>
                <w:color w:val="000000" w:themeColor="text1"/>
                <w:sz w:val="16"/>
                <w:szCs w:val="16"/>
                <w:lang w:val="en-GB"/>
              </w:rPr>
              <w:t xml:space="preserve">Indicator </w:t>
            </w:r>
            <w:r w:rsidR="00932A12" w:rsidRPr="00A07978">
              <w:rPr>
                <w:color w:val="000000" w:themeColor="text1"/>
                <w:sz w:val="16"/>
                <w:szCs w:val="16"/>
                <w:lang w:val="en-GB"/>
              </w:rPr>
              <w:t>3.1.1</w:t>
            </w:r>
            <w:r w:rsidR="00EC5B41" w:rsidRPr="00A07978">
              <w:rPr>
                <w:color w:val="000000" w:themeColor="text1"/>
                <w:sz w:val="16"/>
                <w:szCs w:val="16"/>
                <w:lang w:val="en-GB"/>
              </w:rPr>
              <w:t>.</w:t>
            </w:r>
            <w:r w:rsidR="00932A12" w:rsidRPr="00A07978">
              <w:rPr>
                <w:color w:val="000000" w:themeColor="text1"/>
                <w:sz w:val="16"/>
                <w:szCs w:val="16"/>
                <w:lang w:val="en-GB"/>
              </w:rPr>
              <w:t xml:space="preserve"> Existence of a national, provincial and community-based multi-hazard early warning system that is inclusive and gender sensitive</w:t>
            </w:r>
            <w:r w:rsidR="00EC5B41" w:rsidRPr="00A07978">
              <w:rPr>
                <w:color w:val="000000" w:themeColor="text1"/>
                <w:sz w:val="16"/>
                <w:szCs w:val="16"/>
                <w:lang w:val="en-GB"/>
              </w:rPr>
              <w:t>.</w:t>
            </w:r>
            <w:r w:rsidR="00932A12" w:rsidRPr="00A07978">
              <w:rPr>
                <w:color w:val="000000" w:themeColor="text1"/>
                <w:sz w:val="16"/>
                <w:szCs w:val="16"/>
                <w:lang w:val="en-GB"/>
              </w:rPr>
              <w:t xml:space="preserve"> </w:t>
            </w:r>
          </w:p>
          <w:p w14:paraId="518546E9" w14:textId="77777777" w:rsidR="00932A12" w:rsidRPr="00A07978" w:rsidRDefault="00932A12" w:rsidP="00E02C69">
            <w:pPr>
              <w:rPr>
                <w:color w:val="000000"/>
                <w:sz w:val="16"/>
                <w:szCs w:val="16"/>
                <w:lang w:val="en-GB"/>
              </w:rPr>
            </w:pPr>
            <w:r w:rsidRPr="00A07978">
              <w:rPr>
                <w:color w:val="000000"/>
                <w:sz w:val="16"/>
                <w:szCs w:val="16"/>
                <w:lang w:val="en-GB"/>
              </w:rPr>
              <w:t>Baseline (2023): No</w:t>
            </w:r>
          </w:p>
          <w:p w14:paraId="00FE2C7E" w14:textId="079A280C" w:rsidR="00932A12" w:rsidRPr="00A07978" w:rsidRDefault="00932A12" w:rsidP="00E02C69">
            <w:pPr>
              <w:rPr>
                <w:color w:val="000000"/>
                <w:sz w:val="16"/>
                <w:szCs w:val="16"/>
                <w:lang w:val="en-GB"/>
              </w:rPr>
            </w:pPr>
            <w:r w:rsidRPr="00A07978">
              <w:rPr>
                <w:color w:val="000000"/>
                <w:sz w:val="16"/>
                <w:szCs w:val="16"/>
                <w:lang w:val="en-GB"/>
              </w:rPr>
              <w:t>Target (2027</w:t>
            </w:r>
            <w:r w:rsidR="00971293" w:rsidRPr="00A07978">
              <w:rPr>
                <w:color w:val="000000"/>
                <w:sz w:val="16"/>
                <w:szCs w:val="16"/>
                <w:lang w:val="en-GB"/>
              </w:rPr>
              <w:t>): Yes</w:t>
            </w:r>
            <w:r w:rsidRPr="00A07978">
              <w:rPr>
                <w:color w:val="000000"/>
                <w:sz w:val="16"/>
                <w:szCs w:val="16"/>
                <w:lang w:val="en-GB"/>
              </w:rPr>
              <w:t xml:space="preserve"> </w:t>
            </w:r>
          </w:p>
          <w:p w14:paraId="31FD9B11" w14:textId="3F964E8F" w:rsidR="00932A12" w:rsidRPr="00A07978" w:rsidRDefault="00932A12" w:rsidP="00E02C69">
            <w:pPr>
              <w:rPr>
                <w:sz w:val="16"/>
                <w:szCs w:val="16"/>
                <w:lang w:val="en-GB"/>
              </w:rPr>
            </w:pPr>
            <w:r w:rsidRPr="00A07978">
              <w:rPr>
                <w:sz w:val="16"/>
                <w:szCs w:val="16"/>
                <w:lang w:val="en-GB"/>
              </w:rPr>
              <w:t xml:space="preserve">Source: </w:t>
            </w:r>
            <w:r w:rsidR="00792BC9" w:rsidRPr="00A07978">
              <w:rPr>
                <w:sz w:val="16"/>
                <w:szCs w:val="16"/>
                <w:lang w:val="en-GB"/>
              </w:rPr>
              <w:t xml:space="preserve">Platform </w:t>
            </w:r>
            <w:r w:rsidRPr="00A07978">
              <w:rPr>
                <w:sz w:val="16"/>
                <w:szCs w:val="16"/>
                <w:lang w:val="en-GB"/>
              </w:rPr>
              <w:t>report</w:t>
            </w:r>
          </w:p>
          <w:p w14:paraId="6932A4FB" w14:textId="77777777" w:rsidR="00932A12" w:rsidRPr="00A07978" w:rsidRDefault="00932A12" w:rsidP="00E02C69">
            <w:pPr>
              <w:rPr>
                <w:color w:val="000000"/>
                <w:sz w:val="16"/>
                <w:szCs w:val="16"/>
                <w:lang w:val="en-GB"/>
              </w:rPr>
            </w:pPr>
            <w:r w:rsidRPr="00A07978">
              <w:rPr>
                <w:color w:val="000000"/>
                <w:sz w:val="16"/>
                <w:szCs w:val="16"/>
                <w:lang w:val="en-GB"/>
              </w:rPr>
              <w:t>Frequency: Annually</w:t>
            </w:r>
          </w:p>
          <w:p w14:paraId="56F0134D" w14:textId="77777777" w:rsidR="00932A12" w:rsidRPr="00A07978" w:rsidRDefault="00932A12" w:rsidP="00E02C69">
            <w:pPr>
              <w:rPr>
                <w:color w:val="000000" w:themeColor="text1"/>
                <w:sz w:val="16"/>
                <w:szCs w:val="16"/>
                <w:lang w:val="en-GB"/>
              </w:rPr>
            </w:pPr>
          </w:p>
          <w:p w14:paraId="39FFFD1B" w14:textId="77777777" w:rsidR="00767BB7" w:rsidRPr="00A07978" w:rsidRDefault="00767BB7" w:rsidP="00767BB7">
            <w:pPr>
              <w:rPr>
                <w:color w:val="000000"/>
                <w:sz w:val="16"/>
                <w:szCs w:val="16"/>
                <w:lang w:val="en-GB"/>
              </w:rPr>
            </w:pPr>
          </w:p>
          <w:p w14:paraId="53215886" w14:textId="2C9DB6D2" w:rsidR="00932A12" w:rsidRPr="00A07978" w:rsidRDefault="00767BB7" w:rsidP="00767BB7">
            <w:pPr>
              <w:rPr>
                <w:color w:val="000000" w:themeColor="text1"/>
                <w:sz w:val="16"/>
                <w:szCs w:val="16"/>
                <w:lang w:val="en-GB"/>
              </w:rPr>
            </w:pPr>
            <w:r w:rsidRPr="00A07978">
              <w:rPr>
                <w:color w:val="000000" w:themeColor="text1"/>
                <w:sz w:val="16"/>
                <w:szCs w:val="16"/>
                <w:lang w:val="en-GB"/>
              </w:rPr>
              <w:t xml:space="preserve">Indicator </w:t>
            </w:r>
            <w:r w:rsidR="00932A12" w:rsidRPr="00A07978">
              <w:rPr>
                <w:color w:val="000000" w:themeColor="text1"/>
                <w:sz w:val="16"/>
                <w:szCs w:val="16"/>
                <w:lang w:val="en-GB"/>
              </w:rPr>
              <w:t>3.1.2</w:t>
            </w:r>
            <w:r w:rsidR="00EC5B41" w:rsidRPr="00A07978">
              <w:rPr>
                <w:color w:val="000000" w:themeColor="text1"/>
                <w:sz w:val="16"/>
                <w:szCs w:val="16"/>
                <w:lang w:val="en-GB"/>
              </w:rPr>
              <w:t>.</w:t>
            </w:r>
            <w:r w:rsidR="00932A12" w:rsidRPr="00A07978">
              <w:rPr>
                <w:color w:val="000000" w:themeColor="text1"/>
                <w:sz w:val="16"/>
                <w:szCs w:val="16"/>
                <w:lang w:val="en-GB"/>
              </w:rPr>
              <w:t xml:space="preserve"> Number of communities that have operationalized gender- and special needs-sensitive preparedness and contingency, response and recovery plans</w:t>
            </w:r>
            <w:r w:rsidR="00EC5B41" w:rsidRPr="00A07978">
              <w:rPr>
                <w:color w:val="000000" w:themeColor="text1"/>
                <w:sz w:val="16"/>
                <w:szCs w:val="16"/>
                <w:lang w:val="en-GB"/>
              </w:rPr>
              <w:t>.</w:t>
            </w:r>
          </w:p>
          <w:p w14:paraId="414DE791" w14:textId="77777777" w:rsidR="00932A12" w:rsidRPr="00A07978" w:rsidRDefault="00932A12" w:rsidP="00E02C69">
            <w:pPr>
              <w:rPr>
                <w:color w:val="000000"/>
                <w:sz w:val="16"/>
                <w:szCs w:val="16"/>
                <w:lang w:val="en-GB"/>
              </w:rPr>
            </w:pPr>
          </w:p>
          <w:p w14:paraId="64B98C2D" w14:textId="08DA826D" w:rsidR="00932A12" w:rsidRPr="00A07978" w:rsidRDefault="00932A12" w:rsidP="00E02C69">
            <w:pPr>
              <w:rPr>
                <w:color w:val="000000"/>
                <w:sz w:val="16"/>
                <w:szCs w:val="16"/>
                <w:lang w:val="en-GB"/>
              </w:rPr>
            </w:pPr>
            <w:r w:rsidRPr="00A07978">
              <w:rPr>
                <w:color w:val="000000"/>
                <w:sz w:val="16"/>
                <w:szCs w:val="16"/>
                <w:lang w:val="en-GB"/>
              </w:rPr>
              <w:t xml:space="preserve">Baseline (2023): </w:t>
            </w:r>
            <w:r w:rsidR="00B45D1B" w:rsidRPr="00A07978">
              <w:rPr>
                <w:color w:val="000000"/>
                <w:sz w:val="16"/>
                <w:szCs w:val="16"/>
                <w:lang w:val="en-GB"/>
              </w:rPr>
              <w:t>0</w:t>
            </w:r>
          </w:p>
          <w:p w14:paraId="3D4386C5" w14:textId="41CA4698" w:rsidR="00932A12" w:rsidRPr="00A07978" w:rsidRDefault="00932A12" w:rsidP="00E02C69">
            <w:pPr>
              <w:rPr>
                <w:color w:val="000000"/>
                <w:sz w:val="16"/>
                <w:szCs w:val="16"/>
                <w:lang w:val="en-GB"/>
              </w:rPr>
            </w:pPr>
            <w:r w:rsidRPr="00A07978">
              <w:rPr>
                <w:color w:val="000000"/>
                <w:sz w:val="16"/>
                <w:szCs w:val="16"/>
                <w:lang w:val="en-GB"/>
              </w:rPr>
              <w:t xml:space="preserve">Target (2027): </w:t>
            </w:r>
            <w:r w:rsidR="00B45D1B" w:rsidRPr="00A07978">
              <w:rPr>
                <w:color w:val="000000"/>
                <w:sz w:val="16"/>
                <w:szCs w:val="16"/>
                <w:lang w:val="en-GB"/>
              </w:rPr>
              <w:t>20000</w:t>
            </w:r>
          </w:p>
          <w:p w14:paraId="62960709" w14:textId="7A42AEA6" w:rsidR="00932A12" w:rsidRPr="00A07978" w:rsidRDefault="00932A12" w:rsidP="00E02C69">
            <w:pPr>
              <w:rPr>
                <w:sz w:val="16"/>
                <w:szCs w:val="16"/>
                <w:lang w:val="en-GB"/>
              </w:rPr>
            </w:pPr>
            <w:r w:rsidRPr="00A07978">
              <w:rPr>
                <w:sz w:val="16"/>
                <w:szCs w:val="16"/>
                <w:lang w:val="en-GB"/>
              </w:rPr>
              <w:t xml:space="preserve">Source: Platform report </w:t>
            </w:r>
          </w:p>
          <w:p w14:paraId="3098CB72" w14:textId="77777777" w:rsidR="00932A12" w:rsidRPr="00A07978" w:rsidRDefault="00932A12" w:rsidP="00E02C69">
            <w:pPr>
              <w:rPr>
                <w:color w:val="000000"/>
                <w:sz w:val="16"/>
                <w:szCs w:val="16"/>
                <w:lang w:val="en-GB"/>
              </w:rPr>
            </w:pPr>
            <w:r w:rsidRPr="00A07978">
              <w:rPr>
                <w:color w:val="000000"/>
                <w:sz w:val="16"/>
                <w:szCs w:val="16"/>
                <w:lang w:val="en-GB"/>
              </w:rPr>
              <w:t>Frequency: Annually</w:t>
            </w:r>
          </w:p>
          <w:p w14:paraId="70C1B2D2" w14:textId="77777777" w:rsidR="00932A12" w:rsidRPr="00A07978" w:rsidRDefault="00932A12" w:rsidP="00E02C69">
            <w:pPr>
              <w:rPr>
                <w:color w:val="000000"/>
                <w:sz w:val="16"/>
                <w:szCs w:val="16"/>
                <w:lang w:val="en-GB"/>
              </w:rPr>
            </w:pPr>
          </w:p>
          <w:p w14:paraId="51F61D65" w14:textId="77777777" w:rsidR="00932A12" w:rsidRPr="00A07978" w:rsidRDefault="00932A12" w:rsidP="00E02C69">
            <w:pPr>
              <w:rPr>
                <w:color w:val="000000"/>
                <w:sz w:val="16"/>
                <w:szCs w:val="16"/>
                <w:lang w:val="en-GB"/>
              </w:rPr>
            </w:pPr>
          </w:p>
          <w:p w14:paraId="56939601" w14:textId="77777777" w:rsidR="00767BB7" w:rsidRPr="00A07978" w:rsidRDefault="00767BB7" w:rsidP="00767BB7">
            <w:pPr>
              <w:rPr>
                <w:color w:val="000000"/>
                <w:sz w:val="16"/>
                <w:szCs w:val="16"/>
                <w:lang w:val="en-GB"/>
              </w:rPr>
            </w:pPr>
          </w:p>
          <w:p w14:paraId="69D29650" w14:textId="76EE8744" w:rsidR="00932A12" w:rsidRPr="00A07978" w:rsidRDefault="00767BB7" w:rsidP="00767BB7">
            <w:pPr>
              <w:rPr>
                <w:color w:val="000000"/>
                <w:sz w:val="16"/>
                <w:szCs w:val="16"/>
                <w:lang w:val="en-GB"/>
              </w:rPr>
            </w:pPr>
            <w:r w:rsidRPr="00A07978">
              <w:rPr>
                <w:color w:val="000000" w:themeColor="text1"/>
                <w:sz w:val="16"/>
                <w:szCs w:val="16"/>
                <w:lang w:val="en-GB"/>
              </w:rPr>
              <w:t xml:space="preserve">Indicator </w:t>
            </w:r>
            <w:r w:rsidR="00932A12" w:rsidRPr="00A07978">
              <w:rPr>
                <w:color w:val="000000"/>
                <w:sz w:val="16"/>
                <w:szCs w:val="16"/>
                <w:lang w:val="en-GB"/>
              </w:rPr>
              <w:t>3.1.3. Number of internally displaced persons and host communities with access to integrated and targeted interventions</w:t>
            </w:r>
          </w:p>
          <w:p w14:paraId="1EC9742A" w14:textId="77777777" w:rsidR="00932A12" w:rsidRPr="00A07978" w:rsidRDefault="00932A12" w:rsidP="00E02C69">
            <w:pPr>
              <w:rPr>
                <w:rFonts w:ascii="Calibri" w:hAnsi="Calibri" w:cs="Calibri"/>
                <w:lang w:val="en-GB"/>
              </w:rPr>
            </w:pPr>
            <w:r w:rsidRPr="00A07978">
              <w:rPr>
                <w:color w:val="000000"/>
                <w:sz w:val="16"/>
                <w:szCs w:val="16"/>
                <w:lang w:val="en-GB"/>
              </w:rPr>
              <w:t>Baseline (2023): 166297</w:t>
            </w:r>
          </w:p>
          <w:p w14:paraId="317A44AD" w14:textId="77777777" w:rsidR="00932A12" w:rsidRPr="00A07978" w:rsidRDefault="00932A12" w:rsidP="00E02C69">
            <w:pPr>
              <w:rPr>
                <w:rFonts w:ascii="Calibri" w:hAnsi="Calibri" w:cs="Calibri"/>
                <w:lang w:val="en-GB"/>
              </w:rPr>
            </w:pPr>
            <w:r w:rsidRPr="00A07978">
              <w:rPr>
                <w:color w:val="000000"/>
                <w:sz w:val="16"/>
                <w:szCs w:val="16"/>
                <w:lang w:val="en-GB"/>
              </w:rPr>
              <w:t>Target (2027): 322413</w:t>
            </w:r>
          </w:p>
          <w:p w14:paraId="133BFEF5" w14:textId="22D940A1" w:rsidR="00932A12" w:rsidRPr="00A07978" w:rsidRDefault="00932A12" w:rsidP="00E02C69">
            <w:pPr>
              <w:rPr>
                <w:sz w:val="16"/>
                <w:szCs w:val="16"/>
                <w:lang w:val="en-GB"/>
              </w:rPr>
            </w:pPr>
            <w:r w:rsidRPr="00A07978">
              <w:rPr>
                <w:sz w:val="16"/>
                <w:szCs w:val="16"/>
                <w:lang w:val="en-GB"/>
              </w:rPr>
              <w:t xml:space="preserve">Source: Platform report </w:t>
            </w:r>
          </w:p>
          <w:p w14:paraId="7FB0B51F" w14:textId="77777777" w:rsidR="00932A12" w:rsidRPr="00A07978" w:rsidRDefault="00932A12" w:rsidP="00E02C69">
            <w:pPr>
              <w:rPr>
                <w:color w:val="000000"/>
                <w:sz w:val="16"/>
                <w:szCs w:val="16"/>
                <w:lang w:val="en-GB"/>
              </w:rPr>
            </w:pPr>
            <w:r w:rsidRPr="00A07978">
              <w:rPr>
                <w:color w:val="000000"/>
                <w:sz w:val="16"/>
                <w:szCs w:val="16"/>
                <w:lang w:val="en-GB"/>
              </w:rPr>
              <w:t>Frequency: Annually</w:t>
            </w:r>
          </w:p>
        </w:tc>
        <w:tc>
          <w:tcPr>
            <w:tcW w:w="710" w:type="pct"/>
            <w:gridSpan w:val="2"/>
            <w:vMerge w:val="restart"/>
          </w:tcPr>
          <w:p w14:paraId="39216857" w14:textId="6D975318" w:rsidR="00932A12" w:rsidRPr="00A07978" w:rsidRDefault="00932A12" w:rsidP="00E02C69">
            <w:pPr>
              <w:rPr>
                <w:iCs/>
                <w:color w:val="000000"/>
                <w:sz w:val="16"/>
                <w:szCs w:val="16"/>
                <w:lang w:val="en-GB"/>
              </w:rPr>
            </w:pPr>
            <w:r w:rsidRPr="00A07978">
              <w:rPr>
                <w:bCs/>
                <w:iCs/>
                <w:sz w:val="16"/>
                <w:szCs w:val="16"/>
                <w:lang w:val="en-GB"/>
              </w:rPr>
              <w:t>Min</w:t>
            </w:r>
            <w:r w:rsidR="00882798" w:rsidRPr="00A07978">
              <w:rPr>
                <w:bCs/>
                <w:iCs/>
                <w:sz w:val="16"/>
                <w:szCs w:val="16"/>
                <w:lang w:val="en-GB"/>
              </w:rPr>
              <w:t>istry of</w:t>
            </w:r>
            <w:r w:rsidRPr="00A07978">
              <w:rPr>
                <w:bCs/>
                <w:iCs/>
                <w:sz w:val="16"/>
                <w:szCs w:val="16"/>
                <w:lang w:val="en-GB"/>
              </w:rPr>
              <w:t xml:space="preserve"> </w:t>
            </w:r>
            <w:r w:rsidR="00A07978" w:rsidRPr="00A07978">
              <w:rPr>
                <w:bCs/>
                <w:iCs/>
                <w:sz w:val="16"/>
                <w:szCs w:val="16"/>
                <w:lang w:val="en-GB"/>
              </w:rPr>
              <w:t>Interior;</w:t>
            </w:r>
            <w:r w:rsidRPr="00A07978">
              <w:rPr>
                <w:bCs/>
                <w:iCs/>
                <w:sz w:val="16"/>
                <w:szCs w:val="16"/>
                <w:lang w:val="en-GB"/>
              </w:rPr>
              <w:t xml:space="preserve"> </w:t>
            </w:r>
            <w:r w:rsidR="00A07978" w:rsidRPr="00A07978">
              <w:rPr>
                <w:bCs/>
                <w:iCs/>
                <w:sz w:val="16"/>
                <w:szCs w:val="16"/>
                <w:lang w:val="en-GB"/>
              </w:rPr>
              <w:t>MINEAGRI;</w:t>
            </w:r>
            <w:r w:rsidRPr="00A07978">
              <w:rPr>
                <w:bCs/>
                <w:iCs/>
                <w:sz w:val="16"/>
                <w:szCs w:val="16"/>
                <w:lang w:val="en-GB"/>
              </w:rPr>
              <w:t xml:space="preserve"> Media; Min</w:t>
            </w:r>
            <w:r w:rsidR="00882798" w:rsidRPr="00A07978">
              <w:rPr>
                <w:bCs/>
                <w:iCs/>
                <w:sz w:val="16"/>
                <w:szCs w:val="16"/>
                <w:lang w:val="en-GB"/>
              </w:rPr>
              <w:t>istry of</w:t>
            </w:r>
            <w:r w:rsidRPr="00A07978">
              <w:rPr>
                <w:bCs/>
                <w:iCs/>
                <w:sz w:val="16"/>
                <w:szCs w:val="16"/>
                <w:lang w:val="en-GB"/>
              </w:rPr>
              <w:t xml:space="preserve"> Gender; Min</w:t>
            </w:r>
            <w:r w:rsidR="00882798" w:rsidRPr="00A07978">
              <w:rPr>
                <w:bCs/>
                <w:iCs/>
                <w:sz w:val="16"/>
                <w:szCs w:val="16"/>
                <w:lang w:val="en-GB"/>
              </w:rPr>
              <w:t>istry of</w:t>
            </w:r>
            <w:r w:rsidRPr="00A07978">
              <w:rPr>
                <w:bCs/>
                <w:iCs/>
                <w:sz w:val="16"/>
                <w:szCs w:val="16"/>
                <w:lang w:val="en-GB"/>
              </w:rPr>
              <w:t xml:space="preserve"> Energy, Min</w:t>
            </w:r>
            <w:r w:rsidR="00882798" w:rsidRPr="00A07978">
              <w:rPr>
                <w:bCs/>
                <w:iCs/>
                <w:sz w:val="16"/>
                <w:szCs w:val="16"/>
                <w:lang w:val="en-GB"/>
              </w:rPr>
              <w:t>istry of</w:t>
            </w:r>
            <w:r w:rsidRPr="00A07978">
              <w:rPr>
                <w:bCs/>
                <w:iCs/>
                <w:sz w:val="16"/>
                <w:szCs w:val="16"/>
                <w:lang w:val="en-GB"/>
              </w:rPr>
              <w:t xml:space="preserve"> Finance; INSBU; </w:t>
            </w:r>
            <w:r w:rsidR="000F57D4" w:rsidRPr="00A07978">
              <w:rPr>
                <w:bCs/>
                <w:iCs/>
                <w:sz w:val="16"/>
                <w:szCs w:val="16"/>
                <w:lang w:val="en-GB"/>
              </w:rPr>
              <w:t>European Union</w:t>
            </w:r>
            <w:r w:rsidRPr="00A07978">
              <w:rPr>
                <w:bCs/>
                <w:iCs/>
                <w:sz w:val="16"/>
                <w:szCs w:val="16"/>
                <w:lang w:val="en-GB"/>
              </w:rPr>
              <w:t xml:space="preserve">; </w:t>
            </w:r>
            <w:r w:rsidR="001D12F4" w:rsidRPr="00A07978">
              <w:rPr>
                <w:bCs/>
                <w:iCs/>
                <w:sz w:val="16"/>
                <w:szCs w:val="16"/>
                <w:lang w:val="en-GB"/>
              </w:rPr>
              <w:t xml:space="preserve">Government of the </w:t>
            </w:r>
            <w:r w:rsidRPr="00A07978">
              <w:rPr>
                <w:bCs/>
                <w:iCs/>
                <w:sz w:val="16"/>
                <w:szCs w:val="16"/>
                <w:lang w:val="en-GB"/>
              </w:rPr>
              <w:t xml:space="preserve">Netherlands; </w:t>
            </w:r>
            <w:r w:rsidR="001D12F4" w:rsidRPr="00A07978">
              <w:rPr>
                <w:bCs/>
                <w:iCs/>
                <w:sz w:val="16"/>
                <w:szCs w:val="16"/>
                <w:lang w:val="en-GB"/>
              </w:rPr>
              <w:t>World Bank</w:t>
            </w:r>
            <w:r w:rsidRPr="00A07978">
              <w:rPr>
                <w:bCs/>
                <w:iCs/>
                <w:sz w:val="16"/>
                <w:szCs w:val="16"/>
                <w:lang w:val="en-GB"/>
              </w:rPr>
              <w:t xml:space="preserve">; UNV, </w:t>
            </w:r>
            <w:r w:rsidR="001D12F4" w:rsidRPr="00A07978">
              <w:rPr>
                <w:bCs/>
                <w:iCs/>
                <w:sz w:val="16"/>
                <w:szCs w:val="16"/>
                <w:lang w:val="en-GB"/>
              </w:rPr>
              <w:t>p</w:t>
            </w:r>
            <w:r w:rsidRPr="00A07978">
              <w:rPr>
                <w:bCs/>
                <w:iCs/>
                <w:sz w:val="16"/>
                <w:szCs w:val="16"/>
                <w:lang w:val="en-GB"/>
              </w:rPr>
              <w:t xml:space="preserve">rivate </w:t>
            </w:r>
            <w:r w:rsidR="001D12F4" w:rsidRPr="00A07978">
              <w:rPr>
                <w:bCs/>
                <w:iCs/>
                <w:sz w:val="16"/>
                <w:szCs w:val="16"/>
                <w:lang w:val="en-GB"/>
              </w:rPr>
              <w:t>s</w:t>
            </w:r>
            <w:r w:rsidRPr="00A07978">
              <w:rPr>
                <w:bCs/>
                <w:iCs/>
                <w:sz w:val="16"/>
                <w:szCs w:val="16"/>
                <w:lang w:val="en-GB"/>
              </w:rPr>
              <w:t>ector, CSOs.</w:t>
            </w:r>
          </w:p>
        </w:tc>
        <w:tc>
          <w:tcPr>
            <w:tcW w:w="811" w:type="pct"/>
            <w:tcMar>
              <w:top w:w="15" w:type="dxa"/>
              <w:left w:w="108" w:type="dxa"/>
              <w:bottom w:w="0" w:type="dxa"/>
              <w:right w:w="108" w:type="dxa"/>
            </w:tcMar>
          </w:tcPr>
          <w:p w14:paraId="51AC91AB" w14:textId="77777777" w:rsidR="00932A12" w:rsidRPr="00A07978" w:rsidRDefault="00932A12" w:rsidP="00E02C69">
            <w:pPr>
              <w:rPr>
                <w:b/>
                <w:color w:val="000000"/>
                <w:sz w:val="16"/>
                <w:szCs w:val="16"/>
                <w:lang w:val="en-GB"/>
              </w:rPr>
            </w:pPr>
            <w:r w:rsidRPr="00A07978">
              <w:rPr>
                <w:b/>
                <w:color w:val="000000"/>
                <w:sz w:val="16"/>
                <w:szCs w:val="16"/>
                <w:lang w:val="en-GB"/>
              </w:rPr>
              <w:t>Regular: 29,584</w:t>
            </w:r>
          </w:p>
          <w:p w14:paraId="645D3292" w14:textId="77777777" w:rsidR="00932A12" w:rsidRPr="00A07978" w:rsidRDefault="00932A12" w:rsidP="00E02C69">
            <w:pPr>
              <w:rPr>
                <w:b/>
                <w:color w:val="000000"/>
                <w:sz w:val="16"/>
                <w:szCs w:val="16"/>
                <w:lang w:val="en-GB"/>
              </w:rPr>
            </w:pPr>
          </w:p>
          <w:p w14:paraId="666A08FE" w14:textId="77777777" w:rsidR="00932A12" w:rsidRPr="00A07978" w:rsidRDefault="00932A12" w:rsidP="00E02C69">
            <w:pPr>
              <w:rPr>
                <w:b/>
                <w:color w:val="000000"/>
                <w:sz w:val="16"/>
                <w:szCs w:val="16"/>
                <w:lang w:val="en-GB"/>
              </w:rPr>
            </w:pPr>
            <w:r w:rsidRPr="00A07978">
              <w:rPr>
                <w:b/>
                <w:color w:val="000000"/>
                <w:sz w:val="16"/>
                <w:szCs w:val="16"/>
                <w:lang w:val="en-GB"/>
              </w:rPr>
              <w:t xml:space="preserve">            </w:t>
            </w:r>
          </w:p>
          <w:p w14:paraId="0CE7DF14" w14:textId="77777777" w:rsidR="00932A12" w:rsidRPr="00A07978" w:rsidRDefault="00932A12" w:rsidP="00E02C69">
            <w:pPr>
              <w:rPr>
                <w:b/>
                <w:color w:val="000000"/>
                <w:sz w:val="16"/>
                <w:szCs w:val="16"/>
                <w:lang w:val="en-GB"/>
              </w:rPr>
            </w:pPr>
          </w:p>
          <w:p w14:paraId="3665BDD6" w14:textId="77777777" w:rsidR="00932A12" w:rsidRPr="00A07978" w:rsidRDefault="00932A12" w:rsidP="00E02C69">
            <w:pPr>
              <w:rPr>
                <w:b/>
                <w:color w:val="000000"/>
                <w:sz w:val="16"/>
                <w:szCs w:val="16"/>
                <w:lang w:val="en-GB"/>
              </w:rPr>
            </w:pPr>
          </w:p>
        </w:tc>
      </w:tr>
      <w:tr w:rsidR="00932A12" w:rsidRPr="00A07978" w14:paraId="0AE26C6B" w14:textId="77777777" w:rsidTr="00E02C69">
        <w:trPr>
          <w:trHeight w:val="2083"/>
        </w:trPr>
        <w:tc>
          <w:tcPr>
            <w:tcW w:w="1149" w:type="pct"/>
            <w:gridSpan w:val="2"/>
            <w:vMerge/>
            <w:tcMar>
              <w:top w:w="72" w:type="dxa"/>
              <w:left w:w="144" w:type="dxa"/>
              <w:bottom w:w="72" w:type="dxa"/>
              <w:right w:w="144" w:type="dxa"/>
            </w:tcMar>
          </w:tcPr>
          <w:p w14:paraId="7754313E" w14:textId="77777777" w:rsidR="00932A12" w:rsidRPr="00A07978" w:rsidRDefault="00932A12" w:rsidP="00E02C69">
            <w:pPr>
              <w:rPr>
                <w:i/>
                <w:iCs/>
                <w:color w:val="000000"/>
                <w:sz w:val="16"/>
                <w:szCs w:val="16"/>
                <w:lang w:val="en-GB"/>
              </w:rPr>
            </w:pPr>
          </w:p>
        </w:tc>
        <w:tc>
          <w:tcPr>
            <w:tcW w:w="843" w:type="pct"/>
            <w:vMerge/>
          </w:tcPr>
          <w:p w14:paraId="73F20E48" w14:textId="77777777" w:rsidR="00932A12" w:rsidRPr="00A07978" w:rsidRDefault="00932A12" w:rsidP="00E02C69">
            <w:pPr>
              <w:rPr>
                <w:i/>
                <w:iCs/>
                <w:color w:val="000000"/>
                <w:sz w:val="16"/>
                <w:szCs w:val="16"/>
                <w:lang w:val="en-GB"/>
              </w:rPr>
            </w:pPr>
          </w:p>
        </w:tc>
        <w:tc>
          <w:tcPr>
            <w:tcW w:w="1487" w:type="pct"/>
            <w:gridSpan w:val="2"/>
            <w:vMerge/>
            <w:tcMar>
              <w:top w:w="72" w:type="dxa"/>
              <w:left w:w="144" w:type="dxa"/>
              <w:bottom w:w="72" w:type="dxa"/>
              <w:right w:w="144" w:type="dxa"/>
            </w:tcMar>
          </w:tcPr>
          <w:p w14:paraId="281ADC9D" w14:textId="77777777" w:rsidR="00932A12" w:rsidRPr="00A07978" w:rsidRDefault="00932A12" w:rsidP="00E02C69">
            <w:pPr>
              <w:rPr>
                <w:i/>
                <w:iCs/>
                <w:color w:val="000000"/>
                <w:sz w:val="16"/>
                <w:szCs w:val="16"/>
                <w:lang w:val="en-GB"/>
              </w:rPr>
            </w:pPr>
          </w:p>
        </w:tc>
        <w:tc>
          <w:tcPr>
            <w:tcW w:w="710" w:type="pct"/>
            <w:gridSpan w:val="2"/>
            <w:vMerge/>
          </w:tcPr>
          <w:p w14:paraId="298E41A3" w14:textId="77777777" w:rsidR="00932A12" w:rsidRPr="00A07978" w:rsidRDefault="00932A12" w:rsidP="00E02C69">
            <w:pPr>
              <w:rPr>
                <w:i/>
                <w:iCs/>
                <w:color w:val="000000"/>
                <w:sz w:val="16"/>
                <w:szCs w:val="16"/>
                <w:lang w:val="en-GB"/>
              </w:rPr>
            </w:pPr>
          </w:p>
        </w:tc>
        <w:tc>
          <w:tcPr>
            <w:tcW w:w="811" w:type="pct"/>
            <w:tcMar>
              <w:top w:w="15" w:type="dxa"/>
              <w:left w:w="108" w:type="dxa"/>
              <w:bottom w:w="0" w:type="dxa"/>
              <w:right w:w="108" w:type="dxa"/>
            </w:tcMar>
          </w:tcPr>
          <w:p w14:paraId="5178D272" w14:textId="77777777" w:rsidR="00932A12" w:rsidRPr="00A07978" w:rsidRDefault="00932A12" w:rsidP="00E02C69">
            <w:pPr>
              <w:rPr>
                <w:b/>
                <w:color w:val="000000"/>
                <w:sz w:val="16"/>
                <w:szCs w:val="16"/>
                <w:lang w:val="en-GB"/>
              </w:rPr>
            </w:pPr>
            <w:r w:rsidRPr="00A07978">
              <w:rPr>
                <w:b/>
                <w:color w:val="000000"/>
                <w:sz w:val="16"/>
                <w:szCs w:val="16"/>
                <w:lang w:val="en-GB"/>
              </w:rPr>
              <w:t>Other: 161, 734</w:t>
            </w:r>
          </w:p>
          <w:p w14:paraId="232E3D27" w14:textId="77777777" w:rsidR="00932A12" w:rsidRPr="00A07978" w:rsidRDefault="00932A12" w:rsidP="00E02C69">
            <w:pPr>
              <w:rPr>
                <w:b/>
                <w:color w:val="000000"/>
                <w:sz w:val="16"/>
                <w:szCs w:val="16"/>
                <w:lang w:val="en-GB"/>
              </w:rPr>
            </w:pPr>
            <w:r w:rsidRPr="00A07978">
              <w:rPr>
                <w:b/>
                <w:color w:val="000000"/>
                <w:sz w:val="16"/>
                <w:szCs w:val="16"/>
                <w:lang w:val="en-GB"/>
              </w:rPr>
              <w:t xml:space="preserve">                           </w:t>
            </w:r>
          </w:p>
          <w:p w14:paraId="3FECBD8F" w14:textId="77777777" w:rsidR="00932A12" w:rsidRPr="00A07978" w:rsidRDefault="00932A12" w:rsidP="00E02C69">
            <w:pPr>
              <w:rPr>
                <w:b/>
                <w:color w:val="000000"/>
                <w:sz w:val="16"/>
                <w:szCs w:val="16"/>
                <w:lang w:val="en-GB"/>
              </w:rPr>
            </w:pPr>
          </w:p>
          <w:p w14:paraId="78310038" w14:textId="77777777" w:rsidR="00932A12" w:rsidRPr="00A07978" w:rsidRDefault="00932A12" w:rsidP="00E02C69">
            <w:pPr>
              <w:rPr>
                <w:b/>
                <w:color w:val="000000"/>
                <w:sz w:val="16"/>
                <w:szCs w:val="16"/>
                <w:lang w:val="en-GB"/>
              </w:rPr>
            </w:pPr>
            <w:r w:rsidRPr="00A07978">
              <w:rPr>
                <w:b/>
                <w:color w:val="000000"/>
                <w:sz w:val="16"/>
                <w:szCs w:val="16"/>
                <w:lang w:val="en-GB"/>
              </w:rPr>
              <w:t xml:space="preserve"> </w:t>
            </w:r>
          </w:p>
        </w:tc>
      </w:tr>
      <w:tr w:rsidR="00932A12" w:rsidRPr="00A07978" w14:paraId="73D40501" w14:textId="77777777" w:rsidTr="00E02C69">
        <w:trPr>
          <w:trHeight w:val="3680"/>
        </w:trPr>
        <w:tc>
          <w:tcPr>
            <w:tcW w:w="1149" w:type="pct"/>
            <w:gridSpan w:val="2"/>
            <w:vMerge/>
            <w:tcMar>
              <w:top w:w="72" w:type="dxa"/>
              <w:left w:w="144" w:type="dxa"/>
              <w:bottom w:w="72" w:type="dxa"/>
              <w:right w:w="144" w:type="dxa"/>
            </w:tcMar>
          </w:tcPr>
          <w:p w14:paraId="2B65F2F4" w14:textId="77777777" w:rsidR="00932A12" w:rsidRPr="00A07978" w:rsidRDefault="00932A12" w:rsidP="00E02C69">
            <w:pPr>
              <w:rPr>
                <w:iCs/>
                <w:color w:val="000000"/>
                <w:sz w:val="16"/>
                <w:szCs w:val="16"/>
                <w:lang w:val="en-GB"/>
              </w:rPr>
            </w:pPr>
          </w:p>
        </w:tc>
        <w:tc>
          <w:tcPr>
            <w:tcW w:w="843" w:type="pct"/>
            <w:vMerge/>
          </w:tcPr>
          <w:p w14:paraId="01264952" w14:textId="77777777" w:rsidR="00932A12" w:rsidRPr="00A07978" w:rsidRDefault="00932A12" w:rsidP="00E02C69">
            <w:pPr>
              <w:rPr>
                <w:i/>
                <w:iCs/>
                <w:color w:val="000000"/>
                <w:sz w:val="16"/>
                <w:szCs w:val="16"/>
                <w:lang w:val="en-GB"/>
              </w:rPr>
            </w:pPr>
          </w:p>
        </w:tc>
        <w:tc>
          <w:tcPr>
            <w:tcW w:w="1487" w:type="pct"/>
            <w:gridSpan w:val="2"/>
            <w:tcMar>
              <w:top w:w="72" w:type="dxa"/>
              <w:left w:w="144" w:type="dxa"/>
              <w:bottom w:w="72" w:type="dxa"/>
              <w:right w:w="144" w:type="dxa"/>
            </w:tcMar>
          </w:tcPr>
          <w:p w14:paraId="34D777A0" w14:textId="035CC998" w:rsidR="00932A12" w:rsidRPr="00A07978" w:rsidRDefault="00D154E4" w:rsidP="00E02C69">
            <w:pPr>
              <w:rPr>
                <w:color w:val="000000" w:themeColor="text1"/>
                <w:sz w:val="16"/>
                <w:szCs w:val="16"/>
                <w:lang w:val="en-GB"/>
              </w:rPr>
            </w:pPr>
            <w:r w:rsidRPr="00A07978">
              <w:rPr>
                <w:color w:val="000000" w:themeColor="text1"/>
                <w:sz w:val="16"/>
                <w:szCs w:val="16"/>
                <w:lang w:val="en-GB"/>
              </w:rPr>
              <w:t xml:space="preserve">Output </w:t>
            </w:r>
            <w:r w:rsidR="00932A12" w:rsidRPr="00A07978">
              <w:rPr>
                <w:color w:val="000000" w:themeColor="text1"/>
                <w:sz w:val="16"/>
                <w:szCs w:val="16"/>
                <w:lang w:val="en-GB"/>
              </w:rPr>
              <w:t>3.2</w:t>
            </w:r>
            <w:r w:rsidR="00EC5B41" w:rsidRPr="00A07978">
              <w:rPr>
                <w:color w:val="000000" w:themeColor="text1"/>
                <w:sz w:val="16"/>
                <w:szCs w:val="16"/>
                <w:lang w:val="en-GB"/>
              </w:rPr>
              <w:t>.</w:t>
            </w:r>
            <w:r w:rsidR="00932A12" w:rsidRPr="00A07978">
              <w:rPr>
                <w:color w:val="000000" w:themeColor="text1"/>
                <w:sz w:val="16"/>
                <w:szCs w:val="16"/>
                <w:lang w:val="en-GB"/>
              </w:rPr>
              <w:t xml:space="preserve"> National policies and mechanisms strengthened for mitigation, adaptation and community resilience to climate change</w:t>
            </w:r>
            <w:r w:rsidR="00EC5B41" w:rsidRPr="00A07978">
              <w:rPr>
                <w:color w:val="000000" w:themeColor="text1"/>
                <w:sz w:val="16"/>
                <w:szCs w:val="16"/>
                <w:lang w:val="en-GB"/>
              </w:rPr>
              <w:t>.</w:t>
            </w:r>
            <w:r w:rsidR="00932A12" w:rsidRPr="00A07978">
              <w:rPr>
                <w:color w:val="000000" w:themeColor="text1"/>
                <w:sz w:val="16"/>
                <w:szCs w:val="16"/>
                <w:lang w:val="en-GB"/>
              </w:rPr>
              <w:t xml:space="preserve"> </w:t>
            </w:r>
          </w:p>
          <w:p w14:paraId="49150EBD" w14:textId="77777777" w:rsidR="00932A12" w:rsidRPr="00A07978" w:rsidRDefault="00932A12" w:rsidP="00E02C69">
            <w:pPr>
              <w:rPr>
                <w:b/>
                <w:bCs/>
                <w:color w:val="000000"/>
                <w:sz w:val="16"/>
                <w:szCs w:val="16"/>
                <w:lang w:val="en-GB"/>
              </w:rPr>
            </w:pPr>
          </w:p>
          <w:p w14:paraId="736F5951" w14:textId="782E0471" w:rsidR="00767BB7" w:rsidRPr="00A07978" w:rsidRDefault="00767BB7" w:rsidP="00767BB7">
            <w:pPr>
              <w:rPr>
                <w:color w:val="000000"/>
                <w:sz w:val="16"/>
                <w:szCs w:val="16"/>
                <w:lang w:val="en-GB"/>
              </w:rPr>
            </w:pPr>
          </w:p>
          <w:p w14:paraId="3DEF488A" w14:textId="22BD7ABE" w:rsidR="00971293" w:rsidRPr="00A07978" w:rsidRDefault="00767BB7" w:rsidP="00767BB7">
            <w:pPr>
              <w:rPr>
                <w:rFonts w:ascii="Calibri" w:hAnsi="Calibri" w:cs="Calibri"/>
                <w:lang w:val="en-GB"/>
              </w:rPr>
            </w:pPr>
            <w:r w:rsidRPr="00A07978">
              <w:rPr>
                <w:color w:val="000000" w:themeColor="text1"/>
                <w:sz w:val="16"/>
                <w:szCs w:val="16"/>
                <w:lang w:val="en-GB"/>
              </w:rPr>
              <w:t>Indicator</w:t>
            </w:r>
            <w:r w:rsidR="00932A12" w:rsidRPr="00A07978">
              <w:rPr>
                <w:color w:val="000000" w:themeColor="text1"/>
                <w:sz w:val="16"/>
                <w:szCs w:val="16"/>
                <w:lang w:val="en-GB"/>
              </w:rPr>
              <w:t>3.2.1</w:t>
            </w:r>
            <w:r w:rsidR="00EC5B41" w:rsidRPr="00A07978">
              <w:rPr>
                <w:color w:val="000000" w:themeColor="text1"/>
                <w:sz w:val="16"/>
                <w:szCs w:val="16"/>
                <w:lang w:val="en-GB"/>
              </w:rPr>
              <w:t>.</w:t>
            </w:r>
            <w:r w:rsidR="00932A12" w:rsidRPr="00A07978">
              <w:rPr>
                <w:color w:val="000000" w:themeColor="text1"/>
                <w:sz w:val="16"/>
                <w:szCs w:val="16"/>
                <w:lang w:val="en-GB"/>
              </w:rPr>
              <w:t xml:space="preserve"> Number of mechanisms and digitalized tools that promote community- nature-based solutions to adapt to climate change impacts.</w:t>
            </w:r>
            <w:r w:rsidR="00971293" w:rsidRPr="00A07978">
              <w:rPr>
                <w:color w:val="000000"/>
                <w:sz w:val="16"/>
                <w:szCs w:val="16"/>
                <w:lang w:val="en-GB"/>
              </w:rPr>
              <w:t xml:space="preserve"> </w:t>
            </w:r>
            <w:r w:rsidR="002373FC" w:rsidRPr="00A07978">
              <w:rPr>
                <w:color w:val="000000"/>
                <w:sz w:val="16"/>
                <w:szCs w:val="16"/>
                <w:lang w:val="en-GB"/>
              </w:rPr>
              <w:t>0</w:t>
            </w:r>
          </w:p>
          <w:p w14:paraId="1CE03698" w14:textId="3BEA8B40" w:rsidR="00423D39" w:rsidRPr="00A07978" w:rsidRDefault="00423D39" w:rsidP="00971293">
            <w:pPr>
              <w:rPr>
                <w:color w:val="000000"/>
                <w:sz w:val="16"/>
                <w:szCs w:val="16"/>
                <w:lang w:val="en-GB"/>
              </w:rPr>
            </w:pPr>
            <w:r w:rsidRPr="00A07978">
              <w:rPr>
                <w:color w:val="000000"/>
                <w:sz w:val="16"/>
                <w:szCs w:val="16"/>
                <w:lang w:val="en-GB"/>
              </w:rPr>
              <w:t>Bas</w:t>
            </w:r>
            <w:r w:rsidR="00174556" w:rsidRPr="00A07978">
              <w:rPr>
                <w:color w:val="000000"/>
                <w:sz w:val="16"/>
                <w:szCs w:val="16"/>
                <w:lang w:val="en-GB"/>
              </w:rPr>
              <w:t>e</w:t>
            </w:r>
            <w:r w:rsidRPr="00A07978">
              <w:rPr>
                <w:color w:val="000000"/>
                <w:sz w:val="16"/>
                <w:szCs w:val="16"/>
                <w:lang w:val="en-GB"/>
              </w:rPr>
              <w:t xml:space="preserve">line </w:t>
            </w:r>
            <w:r w:rsidR="00174556" w:rsidRPr="00A07978">
              <w:rPr>
                <w:color w:val="000000"/>
                <w:sz w:val="16"/>
                <w:szCs w:val="16"/>
                <w:lang w:val="en-GB"/>
              </w:rPr>
              <w:t xml:space="preserve">(2023): </w:t>
            </w:r>
            <w:r w:rsidR="005E2492" w:rsidRPr="00A07978">
              <w:rPr>
                <w:color w:val="000000"/>
                <w:sz w:val="16"/>
                <w:szCs w:val="16"/>
                <w:lang w:val="en-GB"/>
              </w:rPr>
              <w:t>0</w:t>
            </w:r>
          </w:p>
          <w:p w14:paraId="1FBEB2AC" w14:textId="5A1A932E" w:rsidR="00971293" w:rsidRPr="00A07978" w:rsidRDefault="00971293" w:rsidP="00971293">
            <w:pPr>
              <w:rPr>
                <w:rFonts w:ascii="Calibri" w:hAnsi="Calibri" w:cs="Calibri"/>
                <w:lang w:val="en-GB"/>
              </w:rPr>
            </w:pPr>
            <w:r w:rsidRPr="00A07978">
              <w:rPr>
                <w:color w:val="000000"/>
                <w:sz w:val="16"/>
                <w:szCs w:val="16"/>
                <w:lang w:val="en-GB"/>
              </w:rPr>
              <w:t xml:space="preserve">Target (2027): </w:t>
            </w:r>
            <w:r w:rsidR="001C3B6D" w:rsidRPr="00A07978">
              <w:rPr>
                <w:color w:val="000000"/>
                <w:sz w:val="16"/>
                <w:szCs w:val="16"/>
                <w:lang w:val="en-GB"/>
              </w:rPr>
              <w:t>3</w:t>
            </w:r>
          </w:p>
          <w:p w14:paraId="71D93078" w14:textId="77777777" w:rsidR="00971293" w:rsidRPr="00A07978" w:rsidRDefault="00971293" w:rsidP="00971293">
            <w:pPr>
              <w:rPr>
                <w:sz w:val="16"/>
                <w:szCs w:val="16"/>
                <w:lang w:val="en-GB"/>
              </w:rPr>
            </w:pPr>
            <w:r w:rsidRPr="00A07978">
              <w:rPr>
                <w:color w:val="000000"/>
                <w:sz w:val="16"/>
                <w:szCs w:val="16"/>
                <w:lang w:val="en-GB"/>
              </w:rPr>
              <w:t xml:space="preserve">Source: MINEAGRI </w:t>
            </w:r>
          </w:p>
          <w:p w14:paraId="34257071" w14:textId="77777777" w:rsidR="00971293" w:rsidRPr="00A07978" w:rsidRDefault="00971293" w:rsidP="00971293">
            <w:pPr>
              <w:rPr>
                <w:color w:val="000000"/>
                <w:sz w:val="16"/>
                <w:szCs w:val="16"/>
                <w:lang w:val="en-GB"/>
              </w:rPr>
            </w:pPr>
            <w:r w:rsidRPr="00A07978">
              <w:rPr>
                <w:color w:val="000000"/>
                <w:sz w:val="16"/>
                <w:szCs w:val="16"/>
                <w:lang w:val="en-GB"/>
              </w:rPr>
              <w:t>Frequency: Annually</w:t>
            </w:r>
          </w:p>
          <w:p w14:paraId="1B577AD7" w14:textId="77777777" w:rsidR="00971293" w:rsidRPr="00A07978" w:rsidRDefault="00971293" w:rsidP="00971293">
            <w:pPr>
              <w:rPr>
                <w:color w:val="000000"/>
                <w:sz w:val="16"/>
                <w:szCs w:val="16"/>
                <w:lang w:val="en-GB"/>
              </w:rPr>
            </w:pPr>
          </w:p>
          <w:p w14:paraId="3B058D0C" w14:textId="0038B636" w:rsidR="00971293" w:rsidRPr="00A07978" w:rsidRDefault="00767BB7" w:rsidP="00767BB7">
            <w:pPr>
              <w:rPr>
                <w:color w:val="000000"/>
                <w:sz w:val="16"/>
                <w:szCs w:val="16"/>
                <w:lang w:val="en-GB"/>
              </w:rPr>
            </w:pPr>
            <w:r w:rsidRPr="00A07978">
              <w:rPr>
                <w:color w:val="000000" w:themeColor="text1"/>
                <w:sz w:val="16"/>
                <w:szCs w:val="16"/>
                <w:lang w:val="en-GB"/>
              </w:rPr>
              <w:t xml:space="preserve">Indicator </w:t>
            </w:r>
            <w:r w:rsidR="00971293" w:rsidRPr="00A07978">
              <w:rPr>
                <w:color w:val="000000"/>
                <w:sz w:val="16"/>
                <w:szCs w:val="16"/>
                <w:lang w:val="en-GB"/>
              </w:rPr>
              <w:t>3.2.2. Number of policies implemented for mitigation and adaptation to climate change.</w:t>
            </w:r>
          </w:p>
          <w:p w14:paraId="5F00DD53" w14:textId="488D227A" w:rsidR="00971293" w:rsidRPr="00A07978" w:rsidRDefault="00971293" w:rsidP="00971293">
            <w:pPr>
              <w:rPr>
                <w:color w:val="000000"/>
                <w:sz w:val="16"/>
                <w:szCs w:val="16"/>
                <w:lang w:val="en-GB"/>
              </w:rPr>
            </w:pPr>
            <w:r w:rsidRPr="00A07978">
              <w:rPr>
                <w:color w:val="000000"/>
                <w:sz w:val="16"/>
                <w:szCs w:val="16"/>
                <w:lang w:val="en-GB"/>
              </w:rPr>
              <w:t xml:space="preserve">Baseline (2023): </w:t>
            </w:r>
            <w:r w:rsidR="00157297" w:rsidRPr="00A07978">
              <w:rPr>
                <w:color w:val="000000"/>
                <w:sz w:val="16"/>
                <w:szCs w:val="16"/>
                <w:lang w:val="en-GB"/>
              </w:rPr>
              <w:t>1</w:t>
            </w:r>
          </w:p>
          <w:p w14:paraId="3F379C6F" w14:textId="69708932" w:rsidR="00971293" w:rsidRPr="00A07978" w:rsidRDefault="00971293" w:rsidP="00971293">
            <w:pPr>
              <w:rPr>
                <w:color w:val="000000"/>
                <w:sz w:val="16"/>
                <w:szCs w:val="16"/>
                <w:lang w:val="en-GB"/>
              </w:rPr>
            </w:pPr>
            <w:r w:rsidRPr="00A07978">
              <w:rPr>
                <w:color w:val="000000"/>
                <w:sz w:val="16"/>
                <w:szCs w:val="16"/>
                <w:lang w:val="en-GB"/>
              </w:rPr>
              <w:t xml:space="preserve">Target (2027): </w:t>
            </w:r>
            <w:r w:rsidR="00157297" w:rsidRPr="00A07978">
              <w:rPr>
                <w:color w:val="000000"/>
                <w:sz w:val="16"/>
                <w:szCs w:val="16"/>
                <w:lang w:val="en-GB"/>
              </w:rPr>
              <w:t>4</w:t>
            </w:r>
          </w:p>
          <w:p w14:paraId="53791BA6" w14:textId="77777777" w:rsidR="00971293" w:rsidRPr="00A07978" w:rsidRDefault="00971293" w:rsidP="00971293">
            <w:pPr>
              <w:rPr>
                <w:sz w:val="16"/>
                <w:szCs w:val="16"/>
                <w:lang w:val="en-GB"/>
              </w:rPr>
            </w:pPr>
            <w:r w:rsidRPr="00A07978">
              <w:rPr>
                <w:color w:val="000000"/>
                <w:sz w:val="16"/>
                <w:szCs w:val="16"/>
                <w:lang w:val="en-GB"/>
              </w:rPr>
              <w:t xml:space="preserve">Source: MINEAGRI </w:t>
            </w:r>
          </w:p>
          <w:p w14:paraId="68269A86" w14:textId="77777777" w:rsidR="00971293" w:rsidRPr="00A07978" w:rsidRDefault="00971293" w:rsidP="00971293">
            <w:pPr>
              <w:rPr>
                <w:color w:val="000000"/>
                <w:sz w:val="16"/>
                <w:szCs w:val="16"/>
                <w:lang w:val="en-GB"/>
              </w:rPr>
            </w:pPr>
            <w:r w:rsidRPr="00A07978">
              <w:rPr>
                <w:color w:val="000000"/>
                <w:sz w:val="16"/>
                <w:szCs w:val="16"/>
                <w:lang w:val="en-GB"/>
              </w:rPr>
              <w:t>Frequency: Annually</w:t>
            </w:r>
          </w:p>
          <w:p w14:paraId="47E3574B" w14:textId="2C03041C" w:rsidR="00932A12" w:rsidRPr="00A07978" w:rsidRDefault="00932A12" w:rsidP="00E02C69">
            <w:pPr>
              <w:rPr>
                <w:color w:val="000000"/>
                <w:sz w:val="16"/>
                <w:szCs w:val="16"/>
                <w:lang w:val="en-GB"/>
              </w:rPr>
            </w:pPr>
          </w:p>
          <w:p w14:paraId="2FC6D9D0" w14:textId="1D4C2C11" w:rsidR="00932A12" w:rsidRPr="00A07978" w:rsidRDefault="00932A12" w:rsidP="00971293">
            <w:pPr>
              <w:rPr>
                <w:color w:val="000000"/>
                <w:sz w:val="16"/>
                <w:szCs w:val="16"/>
                <w:lang w:val="en-GB"/>
              </w:rPr>
            </w:pPr>
          </w:p>
        </w:tc>
        <w:tc>
          <w:tcPr>
            <w:tcW w:w="710" w:type="pct"/>
            <w:gridSpan w:val="2"/>
            <w:vMerge/>
          </w:tcPr>
          <w:p w14:paraId="7A9EC305" w14:textId="77777777" w:rsidR="00932A12" w:rsidRPr="00A07978" w:rsidRDefault="00932A12" w:rsidP="00E02C69">
            <w:pPr>
              <w:rPr>
                <w:iCs/>
                <w:color w:val="000000"/>
                <w:sz w:val="16"/>
                <w:szCs w:val="16"/>
                <w:lang w:val="en-GB"/>
              </w:rPr>
            </w:pPr>
          </w:p>
        </w:tc>
        <w:tc>
          <w:tcPr>
            <w:tcW w:w="811" w:type="pct"/>
            <w:tcMar>
              <w:top w:w="15" w:type="dxa"/>
              <w:left w:w="108" w:type="dxa"/>
              <w:bottom w:w="0" w:type="dxa"/>
              <w:right w:w="108" w:type="dxa"/>
            </w:tcMar>
          </w:tcPr>
          <w:p w14:paraId="37AC9B71" w14:textId="77777777" w:rsidR="00932A12" w:rsidRPr="00A07978" w:rsidRDefault="00932A12" w:rsidP="00E02C69">
            <w:pPr>
              <w:rPr>
                <w:b/>
                <w:color w:val="000000"/>
                <w:sz w:val="16"/>
                <w:szCs w:val="16"/>
                <w:lang w:val="en-GB"/>
              </w:rPr>
            </w:pPr>
          </w:p>
        </w:tc>
      </w:tr>
      <w:tr w:rsidR="00932A12" w:rsidRPr="00A07978" w14:paraId="6B139F45" w14:textId="77777777" w:rsidTr="00E02C69">
        <w:trPr>
          <w:trHeight w:val="4048"/>
        </w:trPr>
        <w:tc>
          <w:tcPr>
            <w:tcW w:w="1149" w:type="pct"/>
            <w:gridSpan w:val="2"/>
            <w:tcMar>
              <w:top w:w="72" w:type="dxa"/>
              <w:left w:w="144" w:type="dxa"/>
              <w:bottom w:w="72" w:type="dxa"/>
              <w:right w:w="144" w:type="dxa"/>
            </w:tcMar>
          </w:tcPr>
          <w:p w14:paraId="27D0F818" w14:textId="77777777" w:rsidR="00932A12" w:rsidRPr="00A07978" w:rsidRDefault="00932A12" w:rsidP="00E02C69">
            <w:pPr>
              <w:pStyle w:val="ListParagraph"/>
              <w:ind w:left="227"/>
              <w:rPr>
                <w:i/>
                <w:iCs/>
                <w:color w:val="000000"/>
                <w:sz w:val="16"/>
                <w:szCs w:val="16"/>
                <w:lang w:val="en-GB"/>
              </w:rPr>
            </w:pPr>
          </w:p>
        </w:tc>
        <w:tc>
          <w:tcPr>
            <w:tcW w:w="843" w:type="pct"/>
          </w:tcPr>
          <w:p w14:paraId="16CA6698" w14:textId="32181320" w:rsidR="00932A12" w:rsidRPr="00A07978" w:rsidRDefault="00932A12" w:rsidP="00971293">
            <w:pPr>
              <w:spacing w:before="120" w:after="120"/>
              <w:rPr>
                <w:i/>
                <w:iCs/>
                <w:color w:val="000000"/>
                <w:sz w:val="16"/>
                <w:szCs w:val="16"/>
                <w:lang w:val="en-GB"/>
              </w:rPr>
            </w:pPr>
          </w:p>
        </w:tc>
        <w:tc>
          <w:tcPr>
            <w:tcW w:w="1487" w:type="pct"/>
            <w:gridSpan w:val="2"/>
            <w:tcMar>
              <w:top w:w="72" w:type="dxa"/>
              <w:left w:w="144" w:type="dxa"/>
              <w:bottom w:w="72" w:type="dxa"/>
              <w:right w:w="144" w:type="dxa"/>
            </w:tcMar>
          </w:tcPr>
          <w:p w14:paraId="6DCE9FB2" w14:textId="4034E877" w:rsidR="00932A12" w:rsidRPr="00A07978" w:rsidRDefault="00D154E4" w:rsidP="00E02C69">
            <w:pPr>
              <w:rPr>
                <w:color w:val="000000" w:themeColor="text1"/>
                <w:sz w:val="16"/>
                <w:szCs w:val="16"/>
                <w:lang w:val="en-GB"/>
              </w:rPr>
            </w:pPr>
            <w:r w:rsidRPr="00A07978">
              <w:rPr>
                <w:color w:val="000000" w:themeColor="text1"/>
                <w:sz w:val="16"/>
                <w:szCs w:val="16"/>
                <w:lang w:val="en-GB"/>
              </w:rPr>
              <w:t xml:space="preserve">Output </w:t>
            </w:r>
            <w:r w:rsidR="00932A12" w:rsidRPr="00A07978">
              <w:rPr>
                <w:color w:val="000000" w:themeColor="text1"/>
                <w:sz w:val="16"/>
                <w:szCs w:val="16"/>
                <w:lang w:val="en-GB"/>
              </w:rPr>
              <w:t>3.3. Equitable access to affordable clean and renewable energy expanded for targeted communities taking advantage of technological innovations.</w:t>
            </w:r>
          </w:p>
          <w:p w14:paraId="2AD15EA2" w14:textId="77777777" w:rsidR="00932A12" w:rsidRPr="00A07978" w:rsidRDefault="00932A12" w:rsidP="00E02C69">
            <w:pPr>
              <w:rPr>
                <w:b/>
                <w:bCs/>
                <w:color w:val="000000"/>
                <w:sz w:val="16"/>
                <w:szCs w:val="16"/>
                <w:lang w:val="en-GB"/>
              </w:rPr>
            </w:pPr>
          </w:p>
          <w:p w14:paraId="43358803" w14:textId="77777777" w:rsidR="00767BB7" w:rsidRPr="00A07978" w:rsidRDefault="00767BB7" w:rsidP="00767BB7">
            <w:pPr>
              <w:rPr>
                <w:color w:val="000000"/>
                <w:sz w:val="16"/>
                <w:szCs w:val="16"/>
                <w:lang w:val="en-GB"/>
              </w:rPr>
            </w:pPr>
          </w:p>
          <w:p w14:paraId="3D284724" w14:textId="77AFB4ED" w:rsidR="00932A12" w:rsidRPr="00A07978" w:rsidRDefault="00767BB7" w:rsidP="00767BB7">
            <w:pPr>
              <w:rPr>
                <w:color w:val="000000"/>
                <w:sz w:val="16"/>
                <w:szCs w:val="16"/>
                <w:lang w:val="en-GB"/>
              </w:rPr>
            </w:pPr>
            <w:r w:rsidRPr="00A07978">
              <w:rPr>
                <w:color w:val="000000" w:themeColor="text1"/>
                <w:sz w:val="16"/>
                <w:szCs w:val="16"/>
                <w:lang w:val="en-GB"/>
              </w:rPr>
              <w:t xml:space="preserve">Indicator </w:t>
            </w:r>
            <w:r w:rsidR="00932A12" w:rsidRPr="00A07978">
              <w:rPr>
                <w:color w:val="000000"/>
                <w:sz w:val="16"/>
                <w:szCs w:val="16"/>
                <w:lang w:val="en-GB"/>
              </w:rPr>
              <w:t>3.3.1</w:t>
            </w:r>
            <w:r w:rsidR="00EC5B41" w:rsidRPr="00A07978">
              <w:rPr>
                <w:color w:val="000000"/>
                <w:sz w:val="16"/>
                <w:szCs w:val="16"/>
                <w:lang w:val="en-GB"/>
              </w:rPr>
              <w:t>.</w:t>
            </w:r>
            <w:r w:rsidR="00932A12" w:rsidRPr="00A07978">
              <w:rPr>
                <w:color w:val="000000"/>
                <w:sz w:val="16"/>
                <w:szCs w:val="16"/>
                <w:lang w:val="en-GB"/>
              </w:rPr>
              <w:t xml:space="preserve"> Number of people who gained access to clean, affordable, and sustainable energy disaggregated by sex and groups in rural areas</w:t>
            </w:r>
            <w:r w:rsidR="00EC5B41" w:rsidRPr="00A07978">
              <w:rPr>
                <w:color w:val="000000"/>
                <w:sz w:val="16"/>
                <w:szCs w:val="16"/>
                <w:lang w:val="en-GB"/>
              </w:rPr>
              <w:t>.</w:t>
            </w:r>
          </w:p>
          <w:p w14:paraId="5F5A3630" w14:textId="12867F71" w:rsidR="00932A12" w:rsidRPr="00A07978" w:rsidRDefault="00932A12" w:rsidP="00EC5B41">
            <w:pPr>
              <w:rPr>
                <w:color w:val="000000"/>
                <w:sz w:val="16"/>
                <w:szCs w:val="16"/>
                <w:lang w:val="en-GB"/>
              </w:rPr>
            </w:pPr>
            <w:r w:rsidRPr="00A07978">
              <w:rPr>
                <w:color w:val="000000"/>
                <w:sz w:val="16"/>
                <w:szCs w:val="16"/>
                <w:lang w:val="en-GB"/>
              </w:rPr>
              <w:t>Baseline (2023):</w:t>
            </w:r>
            <w:r w:rsidR="00EC5B41" w:rsidRPr="00A07978">
              <w:rPr>
                <w:color w:val="000000"/>
                <w:sz w:val="16"/>
                <w:szCs w:val="16"/>
                <w:lang w:val="en-GB"/>
              </w:rPr>
              <w:t xml:space="preserve"> </w:t>
            </w:r>
            <w:r w:rsidRPr="00A07978">
              <w:rPr>
                <w:color w:val="000000"/>
                <w:sz w:val="16"/>
                <w:szCs w:val="16"/>
                <w:lang w:val="en-GB"/>
              </w:rPr>
              <w:t>28</w:t>
            </w:r>
            <w:r w:rsidR="00EC5B41" w:rsidRPr="00A07978">
              <w:rPr>
                <w:color w:val="000000"/>
                <w:sz w:val="16"/>
                <w:szCs w:val="16"/>
                <w:lang w:val="en-GB"/>
              </w:rPr>
              <w:t>,</w:t>
            </w:r>
            <w:r w:rsidRPr="00A07978">
              <w:rPr>
                <w:color w:val="000000"/>
                <w:sz w:val="16"/>
                <w:szCs w:val="16"/>
                <w:lang w:val="en-GB"/>
              </w:rPr>
              <w:t>080</w:t>
            </w:r>
          </w:p>
          <w:p w14:paraId="310C486B" w14:textId="4CD3D1BD" w:rsidR="00932A12" w:rsidRPr="00A07978" w:rsidRDefault="00932A12" w:rsidP="00EC5B41">
            <w:pPr>
              <w:rPr>
                <w:color w:val="000000"/>
                <w:sz w:val="16"/>
                <w:szCs w:val="16"/>
                <w:lang w:val="en-GB"/>
              </w:rPr>
            </w:pPr>
            <w:r w:rsidRPr="00A07978">
              <w:rPr>
                <w:color w:val="000000"/>
                <w:sz w:val="16"/>
                <w:szCs w:val="16"/>
                <w:lang w:val="en-GB"/>
              </w:rPr>
              <w:t>Target (2027): 42</w:t>
            </w:r>
            <w:r w:rsidR="00EC5B41" w:rsidRPr="00A07978">
              <w:rPr>
                <w:color w:val="000000"/>
                <w:sz w:val="16"/>
                <w:szCs w:val="16"/>
                <w:lang w:val="en-GB"/>
              </w:rPr>
              <w:t>,</w:t>
            </w:r>
            <w:r w:rsidRPr="00A07978">
              <w:rPr>
                <w:color w:val="000000"/>
                <w:sz w:val="16"/>
                <w:szCs w:val="16"/>
                <w:lang w:val="en-GB"/>
              </w:rPr>
              <w:t>350</w:t>
            </w:r>
          </w:p>
          <w:p w14:paraId="3F42F44F" w14:textId="752228A2" w:rsidR="00932A12" w:rsidRPr="00A07978" w:rsidRDefault="00932A12" w:rsidP="00E02C69">
            <w:pPr>
              <w:rPr>
                <w:sz w:val="16"/>
                <w:szCs w:val="16"/>
                <w:lang w:val="en-GB"/>
              </w:rPr>
            </w:pPr>
            <w:r w:rsidRPr="00A07978">
              <w:rPr>
                <w:color w:val="000000"/>
                <w:sz w:val="16"/>
                <w:szCs w:val="16"/>
                <w:lang w:val="en-GB"/>
              </w:rPr>
              <w:t>Source: Mi</w:t>
            </w:r>
            <w:r w:rsidR="00EC5B41" w:rsidRPr="00A07978">
              <w:rPr>
                <w:color w:val="000000"/>
                <w:sz w:val="16"/>
                <w:szCs w:val="16"/>
                <w:lang w:val="en-GB"/>
              </w:rPr>
              <w:t>nistry of</w:t>
            </w:r>
            <w:r w:rsidRPr="00A07978">
              <w:rPr>
                <w:color w:val="000000"/>
                <w:sz w:val="16"/>
                <w:szCs w:val="16"/>
                <w:lang w:val="en-GB"/>
              </w:rPr>
              <w:t xml:space="preserve"> Energy </w:t>
            </w:r>
          </w:p>
          <w:p w14:paraId="06A34076" w14:textId="3A7DBB0C" w:rsidR="00932A12" w:rsidRPr="00A07978" w:rsidRDefault="00932A12" w:rsidP="00E02C69">
            <w:pPr>
              <w:rPr>
                <w:color w:val="000000"/>
                <w:sz w:val="16"/>
                <w:szCs w:val="16"/>
                <w:lang w:val="en-GB"/>
              </w:rPr>
            </w:pPr>
            <w:r w:rsidRPr="00A07978">
              <w:rPr>
                <w:color w:val="000000"/>
                <w:sz w:val="16"/>
                <w:szCs w:val="16"/>
                <w:lang w:val="en-GB"/>
              </w:rPr>
              <w:t xml:space="preserve">Frequency: </w:t>
            </w:r>
            <w:r w:rsidR="00EC5B41" w:rsidRPr="00A07978">
              <w:rPr>
                <w:color w:val="000000"/>
                <w:sz w:val="16"/>
                <w:szCs w:val="16"/>
                <w:lang w:val="en-GB"/>
              </w:rPr>
              <w:t>A</w:t>
            </w:r>
            <w:r w:rsidRPr="00A07978">
              <w:rPr>
                <w:color w:val="000000"/>
                <w:sz w:val="16"/>
                <w:szCs w:val="16"/>
                <w:lang w:val="en-GB"/>
              </w:rPr>
              <w:t>nnually</w:t>
            </w:r>
          </w:p>
          <w:p w14:paraId="3FECA677" w14:textId="77777777" w:rsidR="00932A12" w:rsidRPr="00A07978" w:rsidRDefault="00932A12" w:rsidP="00E02C69">
            <w:pPr>
              <w:rPr>
                <w:color w:val="000000"/>
                <w:sz w:val="16"/>
                <w:szCs w:val="16"/>
                <w:lang w:val="en-GB"/>
              </w:rPr>
            </w:pPr>
          </w:p>
          <w:p w14:paraId="74BAF486" w14:textId="77777777" w:rsidR="00932A12" w:rsidRPr="00A07978" w:rsidRDefault="00932A12" w:rsidP="00E02C69">
            <w:pPr>
              <w:rPr>
                <w:color w:val="000000"/>
                <w:sz w:val="16"/>
                <w:szCs w:val="16"/>
                <w:lang w:val="en-GB"/>
              </w:rPr>
            </w:pPr>
          </w:p>
          <w:p w14:paraId="4343BBF4" w14:textId="3C7CD417" w:rsidR="00932A12" w:rsidRPr="00A07978" w:rsidRDefault="00767BB7" w:rsidP="00E02C69">
            <w:pPr>
              <w:rPr>
                <w:color w:val="000000"/>
                <w:sz w:val="16"/>
                <w:szCs w:val="16"/>
                <w:lang w:val="en-GB"/>
              </w:rPr>
            </w:pPr>
            <w:r w:rsidRPr="00A07978">
              <w:rPr>
                <w:color w:val="000000" w:themeColor="text1"/>
                <w:sz w:val="16"/>
                <w:szCs w:val="16"/>
                <w:lang w:val="en-GB"/>
              </w:rPr>
              <w:t xml:space="preserve">Indicator </w:t>
            </w:r>
            <w:r w:rsidR="00932A12" w:rsidRPr="00A07978">
              <w:rPr>
                <w:color w:val="000000" w:themeColor="text1"/>
                <w:sz w:val="16"/>
                <w:szCs w:val="16"/>
                <w:lang w:val="en-GB"/>
              </w:rPr>
              <w:t>3.3.2 Number of community structures connected to clean, affordable and sustainable energy</w:t>
            </w:r>
            <w:r w:rsidR="00EC5B41" w:rsidRPr="00A07978">
              <w:rPr>
                <w:color w:val="000000" w:themeColor="text1"/>
                <w:sz w:val="16"/>
                <w:szCs w:val="16"/>
                <w:lang w:val="en-GB"/>
              </w:rPr>
              <w:t>.</w:t>
            </w:r>
            <w:r w:rsidR="00932A12" w:rsidRPr="00A07978">
              <w:rPr>
                <w:color w:val="000000" w:themeColor="text1"/>
                <w:sz w:val="16"/>
                <w:szCs w:val="16"/>
                <w:lang w:val="en-GB"/>
              </w:rPr>
              <w:t xml:space="preserve"> </w:t>
            </w:r>
          </w:p>
          <w:p w14:paraId="188E6279" w14:textId="77777777" w:rsidR="00932A12" w:rsidRPr="00A07978" w:rsidRDefault="00932A12" w:rsidP="00E02C69">
            <w:pPr>
              <w:rPr>
                <w:color w:val="000000"/>
                <w:sz w:val="16"/>
                <w:szCs w:val="16"/>
                <w:lang w:val="en-GB"/>
              </w:rPr>
            </w:pPr>
            <w:r w:rsidRPr="00A07978">
              <w:rPr>
                <w:color w:val="000000"/>
                <w:sz w:val="16"/>
                <w:szCs w:val="16"/>
                <w:lang w:val="en-GB"/>
              </w:rPr>
              <w:t>Baseline (2023):7</w:t>
            </w:r>
          </w:p>
          <w:p w14:paraId="296485D7" w14:textId="77777777" w:rsidR="00932A12" w:rsidRPr="00A07978" w:rsidRDefault="00932A12" w:rsidP="00E02C69">
            <w:pPr>
              <w:rPr>
                <w:color w:val="000000"/>
                <w:sz w:val="16"/>
                <w:szCs w:val="16"/>
                <w:lang w:val="en-GB"/>
              </w:rPr>
            </w:pPr>
            <w:r w:rsidRPr="00A07978">
              <w:rPr>
                <w:color w:val="000000"/>
                <w:sz w:val="16"/>
                <w:szCs w:val="16"/>
                <w:lang w:val="en-GB"/>
              </w:rPr>
              <w:t>Target (2027):22</w:t>
            </w:r>
          </w:p>
          <w:p w14:paraId="106F4055" w14:textId="047DA04B" w:rsidR="00932A12" w:rsidRPr="00A07978" w:rsidRDefault="00932A12" w:rsidP="00E02C69">
            <w:pPr>
              <w:rPr>
                <w:sz w:val="16"/>
                <w:szCs w:val="16"/>
                <w:lang w:val="en-GB"/>
              </w:rPr>
            </w:pPr>
            <w:r w:rsidRPr="00A07978">
              <w:rPr>
                <w:color w:val="000000"/>
                <w:sz w:val="16"/>
                <w:szCs w:val="16"/>
                <w:lang w:val="en-GB"/>
              </w:rPr>
              <w:t xml:space="preserve">Source: </w:t>
            </w:r>
            <w:r w:rsidR="00EC5B41" w:rsidRPr="00A07978">
              <w:rPr>
                <w:color w:val="000000"/>
                <w:sz w:val="16"/>
                <w:szCs w:val="16"/>
                <w:lang w:val="en-GB"/>
              </w:rPr>
              <w:t xml:space="preserve">Ministry of </w:t>
            </w:r>
            <w:r w:rsidRPr="00A07978">
              <w:rPr>
                <w:color w:val="000000"/>
                <w:sz w:val="16"/>
                <w:szCs w:val="16"/>
                <w:lang w:val="en-GB"/>
              </w:rPr>
              <w:t xml:space="preserve">Energy </w:t>
            </w:r>
          </w:p>
          <w:p w14:paraId="1703AB56" w14:textId="627B040F" w:rsidR="00932A12" w:rsidRPr="00A07978" w:rsidRDefault="00932A12" w:rsidP="00E02C69">
            <w:pPr>
              <w:rPr>
                <w:color w:val="000000"/>
                <w:sz w:val="16"/>
                <w:szCs w:val="16"/>
                <w:lang w:val="en-GB"/>
              </w:rPr>
            </w:pPr>
            <w:r w:rsidRPr="00A07978">
              <w:rPr>
                <w:color w:val="000000"/>
                <w:sz w:val="16"/>
                <w:szCs w:val="16"/>
                <w:lang w:val="en-GB"/>
              </w:rPr>
              <w:t xml:space="preserve">Frequency: </w:t>
            </w:r>
            <w:r w:rsidR="00EC5B41" w:rsidRPr="00A07978">
              <w:rPr>
                <w:color w:val="000000"/>
                <w:sz w:val="16"/>
                <w:szCs w:val="16"/>
                <w:lang w:val="en-GB"/>
              </w:rPr>
              <w:t>A</w:t>
            </w:r>
            <w:r w:rsidRPr="00A07978">
              <w:rPr>
                <w:color w:val="000000"/>
                <w:sz w:val="16"/>
                <w:szCs w:val="16"/>
                <w:lang w:val="en-GB"/>
              </w:rPr>
              <w:t>nnually</w:t>
            </w:r>
          </w:p>
          <w:p w14:paraId="02D0CD66" w14:textId="77777777" w:rsidR="00932A12" w:rsidRPr="00A07978" w:rsidRDefault="00932A12" w:rsidP="00E02C69">
            <w:pPr>
              <w:rPr>
                <w:b/>
                <w:bCs/>
                <w:color w:val="000000"/>
                <w:sz w:val="16"/>
                <w:szCs w:val="16"/>
                <w:lang w:val="en-GB"/>
              </w:rPr>
            </w:pPr>
          </w:p>
        </w:tc>
        <w:tc>
          <w:tcPr>
            <w:tcW w:w="710" w:type="pct"/>
            <w:gridSpan w:val="2"/>
            <w:vMerge/>
          </w:tcPr>
          <w:p w14:paraId="1F647CA7" w14:textId="77777777" w:rsidR="00932A12" w:rsidRPr="00A07978" w:rsidRDefault="00932A12" w:rsidP="00E02C69">
            <w:pPr>
              <w:rPr>
                <w:i/>
                <w:iCs/>
                <w:color w:val="000000"/>
                <w:sz w:val="16"/>
                <w:szCs w:val="16"/>
                <w:lang w:val="en-GB"/>
              </w:rPr>
            </w:pPr>
          </w:p>
        </w:tc>
        <w:tc>
          <w:tcPr>
            <w:tcW w:w="811" w:type="pct"/>
            <w:tcMar>
              <w:top w:w="15" w:type="dxa"/>
              <w:left w:w="108" w:type="dxa"/>
              <w:bottom w:w="0" w:type="dxa"/>
              <w:right w:w="108" w:type="dxa"/>
            </w:tcMar>
          </w:tcPr>
          <w:p w14:paraId="6D0EC7CB" w14:textId="77777777" w:rsidR="00932A12" w:rsidRPr="00A07978" w:rsidRDefault="00932A12" w:rsidP="00E02C69">
            <w:pPr>
              <w:rPr>
                <w:b/>
                <w:color w:val="000000"/>
                <w:sz w:val="16"/>
                <w:szCs w:val="16"/>
                <w:lang w:val="en-GB"/>
              </w:rPr>
            </w:pPr>
          </w:p>
        </w:tc>
      </w:tr>
      <w:tr w:rsidR="004F545C" w:rsidRPr="00A07978" w14:paraId="3EFCB8C1" w14:textId="77777777" w:rsidTr="00E02C69">
        <w:trPr>
          <w:trHeight w:val="5152"/>
        </w:trPr>
        <w:tc>
          <w:tcPr>
            <w:tcW w:w="1149" w:type="pct"/>
            <w:gridSpan w:val="2"/>
            <w:tcMar>
              <w:top w:w="72" w:type="dxa"/>
              <w:left w:w="144" w:type="dxa"/>
              <w:bottom w:w="72" w:type="dxa"/>
              <w:right w:w="144" w:type="dxa"/>
            </w:tcMar>
          </w:tcPr>
          <w:p w14:paraId="6AD202E4" w14:textId="77777777" w:rsidR="004F545C" w:rsidRPr="00A07978" w:rsidRDefault="004F545C" w:rsidP="004F545C">
            <w:pPr>
              <w:rPr>
                <w:sz w:val="16"/>
                <w:szCs w:val="16"/>
                <w:lang w:val="en-GB"/>
              </w:rPr>
            </w:pPr>
            <w:r w:rsidRPr="00A07978">
              <w:rPr>
                <w:sz w:val="16"/>
                <w:szCs w:val="16"/>
                <w:lang w:val="en-GB"/>
              </w:rPr>
              <w:lastRenderedPageBreak/>
              <w:t>J. Surface of degraded areas as a proportion of land area</w:t>
            </w:r>
          </w:p>
          <w:p w14:paraId="15C5C32A" w14:textId="60A28C63" w:rsidR="004F545C" w:rsidRPr="00A07978" w:rsidRDefault="004F545C" w:rsidP="004F545C">
            <w:pPr>
              <w:rPr>
                <w:sz w:val="16"/>
                <w:szCs w:val="16"/>
                <w:lang w:val="en-GB"/>
              </w:rPr>
            </w:pPr>
            <w:r w:rsidRPr="00A07978">
              <w:rPr>
                <w:sz w:val="16"/>
                <w:szCs w:val="16"/>
                <w:lang w:val="en-GB"/>
              </w:rPr>
              <w:t>Baseline</w:t>
            </w:r>
            <w:r w:rsidR="001A0EB8" w:rsidRPr="00A07978">
              <w:rPr>
                <w:sz w:val="16"/>
                <w:szCs w:val="16"/>
                <w:lang w:val="en-GB"/>
              </w:rPr>
              <w:t xml:space="preserve"> 2019</w:t>
            </w:r>
            <w:r w:rsidRPr="00A07978">
              <w:rPr>
                <w:sz w:val="16"/>
                <w:szCs w:val="16"/>
                <w:lang w:val="en-GB"/>
              </w:rPr>
              <w:t>: 11.47%</w:t>
            </w:r>
          </w:p>
          <w:p w14:paraId="5EDCF01B" w14:textId="56F0A308" w:rsidR="004F545C" w:rsidRPr="00A07978" w:rsidRDefault="004F545C" w:rsidP="004F545C">
            <w:pPr>
              <w:rPr>
                <w:sz w:val="16"/>
                <w:szCs w:val="16"/>
                <w:lang w:val="en-GB"/>
              </w:rPr>
            </w:pPr>
            <w:r w:rsidRPr="00A07978">
              <w:rPr>
                <w:sz w:val="16"/>
                <w:szCs w:val="16"/>
                <w:lang w:val="en-GB"/>
              </w:rPr>
              <w:t>Target</w:t>
            </w:r>
            <w:r w:rsidR="001A0EB8" w:rsidRPr="00A07978">
              <w:rPr>
                <w:sz w:val="16"/>
                <w:szCs w:val="16"/>
                <w:lang w:val="en-GB"/>
              </w:rPr>
              <w:t xml:space="preserve"> 2027</w:t>
            </w:r>
            <w:r w:rsidRPr="00A07978">
              <w:rPr>
                <w:sz w:val="16"/>
                <w:szCs w:val="16"/>
                <w:lang w:val="en-GB"/>
              </w:rPr>
              <w:t>: 5%</w:t>
            </w:r>
          </w:p>
          <w:p w14:paraId="5CF43172" w14:textId="574C057B" w:rsidR="004F545C" w:rsidRPr="00A07978" w:rsidRDefault="004F545C" w:rsidP="004F545C">
            <w:pPr>
              <w:rPr>
                <w:i/>
                <w:iCs/>
                <w:color w:val="000000"/>
                <w:sz w:val="16"/>
                <w:szCs w:val="16"/>
                <w:lang w:val="en-GB"/>
              </w:rPr>
            </w:pPr>
          </w:p>
        </w:tc>
        <w:tc>
          <w:tcPr>
            <w:tcW w:w="843" w:type="pct"/>
          </w:tcPr>
          <w:p w14:paraId="6683CB71" w14:textId="77777777" w:rsidR="004F545C" w:rsidRPr="00A07978" w:rsidRDefault="004F545C" w:rsidP="004F545C">
            <w:pPr>
              <w:pStyle w:val="ListParagraph"/>
              <w:ind w:left="360"/>
              <w:rPr>
                <w:rFonts w:asciiTheme="minorHAnsi" w:hAnsiTheme="minorHAnsi" w:cstheme="minorHAnsi"/>
                <w:iCs/>
                <w:sz w:val="16"/>
                <w:szCs w:val="16"/>
                <w:lang w:val="en-GB"/>
              </w:rPr>
            </w:pPr>
          </w:p>
          <w:p w14:paraId="6920A363" w14:textId="7CC06073" w:rsidR="004F545C" w:rsidRPr="00A07978" w:rsidRDefault="004F545C" w:rsidP="004F545C">
            <w:pPr>
              <w:suppressAutoHyphens/>
              <w:autoSpaceDN w:val="0"/>
              <w:textAlignment w:val="baseline"/>
              <w:rPr>
                <w:color w:val="000000" w:themeColor="text1"/>
                <w:sz w:val="16"/>
                <w:szCs w:val="16"/>
                <w:lang w:val="en-GB"/>
              </w:rPr>
            </w:pPr>
            <w:r w:rsidRPr="00A07978">
              <w:rPr>
                <w:color w:val="000000" w:themeColor="text1"/>
                <w:sz w:val="16"/>
                <w:szCs w:val="16"/>
                <w:lang w:val="en-GB"/>
              </w:rPr>
              <w:t xml:space="preserve">Source: Global Forest Resource Assessment </w:t>
            </w:r>
            <w:r w:rsidR="00667B4C" w:rsidRPr="00A07978">
              <w:rPr>
                <w:color w:val="000000" w:themeColor="text1"/>
                <w:sz w:val="16"/>
                <w:szCs w:val="16"/>
                <w:lang w:val="en-GB"/>
              </w:rPr>
              <w:t>Reports</w:t>
            </w:r>
          </w:p>
          <w:p w14:paraId="2428F80A" w14:textId="77777777" w:rsidR="004F545C" w:rsidRPr="00A07978" w:rsidRDefault="004F545C" w:rsidP="004F545C">
            <w:pPr>
              <w:suppressAutoHyphens/>
              <w:autoSpaceDN w:val="0"/>
              <w:textAlignment w:val="baseline"/>
              <w:rPr>
                <w:rFonts w:cstheme="minorHAnsi"/>
                <w:iCs/>
                <w:sz w:val="16"/>
                <w:szCs w:val="16"/>
                <w:lang w:val="en-GB"/>
              </w:rPr>
            </w:pPr>
            <w:r w:rsidRPr="00A07978">
              <w:rPr>
                <w:color w:val="000000" w:themeColor="text1"/>
                <w:sz w:val="16"/>
                <w:szCs w:val="16"/>
                <w:lang w:val="en-GB"/>
              </w:rPr>
              <w:t>Frequency</w:t>
            </w:r>
            <w:r w:rsidRPr="00A07978">
              <w:rPr>
                <w:rFonts w:cstheme="minorHAnsi"/>
                <w:iCs/>
                <w:sz w:val="16"/>
                <w:szCs w:val="16"/>
                <w:lang w:val="en-GB"/>
              </w:rPr>
              <w:t>: Annually</w:t>
            </w:r>
          </w:p>
          <w:p w14:paraId="52C060C3" w14:textId="77777777" w:rsidR="004F545C" w:rsidRPr="00A07978" w:rsidRDefault="004F545C" w:rsidP="004F545C">
            <w:pPr>
              <w:suppressAutoHyphens/>
              <w:autoSpaceDN w:val="0"/>
              <w:textAlignment w:val="baseline"/>
              <w:rPr>
                <w:color w:val="000000" w:themeColor="text1"/>
                <w:sz w:val="16"/>
                <w:szCs w:val="16"/>
                <w:lang w:val="en-GB"/>
              </w:rPr>
            </w:pPr>
            <w:r w:rsidRPr="00A07978">
              <w:rPr>
                <w:color w:val="000000" w:themeColor="text1"/>
                <w:sz w:val="16"/>
                <w:szCs w:val="16"/>
                <w:lang w:val="en-GB"/>
              </w:rPr>
              <w:t xml:space="preserve">Responsible: </w:t>
            </w:r>
            <w:r w:rsidRPr="00A07978">
              <w:rPr>
                <w:rFonts w:eastAsiaTheme="minorHAnsi"/>
                <w:iCs/>
                <w:color w:val="000000"/>
                <w:sz w:val="16"/>
                <w:szCs w:val="16"/>
                <w:lang w:val="en-GB"/>
              </w:rPr>
              <w:t>MINEAGRI</w:t>
            </w:r>
          </w:p>
          <w:p w14:paraId="394CFD78" w14:textId="77777777" w:rsidR="004F545C" w:rsidRPr="00A07978" w:rsidRDefault="004F545C" w:rsidP="004F545C">
            <w:pPr>
              <w:pStyle w:val="ListParagraph"/>
              <w:ind w:left="360"/>
              <w:rPr>
                <w:rFonts w:eastAsiaTheme="minorEastAsia"/>
                <w:iCs/>
                <w:color w:val="000000"/>
                <w:sz w:val="16"/>
                <w:szCs w:val="16"/>
                <w:lang w:val="en-GB"/>
              </w:rPr>
            </w:pPr>
          </w:p>
          <w:p w14:paraId="59A4BC42" w14:textId="77777777" w:rsidR="004F545C" w:rsidRPr="00A07978" w:rsidRDefault="004F545C" w:rsidP="004F545C">
            <w:pPr>
              <w:pStyle w:val="ListParagraph"/>
              <w:ind w:left="360"/>
              <w:rPr>
                <w:rFonts w:eastAsiaTheme="minorEastAsia"/>
                <w:iCs/>
                <w:color w:val="000000"/>
                <w:sz w:val="16"/>
                <w:szCs w:val="16"/>
                <w:lang w:val="en-GB"/>
              </w:rPr>
            </w:pPr>
          </w:p>
          <w:p w14:paraId="1FD71DC0" w14:textId="77777777" w:rsidR="004F545C" w:rsidRPr="00A07978" w:rsidRDefault="004F545C" w:rsidP="004F545C">
            <w:pPr>
              <w:rPr>
                <w:rFonts w:cstheme="minorHAnsi"/>
                <w:iCs/>
                <w:sz w:val="16"/>
                <w:szCs w:val="16"/>
                <w:lang w:val="en-GB"/>
              </w:rPr>
            </w:pPr>
          </w:p>
          <w:p w14:paraId="6B27E31E" w14:textId="77777777" w:rsidR="004F545C" w:rsidRPr="00A07978" w:rsidRDefault="004F545C" w:rsidP="004F545C">
            <w:pPr>
              <w:pStyle w:val="ListParagraph"/>
              <w:spacing w:before="120" w:after="120"/>
              <w:ind w:left="454"/>
              <w:rPr>
                <w:i/>
                <w:iCs/>
                <w:color w:val="000000"/>
                <w:sz w:val="16"/>
                <w:szCs w:val="16"/>
                <w:lang w:val="en-GB"/>
              </w:rPr>
            </w:pPr>
          </w:p>
        </w:tc>
        <w:tc>
          <w:tcPr>
            <w:tcW w:w="1487" w:type="pct"/>
            <w:gridSpan w:val="2"/>
            <w:tcMar>
              <w:top w:w="72" w:type="dxa"/>
              <w:left w:w="144" w:type="dxa"/>
              <w:bottom w:w="72" w:type="dxa"/>
              <w:right w:w="144" w:type="dxa"/>
            </w:tcMar>
          </w:tcPr>
          <w:p w14:paraId="7440DDF9" w14:textId="77777777" w:rsidR="004F545C" w:rsidRPr="00A07978" w:rsidRDefault="004F545C" w:rsidP="004F545C">
            <w:pPr>
              <w:rPr>
                <w:b/>
                <w:bCs/>
                <w:color w:val="000000"/>
                <w:sz w:val="16"/>
                <w:szCs w:val="16"/>
                <w:lang w:val="en-GB"/>
              </w:rPr>
            </w:pPr>
          </w:p>
          <w:p w14:paraId="77907ED5" w14:textId="2BD93442" w:rsidR="004F545C" w:rsidRPr="00A07978" w:rsidRDefault="00D154E4" w:rsidP="004F545C">
            <w:pPr>
              <w:rPr>
                <w:color w:val="000000"/>
                <w:sz w:val="16"/>
                <w:szCs w:val="16"/>
                <w:lang w:val="en-GB"/>
              </w:rPr>
            </w:pPr>
            <w:r w:rsidRPr="00A07978">
              <w:rPr>
                <w:color w:val="000000" w:themeColor="text1"/>
                <w:sz w:val="16"/>
                <w:szCs w:val="16"/>
                <w:lang w:val="en-GB"/>
              </w:rPr>
              <w:t xml:space="preserve">Output </w:t>
            </w:r>
            <w:r w:rsidR="004F545C" w:rsidRPr="00A07978">
              <w:rPr>
                <w:color w:val="000000"/>
                <w:sz w:val="16"/>
                <w:szCs w:val="16"/>
                <w:lang w:val="en-GB"/>
              </w:rPr>
              <w:t>3.4. Natural resources protected and managed to enhance sustainable productivity and livelihoods.</w:t>
            </w:r>
          </w:p>
          <w:p w14:paraId="7D5EA870" w14:textId="77777777" w:rsidR="004F545C" w:rsidRPr="00A07978" w:rsidRDefault="004F545C" w:rsidP="004F545C">
            <w:pPr>
              <w:rPr>
                <w:b/>
                <w:bCs/>
                <w:i/>
                <w:iCs/>
                <w:color w:val="000000"/>
                <w:sz w:val="16"/>
                <w:szCs w:val="16"/>
                <w:lang w:val="en-GB"/>
              </w:rPr>
            </w:pPr>
          </w:p>
          <w:p w14:paraId="3370C2A8" w14:textId="75F57D93" w:rsidR="004F545C" w:rsidRPr="00A07978" w:rsidRDefault="004F545C" w:rsidP="004F545C">
            <w:pPr>
              <w:rPr>
                <w:b/>
                <w:bCs/>
                <w:color w:val="000000"/>
                <w:sz w:val="16"/>
                <w:szCs w:val="16"/>
                <w:lang w:val="en-GB"/>
              </w:rPr>
            </w:pPr>
            <w:r w:rsidRPr="00A07978">
              <w:rPr>
                <w:color w:val="000000"/>
                <w:sz w:val="16"/>
                <w:szCs w:val="16"/>
                <w:lang w:val="en-GB"/>
              </w:rPr>
              <w:t>3.4.1. Natural resources that are managed under a sustainable use, conservation, access, and benefit-sharing regime</w:t>
            </w:r>
            <w:r w:rsidRPr="00A07978">
              <w:rPr>
                <w:b/>
                <w:bCs/>
                <w:color w:val="000000"/>
                <w:sz w:val="16"/>
                <w:szCs w:val="16"/>
                <w:lang w:val="en-GB"/>
              </w:rPr>
              <w:t xml:space="preserve">:  </w:t>
            </w:r>
          </w:p>
          <w:p w14:paraId="07E86527" w14:textId="77777777" w:rsidR="004F545C" w:rsidRPr="00A07978" w:rsidRDefault="004F545C" w:rsidP="004F545C">
            <w:pPr>
              <w:rPr>
                <w:color w:val="000000"/>
                <w:sz w:val="16"/>
                <w:szCs w:val="16"/>
                <w:lang w:val="en-GB"/>
              </w:rPr>
            </w:pPr>
            <w:r w:rsidRPr="00A07978">
              <w:rPr>
                <w:color w:val="000000"/>
                <w:sz w:val="16"/>
                <w:szCs w:val="16"/>
                <w:lang w:val="en-GB"/>
              </w:rPr>
              <w:t xml:space="preserve">• Coverage and scale of ecosystems with enhanced resilience to climate change (hectares and kilometers) </w:t>
            </w:r>
          </w:p>
          <w:p w14:paraId="797D2C88" w14:textId="77777777" w:rsidR="004F545C" w:rsidRPr="00A07978" w:rsidRDefault="004F545C" w:rsidP="004F545C">
            <w:pPr>
              <w:rPr>
                <w:color w:val="000000"/>
                <w:sz w:val="16"/>
                <w:szCs w:val="16"/>
                <w:lang w:val="en-GB"/>
              </w:rPr>
            </w:pPr>
            <w:r w:rsidRPr="00A07978">
              <w:rPr>
                <w:color w:val="000000"/>
                <w:sz w:val="16"/>
                <w:szCs w:val="16"/>
                <w:lang w:val="en-GB"/>
              </w:rPr>
              <w:t xml:space="preserve">• Area of forest and forest land restored (hectares)  </w:t>
            </w:r>
          </w:p>
          <w:p w14:paraId="5222536B" w14:textId="77777777" w:rsidR="004F545C" w:rsidRPr="00A07978" w:rsidRDefault="004F545C" w:rsidP="004F545C">
            <w:pPr>
              <w:rPr>
                <w:color w:val="000000"/>
                <w:sz w:val="16"/>
                <w:szCs w:val="16"/>
                <w:lang w:val="en-GB"/>
              </w:rPr>
            </w:pPr>
            <w:r w:rsidRPr="00A07978">
              <w:rPr>
                <w:color w:val="000000"/>
                <w:sz w:val="16"/>
                <w:szCs w:val="16"/>
                <w:lang w:val="en-GB"/>
              </w:rPr>
              <w:t>• Areas of landscapes under improved practices, excluding protected areas (hectares)</w:t>
            </w:r>
          </w:p>
          <w:p w14:paraId="09E70D03" w14:textId="77777777" w:rsidR="004F545C" w:rsidRPr="00A07978" w:rsidRDefault="004F545C" w:rsidP="004F545C">
            <w:pPr>
              <w:rPr>
                <w:b/>
                <w:bCs/>
                <w:color w:val="000000"/>
                <w:sz w:val="16"/>
                <w:szCs w:val="16"/>
                <w:lang w:val="en-GB"/>
              </w:rPr>
            </w:pPr>
          </w:p>
          <w:p w14:paraId="7FEAD718" w14:textId="00CB9D79" w:rsidR="004F545C" w:rsidRPr="00A07978" w:rsidRDefault="004F545C" w:rsidP="004F545C">
            <w:pPr>
              <w:rPr>
                <w:color w:val="000000"/>
                <w:sz w:val="16"/>
                <w:szCs w:val="16"/>
                <w:lang w:val="en-GB"/>
              </w:rPr>
            </w:pPr>
            <w:r w:rsidRPr="00A07978">
              <w:rPr>
                <w:color w:val="000000"/>
                <w:sz w:val="16"/>
                <w:szCs w:val="16"/>
                <w:lang w:val="en-GB"/>
              </w:rPr>
              <w:t xml:space="preserve">Baseline (2023): </w:t>
            </w:r>
            <w:r w:rsidR="000E2D77" w:rsidRPr="00A07978">
              <w:rPr>
                <w:color w:val="000000"/>
                <w:sz w:val="16"/>
                <w:szCs w:val="16"/>
                <w:lang w:val="en-GB"/>
              </w:rPr>
              <w:t>94053</w:t>
            </w:r>
          </w:p>
          <w:p w14:paraId="6F4ABDF5" w14:textId="1CD32FBA" w:rsidR="004F545C" w:rsidRPr="00A07978" w:rsidRDefault="004F545C" w:rsidP="004F545C">
            <w:pPr>
              <w:rPr>
                <w:color w:val="000000"/>
                <w:sz w:val="16"/>
                <w:szCs w:val="16"/>
                <w:lang w:val="en-GB"/>
              </w:rPr>
            </w:pPr>
            <w:r w:rsidRPr="00A07978">
              <w:rPr>
                <w:color w:val="000000"/>
                <w:sz w:val="16"/>
                <w:szCs w:val="16"/>
                <w:lang w:val="en-GB"/>
              </w:rPr>
              <w:t>Target (</w:t>
            </w:r>
            <w:r w:rsidR="00423D39" w:rsidRPr="00A07978">
              <w:rPr>
                <w:color w:val="000000"/>
                <w:sz w:val="16"/>
                <w:szCs w:val="16"/>
                <w:lang w:val="en-GB"/>
              </w:rPr>
              <w:t>2027</w:t>
            </w:r>
            <w:r w:rsidRPr="00A07978">
              <w:rPr>
                <w:color w:val="000000"/>
                <w:sz w:val="16"/>
                <w:szCs w:val="16"/>
                <w:lang w:val="en-GB"/>
              </w:rPr>
              <w:t xml:space="preserve">): </w:t>
            </w:r>
            <w:r w:rsidR="00DF6035" w:rsidRPr="00A07978">
              <w:rPr>
                <w:color w:val="000000"/>
                <w:sz w:val="16"/>
                <w:szCs w:val="16"/>
                <w:lang w:val="en-GB"/>
              </w:rPr>
              <w:t>122269</w:t>
            </w:r>
          </w:p>
          <w:p w14:paraId="21666527" w14:textId="77777777" w:rsidR="004F545C" w:rsidRPr="00A07978" w:rsidRDefault="004F545C" w:rsidP="004F545C">
            <w:pPr>
              <w:rPr>
                <w:sz w:val="16"/>
                <w:szCs w:val="16"/>
                <w:lang w:val="en-GB"/>
              </w:rPr>
            </w:pPr>
            <w:r w:rsidRPr="00A07978">
              <w:rPr>
                <w:color w:val="000000"/>
                <w:sz w:val="16"/>
                <w:szCs w:val="16"/>
                <w:lang w:val="en-GB"/>
              </w:rPr>
              <w:t>Source: MINEAGRI</w:t>
            </w:r>
          </w:p>
          <w:p w14:paraId="70435A76" w14:textId="39033D64" w:rsidR="004F545C" w:rsidRPr="00A07978" w:rsidRDefault="004F545C" w:rsidP="004F545C">
            <w:pPr>
              <w:rPr>
                <w:color w:val="000000"/>
                <w:sz w:val="16"/>
                <w:szCs w:val="16"/>
                <w:lang w:val="en-GB"/>
              </w:rPr>
            </w:pPr>
            <w:r w:rsidRPr="00A07978">
              <w:rPr>
                <w:color w:val="000000"/>
                <w:sz w:val="16"/>
                <w:szCs w:val="16"/>
                <w:lang w:val="en-GB"/>
              </w:rPr>
              <w:t>Frequency: Annually</w:t>
            </w:r>
          </w:p>
          <w:p w14:paraId="62F26424" w14:textId="77777777" w:rsidR="004F545C" w:rsidRPr="00A07978" w:rsidRDefault="004F545C" w:rsidP="004F545C">
            <w:pPr>
              <w:rPr>
                <w:color w:val="000000"/>
                <w:sz w:val="16"/>
                <w:szCs w:val="16"/>
                <w:lang w:val="en-GB"/>
              </w:rPr>
            </w:pPr>
          </w:p>
          <w:p w14:paraId="07F89BEA" w14:textId="77777777" w:rsidR="004F545C" w:rsidRPr="00A07978" w:rsidRDefault="004F545C" w:rsidP="004F545C">
            <w:pPr>
              <w:rPr>
                <w:color w:val="000000"/>
                <w:sz w:val="16"/>
                <w:szCs w:val="16"/>
                <w:lang w:val="en-GB"/>
              </w:rPr>
            </w:pPr>
          </w:p>
          <w:p w14:paraId="67820386" w14:textId="6CDAB2E5" w:rsidR="004F545C" w:rsidRPr="00A07978" w:rsidRDefault="004F545C" w:rsidP="004F545C">
            <w:pPr>
              <w:rPr>
                <w:color w:val="000000"/>
                <w:sz w:val="16"/>
                <w:szCs w:val="16"/>
                <w:lang w:val="en-GB"/>
              </w:rPr>
            </w:pPr>
            <w:r w:rsidRPr="00A07978">
              <w:rPr>
                <w:color w:val="000000"/>
                <w:sz w:val="16"/>
                <w:szCs w:val="16"/>
                <w:lang w:val="en-GB"/>
              </w:rPr>
              <w:t>3.4.2. Number of people disaggregated by sex and group directly benefiting from mechanisms for biodiversity, water, and climate solutions funded by public and/or private sector resources.</w:t>
            </w:r>
          </w:p>
          <w:p w14:paraId="01CE0945" w14:textId="77777777" w:rsidR="004F545C" w:rsidRPr="00A07978" w:rsidRDefault="004F545C" w:rsidP="004F545C">
            <w:pPr>
              <w:rPr>
                <w:color w:val="000000"/>
                <w:sz w:val="16"/>
                <w:szCs w:val="16"/>
                <w:lang w:val="en-GB"/>
              </w:rPr>
            </w:pPr>
          </w:p>
          <w:p w14:paraId="58464A85" w14:textId="1D0DE5DB" w:rsidR="004F545C" w:rsidRPr="00A07978" w:rsidRDefault="004F545C" w:rsidP="004F545C">
            <w:pPr>
              <w:rPr>
                <w:color w:val="000000"/>
                <w:sz w:val="16"/>
                <w:szCs w:val="16"/>
                <w:lang w:val="en-GB"/>
              </w:rPr>
            </w:pPr>
            <w:r w:rsidRPr="00A07978">
              <w:rPr>
                <w:color w:val="000000"/>
                <w:sz w:val="16"/>
                <w:szCs w:val="16"/>
                <w:lang w:val="en-GB"/>
              </w:rPr>
              <w:t xml:space="preserve">Baseline (2023): </w:t>
            </w:r>
            <w:r w:rsidR="00AD05E4" w:rsidRPr="00A07978">
              <w:rPr>
                <w:color w:val="000000"/>
                <w:sz w:val="16"/>
                <w:szCs w:val="16"/>
                <w:lang w:val="en-GB"/>
              </w:rPr>
              <w:t>968</w:t>
            </w:r>
          </w:p>
          <w:p w14:paraId="1BA5C1D6" w14:textId="29B1048C" w:rsidR="004F545C" w:rsidRPr="00A07978" w:rsidRDefault="004F545C" w:rsidP="004F545C">
            <w:pPr>
              <w:rPr>
                <w:color w:val="000000"/>
                <w:sz w:val="16"/>
                <w:szCs w:val="16"/>
                <w:lang w:val="en-GB"/>
              </w:rPr>
            </w:pPr>
            <w:r w:rsidRPr="00A07978">
              <w:rPr>
                <w:color w:val="000000"/>
                <w:sz w:val="16"/>
                <w:szCs w:val="16"/>
                <w:lang w:val="en-GB"/>
              </w:rPr>
              <w:t>Target (</w:t>
            </w:r>
            <w:r w:rsidR="00423D39" w:rsidRPr="00A07978">
              <w:rPr>
                <w:color w:val="000000"/>
                <w:sz w:val="16"/>
                <w:szCs w:val="16"/>
                <w:lang w:val="en-GB"/>
              </w:rPr>
              <w:t>2027</w:t>
            </w:r>
            <w:r w:rsidRPr="00A07978">
              <w:rPr>
                <w:color w:val="000000"/>
                <w:sz w:val="16"/>
                <w:szCs w:val="16"/>
                <w:lang w:val="en-GB"/>
              </w:rPr>
              <w:t xml:space="preserve">): </w:t>
            </w:r>
            <w:r w:rsidR="003B61D5" w:rsidRPr="00A07978">
              <w:rPr>
                <w:color w:val="000000"/>
                <w:sz w:val="16"/>
                <w:szCs w:val="16"/>
                <w:lang w:val="en-GB"/>
              </w:rPr>
              <w:t>1452</w:t>
            </w:r>
          </w:p>
          <w:p w14:paraId="410A0057" w14:textId="77777777" w:rsidR="004F545C" w:rsidRPr="00A07978" w:rsidRDefault="004F545C" w:rsidP="004F545C">
            <w:pPr>
              <w:rPr>
                <w:sz w:val="16"/>
                <w:szCs w:val="16"/>
                <w:lang w:val="en-GB"/>
              </w:rPr>
            </w:pPr>
            <w:r w:rsidRPr="00A07978">
              <w:rPr>
                <w:color w:val="000000"/>
                <w:sz w:val="16"/>
                <w:szCs w:val="16"/>
                <w:lang w:val="en-GB"/>
              </w:rPr>
              <w:t>Source: MINEAGRI</w:t>
            </w:r>
          </w:p>
          <w:p w14:paraId="37BBDC07" w14:textId="07082F3A" w:rsidR="004F545C" w:rsidRPr="00A07978" w:rsidRDefault="004F545C" w:rsidP="004F545C">
            <w:pPr>
              <w:rPr>
                <w:color w:val="000000"/>
                <w:sz w:val="16"/>
                <w:szCs w:val="16"/>
                <w:lang w:val="en-GB"/>
              </w:rPr>
            </w:pPr>
            <w:r w:rsidRPr="00A07978">
              <w:rPr>
                <w:color w:val="000000"/>
                <w:sz w:val="16"/>
                <w:szCs w:val="16"/>
                <w:lang w:val="en-GB"/>
              </w:rPr>
              <w:t>Frequency: Annually</w:t>
            </w:r>
          </w:p>
        </w:tc>
        <w:tc>
          <w:tcPr>
            <w:tcW w:w="710" w:type="pct"/>
            <w:gridSpan w:val="2"/>
          </w:tcPr>
          <w:p w14:paraId="3CF4CAE4" w14:textId="600878AB" w:rsidR="004F545C" w:rsidRPr="00A07978" w:rsidRDefault="004F545C" w:rsidP="004F545C">
            <w:pPr>
              <w:rPr>
                <w:i/>
                <w:iCs/>
                <w:color w:val="000000"/>
                <w:sz w:val="16"/>
                <w:szCs w:val="16"/>
                <w:lang w:val="en-GB"/>
              </w:rPr>
            </w:pPr>
            <w:r w:rsidRPr="00A07978">
              <w:rPr>
                <w:iCs/>
                <w:color w:val="000000"/>
                <w:sz w:val="16"/>
                <w:szCs w:val="16"/>
                <w:lang w:val="en-GB"/>
              </w:rPr>
              <w:t>MINEAGRI, Ministry of Gender; INSBU; European Union; Government of the Netherlands; IFIs; Media, private sector, CSOs, UNV.</w:t>
            </w:r>
          </w:p>
        </w:tc>
        <w:tc>
          <w:tcPr>
            <w:tcW w:w="811" w:type="pct"/>
            <w:tcMar>
              <w:top w:w="15" w:type="dxa"/>
              <w:left w:w="108" w:type="dxa"/>
              <w:bottom w:w="0" w:type="dxa"/>
              <w:right w:w="108" w:type="dxa"/>
            </w:tcMar>
          </w:tcPr>
          <w:p w14:paraId="16185835" w14:textId="77777777" w:rsidR="004F545C" w:rsidRPr="00A07978" w:rsidRDefault="004F545C" w:rsidP="004F545C">
            <w:pPr>
              <w:rPr>
                <w:b/>
                <w:color w:val="000000"/>
                <w:sz w:val="16"/>
                <w:szCs w:val="16"/>
                <w:lang w:val="en-GB"/>
              </w:rPr>
            </w:pPr>
          </w:p>
        </w:tc>
      </w:tr>
    </w:tbl>
    <w:p w14:paraId="0E8E1BB7" w14:textId="77777777" w:rsidR="00932A12" w:rsidRPr="00A07978" w:rsidRDefault="00932A12">
      <w:pPr>
        <w:rPr>
          <w:lang w:val="en-GB"/>
        </w:rPr>
      </w:pPr>
    </w:p>
    <w:p w14:paraId="6D30F886" w14:textId="77777777" w:rsidR="00932A12" w:rsidRPr="00A07978" w:rsidRDefault="00932A12">
      <w:pPr>
        <w:rPr>
          <w:lang w:val="en-GB"/>
        </w:rPr>
      </w:pPr>
    </w:p>
    <w:p w14:paraId="1A1C74FD" w14:textId="77777777" w:rsidR="00932A12" w:rsidRPr="00A07978" w:rsidRDefault="00932A12">
      <w:pPr>
        <w:rPr>
          <w:lang w:val="en-GB"/>
        </w:rPr>
      </w:pPr>
    </w:p>
    <w:p w14:paraId="0BFCE2E5" w14:textId="36FA172D" w:rsidR="00D6679C" w:rsidRPr="00A07978" w:rsidRDefault="00D63630" w:rsidP="00D63630">
      <w:pPr>
        <w:jc w:val="center"/>
        <w:rPr>
          <w:color w:val="000000"/>
          <w:lang w:val="en-GB"/>
        </w:rPr>
      </w:pPr>
      <w:r w:rsidRPr="00A07978">
        <w:rPr>
          <w:noProof/>
          <w:color w:val="000000"/>
          <w:lang w:val="en-GB"/>
        </w:rPr>
        <w:drawing>
          <wp:inline distT="0" distB="0" distL="0" distR="0" wp14:anchorId="02D24EF9" wp14:editId="6D6E2E7B">
            <wp:extent cx="920750" cy="63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20750" cy="6350"/>
                    </a:xfrm>
                    <a:prstGeom prst="rect">
                      <a:avLst/>
                    </a:prstGeom>
                    <a:noFill/>
                  </pic:spPr>
                </pic:pic>
              </a:graphicData>
            </a:graphic>
          </wp:inline>
        </w:drawing>
      </w:r>
    </w:p>
    <w:sectPr w:rsidR="00D6679C" w:rsidRPr="00A07978" w:rsidSect="00932A12">
      <w:headerReference w:type="even" r:id="rId18"/>
      <w:headerReference w:type="default" r:id="rId19"/>
      <w:footerReference w:type="even" r:id="rId20"/>
      <w:footerReference w:type="default" r:id="rId21"/>
      <w:pgSz w:w="15840" w:h="12240" w:orient="landscape"/>
      <w:pgMar w:top="1440" w:right="1152" w:bottom="1548"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32D0F" w14:textId="77777777" w:rsidR="00F20A43" w:rsidRDefault="00F20A43" w:rsidP="00441061">
      <w:r>
        <w:separator/>
      </w:r>
    </w:p>
  </w:endnote>
  <w:endnote w:type="continuationSeparator" w:id="0">
    <w:p w14:paraId="32C78A6D" w14:textId="77777777" w:rsidR="00F20A43" w:rsidRDefault="00F20A43" w:rsidP="00441061">
      <w:r>
        <w:continuationSeparator/>
      </w:r>
    </w:p>
  </w:endnote>
  <w:endnote w:type="continuationNotice" w:id="1">
    <w:p w14:paraId="6BC3EF73" w14:textId="77777777" w:rsidR="00F20A43" w:rsidRDefault="00F20A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0000000000000000000"/>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TimesNewRomanPSMT">
    <w:altName w:val="Times New Roman"/>
    <w:panose1 w:val="020B0604020202020204"/>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4611633"/>
      <w:docPartObj>
        <w:docPartGallery w:val="Page Numbers (Bottom of Page)"/>
        <w:docPartUnique/>
      </w:docPartObj>
    </w:sdtPr>
    <w:sdtEndPr>
      <w:rPr>
        <w:b/>
        <w:bCs/>
        <w:noProof/>
        <w:sz w:val="17"/>
        <w:szCs w:val="17"/>
      </w:rPr>
    </w:sdtEndPr>
    <w:sdtContent>
      <w:p w14:paraId="2440D567" w14:textId="1C94CE79" w:rsidR="003D3682" w:rsidRPr="00BC69D9" w:rsidRDefault="00BC69D9" w:rsidP="00BC69D9">
        <w:pPr>
          <w:pStyle w:val="Footer"/>
          <w:ind w:firstLine="630"/>
          <w:rPr>
            <w:b/>
            <w:bCs/>
            <w:sz w:val="17"/>
            <w:szCs w:val="17"/>
          </w:rPr>
        </w:pPr>
        <w:r w:rsidRPr="00BC69D9">
          <w:rPr>
            <w:b/>
            <w:bCs/>
            <w:sz w:val="17"/>
            <w:szCs w:val="17"/>
          </w:rPr>
          <w:fldChar w:fldCharType="begin"/>
        </w:r>
        <w:r w:rsidRPr="00BC69D9">
          <w:rPr>
            <w:b/>
            <w:bCs/>
            <w:sz w:val="17"/>
            <w:szCs w:val="17"/>
          </w:rPr>
          <w:instrText xml:space="preserve"> PAGE   \* MERGEFORMAT </w:instrText>
        </w:r>
        <w:r w:rsidRPr="00BC69D9">
          <w:rPr>
            <w:b/>
            <w:bCs/>
            <w:sz w:val="17"/>
            <w:szCs w:val="17"/>
          </w:rPr>
          <w:fldChar w:fldCharType="separate"/>
        </w:r>
        <w:r w:rsidRPr="00BC69D9">
          <w:rPr>
            <w:b/>
            <w:bCs/>
            <w:noProof/>
            <w:sz w:val="17"/>
            <w:szCs w:val="17"/>
          </w:rPr>
          <w:t>2</w:t>
        </w:r>
        <w:r w:rsidRPr="00BC69D9">
          <w:rPr>
            <w:b/>
            <w:bCs/>
            <w:noProof/>
            <w:sz w:val="17"/>
            <w:szCs w:val="17"/>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613523"/>
      <w:docPartObj>
        <w:docPartGallery w:val="Page Numbers (Bottom of Page)"/>
        <w:docPartUnique/>
      </w:docPartObj>
    </w:sdtPr>
    <w:sdtEndPr>
      <w:rPr>
        <w:b/>
        <w:bCs/>
        <w:noProof/>
        <w:sz w:val="17"/>
        <w:szCs w:val="17"/>
      </w:rPr>
    </w:sdtEndPr>
    <w:sdtContent>
      <w:p w14:paraId="2440D569" w14:textId="70F98E07" w:rsidR="003D3682" w:rsidRPr="00CE2A86" w:rsidRDefault="00CE2A86" w:rsidP="00CE2A86">
        <w:pPr>
          <w:pStyle w:val="Footer"/>
          <w:ind w:right="270"/>
          <w:jc w:val="right"/>
          <w:rPr>
            <w:b/>
            <w:bCs/>
            <w:sz w:val="17"/>
            <w:szCs w:val="17"/>
          </w:rPr>
        </w:pPr>
        <w:r w:rsidRPr="00CE2A86">
          <w:rPr>
            <w:b/>
            <w:bCs/>
            <w:sz w:val="17"/>
            <w:szCs w:val="17"/>
          </w:rPr>
          <w:fldChar w:fldCharType="begin"/>
        </w:r>
        <w:r w:rsidRPr="00CE2A86">
          <w:rPr>
            <w:b/>
            <w:bCs/>
            <w:sz w:val="17"/>
            <w:szCs w:val="17"/>
          </w:rPr>
          <w:instrText xml:space="preserve"> PAGE   \* MERGEFORMAT </w:instrText>
        </w:r>
        <w:r w:rsidRPr="00CE2A86">
          <w:rPr>
            <w:b/>
            <w:bCs/>
            <w:sz w:val="17"/>
            <w:szCs w:val="17"/>
          </w:rPr>
          <w:fldChar w:fldCharType="separate"/>
        </w:r>
        <w:r w:rsidRPr="00CE2A86">
          <w:rPr>
            <w:b/>
            <w:bCs/>
            <w:noProof/>
            <w:sz w:val="17"/>
            <w:szCs w:val="17"/>
          </w:rPr>
          <w:t>2</w:t>
        </w:r>
        <w:r w:rsidRPr="00CE2A86">
          <w:rPr>
            <w:b/>
            <w:bCs/>
            <w:noProof/>
            <w:sz w:val="17"/>
            <w:szCs w:val="17"/>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7962712"/>
      <w:docPartObj>
        <w:docPartGallery w:val="Page Numbers (Bottom of Page)"/>
        <w:docPartUnique/>
      </w:docPartObj>
    </w:sdtPr>
    <w:sdtEndPr>
      <w:rPr>
        <w:b/>
        <w:bCs/>
        <w:noProof/>
        <w:sz w:val="17"/>
        <w:szCs w:val="17"/>
      </w:rPr>
    </w:sdtEndPr>
    <w:sdtContent>
      <w:p w14:paraId="06093A11" w14:textId="77777777" w:rsidR="00461411" w:rsidRPr="00BC69D9" w:rsidRDefault="00461411" w:rsidP="00461411">
        <w:pPr>
          <w:pStyle w:val="Footer"/>
          <w:rPr>
            <w:b/>
            <w:bCs/>
            <w:sz w:val="17"/>
            <w:szCs w:val="17"/>
          </w:rPr>
        </w:pPr>
        <w:r w:rsidRPr="00BC69D9">
          <w:rPr>
            <w:b/>
            <w:bCs/>
            <w:sz w:val="17"/>
            <w:szCs w:val="17"/>
          </w:rPr>
          <w:fldChar w:fldCharType="begin"/>
        </w:r>
        <w:r w:rsidRPr="00BC69D9">
          <w:rPr>
            <w:b/>
            <w:bCs/>
            <w:sz w:val="17"/>
            <w:szCs w:val="17"/>
          </w:rPr>
          <w:instrText xml:space="preserve"> PAGE   \* MERGEFORMAT </w:instrText>
        </w:r>
        <w:r w:rsidRPr="00BC69D9">
          <w:rPr>
            <w:b/>
            <w:bCs/>
            <w:sz w:val="17"/>
            <w:szCs w:val="17"/>
          </w:rPr>
          <w:fldChar w:fldCharType="separate"/>
        </w:r>
        <w:r w:rsidRPr="00BC69D9">
          <w:rPr>
            <w:b/>
            <w:bCs/>
            <w:noProof/>
            <w:sz w:val="17"/>
            <w:szCs w:val="17"/>
          </w:rPr>
          <w:t>2</w:t>
        </w:r>
        <w:r w:rsidRPr="00BC69D9">
          <w:rPr>
            <w:b/>
            <w:bCs/>
            <w:noProof/>
            <w:sz w:val="17"/>
            <w:szCs w:val="17"/>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7560207"/>
      <w:docPartObj>
        <w:docPartGallery w:val="Page Numbers (Bottom of Page)"/>
        <w:docPartUnique/>
      </w:docPartObj>
    </w:sdtPr>
    <w:sdtEndPr>
      <w:rPr>
        <w:b/>
        <w:bCs/>
        <w:noProof/>
        <w:sz w:val="17"/>
        <w:szCs w:val="17"/>
      </w:rPr>
    </w:sdtEndPr>
    <w:sdtContent>
      <w:p w14:paraId="54AA5783" w14:textId="77777777" w:rsidR="00461411" w:rsidRPr="00CE2A86" w:rsidRDefault="00461411" w:rsidP="00461411">
        <w:pPr>
          <w:pStyle w:val="Footer"/>
          <w:ind w:right="486"/>
          <w:jc w:val="right"/>
          <w:rPr>
            <w:b/>
            <w:bCs/>
            <w:sz w:val="17"/>
            <w:szCs w:val="17"/>
          </w:rPr>
        </w:pPr>
        <w:r w:rsidRPr="00CE2A86">
          <w:rPr>
            <w:b/>
            <w:bCs/>
            <w:sz w:val="17"/>
            <w:szCs w:val="17"/>
          </w:rPr>
          <w:fldChar w:fldCharType="begin"/>
        </w:r>
        <w:r w:rsidRPr="00CE2A86">
          <w:rPr>
            <w:b/>
            <w:bCs/>
            <w:sz w:val="17"/>
            <w:szCs w:val="17"/>
          </w:rPr>
          <w:instrText xml:space="preserve"> PAGE   \* MERGEFORMAT </w:instrText>
        </w:r>
        <w:r w:rsidRPr="00CE2A86">
          <w:rPr>
            <w:b/>
            <w:bCs/>
            <w:sz w:val="17"/>
            <w:szCs w:val="17"/>
          </w:rPr>
          <w:fldChar w:fldCharType="separate"/>
        </w:r>
        <w:r w:rsidRPr="00CE2A86">
          <w:rPr>
            <w:b/>
            <w:bCs/>
            <w:noProof/>
            <w:sz w:val="17"/>
            <w:szCs w:val="17"/>
          </w:rPr>
          <w:t>2</w:t>
        </w:r>
        <w:r w:rsidRPr="00CE2A86">
          <w:rPr>
            <w:b/>
            <w:bCs/>
            <w:noProof/>
            <w:sz w:val="17"/>
            <w:szCs w:val="17"/>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81073" w14:textId="77777777" w:rsidR="00F20A43" w:rsidRDefault="00F20A43" w:rsidP="00441061">
      <w:r>
        <w:separator/>
      </w:r>
    </w:p>
  </w:footnote>
  <w:footnote w:type="continuationSeparator" w:id="0">
    <w:p w14:paraId="018A849F" w14:textId="77777777" w:rsidR="00F20A43" w:rsidRDefault="00F20A43" w:rsidP="00441061">
      <w:r>
        <w:continuationSeparator/>
      </w:r>
    </w:p>
  </w:footnote>
  <w:footnote w:type="continuationNotice" w:id="1">
    <w:p w14:paraId="57FF6BD1" w14:textId="77777777" w:rsidR="00F20A43" w:rsidRDefault="00F20A43"/>
  </w:footnote>
  <w:footnote w:id="2">
    <w:p w14:paraId="35FAEBE8" w14:textId="460F2E32" w:rsidR="00CA6702" w:rsidRPr="001F3895" w:rsidRDefault="00CA6702" w:rsidP="00CA6702">
      <w:pPr>
        <w:pStyle w:val="FootnoteText"/>
        <w:jc w:val="both"/>
        <w:rPr>
          <w:rFonts w:ascii="Times New Roman" w:hAnsi="Times New Roman"/>
          <w:sz w:val="16"/>
          <w:szCs w:val="16"/>
        </w:rPr>
      </w:pPr>
      <w:r w:rsidRPr="00103197">
        <w:rPr>
          <w:rStyle w:val="FootnoteReference"/>
          <w:rFonts w:ascii="Times New Roman" w:hAnsi="Times New Roman"/>
          <w:sz w:val="16"/>
          <w:szCs w:val="16"/>
        </w:rPr>
        <w:footnoteRef/>
      </w:r>
      <w:r w:rsidRPr="001F3895">
        <w:rPr>
          <w:rFonts w:ascii="Times New Roman" w:hAnsi="Times New Roman"/>
          <w:sz w:val="16"/>
          <w:szCs w:val="16"/>
        </w:rPr>
        <w:t xml:space="preserve"> </w:t>
      </w:r>
      <w:r w:rsidRPr="001F3895">
        <w:rPr>
          <w:rFonts w:ascii="Times New Roman" w:eastAsia="Calibri" w:hAnsi="Times New Roman"/>
          <w:sz w:val="16"/>
          <w:szCs w:val="16"/>
          <w:lang w:bidi="en-US"/>
        </w:rPr>
        <w:t>ISTEEBU: EICVMB 2019-2020</w:t>
      </w:r>
      <w:r w:rsidR="008B3A83" w:rsidRPr="00103197">
        <w:rPr>
          <w:rFonts w:ascii="Times New Roman" w:eastAsia="Calibri" w:hAnsi="Times New Roman"/>
          <w:sz w:val="16"/>
          <w:szCs w:val="16"/>
          <w:lang w:bidi="en-US"/>
        </w:rPr>
        <w:t>.</w:t>
      </w:r>
    </w:p>
  </w:footnote>
  <w:footnote w:id="3">
    <w:p w14:paraId="7638FF4A" w14:textId="06A76543" w:rsidR="00CA6702" w:rsidRPr="001F3895" w:rsidRDefault="00CA6702" w:rsidP="00CA6702">
      <w:pPr>
        <w:pStyle w:val="FootnoteText"/>
        <w:rPr>
          <w:rFonts w:ascii="Times New Roman" w:hAnsi="Times New Roman"/>
          <w:sz w:val="16"/>
          <w:szCs w:val="16"/>
        </w:rPr>
      </w:pPr>
      <w:r w:rsidRPr="00103197">
        <w:rPr>
          <w:rStyle w:val="FootnoteReference"/>
          <w:rFonts w:ascii="Times New Roman" w:hAnsi="Times New Roman"/>
          <w:sz w:val="16"/>
          <w:szCs w:val="16"/>
        </w:rPr>
        <w:footnoteRef/>
      </w:r>
      <w:r w:rsidRPr="00103197">
        <w:rPr>
          <w:rFonts w:ascii="Times New Roman" w:hAnsi="Times New Roman"/>
          <w:sz w:val="16"/>
          <w:szCs w:val="16"/>
        </w:rPr>
        <w:t xml:space="preserve"> </w:t>
      </w:r>
      <w:r w:rsidRPr="001F3895">
        <w:rPr>
          <w:rFonts w:ascii="Times New Roman" w:eastAsia="Calibri" w:hAnsi="Times New Roman"/>
          <w:sz w:val="16"/>
          <w:szCs w:val="16"/>
          <w:lang w:bidi="en-US"/>
        </w:rPr>
        <w:t>UNSDCF 2023-2027</w:t>
      </w:r>
      <w:r w:rsidR="008B3A83" w:rsidRPr="00103197">
        <w:rPr>
          <w:rFonts w:ascii="Times New Roman" w:eastAsia="Calibri" w:hAnsi="Times New Roman"/>
          <w:sz w:val="16"/>
          <w:szCs w:val="16"/>
          <w:lang w:bidi="en-US"/>
        </w:rPr>
        <w:t>.</w:t>
      </w:r>
    </w:p>
  </w:footnote>
  <w:footnote w:id="4">
    <w:p w14:paraId="03A6BC30" w14:textId="5D3B652B" w:rsidR="00CA6702" w:rsidRPr="00103197" w:rsidRDefault="00CA6702" w:rsidP="00CA6702">
      <w:pPr>
        <w:pStyle w:val="FootnoteText"/>
        <w:rPr>
          <w:rFonts w:ascii="Times New Roman" w:hAnsi="Times New Roman"/>
          <w:sz w:val="16"/>
          <w:szCs w:val="16"/>
        </w:rPr>
      </w:pPr>
      <w:r w:rsidRPr="00103197">
        <w:rPr>
          <w:rStyle w:val="FootnoteReference"/>
          <w:rFonts w:ascii="Times New Roman" w:hAnsi="Times New Roman"/>
          <w:sz w:val="16"/>
          <w:szCs w:val="16"/>
        </w:rPr>
        <w:footnoteRef/>
      </w:r>
      <w:r w:rsidRPr="00103197">
        <w:rPr>
          <w:rFonts w:ascii="Times New Roman" w:hAnsi="Times New Roman"/>
          <w:sz w:val="16"/>
          <w:szCs w:val="16"/>
        </w:rPr>
        <w:t xml:space="preserve"> </w:t>
      </w:r>
      <w:r w:rsidRPr="00103197">
        <w:rPr>
          <w:rFonts w:ascii="Times New Roman" w:eastAsia="Calibri" w:hAnsi="Times New Roman"/>
          <w:sz w:val="16"/>
          <w:szCs w:val="16"/>
          <w:lang w:bidi="en-US"/>
        </w:rPr>
        <w:t xml:space="preserve">UNDP </w:t>
      </w:r>
      <w:r w:rsidR="008B3A83" w:rsidRPr="00103197">
        <w:rPr>
          <w:rFonts w:ascii="Times New Roman" w:eastAsia="Calibri" w:hAnsi="Times New Roman"/>
          <w:sz w:val="16"/>
          <w:szCs w:val="16"/>
          <w:lang w:bidi="en-US"/>
        </w:rPr>
        <w:t xml:space="preserve">Millennium Development Goals </w:t>
      </w:r>
      <w:r w:rsidRPr="00103197">
        <w:rPr>
          <w:rFonts w:ascii="Times New Roman" w:eastAsia="Calibri" w:hAnsi="Times New Roman"/>
          <w:sz w:val="16"/>
          <w:szCs w:val="16"/>
          <w:lang w:bidi="en-US"/>
        </w:rPr>
        <w:t>report 2015</w:t>
      </w:r>
      <w:r w:rsidR="008B3A83" w:rsidRPr="00103197">
        <w:rPr>
          <w:rFonts w:ascii="Times New Roman" w:eastAsia="Calibri" w:hAnsi="Times New Roman"/>
          <w:sz w:val="16"/>
          <w:szCs w:val="16"/>
          <w:lang w:bidi="en-US"/>
        </w:rPr>
        <w:t>.</w:t>
      </w:r>
    </w:p>
  </w:footnote>
  <w:footnote w:id="5">
    <w:p w14:paraId="2E8E2C1F" w14:textId="77777777" w:rsidR="00CA6702" w:rsidRPr="001F3895" w:rsidRDefault="00CA6702" w:rsidP="00CA6702">
      <w:pPr>
        <w:pStyle w:val="FootnoteText"/>
        <w:rPr>
          <w:rFonts w:ascii="Times New Roman" w:eastAsia="Calibri" w:hAnsi="Times New Roman"/>
          <w:sz w:val="16"/>
          <w:szCs w:val="16"/>
          <w:lang w:val="fr-FR" w:bidi="en-US"/>
        </w:rPr>
      </w:pPr>
      <w:r w:rsidRPr="00103197">
        <w:rPr>
          <w:rStyle w:val="FootnoteReference"/>
          <w:rFonts w:ascii="Times New Roman" w:hAnsi="Times New Roman"/>
          <w:sz w:val="16"/>
          <w:szCs w:val="16"/>
        </w:rPr>
        <w:footnoteRef/>
      </w:r>
      <w:r w:rsidRPr="00103197">
        <w:rPr>
          <w:rFonts w:ascii="Times New Roman" w:hAnsi="Times New Roman"/>
          <w:sz w:val="16"/>
          <w:szCs w:val="16"/>
          <w:lang w:val="fr-FR"/>
        </w:rPr>
        <w:t xml:space="preserve"> </w:t>
      </w:r>
      <w:r w:rsidRPr="001F3895">
        <w:rPr>
          <w:rFonts w:ascii="Times New Roman" w:eastAsia="Calibri" w:hAnsi="Times New Roman"/>
          <w:sz w:val="16"/>
          <w:szCs w:val="16"/>
          <w:lang w:val="fr-FR" w:bidi="en-US"/>
        </w:rPr>
        <w:t>Rapport d’actualisation des indicateurs de suivi de la mise en œuvre des ODD, 2021.</w:t>
      </w:r>
    </w:p>
  </w:footnote>
  <w:footnote w:id="6">
    <w:p w14:paraId="1F3F5AF5" w14:textId="1831FC5D" w:rsidR="00CA6702" w:rsidRPr="00103197" w:rsidRDefault="00CA6702" w:rsidP="00CA6702">
      <w:pPr>
        <w:pStyle w:val="FootnoteText"/>
        <w:rPr>
          <w:rFonts w:ascii="Times New Roman" w:hAnsi="Times New Roman"/>
          <w:sz w:val="16"/>
          <w:szCs w:val="16"/>
        </w:rPr>
      </w:pPr>
      <w:r w:rsidRPr="00103197">
        <w:rPr>
          <w:rStyle w:val="FootnoteReference"/>
          <w:rFonts w:ascii="Times New Roman" w:hAnsi="Times New Roman"/>
          <w:sz w:val="16"/>
          <w:szCs w:val="16"/>
        </w:rPr>
        <w:footnoteRef/>
      </w:r>
      <w:r w:rsidRPr="00103197">
        <w:rPr>
          <w:rFonts w:ascii="Times New Roman" w:hAnsi="Times New Roman"/>
          <w:sz w:val="16"/>
          <w:szCs w:val="16"/>
        </w:rPr>
        <w:t xml:space="preserve"> </w:t>
      </w:r>
      <w:r w:rsidR="00242A9A" w:rsidRPr="00103197">
        <w:rPr>
          <w:rFonts w:ascii="Times New Roman" w:eastAsia="Calibri" w:hAnsi="Times New Roman"/>
          <w:sz w:val="16"/>
          <w:szCs w:val="16"/>
          <w:lang w:bidi="en-US"/>
        </w:rPr>
        <w:t xml:space="preserve">UNDP </w:t>
      </w:r>
      <w:r w:rsidRPr="00103197">
        <w:rPr>
          <w:rFonts w:ascii="Times New Roman" w:eastAsia="Calibri" w:hAnsi="Times New Roman"/>
          <w:sz w:val="16"/>
          <w:szCs w:val="16"/>
          <w:lang w:bidi="en-US"/>
        </w:rPr>
        <w:t xml:space="preserve">2018-2027, </w:t>
      </w:r>
      <w:r w:rsidR="00242A9A" w:rsidRPr="00103197">
        <w:rPr>
          <w:rFonts w:ascii="Times New Roman" w:eastAsia="Calibri" w:hAnsi="Times New Roman"/>
          <w:sz w:val="16"/>
          <w:szCs w:val="16"/>
          <w:lang w:bidi="en-US"/>
        </w:rPr>
        <w:t>t</w:t>
      </w:r>
      <w:r w:rsidRPr="00103197">
        <w:rPr>
          <w:rFonts w:ascii="Times New Roman" w:eastAsia="Calibri" w:hAnsi="Times New Roman"/>
          <w:sz w:val="16"/>
          <w:szCs w:val="16"/>
          <w:lang w:bidi="en-US"/>
        </w:rPr>
        <w:t>he access rate to electricity is less than 5</w:t>
      </w:r>
      <w:r w:rsidR="00242A9A" w:rsidRPr="00103197">
        <w:rPr>
          <w:rFonts w:ascii="Times New Roman" w:eastAsia="Calibri" w:hAnsi="Times New Roman"/>
          <w:sz w:val="16"/>
          <w:szCs w:val="16"/>
          <w:lang w:bidi="en-US"/>
        </w:rPr>
        <w:t xml:space="preserve"> per cent</w:t>
      </w:r>
      <w:r w:rsidRPr="00103197">
        <w:rPr>
          <w:rFonts w:ascii="Times New Roman" w:eastAsia="Calibri" w:hAnsi="Times New Roman"/>
          <w:sz w:val="16"/>
          <w:szCs w:val="16"/>
          <w:lang w:bidi="en-US"/>
        </w:rPr>
        <w:t xml:space="preserve"> of the population (52.1</w:t>
      </w:r>
      <w:r w:rsidR="00242A9A" w:rsidRPr="00103197">
        <w:rPr>
          <w:rFonts w:ascii="Times New Roman" w:eastAsia="Calibri" w:hAnsi="Times New Roman"/>
          <w:sz w:val="16"/>
          <w:szCs w:val="16"/>
          <w:lang w:bidi="en-US"/>
        </w:rPr>
        <w:t xml:space="preserve"> per cent</w:t>
      </w:r>
      <w:r w:rsidRPr="00103197">
        <w:rPr>
          <w:rFonts w:ascii="Times New Roman" w:eastAsia="Calibri" w:hAnsi="Times New Roman"/>
          <w:sz w:val="16"/>
          <w:szCs w:val="16"/>
          <w:lang w:bidi="en-US"/>
        </w:rPr>
        <w:t xml:space="preserve"> of urban households and 2</w:t>
      </w:r>
      <w:r w:rsidR="00242A9A" w:rsidRPr="00103197">
        <w:rPr>
          <w:rFonts w:ascii="Times New Roman" w:eastAsia="Calibri" w:hAnsi="Times New Roman"/>
          <w:sz w:val="16"/>
          <w:szCs w:val="16"/>
          <w:lang w:bidi="en-US"/>
        </w:rPr>
        <w:t xml:space="preserve"> per cent</w:t>
      </w:r>
      <w:r w:rsidRPr="00103197">
        <w:rPr>
          <w:rFonts w:ascii="Times New Roman" w:eastAsia="Calibri" w:hAnsi="Times New Roman"/>
          <w:sz w:val="16"/>
          <w:szCs w:val="16"/>
          <w:lang w:bidi="en-US"/>
        </w:rPr>
        <w:t xml:space="preserve"> of rural households)</w:t>
      </w:r>
      <w:r w:rsidR="00242A9A" w:rsidRPr="00103197">
        <w:rPr>
          <w:rFonts w:ascii="Times New Roman" w:eastAsia="Calibri" w:hAnsi="Times New Roman"/>
          <w:sz w:val="16"/>
          <w:szCs w:val="16"/>
          <w:lang w:bidi="en-US"/>
        </w:rPr>
        <w:t>.</w:t>
      </w:r>
    </w:p>
  </w:footnote>
  <w:footnote w:id="7">
    <w:p w14:paraId="5C913D99" w14:textId="1588F762" w:rsidR="00CA6702" w:rsidRPr="00103197" w:rsidRDefault="00CA6702" w:rsidP="00CA6702">
      <w:pPr>
        <w:pStyle w:val="FootnoteText"/>
        <w:rPr>
          <w:rFonts w:ascii="Times New Roman" w:hAnsi="Times New Roman"/>
          <w:sz w:val="16"/>
          <w:szCs w:val="16"/>
        </w:rPr>
      </w:pPr>
      <w:r w:rsidRPr="00103197">
        <w:rPr>
          <w:rStyle w:val="FootnoteReference"/>
          <w:rFonts w:ascii="Times New Roman" w:hAnsi="Times New Roman"/>
          <w:sz w:val="16"/>
          <w:szCs w:val="16"/>
        </w:rPr>
        <w:footnoteRef/>
      </w:r>
      <w:r w:rsidRPr="00103197">
        <w:rPr>
          <w:rFonts w:ascii="Times New Roman" w:hAnsi="Times New Roman"/>
          <w:sz w:val="16"/>
          <w:szCs w:val="16"/>
        </w:rPr>
        <w:t xml:space="preserve"> </w:t>
      </w:r>
      <w:r w:rsidRPr="00103197">
        <w:rPr>
          <w:rFonts w:ascii="Times New Roman" w:eastAsia="Calibri" w:hAnsi="Times New Roman"/>
          <w:sz w:val="16"/>
          <w:szCs w:val="16"/>
          <w:lang w:bidi="en-US"/>
        </w:rPr>
        <w:t>Mo Ibrahim index of African Governance, 2020</w:t>
      </w:r>
      <w:r w:rsidR="00242A9A" w:rsidRPr="00103197">
        <w:rPr>
          <w:rFonts w:ascii="Times New Roman" w:eastAsia="Calibri" w:hAnsi="Times New Roman"/>
          <w:sz w:val="16"/>
          <w:szCs w:val="16"/>
          <w:lang w:bidi="en-US"/>
        </w:rPr>
        <w:t>.</w:t>
      </w:r>
    </w:p>
  </w:footnote>
  <w:footnote w:id="8">
    <w:p w14:paraId="72665B9F" w14:textId="036CBAB8" w:rsidR="00CA6702" w:rsidRPr="00103197" w:rsidRDefault="00CA6702" w:rsidP="00CA6702">
      <w:pPr>
        <w:pStyle w:val="FootnoteText"/>
        <w:rPr>
          <w:rFonts w:ascii="Times New Roman" w:eastAsia="Calibri" w:hAnsi="Times New Roman"/>
          <w:sz w:val="16"/>
          <w:szCs w:val="16"/>
          <w:lang w:bidi="en-US"/>
        </w:rPr>
      </w:pPr>
      <w:r w:rsidRPr="00103197">
        <w:rPr>
          <w:rStyle w:val="FootnoteReference"/>
          <w:rFonts w:ascii="Times New Roman" w:hAnsi="Times New Roman"/>
          <w:sz w:val="16"/>
          <w:szCs w:val="16"/>
        </w:rPr>
        <w:footnoteRef/>
      </w:r>
      <w:r w:rsidRPr="00103197">
        <w:rPr>
          <w:rFonts w:ascii="Times New Roman" w:hAnsi="Times New Roman"/>
          <w:sz w:val="16"/>
          <w:szCs w:val="16"/>
        </w:rPr>
        <w:t xml:space="preserve"> </w:t>
      </w:r>
      <w:r w:rsidR="00A570C8" w:rsidRPr="00103197">
        <w:rPr>
          <w:rFonts w:ascii="Times New Roman" w:hAnsi="Times New Roman"/>
          <w:sz w:val="16"/>
          <w:szCs w:val="16"/>
        </w:rPr>
        <w:t xml:space="preserve">See </w:t>
      </w:r>
      <w:hyperlink r:id="rId1" w:history="1">
        <w:r w:rsidR="00A570C8" w:rsidRPr="00103197">
          <w:rPr>
            <w:rStyle w:val="Hyperlink"/>
            <w:rFonts w:ascii="Times New Roman" w:eastAsia="Calibri" w:hAnsi="Times New Roman"/>
            <w:sz w:val="16"/>
            <w:szCs w:val="16"/>
            <w:lang w:bidi="en-US"/>
          </w:rPr>
          <w:t>https://erc.undp.org/evaluation/evaluations/detail/12715?tab=documents</w:t>
        </w:r>
      </w:hyperlink>
      <w:r w:rsidR="00A570C8" w:rsidRPr="00103197">
        <w:rPr>
          <w:rFonts w:ascii="Times New Roman" w:eastAsia="Calibri" w:hAnsi="Times New Roman"/>
          <w:sz w:val="16"/>
          <w:szCs w:val="16"/>
          <w:lang w:bidi="en-US"/>
        </w:rPr>
        <w:t>.</w:t>
      </w:r>
    </w:p>
  </w:footnote>
  <w:footnote w:id="9">
    <w:p w14:paraId="5BD5E536" w14:textId="2CB7EA33" w:rsidR="00CA6702" w:rsidRPr="00103197" w:rsidRDefault="00CA6702" w:rsidP="00CA6702">
      <w:pPr>
        <w:pStyle w:val="FootnoteText"/>
        <w:rPr>
          <w:rFonts w:ascii="Times New Roman" w:hAnsi="Times New Roman"/>
          <w:sz w:val="16"/>
          <w:szCs w:val="16"/>
        </w:rPr>
      </w:pPr>
      <w:r w:rsidRPr="00103197">
        <w:rPr>
          <w:rStyle w:val="FootnoteReference"/>
          <w:rFonts w:ascii="Times New Roman" w:hAnsi="Times New Roman"/>
          <w:sz w:val="16"/>
          <w:szCs w:val="16"/>
        </w:rPr>
        <w:footnoteRef/>
      </w:r>
      <w:r w:rsidRPr="00103197">
        <w:rPr>
          <w:rFonts w:ascii="Times New Roman" w:hAnsi="Times New Roman"/>
          <w:sz w:val="16"/>
          <w:szCs w:val="16"/>
        </w:rPr>
        <w:t xml:space="preserve"> </w:t>
      </w:r>
      <w:r w:rsidR="00A570C8" w:rsidRPr="00103197">
        <w:rPr>
          <w:rFonts w:ascii="Times New Roman" w:hAnsi="Times New Roman"/>
          <w:sz w:val="16"/>
          <w:szCs w:val="16"/>
        </w:rPr>
        <w:t xml:space="preserve">See </w:t>
      </w:r>
      <w:hyperlink r:id="rId2" w:history="1">
        <w:r w:rsidR="00A570C8" w:rsidRPr="00103197">
          <w:rPr>
            <w:rStyle w:val="Hyperlink"/>
            <w:rFonts w:ascii="Times New Roman" w:eastAsia="Calibri" w:hAnsi="Times New Roman"/>
            <w:sz w:val="16"/>
            <w:szCs w:val="16"/>
            <w:lang w:bidi="en-US"/>
          </w:rPr>
          <w:t>https://erc.undp.org/evaluation/documents/detail/19457</w:t>
        </w:r>
      </w:hyperlink>
      <w:r w:rsidR="00A570C8" w:rsidRPr="00103197">
        <w:rPr>
          <w:rFonts w:ascii="Times New Roman" w:eastAsia="Calibri" w:hAnsi="Times New Roman"/>
          <w:sz w:val="16"/>
          <w:szCs w:val="16"/>
          <w:lang w:bidi="en-US"/>
        </w:rPr>
        <w:t>.</w:t>
      </w:r>
    </w:p>
  </w:footnote>
  <w:footnote w:id="10">
    <w:p w14:paraId="37C72B99" w14:textId="33F2A774" w:rsidR="00CA6702" w:rsidRPr="00103197" w:rsidRDefault="00CA6702" w:rsidP="00CA6702">
      <w:pPr>
        <w:pStyle w:val="FootnoteText"/>
        <w:rPr>
          <w:rFonts w:ascii="Times New Roman" w:hAnsi="Times New Roman"/>
          <w:sz w:val="16"/>
          <w:szCs w:val="16"/>
        </w:rPr>
      </w:pPr>
      <w:r w:rsidRPr="00103197">
        <w:rPr>
          <w:rStyle w:val="FootnoteReference"/>
          <w:rFonts w:ascii="Times New Roman" w:hAnsi="Times New Roman"/>
          <w:sz w:val="16"/>
          <w:szCs w:val="16"/>
        </w:rPr>
        <w:footnoteRef/>
      </w:r>
      <w:r w:rsidRPr="00103197">
        <w:rPr>
          <w:rFonts w:ascii="Times New Roman" w:hAnsi="Times New Roman"/>
          <w:sz w:val="16"/>
          <w:szCs w:val="16"/>
        </w:rPr>
        <w:t xml:space="preserve"> </w:t>
      </w:r>
      <w:r w:rsidR="00A570C8" w:rsidRPr="00103197">
        <w:rPr>
          <w:rFonts w:ascii="Times New Roman" w:hAnsi="Times New Roman"/>
          <w:sz w:val="16"/>
          <w:szCs w:val="16"/>
        </w:rPr>
        <w:t xml:space="preserve">See </w:t>
      </w:r>
      <w:hyperlink r:id="rId3" w:history="1">
        <w:r w:rsidR="00A570C8" w:rsidRPr="00103197">
          <w:rPr>
            <w:rStyle w:val="Hyperlink"/>
            <w:rFonts w:ascii="Times New Roman" w:eastAsia="Calibri" w:hAnsi="Times New Roman"/>
            <w:sz w:val="16"/>
            <w:szCs w:val="16"/>
            <w:lang w:bidi="en-US"/>
          </w:rPr>
          <w:t>https://erc.undp.org/evaluation/documents/detail/21448</w:t>
        </w:r>
      </w:hyperlink>
      <w:r w:rsidR="00A570C8" w:rsidRPr="00103197">
        <w:rPr>
          <w:rFonts w:ascii="Times New Roman" w:eastAsia="Calibri" w:hAnsi="Times New Roman"/>
          <w:sz w:val="16"/>
          <w:szCs w:val="16"/>
          <w:lang w:bidi="en-US"/>
        </w:rPr>
        <w:t>.</w:t>
      </w:r>
    </w:p>
  </w:footnote>
  <w:footnote w:id="11">
    <w:p w14:paraId="6EE06465" w14:textId="7784161E" w:rsidR="00CA6702" w:rsidRPr="00103197" w:rsidRDefault="00CA6702" w:rsidP="00CA6702">
      <w:pPr>
        <w:pStyle w:val="FootnoteText"/>
        <w:rPr>
          <w:rFonts w:ascii="Times New Roman" w:hAnsi="Times New Roman"/>
          <w:sz w:val="16"/>
          <w:szCs w:val="16"/>
        </w:rPr>
      </w:pPr>
      <w:r w:rsidRPr="00103197">
        <w:rPr>
          <w:rStyle w:val="FootnoteReference"/>
          <w:rFonts w:ascii="Times New Roman" w:hAnsi="Times New Roman"/>
          <w:sz w:val="16"/>
          <w:szCs w:val="16"/>
        </w:rPr>
        <w:footnoteRef/>
      </w:r>
      <w:r w:rsidRPr="00103197">
        <w:rPr>
          <w:rFonts w:ascii="Times New Roman" w:hAnsi="Times New Roman"/>
          <w:sz w:val="16"/>
          <w:szCs w:val="16"/>
        </w:rPr>
        <w:t xml:space="preserve"> </w:t>
      </w:r>
      <w:r w:rsidRPr="00103197">
        <w:rPr>
          <w:rFonts w:ascii="Times New Roman" w:eastAsia="Calibri" w:hAnsi="Times New Roman"/>
          <w:sz w:val="16"/>
          <w:szCs w:val="16"/>
          <w:lang w:bidi="en-US"/>
        </w:rPr>
        <w:t xml:space="preserve">The three development settings in </w:t>
      </w:r>
      <w:r w:rsidR="00E456B3" w:rsidRPr="00103197">
        <w:rPr>
          <w:rFonts w:ascii="Times New Roman" w:eastAsia="Calibri" w:hAnsi="Times New Roman"/>
          <w:sz w:val="16"/>
          <w:szCs w:val="16"/>
          <w:lang w:bidi="en-US"/>
        </w:rPr>
        <w:t xml:space="preserve">the </w:t>
      </w:r>
      <w:r w:rsidRPr="00103197">
        <w:rPr>
          <w:rFonts w:ascii="Times New Roman" w:eastAsia="Calibri" w:hAnsi="Times New Roman"/>
          <w:sz w:val="16"/>
          <w:szCs w:val="16"/>
          <w:lang w:bidi="en-US"/>
        </w:rPr>
        <w:t xml:space="preserve">UNDP 2022-2025 Strategic Plan are: </w:t>
      </w:r>
      <w:r w:rsidR="00E456B3" w:rsidRPr="00103197">
        <w:rPr>
          <w:rFonts w:ascii="Times New Roman" w:eastAsia="Calibri" w:hAnsi="Times New Roman"/>
          <w:sz w:val="16"/>
          <w:szCs w:val="16"/>
          <w:lang w:bidi="en-US"/>
        </w:rPr>
        <w:t>(</w:t>
      </w:r>
      <w:r w:rsidRPr="00103197">
        <w:rPr>
          <w:rFonts w:ascii="Times New Roman" w:eastAsia="Calibri" w:hAnsi="Times New Roman"/>
          <w:sz w:val="16"/>
          <w:szCs w:val="16"/>
          <w:lang w:bidi="en-US"/>
        </w:rPr>
        <w:t>a) Structural transformation accelerated, particularly green, inclusive</w:t>
      </w:r>
      <w:r w:rsidR="006704D2">
        <w:rPr>
          <w:rFonts w:ascii="Times New Roman" w:eastAsia="Calibri" w:hAnsi="Times New Roman"/>
          <w:sz w:val="16"/>
          <w:szCs w:val="16"/>
          <w:lang w:bidi="en-US"/>
        </w:rPr>
        <w:t>,</w:t>
      </w:r>
      <w:r w:rsidRPr="00103197">
        <w:rPr>
          <w:rFonts w:ascii="Times New Roman" w:eastAsia="Calibri" w:hAnsi="Times New Roman"/>
          <w:sz w:val="16"/>
          <w:szCs w:val="16"/>
          <w:lang w:bidi="en-US"/>
        </w:rPr>
        <w:t xml:space="preserve"> and digital transitions, </w:t>
      </w:r>
      <w:r w:rsidR="00E456B3" w:rsidRPr="00103197">
        <w:rPr>
          <w:rFonts w:ascii="Times New Roman" w:eastAsia="Calibri" w:hAnsi="Times New Roman"/>
          <w:sz w:val="16"/>
          <w:szCs w:val="16"/>
          <w:lang w:bidi="en-US"/>
        </w:rPr>
        <w:t>(</w:t>
      </w:r>
      <w:r w:rsidRPr="00103197">
        <w:rPr>
          <w:rFonts w:ascii="Times New Roman" w:eastAsia="Calibri" w:hAnsi="Times New Roman"/>
          <w:sz w:val="16"/>
          <w:szCs w:val="16"/>
          <w:lang w:bidi="en-US"/>
        </w:rPr>
        <w:t xml:space="preserve">b) </w:t>
      </w:r>
      <w:r w:rsidR="00E456B3" w:rsidRPr="00103197">
        <w:rPr>
          <w:rFonts w:ascii="Times New Roman" w:eastAsia="Calibri" w:hAnsi="Times New Roman"/>
          <w:sz w:val="16"/>
          <w:szCs w:val="16"/>
          <w:lang w:bidi="en-US"/>
        </w:rPr>
        <w:t>n</w:t>
      </w:r>
      <w:r w:rsidRPr="00103197">
        <w:rPr>
          <w:rFonts w:ascii="Times New Roman" w:eastAsia="Calibri" w:hAnsi="Times New Roman"/>
          <w:sz w:val="16"/>
          <w:szCs w:val="16"/>
          <w:lang w:bidi="en-US"/>
        </w:rPr>
        <w:t xml:space="preserve">o one left behind, centering on equitable access to opportunities and a rights-based approach to human agency and human development, </w:t>
      </w:r>
      <w:r w:rsidR="00E456B3" w:rsidRPr="00103197">
        <w:rPr>
          <w:rFonts w:ascii="Times New Roman" w:eastAsia="Calibri" w:hAnsi="Times New Roman"/>
          <w:sz w:val="16"/>
          <w:szCs w:val="16"/>
          <w:lang w:bidi="en-US"/>
        </w:rPr>
        <w:t>(</w:t>
      </w:r>
      <w:r w:rsidRPr="00103197">
        <w:rPr>
          <w:rFonts w:ascii="Times New Roman" w:eastAsia="Calibri" w:hAnsi="Times New Roman"/>
          <w:sz w:val="16"/>
          <w:szCs w:val="16"/>
          <w:lang w:bidi="en-US"/>
        </w:rPr>
        <w:t>c) resilience built to respond to systemic uncertainty and risk.</w:t>
      </w:r>
    </w:p>
  </w:footnote>
  <w:footnote w:id="12">
    <w:p w14:paraId="63245146" w14:textId="79BB88F5" w:rsidR="00CA6702" w:rsidRPr="00103197" w:rsidRDefault="00CA6702" w:rsidP="00CA6702">
      <w:pPr>
        <w:pStyle w:val="FootnoteText"/>
        <w:jc w:val="both"/>
        <w:rPr>
          <w:rFonts w:ascii="Times New Roman" w:hAnsi="Times New Roman"/>
          <w:sz w:val="16"/>
          <w:szCs w:val="16"/>
        </w:rPr>
      </w:pPr>
      <w:r w:rsidRPr="00103197">
        <w:rPr>
          <w:rStyle w:val="FootnoteReference"/>
          <w:rFonts w:ascii="Times New Roman" w:hAnsi="Times New Roman"/>
          <w:sz w:val="16"/>
          <w:szCs w:val="16"/>
        </w:rPr>
        <w:footnoteRef/>
      </w:r>
      <w:r w:rsidRPr="00103197">
        <w:rPr>
          <w:rFonts w:ascii="Times New Roman" w:hAnsi="Times New Roman"/>
          <w:sz w:val="16"/>
          <w:szCs w:val="16"/>
        </w:rPr>
        <w:t xml:space="preserve"> </w:t>
      </w:r>
      <w:r w:rsidRPr="00103197">
        <w:rPr>
          <w:rFonts w:ascii="Times New Roman" w:eastAsia="Calibri" w:hAnsi="Times New Roman"/>
          <w:sz w:val="16"/>
          <w:szCs w:val="16"/>
          <w:lang w:bidi="en-US"/>
        </w:rPr>
        <w:t>NDP 2018-2027</w:t>
      </w:r>
      <w:r w:rsidR="00481C26" w:rsidRPr="00103197">
        <w:rPr>
          <w:rFonts w:ascii="Times New Roman" w:eastAsia="Calibri" w:hAnsi="Times New Roman"/>
          <w:sz w:val="16"/>
          <w:szCs w:val="16"/>
          <w:lang w:bidi="en-US"/>
        </w:rPr>
        <w:t>.</w:t>
      </w:r>
    </w:p>
  </w:footnote>
  <w:footnote w:id="13">
    <w:p w14:paraId="034ED1D6" w14:textId="77777777" w:rsidR="00CA6702" w:rsidRPr="00103197" w:rsidRDefault="00CA6702" w:rsidP="00CA6702">
      <w:pPr>
        <w:pStyle w:val="FootnoteText"/>
        <w:jc w:val="both"/>
        <w:rPr>
          <w:rFonts w:ascii="Times New Roman" w:hAnsi="Times New Roman"/>
          <w:sz w:val="16"/>
          <w:szCs w:val="16"/>
        </w:rPr>
      </w:pPr>
      <w:r w:rsidRPr="00103197">
        <w:rPr>
          <w:rStyle w:val="FootnoteReference"/>
          <w:rFonts w:ascii="Times New Roman" w:hAnsi="Times New Roman"/>
          <w:sz w:val="16"/>
          <w:szCs w:val="16"/>
        </w:rPr>
        <w:footnoteRef/>
      </w:r>
      <w:r w:rsidRPr="00103197">
        <w:rPr>
          <w:rFonts w:ascii="Times New Roman" w:hAnsi="Times New Roman"/>
          <w:sz w:val="16"/>
          <w:szCs w:val="16"/>
        </w:rPr>
        <w:t xml:space="preserve"> </w:t>
      </w:r>
      <w:r w:rsidRPr="00103197">
        <w:rPr>
          <w:rFonts w:ascii="Times New Roman" w:eastAsia="Calibri" w:hAnsi="Times New Roman"/>
          <w:sz w:val="16"/>
          <w:szCs w:val="16"/>
          <w:lang w:bidi="en-US"/>
        </w:rPr>
        <w:t>Reference to NV n°204.15/142/MAECD/22, the Government has established a multi-actor steering committee to concretize effective national ownership throughout the CPD development.</w:t>
      </w:r>
    </w:p>
  </w:footnote>
  <w:footnote w:id="14">
    <w:p w14:paraId="01D4A556" w14:textId="67876384" w:rsidR="00CA6702" w:rsidRPr="00103197" w:rsidRDefault="00CA6702" w:rsidP="00CA6702">
      <w:pPr>
        <w:pStyle w:val="FootnoteText"/>
        <w:jc w:val="both"/>
        <w:rPr>
          <w:rFonts w:ascii="Times New Roman" w:hAnsi="Times New Roman"/>
          <w:sz w:val="16"/>
          <w:szCs w:val="16"/>
        </w:rPr>
      </w:pPr>
      <w:r w:rsidRPr="00103197">
        <w:rPr>
          <w:rStyle w:val="FootnoteReference"/>
          <w:rFonts w:ascii="Times New Roman" w:hAnsi="Times New Roman"/>
          <w:sz w:val="16"/>
          <w:szCs w:val="16"/>
        </w:rPr>
        <w:footnoteRef/>
      </w:r>
      <w:r w:rsidRPr="00103197">
        <w:rPr>
          <w:rFonts w:ascii="Times New Roman" w:hAnsi="Times New Roman"/>
          <w:sz w:val="16"/>
          <w:szCs w:val="16"/>
        </w:rPr>
        <w:t xml:space="preserve"> </w:t>
      </w:r>
      <w:r w:rsidRPr="00103197">
        <w:rPr>
          <w:rFonts w:ascii="Times New Roman" w:eastAsia="Calibri" w:hAnsi="Times New Roman"/>
          <w:sz w:val="16"/>
          <w:szCs w:val="16"/>
          <w:lang w:bidi="en-US"/>
        </w:rPr>
        <w:t xml:space="preserve">The programme aligns with NDP 2018-2027 strategic priorities: (i) </w:t>
      </w:r>
      <w:r w:rsidR="00481C26" w:rsidRPr="00103197">
        <w:rPr>
          <w:rFonts w:ascii="Times New Roman" w:eastAsia="Calibri" w:hAnsi="Times New Roman"/>
          <w:sz w:val="16"/>
          <w:szCs w:val="16"/>
          <w:lang w:bidi="en-US"/>
        </w:rPr>
        <w:t>b</w:t>
      </w:r>
      <w:r w:rsidRPr="00103197">
        <w:rPr>
          <w:rFonts w:ascii="Times New Roman" w:eastAsia="Calibri" w:hAnsi="Times New Roman"/>
          <w:sz w:val="16"/>
          <w:szCs w:val="16"/>
          <w:lang w:bidi="en-US"/>
        </w:rPr>
        <w:t xml:space="preserve">oosting growth sectors; (ii) </w:t>
      </w:r>
      <w:r w:rsidR="00481C26" w:rsidRPr="00103197">
        <w:rPr>
          <w:rFonts w:ascii="Times New Roman" w:eastAsia="Calibri" w:hAnsi="Times New Roman"/>
          <w:sz w:val="16"/>
          <w:szCs w:val="16"/>
          <w:lang w:bidi="en-US"/>
        </w:rPr>
        <w:t>d</w:t>
      </w:r>
      <w:r w:rsidRPr="00103197">
        <w:rPr>
          <w:rFonts w:ascii="Times New Roman" w:eastAsia="Calibri" w:hAnsi="Times New Roman"/>
          <w:sz w:val="16"/>
          <w:szCs w:val="16"/>
          <w:lang w:bidi="en-US"/>
        </w:rPr>
        <w:t xml:space="preserve">evelop human capital; (iii) </w:t>
      </w:r>
      <w:r w:rsidR="00481C26" w:rsidRPr="00103197">
        <w:rPr>
          <w:rFonts w:ascii="Times New Roman" w:eastAsia="Calibri" w:hAnsi="Times New Roman"/>
          <w:sz w:val="16"/>
          <w:szCs w:val="16"/>
          <w:lang w:bidi="en-US"/>
        </w:rPr>
        <w:t>p</w:t>
      </w:r>
      <w:r w:rsidRPr="00103197">
        <w:rPr>
          <w:rFonts w:ascii="Times New Roman" w:eastAsia="Calibri" w:hAnsi="Times New Roman"/>
          <w:sz w:val="16"/>
          <w:szCs w:val="16"/>
          <w:lang w:bidi="en-US"/>
        </w:rPr>
        <w:t>rotect the environment, adapt to climate change, and improve land use planning</w:t>
      </w:r>
      <w:r w:rsidR="00481C26" w:rsidRPr="00103197">
        <w:rPr>
          <w:rFonts w:ascii="Times New Roman" w:eastAsia="Calibri" w:hAnsi="Times New Roman"/>
          <w:sz w:val="16"/>
          <w:szCs w:val="16"/>
          <w:lang w:bidi="en-US"/>
        </w:rPr>
        <w:t>;</w:t>
      </w:r>
      <w:r w:rsidRPr="00103197">
        <w:rPr>
          <w:rFonts w:ascii="Times New Roman" w:eastAsia="Calibri" w:hAnsi="Times New Roman"/>
          <w:sz w:val="16"/>
          <w:szCs w:val="16"/>
          <w:lang w:bidi="en-US"/>
        </w:rPr>
        <w:t xml:space="preserve"> (iv) </w:t>
      </w:r>
      <w:r w:rsidR="00481C26" w:rsidRPr="00103197">
        <w:rPr>
          <w:rFonts w:ascii="Times New Roman" w:eastAsia="Calibri" w:hAnsi="Times New Roman"/>
          <w:sz w:val="16"/>
          <w:szCs w:val="16"/>
          <w:lang w:bidi="en-US"/>
        </w:rPr>
        <w:t>s</w:t>
      </w:r>
      <w:r w:rsidRPr="00103197">
        <w:rPr>
          <w:rFonts w:ascii="Times New Roman" w:eastAsia="Calibri" w:hAnsi="Times New Roman"/>
          <w:sz w:val="16"/>
          <w:szCs w:val="16"/>
          <w:lang w:bidi="en-US"/>
        </w:rPr>
        <w:t xml:space="preserve">trengthen democracy, governance, the rule of law and the safeguard of national sovereignty; (v) </w:t>
      </w:r>
      <w:r w:rsidR="00481C26" w:rsidRPr="00103197">
        <w:rPr>
          <w:rFonts w:ascii="Times New Roman" w:eastAsia="Calibri" w:hAnsi="Times New Roman"/>
          <w:sz w:val="16"/>
          <w:szCs w:val="16"/>
          <w:lang w:bidi="en-US"/>
        </w:rPr>
        <w:t>s</w:t>
      </w:r>
      <w:r w:rsidRPr="00103197">
        <w:rPr>
          <w:rFonts w:ascii="Times New Roman" w:eastAsia="Calibri" w:hAnsi="Times New Roman"/>
          <w:sz w:val="16"/>
          <w:szCs w:val="16"/>
          <w:lang w:bidi="en-US"/>
        </w:rPr>
        <w:t>trengthen resource mobilization mechanisms and develop cooperation and partnership.</w:t>
      </w:r>
    </w:p>
  </w:footnote>
  <w:footnote w:id="15">
    <w:p w14:paraId="55D77643" w14:textId="074ADA55" w:rsidR="00CA6702" w:rsidRPr="00103197" w:rsidRDefault="00CA6702" w:rsidP="00CA6702">
      <w:pPr>
        <w:pStyle w:val="FootnoteText"/>
        <w:jc w:val="both"/>
        <w:rPr>
          <w:rFonts w:ascii="Times New Roman" w:eastAsia="Calibri" w:hAnsi="Times New Roman"/>
          <w:sz w:val="16"/>
          <w:szCs w:val="16"/>
          <w:lang w:bidi="en-US"/>
        </w:rPr>
      </w:pPr>
      <w:r w:rsidRPr="00103197">
        <w:rPr>
          <w:rStyle w:val="FootnoteReference"/>
          <w:rFonts w:ascii="Times New Roman" w:hAnsi="Times New Roman"/>
          <w:sz w:val="16"/>
          <w:szCs w:val="16"/>
        </w:rPr>
        <w:footnoteRef/>
      </w:r>
      <w:r w:rsidRPr="00103197">
        <w:rPr>
          <w:rFonts w:ascii="Times New Roman" w:hAnsi="Times New Roman"/>
          <w:sz w:val="16"/>
          <w:szCs w:val="16"/>
        </w:rPr>
        <w:t xml:space="preserve"> </w:t>
      </w:r>
      <w:r w:rsidRPr="00103197">
        <w:rPr>
          <w:rFonts w:ascii="Times New Roman" w:eastAsia="Calibri" w:hAnsi="Times New Roman"/>
          <w:sz w:val="16"/>
          <w:szCs w:val="16"/>
          <w:lang w:bidi="en-US"/>
        </w:rPr>
        <w:t xml:space="preserve">The National Program for </w:t>
      </w:r>
      <w:r w:rsidR="00057482">
        <w:rPr>
          <w:rFonts w:ascii="Times New Roman" w:eastAsia="Calibri" w:hAnsi="Times New Roman"/>
          <w:sz w:val="16"/>
          <w:szCs w:val="16"/>
          <w:lang w:bidi="en-US"/>
        </w:rPr>
        <w:t>t</w:t>
      </w:r>
      <w:r w:rsidRPr="00103197">
        <w:rPr>
          <w:rFonts w:ascii="Times New Roman" w:eastAsia="Calibri" w:hAnsi="Times New Roman"/>
          <w:sz w:val="16"/>
          <w:szCs w:val="16"/>
          <w:lang w:bidi="en-US"/>
        </w:rPr>
        <w:t xml:space="preserve">he Capitalization </w:t>
      </w:r>
      <w:r w:rsidR="00835DFB">
        <w:rPr>
          <w:rFonts w:ascii="Times New Roman" w:eastAsia="Calibri" w:hAnsi="Times New Roman"/>
          <w:sz w:val="16"/>
          <w:szCs w:val="16"/>
          <w:lang w:bidi="en-US"/>
        </w:rPr>
        <w:t>o</w:t>
      </w:r>
      <w:r w:rsidRPr="00103197">
        <w:rPr>
          <w:rFonts w:ascii="Times New Roman" w:eastAsia="Calibri" w:hAnsi="Times New Roman"/>
          <w:sz w:val="16"/>
          <w:szCs w:val="16"/>
          <w:lang w:bidi="en-US"/>
        </w:rPr>
        <w:t xml:space="preserve">f Peace, Social Stability </w:t>
      </w:r>
      <w:r w:rsidR="00C3228C">
        <w:rPr>
          <w:rFonts w:ascii="Times New Roman" w:eastAsia="Calibri" w:hAnsi="Times New Roman"/>
          <w:sz w:val="16"/>
          <w:szCs w:val="16"/>
          <w:lang w:bidi="en-US"/>
        </w:rPr>
        <w:t>a</w:t>
      </w:r>
      <w:r w:rsidRPr="00103197">
        <w:rPr>
          <w:rFonts w:ascii="Times New Roman" w:eastAsia="Calibri" w:hAnsi="Times New Roman"/>
          <w:sz w:val="16"/>
          <w:szCs w:val="16"/>
          <w:lang w:bidi="en-US"/>
        </w:rPr>
        <w:t xml:space="preserve">nd Promotion </w:t>
      </w:r>
      <w:r w:rsidR="00C3228C">
        <w:rPr>
          <w:rFonts w:ascii="Times New Roman" w:eastAsia="Calibri" w:hAnsi="Times New Roman"/>
          <w:sz w:val="16"/>
          <w:szCs w:val="16"/>
          <w:lang w:bidi="en-US"/>
        </w:rPr>
        <w:t>o</w:t>
      </w:r>
      <w:r w:rsidRPr="00103197">
        <w:rPr>
          <w:rFonts w:ascii="Times New Roman" w:eastAsia="Calibri" w:hAnsi="Times New Roman"/>
          <w:sz w:val="16"/>
          <w:szCs w:val="16"/>
          <w:lang w:bidi="en-US"/>
        </w:rPr>
        <w:t>f Economic Growth with the following priorities: Good governance; Public health; Agriculture and livestock as well as socio-economic infrastructure; Youth employment in the industrialization of the country; Social Protection of retirees and other vulnerable; Peace and reconciliation.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40" w:type="dxa"/>
      <w:tblBorders>
        <w:bottom w:val="single" w:sz="2" w:space="0" w:color="000000"/>
      </w:tblBorders>
      <w:tblLayout w:type="fixed"/>
      <w:tblCellMar>
        <w:left w:w="0" w:type="dxa"/>
        <w:right w:w="0" w:type="dxa"/>
      </w:tblCellMar>
      <w:tblLook w:val="0000" w:firstRow="0" w:lastRow="0" w:firstColumn="0" w:lastColumn="0" w:noHBand="0" w:noVBand="0"/>
    </w:tblPr>
    <w:tblGrid>
      <w:gridCol w:w="4668"/>
      <w:gridCol w:w="4872"/>
    </w:tblGrid>
    <w:tr w:rsidR="00BC69D9" w:rsidRPr="00657A41" w14:paraId="6C8F084B" w14:textId="77777777" w:rsidTr="00CE2A86">
      <w:trPr>
        <w:trHeight w:hRule="exact" w:val="864"/>
      </w:trPr>
      <w:tc>
        <w:tcPr>
          <w:tcW w:w="4668" w:type="dxa"/>
          <w:shd w:val="clear" w:color="auto" w:fill="auto"/>
          <w:vAlign w:val="bottom"/>
        </w:tcPr>
        <w:p w14:paraId="51B1F22D" w14:textId="71BF7889" w:rsidR="00BC69D9" w:rsidRPr="00657A41" w:rsidRDefault="00BC69D9" w:rsidP="00BC69D9">
          <w:pPr>
            <w:tabs>
              <w:tab w:val="center" w:pos="4320"/>
              <w:tab w:val="right" w:pos="8640"/>
            </w:tabs>
            <w:spacing w:after="80"/>
            <w:rPr>
              <w:b/>
              <w:noProof/>
              <w:sz w:val="17"/>
            </w:rPr>
          </w:pPr>
          <w:bookmarkStart w:id="1" w:name="_Hlk72161445"/>
          <w:r w:rsidRPr="00657A41">
            <w:rPr>
              <w:b/>
              <w:noProof/>
              <w:sz w:val="17"/>
            </w:rPr>
            <w:t>DP/DCP/</w:t>
          </w:r>
          <w:r w:rsidR="00932A12">
            <w:rPr>
              <w:b/>
              <w:noProof/>
              <w:sz w:val="17"/>
            </w:rPr>
            <w:t>BDI</w:t>
          </w:r>
          <w:r w:rsidRPr="00657A41">
            <w:rPr>
              <w:b/>
              <w:noProof/>
              <w:sz w:val="17"/>
            </w:rPr>
            <w:t>/</w:t>
          </w:r>
          <w:r w:rsidR="00932A12">
            <w:rPr>
              <w:b/>
              <w:noProof/>
              <w:sz w:val="17"/>
            </w:rPr>
            <w:t>5</w:t>
          </w:r>
        </w:p>
      </w:tc>
      <w:tc>
        <w:tcPr>
          <w:tcW w:w="4872" w:type="dxa"/>
          <w:shd w:val="clear" w:color="auto" w:fill="auto"/>
          <w:vAlign w:val="bottom"/>
        </w:tcPr>
        <w:p w14:paraId="32A484FF" w14:textId="77777777" w:rsidR="00BC69D9" w:rsidRPr="00657A41" w:rsidRDefault="00BC69D9" w:rsidP="00BC69D9">
          <w:pPr>
            <w:tabs>
              <w:tab w:val="center" w:pos="4320"/>
              <w:tab w:val="right" w:pos="8640"/>
            </w:tabs>
            <w:jc w:val="right"/>
            <w:rPr>
              <w:b/>
              <w:noProof/>
              <w:sz w:val="17"/>
            </w:rPr>
          </w:pPr>
        </w:p>
      </w:tc>
    </w:tr>
    <w:bookmarkEnd w:id="1"/>
  </w:tbl>
  <w:p w14:paraId="00066E83" w14:textId="77777777" w:rsidR="00BC69D9" w:rsidRPr="00BC69D9" w:rsidRDefault="00BC69D9">
    <w:pPr>
      <w:pStyle w:val="Header"/>
      <w:rPr>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2" w:type="dxa"/>
      <w:tblInd w:w="-17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764"/>
    </w:tblGrid>
    <w:tr w:rsidR="00BC69D9" w:rsidRPr="00657A41" w14:paraId="0B6927BD" w14:textId="77777777" w:rsidTr="00BC69D9">
      <w:trPr>
        <w:trHeight w:hRule="exact" w:val="864"/>
      </w:trPr>
      <w:tc>
        <w:tcPr>
          <w:tcW w:w="4838" w:type="dxa"/>
          <w:shd w:val="clear" w:color="auto" w:fill="auto"/>
          <w:vAlign w:val="bottom"/>
        </w:tcPr>
        <w:p w14:paraId="05BAF8E6" w14:textId="77777777" w:rsidR="00BC69D9" w:rsidRPr="00657A41" w:rsidRDefault="00BC69D9" w:rsidP="00BC69D9">
          <w:pPr>
            <w:tabs>
              <w:tab w:val="center" w:pos="4320"/>
              <w:tab w:val="right" w:pos="8640"/>
            </w:tabs>
            <w:spacing w:after="80"/>
            <w:rPr>
              <w:b/>
              <w:noProof/>
              <w:sz w:val="17"/>
            </w:rPr>
          </w:pPr>
        </w:p>
      </w:tc>
      <w:tc>
        <w:tcPr>
          <w:tcW w:w="4764" w:type="dxa"/>
          <w:shd w:val="clear" w:color="auto" w:fill="auto"/>
          <w:vAlign w:val="bottom"/>
        </w:tcPr>
        <w:p w14:paraId="70EB3BFC" w14:textId="5ED545B6" w:rsidR="00BC69D9" w:rsidRPr="00657A41" w:rsidRDefault="00BC69D9" w:rsidP="00BC69D9">
          <w:pPr>
            <w:tabs>
              <w:tab w:val="center" w:pos="4320"/>
              <w:tab w:val="right" w:pos="8640"/>
            </w:tabs>
            <w:jc w:val="right"/>
            <w:rPr>
              <w:b/>
              <w:noProof/>
              <w:sz w:val="17"/>
            </w:rPr>
          </w:pPr>
          <w:r w:rsidRPr="00657A41">
            <w:rPr>
              <w:b/>
              <w:noProof/>
              <w:sz w:val="17"/>
            </w:rPr>
            <w:t>DP/DCP/</w:t>
          </w:r>
          <w:r w:rsidR="00932A12">
            <w:rPr>
              <w:b/>
              <w:noProof/>
              <w:sz w:val="17"/>
            </w:rPr>
            <w:t>BDI</w:t>
          </w:r>
          <w:r w:rsidRPr="00657A41">
            <w:rPr>
              <w:b/>
              <w:noProof/>
              <w:sz w:val="17"/>
            </w:rPr>
            <w:t>/</w:t>
          </w:r>
          <w:r w:rsidR="00932A12">
            <w:rPr>
              <w:b/>
              <w:noProof/>
              <w:sz w:val="17"/>
            </w:rPr>
            <w:t>5</w:t>
          </w:r>
        </w:p>
      </w:tc>
    </w:tr>
  </w:tbl>
  <w:p w14:paraId="1A102CF2" w14:textId="77777777" w:rsidR="00BC69D9" w:rsidRPr="00BC69D9" w:rsidRDefault="00BC69D9">
    <w:pPr>
      <w:pStyle w:val="Header"/>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7" w:type="dxa"/>
      <w:tblInd w:w="-43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BC69D9" w:rsidRPr="00657A41" w14:paraId="001207A7" w14:textId="77777777" w:rsidTr="00B9471B">
      <w:trPr>
        <w:trHeight w:hRule="exact" w:val="864"/>
      </w:trPr>
      <w:tc>
        <w:tcPr>
          <w:tcW w:w="1267" w:type="dxa"/>
          <w:tcBorders>
            <w:bottom w:val="single" w:sz="4" w:space="0" w:color="auto"/>
          </w:tcBorders>
          <w:shd w:val="clear" w:color="auto" w:fill="auto"/>
          <w:vAlign w:val="bottom"/>
        </w:tcPr>
        <w:p w14:paraId="3F188231" w14:textId="77777777" w:rsidR="00BC69D9" w:rsidRPr="00657A41" w:rsidRDefault="00BC69D9" w:rsidP="00BC69D9">
          <w:pPr>
            <w:tabs>
              <w:tab w:val="center" w:pos="4320"/>
              <w:tab w:val="right" w:pos="8640"/>
            </w:tabs>
            <w:spacing w:after="120"/>
            <w:rPr>
              <w:noProof/>
              <w:sz w:val="17"/>
            </w:rPr>
          </w:pPr>
        </w:p>
      </w:tc>
      <w:tc>
        <w:tcPr>
          <w:tcW w:w="1872" w:type="dxa"/>
          <w:tcBorders>
            <w:bottom w:val="single" w:sz="4" w:space="0" w:color="auto"/>
          </w:tcBorders>
          <w:shd w:val="clear" w:color="auto" w:fill="auto"/>
          <w:vAlign w:val="bottom"/>
        </w:tcPr>
        <w:p w14:paraId="2A47723C" w14:textId="77777777" w:rsidR="00BC69D9" w:rsidRPr="00657A41" w:rsidRDefault="00BC69D9" w:rsidP="00BC69D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spacing w:val="2"/>
              <w:w w:val="96"/>
              <w:kern w:val="14"/>
              <w:sz w:val="28"/>
            </w:rPr>
          </w:pPr>
          <w:r w:rsidRPr="00657A41">
            <w:rPr>
              <w:spacing w:val="2"/>
              <w:w w:val="96"/>
              <w:kern w:val="14"/>
              <w:sz w:val="28"/>
            </w:rPr>
            <w:t>United Nations</w:t>
          </w:r>
        </w:p>
      </w:tc>
      <w:tc>
        <w:tcPr>
          <w:tcW w:w="245" w:type="dxa"/>
          <w:tcBorders>
            <w:bottom w:val="single" w:sz="4" w:space="0" w:color="auto"/>
          </w:tcBorders>
          <w:shd w:val="clear" w:color="auto" w:fill="auto"/>
          <w:vAlign w:val="bottom"/>
        </w:tcPr>
        <w:p w14:paraId="11F638DF" w14:textId="77777777" w:rsidR="00BC69D9" w:rsidRPr="00657A41" w:rsidRDefault="00BC69D9" w:rsidP="00BC69D9">
          <w:pPr>
            <w:tabs>
              <w:tab w:val="center" w:pos="4320"/>
              <w:tab w:val="right" w:pos="8640"/>
            </w:tabs>
            <w:spacing w:after="120"/>
            <w:rPr>
              <w:noProof/>
              <w:sz w:val="17"/>
            </w:rPr>
          </w:pPr>
        </w:p>
      </w:tc>
      <w:tc>
        <w:tcPr>
          <w:tcW w:w="6523" w:type="dxa"/>
          <w:gridSpan w:val="4"/>
          <w:tcBorders>
            <w:bottom w:val="single" w:sz="4" w:space="0" w:color="auto"/>
          </w:tcBorders>
          <w:shd w:val="clear" w:color="auto" w:fill="auto"/>
          <w:vAlign w:val="bottom"/>
        </w:tcPr>
        <w:p w14:paraId="2DF08B05" w14:textId="76645183" w:rsidR="00BC69D9" w:rsidRPr="00657A41" w:rsidRDefault="00BC69D9" w:rsidP="00BC69D9">
          <w:pPr>
            <w:suppressAutoHyphens/>
            <w:spacing w:after="80"/>
            <w:jc w:val="right"/>
            <w:rPr>
              <w:spacing w:val="4"/>
              <w:w w:val="103"/>
              <w:kern w:val="14"/>
              <w:position w:val="-4"/>
            </w:rPr>
          </w:pPr>
          <w:r w:rsidRPr="00657A41">
            <w:rPr>
              <w:spacing w:val="4"/>
              <w:w w:val="103"/>
              <w:kern w:val="14"/>
              <w:position w:val="-4"/>
              <w:sz w:val="40"/>
            </w:rPr>
            <w:t>DP</w:t>
          </w:r>
          <w:r w:rsidRPr="00657A41">
            <w:rPr>
              <w:spacing w:val="4"/>
              <w:w w:val="103"/>
              <w:kern w:val="14"/>
              <w:position w:val="-4"/>
            </w:rPr>
            <w:t>/DCP/</w:t>
          </w:r>
          <w:r w:rsidR="00CA6702">
            <w:rPr>
              <w:spacing w:val="4"/>
              <w:w w:val="103"/>
              <w:kern w:val="14"/>
              <w:position w:val="-4"/>
            </w:rPr>
            <w:t>BDI</w:t>
          </w:r>
          <w:r w:rsidRPr="00657A41">
            <w:rPr>
              <w:spacing w:val="4"/>
              <w:w w:val="103"/>
              <w:kern w:val="14"/>
              <w:position w:val="-4"/>
            </w:rPr>
            <w:t>/</w:t>
          </w:r>
          <w:r w:rsidR="00CA6702">
            <w:rPr>
              <w:spacing w:val="4"/>
              <w:w w:val="103"/>
              <w:kern w:val="14"/>
              <w:position w:val="-4"/>
            </w:rPr>
            <w:t>5</w:t>
          </w:r>
        </w:p>
      </w:tc>
    </w:tr>
    <w:tr w:rsidR="00BC69D9" w:rsidRPr="00657A41" w14:paraId="46C5DFD1" w14:textId="77777777" w:rsidTr="00B9471B">
      <w:trPr>
        <w:gridAfter w:val="1"/>
        <w:wAfter w:w="28" w:type="dxa"/>
        <w:trHeight w:hRule="exact" w:val="2880"/>
      </w:trPr>
      <w:tc>
        <w:tcPr>
          <w:tcW w:w="1267" w:type="dxa"/>
          <w:tcBorders>
            <w:top w:val="single" w:sz="4" w:space="0" w:color="auto"/>
            <w:bottom w:val="single" w:sz="12" w:space="0" w:color="auto"/>
          </w:tcBorders>
          <w:shd w:val="clear" w:color="auto" w:fill="auto"/>
        </w:tcPr>
        <w:p w14:paraId="4EBC340F" w14:textId="77777777" w:rsidR="00BC69D9" w:rsidRPr="00657A41" w:rsidRDefault="00BC69D9" w:rsidP="00BC69D9">
          <w:pPr>
            <w:tabs>
              <w:tab w:val="center" w:pos="4320"/>
              <w:tab w:val="right" w:pos="8640"/>
            </w:tabs>
            <w:spacing w:before="109"/>
            <w:rPr>
              <w:noProof/>
              <w:sz w:val="17"/>
            </w:rPr>
          </w:pPr>
          <w:r w:rsidRPr="00657A41">
            <w:rPr>
              <w:noProof/>
              <w:sz w:val="17"/>
            </w:rPr>
            <w:t xml:space="preserve"> </w:t>
          </w:r>
          <w:r w:rsidRPr="00657A41">
            <w:rPr>
              <w:noProof/>
              <w:sz w:val="17"/>
              <w:lang w:eastAsia="en-GB"/>
            </w:rPr>
            <w:drawing>
              <wp:inline distT="0" distB="0" distL="0" distR="0" wp14:anchorId="302832E3" wp14:editId="1134FFC4">
                <wp:extent cx="702945" cy="592455"/>
                <wp:effectExtent l="0" t="0" r="1905" b="0"/>
                <wp:docPr id="3" name="Image 2"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592455"/>
                        </a:xfrm>
                        <a:prstGeom prst="rect">
                          <a:avLst/>
                        </a:prstGeom>
                        <a:noFill/>
                        <a:ln>
                          <a:noFill/>
                        </a:ln>
                      </pic:spPr>
                    </pic:pic>
                  </a:graphicData>
                </a:graphic>
              </wp:inline>
            </w:drawing>
          </w:r>
        </w:p>
        <w:p w14:paraId="25260B9A" w14:textId="77777777" w:rsidR="00BC69D9" w:rsidRPr="00657A41" w:rsidRDefault="00BC69D9" w:rsidP="00BC69D9">
          <w:pPr>
            <w:tabs>
              <w:tab w:val="center" w:pos="4320"/>
              <w:tab w:val="right" w:pos="8640"/>
            </w:tabs>
            <w:spacing w:before="109"/>
            <w:rPr>
              <w:noProof/>
              <w:sz w:val="17"/>
            </w:rPr>
          </w:pPr>
        </w:p>
      </w:tc>
      <w:tc>
        <w:tcPr>
          <w:tcW w:w="5227" w:type="dxa"/>
          <w:gridSpan w:val="3"/>
          <w:tcBorders>
            <w:top w:val="single" w:sz="4" w:space="0" w:color="auto"/>
            <w:bottom w:val="single" w:sz="12" w:space="0" w:color="auto"/>
          </w:tcBorders>
          <w:shd w:val="clear" w:color="auto" w:fill="auto"/>
        </w:tcPr>
        <w:p w14:paraId="55CA1CE0" w14:textId="33E2BBBE" w:rsidR="00BC69D9" w:rsidRPr="00F8489E" w:rsidRDefault="00F8489E" w:rsidP="00BC69D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utlineLvl w:val="0"/>
            <w:rPr>
              <w:b/>
              <w:bCs/>
              <w:spacing w:val="-4"/>
              <w:w w:val="98"/>
              <w:kern w:val="14"/>
              <w:sz w:val="34"/>
            </w:rPr>
          </w:pPr>
          <w:r w:rsidRPr="00F8489E">
            <w:rPr>
              <w:b/>
              <w:bCs/>
              <w:sz w:val="34"/>
            </w:rPr>
            <w:t>Executive Board of the</w:t>
          </w:r>
          <w:r w:rsidRPr="00F8489E">
            <w:rPr>
              <w:b/>
              <w:bCs/>
              <w:sz w:val="34"/>
            </w:rPr>
            <w:br/>
            <w:t>United Nations Development</w:t>
          </w:r>
          <w:r w:rsidRPr="00F8489E">
            <w:rPr>
              <w:b/>
              <w:bCs/>
              <w:sz w:val="34"/>
            </w:rPr>
            <w:br/>
            <w:t>Programme, the United Nations Population Fund and the United Nations Office for Project Services</w:t>
          </w:r>
        </w:p>
      </w:tc>
      <w:tc>
        <w:tcPr>
          <w:tcW w:w="245" w:type="dxa"/>
          <w:tcBorders>
            <w:top w:val="single" w:sz="4" w:space="0" w:color="auto"/>
            <w:bottom w:val="single" w:sz="12" w:space="0" w:color="auto"/>
          </w:tcBorders>
          <w:shd w:val="clear" w:color="auto" w:fill="auto"/>
        </w:tcPr>
        <w:p w14:paraId="45C2927E" w14:textId="77777777" w:rsidR="00BC69D9" w:rsidRPr="00657A41" w:rsidRDefault="00BC69D9" w:rsidP="00BC69D9">
          <w:pPr>
            <w:tabs>
              <w:tab w:val="center" w:pos="4320"/>
              <w:tab w:val="right" w:pos="8640"/>
            </w:tabs>
            <w:spacing w:before="109"/>
            <w:rPr>
              <w:noProof/>
              <w:sz w:val="17"/>
            </w:rPr>
          </w:pPr>
        </w:p>
      </w:tc>
      <w:tc>
        <w:tcPr>
          <w:tcW w:w="3140" w:type="dxa"/>
          <w:tcBorders>
            <w:top w:val="single" w:sz="4" w:space="0" w:color="auto"/>
            <w:bottom w:val="single" w:sz="12" w:space="0" w:color="auto"/>
          </w:tcBorders>
          <w:shd w:val="clear" w:color="auto" w:fill="auto"/>
        </w:tcPr>
        <w:p w14:paraId="547AD2CD" w14:textId="77777777" w:rsidR="00BC69D9" w:rsidRPr="00657A41" w:rsidRDefault="00BC69D9" w:rsidP="00BC69D9">
          <w:pPr>
            <w:suppressAutoHyphens/>
            <w:spacing w:before="240" w:line="240" w:lineRule="exact"/>
            <w:rPr>
              <w:spacing w:val="4"/>
              <w:w w:val="103"/>
              <w:kern w:val="14"/>
            </w:rPr>
          </w:pPr>
          <w:r w:rsidRPr="00657A41">
            <w:rPr>
              <w:spacing w:val="4"/>
              <w:w w:val="103"/>
              <w:kern w:val="14"/>
            </w:rPr>
            <w:t>Distr.: General</w:t>
          </w:r>
        </w:p>
        <w:p w14:paraId="06F5D2F3" w14:textId="07ADDFED" w:rsidR="00BC69D9" w:rsidRPr="00657A41" w:rsidRDefault="00502164" w:rsidP="00BC69D9">
          <w:pPr>
            <w:suppressAutoHyphens/>
            <w:spacing w:line="240" w:lineRule="exact"/>
            <w:rPr>
              <w:spacing w:val="4"/>
              <w:w w:val="103"/>
              <w:kern w:val="14"/>
            </w:rPr>
          </w:pPr>
          <w:r>
            <w:rPr>
              <w:spacing w:val="4"/>
              <w:w w:val="103"/>
              <w:kern w:val="14"/>
            </w:rPr>
            <w:t>29</w:t>
          </w:r>
          <w:r w:rsidR="00CA6702">
            <w:rPr>
              <w:spacing w:val="4"/>
              <w:w w:val="103"/>
              <w:kern w:val="14"/>
            </w:rPr>
            <w:t xml:space="preserve"> </w:t>
          </w:r>
          <w:r>
            <w:rPr>
              <w:spacing w:val="4"/>
              <w:w w:val="103"/>
              <w:kern w:val="14"/>
            </w:rPr>
            <w:t>June</w:t>
          </w:r>
          <w:r w:rsidR="00BC69D9">
            <w:rPr>
              <w:spacing w:val="4"/>
              <w:w w:val="103"/>
              <w:kern w:val="14"/>
            </w:rPr>
            <w:t xml:space="preserve"> 202</w:t>
          </w:r>
          <w:r w:rsidR="00CA6702">
            <w:rPr>
              <w:spacing w:val="4"/>
              <w:w w:val="103"/>
              <w:kern w:val="14"/>
            </w:rPr>
            <w:t>3</w:t>
          </w:r>
        </w:p>
        <w:p w14:paraId="1FAA6AE7" w14:textId="77777777" w:rsidR="00BC69D9" w:rsidRPr="00657A41" w:rsidRDefault="00BC69D9" w:rsidP="00BC69D9">
          <w:pPr>
            <w:suppressAutoHyphens/>
            <w:spacing w:line="240" w:lineRule="exact"/>
            <w:rPr>
              <w:spacing w:val="4"/>
              <w:w w:val="103"/>
              <w:kern w:val="14"/>
            </w:rPr>
          </w:pPr>
        </w:p>
        <w:p w14:paraId="67D3E35A" w14:textId="77777777" w:rsidR="00BC69D9" w:rsidRPr="00657A41" w:rsidRDefault="00BC69D9" w:rsidP="00BC69D9">
          <w:pPr>
            <w:suppressAutoHyphens/>
            <w:spacing w:line="240" w:lineRule="exact"/>
            <w:rPr>
              <w:spacing w:val="4"/>
              <w:w w:val="103"/>
              <w:kern w:val="14"/>
            </w:rPr>
          </w:pPr>
          <w:r w:rsidRPr="00657A41">
            <w:rPr>
              <w:spacing w:val="4"/>
              <w:w w:val="103"/>
              <w:kern w:val="14"/>
            </w:rPr>
            <w:t>Original: English</w:t>
          </w:r>
        </w:p>
      </w:tc>
    </w:tr>
  </w:tbl>
  <w:p w14:paraId="7C7F644D" w14:textId="77777777" w:rsidR="00BC69D9" w:rsidRPr="00597CD2" w:rsidRDefault="00BC69D9">
    <w:pPr>
      <w:pStyle w:val="Header"/>
      <w:rPr>
        <w:sz w:val="6"/>
        <w:szCs w:val="6"/>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0D56A" w14:textId="0306CC95" w:rsidR="003D3682" w:rsidRDefault="00BD085F">
    <w:pPr>
      <w:pStyle w:val="Header"/>
    </w:pPr>
    <w:r>
      <w:rPr>
        <w:noProof/>
      </w:rPr>
      <mc:AlternateContent>
        <mc:Choice Requires="wps">
          <w:drawing>
            <wp:anchor distT="0" distB="0" distL="114300" distR="114300" simplePos="0" relativeHeight="251658752" behindDoc="0" locked="0" layoutInCell="0" allowOverlap="1" wp14:anchorId="7EA02003" wp14:editId="35D5053E">
              <wp:simplePos x="0" y="0"/>
              <wp:positionH relativeFrom="margin">
                <wp:align>left</wp:align>
              </wp:positionH>
              <wp:positionV relativeFrom="paragraph">
                <wp:posOffset>-304800</wp:posOffset>
              </wp:positionV>
              <wp:extent cx="8242300" cy="640080"/>
              <wp:effectExtent l="0" t="0" r="6350"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0" cy="640080"/>
                      </a:xfrm>
                      <a:prstGeom prst="rect">
                        <a:avLst/>
                      </a:prstGeom>
                      <a:solidFill>
                        <a:srgbClr val="FFFFFF"/>
                      </a:solidFill>
                      <a:ln>
                        <a:noFill/>
                      </a:ln>
                    </wps:spPr>
                    <wps:txbx>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3D3682" w:rsidRPr="005841A3" w14:paraId="2440D571" w14:textId="77777777">
                            <w:trPr>
                              <w:trHeight w:hRule="exact" w:val="864"/>
                            </w:trPr>
                            <w:tc>
                              <w:tcPr>
                                <w:tcW w:w="4838" w:type="dxa"/>
                                <w:tcBorders>
                                  <w:bottom w:val="single" w:sz="4" w:space="0" w:color="auto"/>
                                </w:tcBorders>
                                <w:vAlign w:val="bottom"/>
                              </w:tcPr>
                              <w:p w14:paraId="2440D56F" w14:textId="32B097EB" w:rsidR="003D3682" w:rsidRPr="007C6F85" w:rsidRDefault="003D3682"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r w:rsidR="00932A12">
                                  <w:rPr>
                                    <w:rFonts w:ascii="Times New Roman" w:hAnsi="Times New Roman"/>
                                    <w:b/>
                                    <w:sz w:val="17"/>
                                    <w:szCs w:val="17"/>
                                    <w:lang w:val="en-US" w:eastAsia="en-US"/>
                                  </w:rPr>
                                  <w:t>BDI</w:t>
                                </w:r>
                                <w:r w:rsidR="00461411">
                                  <w:rPr>
                                    <w:rFonts w:ascii="Times New Roman" w:hAnsi="Times New Roman"/>
                                    <w:b/>
                                    <w:sz w:val="17"/>
                                    <w:szCs w:val="17"/>
                                    <w:lang w:val="en-US" w:eastAsia="en-US"/>
                                  </w:rPr>
                                  <w:t>/</w:t>
                                </w:r>
                                <w:r w:rsidR="00932A12">
                                  <w:rPr>
                                    <w:rFonts w:ascii="Times New Roman" w:hAnsi="Times New Roman"/>
                                    <w:b/>
                                    <w:sz w:val="17"/>
                                    <w:szCs w:val="17"/>
                                    <w:lang w:val="en-US" w:eastAsia="en-US"/>
                                  </w:rPr>
                                  <w:t>5</w:t>
                                </w:r>
                              </w:p>
                            </w:tc>
                            <w:tc>
                              <w:tcPr>
                                <w:tcW w:w="8276" w:type="dxa"/>
                                <w:tcBorders>
                                  <w:bottom w:val="single" w:sz="4" w:space="0" w:color="auto"/>
                                </w:tcBorders>
                                <w:vAlign w:val="bottom"/>
                              </w:tcPr>
                              <w:p w14:paraId="2440D570" w14:textId="77777777" w:rsidR="003D3682" w:rsidRPr="007C6F85" w:rsidRDefault="003D3682">
                                <w:pPr>
                                  <w:pStyle w:val="Header"/>
                                  <w:rPr>
                                    <w:rFonts w:ascii="Times New Roman" w:hAnsi="Times New Roman"/>
                                    <w:sz w:val="17"/>
                                    <w:szCs w:val="17"/>
                                    <w:lang w:val="en-US" w:eastAsia="en-US"/>
                                  </w:rPr>
                                </w:pPr>
                              </w:p>
                            </w:tc>
                          </w:tr>
                        </w:tbl>
                        <w:p w14:paraId="2440D572" w14:textId="77777777" w:rsidR="003D3682" w:rsidRDefault="003D3682"/>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7EA02003" id="_x0000_t202" coordsize="21600,21600" o:spt="202" path="m,l,21600r21600,l21600,xe">
              <v:stroke joinstyle="miter"/>
              <v:path gradientshapeok="t" o:connecttype="rect"/>
            </v:shapetype>
            <v:shape id="Text Box 1" o:spid="_x0000_s1026" type="#_x0000_t202" style="position:absolute;margin-left:0;margin-top:-24pt;width:649pt;height:50.4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" o:allowincell="f" stroked="f">
              <v:textbox inset="0,0,0,0">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3D3682" w:rsidRPr="005841A3" w14:paraId="2440D571" w14:textId="77777777">
                      <w:trPr>
                        <w:trHeight w:hRule="exact" w:val="864"/>
                      </w:trPr>
                      <w:tc>
                        <w:tcPr>
                          <w:tcW w:w="4838" w:type="dxa"/>
                          <w:tcBorders>
                            <w:bottom w:val="single" w:sz="4" w:space="0" w:color="auto"/>
                          </w:tcBorders>
                          <w:vAlign w:val="bottom"/>
                        </w:tcPr>
                        <w:p w14:paraId="2440D56F" w14:textId="32B097EB" w:rsidR="003D3682" w:rsidRPr="007C6F85" w:rsidRDefault="003D3682"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r w:rsidR="00932A12">
                            <w:rPr>
                              <w:rFonts w:ascii="Times New Roman" w:hAnsi="Times New Roman"/>
                              <w:b/>
                              <w:sz w:val="17"/>
                              <w:szCs w:val="17"/>
                              <w:lang w:val="en-US" w:eastAsia="en-US"/>
                            </w:rPr>
                            <w:t>BDI</w:t>
                          </w:r>
                          <w:r w:rsidR="00461411">
                            <w:rPr>
                              <w:rFonts w:ascii="Times New Roman" w:hAnsi="Times New Roman"/>
                              <w:b/>
                              <w:sz w:val="17"/>
                              <w:szCs w:val="17"/>
                              <w:lang w:val="en-US" w:eastAsia="en-US"/>
                            </w:rPr>
                            <w:t>/</w:t>
                          </w:r>
                          <w:r w:rsidR="00932A12">
                            <w:rPr>
                              <w:rFonts w:ascii="Times New Roman" w:hAnsi="Times New Roman"/>
                              <w:b/>
                              <w:sz w:val="17"/>
                              <w:szCs w:val="17"/>
                              <w:lang w:val="en-US" w:eastAsia="en-US"/>
                            </w:rPr>
                            <w:t>5</w:t>
                          </w:r>
                        </w:p>
                      </w:tc>
                      <w:tc>
                        <w:tcPr>
                          <w:tcW w:w="8276" w:type="dxa"/>
                          <w:tcBorders>
                            <w:bottom w:val="single" w:sz="4" w:space="0" w:color="auto"/>
                          </w:tcBorders>
                          <w:vAlign w:val="bottom"/>
                        </w:tcPr>
                        <w:p w14:paraId="2440D570" w14:textId="77777777" w:rsidR="003D3682" w:rsidRPr="007C6F85" w:rsidRDefault="003D3682">
                          <w:pPr>
                            <w:pStyle w:val="Header"/>
                            <w:rPr>
                              <w:rFonts w:ascii="Times New Roman" w:hAnsi="Times New Roman"/>
                              <w:sz w:val="17"/>
                              <w:szCs w:val="17"/>
                              <w:lang w:val="en-US" w:eastAsia="en-US"/>
                            </w:rPr>
                          </w:pPr>
                        </w:p>
                      </w:tc>
                    </w:tr>
                  </w:tbl>
                  <w:p w14:paraId="2440D572" w14:textId="77777777" w:rsidR="003D3682" w:rsidRDefault="003D3682"/>
                </w:txbxContent>
              </v:textbox>
              <w10:wrap anchorx="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050" w:type="dxa"/>
      <w:tblBorders>
        <w:bottom w:val="single" w:sz="2" w:space="0" w:color="000000"/>
      </w:tblBorders>
      <w:tblLayout w:type="fixed"/>
      <w:tblCellMar>
        <w:left w:w="0" w:type="dxa"/>
        <w:right w:w="0" w:type="dxa"/>
      </w:tblCellMar>
      <w:tblLook w:val="0000" w:firstRow="0" w:lastRow="0" w:firstColumn="0" w:lastColumn="0" w:noHBand="0" w:noVBand="0"/>
    </w:tblPr>
    <w:tblGrid>
      <w:gridCol w:w="4668"/>
      <w:gridCol w:w="8382"/>
    </w:tblGrid>
    <w:tr w:rsidR="00CE2A86" w:rsidRPr="00657A41" w14:paraId="0755F833" w14:textId="77777777" w:rsidTr="00E022B9">
      <w:trPr>
        <w:trHeight w:hRule="exact" w:val="864"/>
      </w:trPr>
      <w:tc>
        <w:tcPr>
          <w:tcW w:w="4668" w:type="dxa"/>
          <w:shd w:val="clear" w:color="auto" w:fill="auto"/>
          <w:vAlign w:val="bottom"/>
        </w:tcPr>
        <w:p w14:paraId="74A7251A" w14:textId="77777777" w:rsidR="00CE2A86" w:rsidRPr="00657A41" w:rsidRDefault="00CE2A86" w:rsidP="00BC69D9">
          <w:pPr>
            <w:tabs>
              <w:tab w:val="center" w:pos="4320"/>
              <w:tab w:val="right" w:pos="8640"/>
            </w:tabs>
            <w:spacing w:after="80"/>
            <w:rPr>
              <w:b/>
              <w:noProof/>
              <w:sz w:val="17"/>
            </w:rPr>
          </w:pPr>
        </w:p>
      </w:tc>
      <w:tc>
        <w:tcPr>
          <w:tcW w:w="8382" w:type="dxa"/>
          <w:shd w:val="clear" w:color="auto" w:fill="auto"/>
          <w:vAlign w:val="bottom"/>
        </w:tcPr>
        <w:p w14:paraId="4B473F58" w14:textId="2462A094" w:rsidR="00CE2A86" w:rsidRPr="00657A41" w:rsidRDefault="00CE2A86" w:rsidP="00BC69D9">
          <w:pPr>
            <w:tabs>
              <w:tab w:val="center" w:pos="4320"/>
              <w:tab w:val="right" w:pos="8640"/>
            </w:tabs>
            <w:jc w:val="right"/>
            <w:rPr>
              <w:b/>
              <w:noProof/>
              <w:sz w:val="17"/>
            </w:rPr>
          </w:pPr>
          <w:r w:rsidRPr="00657A41">
            <w:rPr>
              <w:b/>
              <w:noProof/>
              <w:sz w:val="17"/>
            </w:rPr>
            <w:t>DP/DCP/</w:t>
          </w:r>
          <w:r w:rsidR="00932A12">
            <w:rPr>
              <w:b/>
              <w:noProof/>
              <w:sz w:val="17"/>
            </w:rPr>
            <w:t>BDI</w:t>
          </w:r>
          <w:r w:rsidRPr="00657A41">
            <w:rPr>
              <w:b/>
              <w:noProof/>
              <w:sz w:val="17"/>
            </w:rPr>
            <w:t>/</w:t>
          </w:r>
          <w:r w:rsidR="00932A12">
            <w:rPr>
              <w:b/>
              <w:noProof/>
              <w:sz w:val="17"/>
            </w:rPr>
            <w:t>5</w:t>
          </w:r>
        </w:p>
      </w:tc>
    </w:tr>
  </w:tbl>
  <w:p w14:paraId="081F7F38" w14:textId="77777777" w:rsidR="00CE2A86" w:rsidRPr="00BC69D9" w:rsidRDefault="00CE2A86">
    <w:pPr>
      <w:pStyle w:val="Head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03D3"/>
    <w:multiLevelType w:val="hybridMultilevel"/>
    <w:tmpl w:val="970ACFB2"/>
    <w:lvl w:ilvl="0" w:tplc="0016ADC0">
      <w:start w:val="1"/>
      <w:numFmt w:val="decimal"/>
      <w:lvlText w:val="%1."/>
      <w:lvlJc w:val="left"/>
      <w:pPr>
        <w:ind w:left="720" w:hanging="360"/>
      </w:pPr>
      <w:rPr>
        <w:rFonts w:ascii="Times New Roman" w:hAnsi="Times New Roman" w:cs="Times New Roman" w:hint="default"/>
        <w:b w:val="0"/>
        <w:bCs w:val="0"/>
        <w:color w:val="auto"/>
      </w:rPr>
    </w:lvl>
    <w:lvl w:ilvl="1" w:tplc="04090019">
      <w:start w:val="1"/>
      <w:numFmt w:val="lowerLetter"/>
      <w:lvlText w:val="%2."/>
      <w:lvlJc w:val="left"/>
      <w:pPr>
        <w:ind w:left="1440" w:hanging="360"/>
      </w:pPr>
    </w:lvl>
    <w:lvl w:ilvl="2" w:tplc="0409000F">
      <w:start w:val="1"/>
      <w:numFmt w:val="decimal"/>
      <w:lvlText w:val="%3."/>
      <w:lvlJc w:val="left"/>
      <w:pPr>
        <w:ind w:left="270" w:hanging="180"/>
      </w:pPr>
    </w:lvl>
    <w:lvl w:ilvl="3" w:tplc="543E5DB2">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50BC7"/>
    <w:multiLevelType w:val="multilevel"/>
    <w:tmpl w:val="23CE1926"/>
    <w:lvl w:ilvl="0">
      <w:start w:val="1"/>
      <w:numFmt w:val="bullet"/>
      <w:lvlText w:val=""/>
      <w:lvlJc w:val="left"/>
      <w:pPr>
        <w:tabs>
          <w:tab w:val="num" w:pos="570"/>
        </w:tabs>
        <w:ind w:left="570" w:hanging="570"/>
      </w:pPr>
      <w:rPr>
        <w:rFonts w:ascii="Symbol" w:hAnsi="Symbol"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DD44160"/>
    <w:multiLevelType w:val="hybridMultilevel"/>
    <w:tmpl w:val="A4920B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F012BC"/>
    <w:multiLevelType w:val="hybridMultilevel"/>
    <w:tmpl w:val="AEBAA3C0"/>
    <w:lvl w:ilvl="0" w:tplc="4418B0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E0260"/>
    <w:multiLevelType w:val="hybridMultilevel"/>
    <w:tmpl w:val="992EE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0C5E98"/>
    <w:multiLevelType w:val="hybridMultilevel"/>
    <w:tmpl w:val="4E7A24A8"/>
    <w:lvl w:ilvl="0" w:tplc="29EA673A">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AC72F0"/>
    <w:multiLevelType w:val="hybridMultilevel"/>
    <w:tmpl w:val="4B4ACAF2"/>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15:restartNumberingAfterBreak="0">
    <w:nsid w:val="188C67E7"/>
    <w:multiLevelType w:val="hybridMultilevel"/>
    <w:tmpl w:val="C86A47E0"/>
    <w:lvl w:ilvl="0" w:tplc="0C8EE990">
      <w:start w:val="1"/>
      <w:numFmt w:val="low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D561E8F"/>
    <w:multiLevelType w:val="hybridMultilevel"/>
    <w:tmpl w:val="1D082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F12972"/>
    <w:multiLevelType w:val="multilevel"/>
    <w:tmpl w:val="8528D00C"/>
    <w:lvl w:ilvl="0">
      <w:start w:val="1"/>
      <w:numFmt w:val="bullet"/>
      <w:lvlText w:val="o"/>
      <w:lvlJc w:val="left"/>
      <w:pPr>
        <w:tabs>
          <w:tab w:val="num" w:pos="1140"/>
        </w:tabs>
        <w:ind w:left="1140" w:hanging="570"/>
      </w:pPr>
      <w:rPr>
        <w:rFonts w:ascii="Courier New" w:hAnsi="Courier New" w:cs="Courier New" w:hint="default"/>
      </w:rPr>
    </w:lvl>
    <w:lvl w:ilvl="1">
      <w:start w:val="1"/>
      <w:numFmt w:val="bullet"/>
      <w:lvlText w:val=""/>
      <w:lvlJc w:val="left"/>
      <w:pPr>
        <w:tabs>
          <w:tab w:val="num" w:pos="1140"/>
        </w:tabs>
        <w:ind w:left="1140" w:hanging="570"/>
      </w:pPr>
      <w:rPr>
        <w:rFonts w:ascii="Symbol" w:hAnsi="Symbol"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290"/>
        </w:tabs>
        <w:ind w:left="1290" w:hanging="720"/>
      </w:pPr>
      <w:rPr>
        <w:rFonts w:hint="default"/>
      </w:rPr>
    </w:lvl>
    <w:lvl w:ilvl="4">
      <w:start w:val="1"/>
      <w:numFmt w:val="decimal"/>
      <w:lvlText w:val="%1.%2.%3.%4.%5"/>
      <w:lvlJc w:val="left"/>
      <w:pPr>
        <w:tabs>
          <w:tab w:val="num" w:pos="1650"/>
        </w:tabs>
        <w:ind w:left="1650" w:hanging="1080"/>
      </w:pPr>
      <w:rPr>
        <w:rFonts w:hint="default"/>
      </w:rPr>
    </w:lvl>
    <w:lvl w:ilvl="5">
      <w:start w:val="1"/>
      <w:numFmt w:val="decimal"/>
      <w:lvlText w:val="%1.%2.%3.%4.%5.%6"/>
      <w:lvlJc w:val="left"/>
      <w:pPr>
        <w:tabs>
          <w:tab w:val="num" w:pos="1650"/>
        </w:tabs>
        <w:ind w:left="1650" w:hanging="1080"/>
      </w:pPr>
      <w:rPr>
        <w:rFonts w:hint="default"/>
      </w:rPr>
    </w:lvl>
    <w:lvl w:ilvl="6">
      <w:start w:val="1"/>
      <w:numFmt w:val="decimal"/>
      <w:lvlText w:val="%1.%2.%3.%4.%5.%6.%7"/>
      <w:lvlJc w:val="left"/>
      <w:pPr>
        <w:tabs>
          <w:tab w:val="num" w:pos="2010"/>
        </w:tabs>
        <w:ind w:left="2010" w:hanging="1440"/>
      </w:pPr>
      <w:rPr>
        <w:rFonts w:hint="default"/>
      </w:rPr>
    </w:lvl>
    <w:lvl w:ilvl="7">
      <w:start w:val="1"/>
      <w:numFmt w:val="decimal"/>
      <w:lvlText w:val="%1.%2.%3.%4.%5.%6.%7.%8"/>
      <w:lvlJc w:val="left"/>
      <w:pPr>
        <w:tabs>
          <w:tab w:val="num" w:pos="2010"/>
        </w:tabs>
        <w:ind w:left="2010" w:hanging="1440"/>
      </w:pPr>
      <w:rPr>
        <w:rFonts w:hint="default"/>
      </w:rPr>
    </w:lvl>
    <w:lvl w:ilvl="8">
      <w:start w:val="1"/>
      <w:numFmt w:val="decimal"/>
      <w:lvlText w:val="%1.%2.%3.%4.%5.%6.%7.%8.%9"/>
      <w:lvlJc w:val="left"/>
      <w:pPr>
        <w:tabs>
          <w:tab w:val="num" w:pos="2010"/>
        </w:tabs>
        <w:ind w:left="2010" w:hanging="1440"/>
      </w:pPr>
      <w:rPr>
        <w:rFonts w:hint="default"/>
      </w:rPr>
    </w:lvl>
  </w:abstractNum>
  <w:abstractNum w:abstractNumId="10" w15:restartNumberingAfterBreak="0">
    <w:nsid w:val="24C42F9F"/>
    <w:multiLevelType w:val="hybridMultilevel"/>
    <w:tmpl w:val="C058A5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DE180E"/>
    <w:multiLevelType w:val="hybridMultilevel"/>
    <w:tmpl w:val="1E1A2778"/>
    <w:lvl w:ilvl="0" w:tplc="F1D8AC3A">
      <w:start w:val="1"/>
      <w:numFmt w:val="lowerLetter"/>
      <w:lvlText w:val="(%1)"/>
      <w:lvlJc w:val="left"/>
      <w:pPr>
        <w:ind w:left="16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3B6AEF"/>
    <w:multiLevelType w:val="hybridMultilevel"/>
    <w:tmpl w:val="8EA2525A"/>
    <w:lvl w:ilvl="0" w:tplc="0436000F">
      <w:start w:val="2"/>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3" w15:restartNumberingAfterBreak="0">
    <w:nsid w:val="266A6F84"/>
    <w:multiLevelType w:val="hybridMultilevel"/>
    <w:tmpl w:val="FA1EDD9E"/>
    <w:lvl w:ilvl="0" w:tplc="A92EF7BA">
      <w:start w:val="4"/>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3115FF"/>
    <w:multiLevelType w:val="hybridMultilevel"/>
    <w:tmpl w:val="03FE75F0"/>
    <w:lvl w:ilvl="0" w:tplc="AB4E437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2725E5"/>
    <w:multiLevelType w:val="hybridMultilevel"/>
    <w:tmpl w:val="FCA86D60"/>
    <w:lvl w:ilvl="0" w:tplc="04090001">
      <w:start w:val="1"/>
      <w:numFmt w:val="bullet"/>
      <w:lvlText w:val=""/>
      <w:lvlJc w:val="left"/>
      <w:pPr>
        <w:ind w:left="1620" w:hanging="360"/>
      </w:pPr>
      <w:rPr>
        <w:rFonts w:ascii="Symbol" w:hAnsi="Symbol" w:hint="default"/>
        <w:b w:val="0"/>
        <w:i w:val="0"/>
        <w:sz w:val="20"/>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16" w15:restartNumberingAfterBreak="0">
    <w:nsid w:val="347765A9"/>
    <w:multiLevelType w:val="hybridMultilevel"/>
    <w:tmpl w:val="BAA25E2E"/>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7" w15:restartNumberingAfterBreak="0">
    <w:nsid w:val="37626662"/>
    <w:multiLevelType w:val="hybridMultilevel"/>
    <w:tmpl w:val="387A03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917003"/>
    <w:multiLevelType w:val="hybridMultilevel"/>
    <w:tmpl w:val="06FC3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8955CF6"/>
    <w:multiLevelType w:val="multilevel"/>
    <w:tmpl w:val="23CE1926"/>
    <w:lvl w:ilvl="0">
      <w:start w:val="1"/>
      <w:numFmt w:val="bullet"/>
      <w:lvlText w:val=""/>
      <w:lvlJc w:val="left"/>
      <w:pPr>
        <w:tabs>
          <w:tab w:val="num" w:pos="570"/>
        </w:tabs>
        <w:ind w:left="570" w:hanging="570"/>
      </w:pPr>
      <w:rPr>
        <w:rFonts w:ascii="Symbol" w:hAnsi="Symbol"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38DD24AB"/>
    <w:multiLevelType w:val="hybridMultilevel"/>
    <w:tmpl w:val="6F360A8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9A6429B"/>
    <w:multiLevelType w:val="multilevel"/>
    <w:tmpl w:val="9C946A30"/>
    <w:lvl w:ilvl="0">
      <w:start w:val="1"/>
      <w:numFmt w:val="upperRoman"/>
      <w:lvlText w:val="%1."/>
      <w:lvlJc w:val="left"/>
      <w:pPr>
        <w:ind w:left="1620" w:hanging="720"/>
      </w:pPr>
      <w:rPr>
        <w:rFonts w:hint="default"/>
        <w:b/>
        <w:color w:val="000000"/>
        <w:sz w:val="24"/>
      </w:rPr>
    </w:lvl>
    <w:lvl w:ilvl="1">
      <w:start w:val="2"/>
      <w:numFmt w:val="decimal"/>
      <w:isLgl/>
      <w:lvlText w:val="%1.%2."/>
      <w:lvlJc w:val="left"/>
      <w:pPr>
        <w:ind w:left="1260" w:hanging="360"/>
      </w:pPr>
      <w:rPr>
        <w:rFonts w:hint="default"/>
      </w:rPr>
    </w:lvl>
    <w:lvl w:ilvl="2">
      <w:start w:val="1"/>
      <w:numFmt w:val="decimal"/>
      <w:isLgl/>
      <w:lvlText w:val="%1.%2.%3."/>
      <w:lvlJc w:val="left"/>
      <w:pPr>
        <w:ind w:left="1260" w:hanging="36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620" w:hanging="720"/>
      </w:pPr>
      <w:rPr>
        <w:rFonts w:hint="default"/>
      </w:rPr>
    </w:lvl>
    <w:lvl w:ilvl="5">
      <w:start w:val="1"/>
      <w:numFmt w:val="decimal"/>
      <w:isLgl/>
      <w:lvlText w:val="%1.%2.%3.%4.%5.%6."/>
      <w:lvlJc w:val="left"/>
      <w:pPr>
        <w:ind w:left="1620" w:hanging="720"/>
      </w:pPr>
      <w:rPr>
        <w:rFonts w:hint="default"/>
      </w:rPr>
    </w:lvl>
    <w:lvl w:ilvl="6">
      <w:start w:val="1"/>
      <w:numFmt w:val="decimal"/>
      <w:isLgl/>
      <w:lvlText w:val="%1.%2.%3.%4.%5.%6.%7."/>
      <w:lvlJc w:val="left"/>
      <w:pPr>
        <w:ind w:left="1980" w:hanging="1080"/>
      </w:pPr>
      <w:rPr>
        <w:rFonts w:hint="default"/>
      </w:rPr>
    </w:lvl>
    <w:lvl w:ilvl="7">
      <w:start w:val="1"/>
      <w:numFmt w:val="decimal"/>
      <w:isLgl/>
      <w:lvlText w:val="%1.%2.%3.%4.%5.%6.%7.%8."/>
      <w:lvlJc w:val="left"/>
      <w:pPr>
        <w:ind w:left="1980" w:hanging="1080"/>
      </w:pPr>
      <w:rPr>
        <w:rFonts w:hint="default"/>
      </w:rPr>
    </w:lvl>
    <w:lvl w:ilvl="8">
      <w:start w:val="1"/>
      <w:numFmt w:val="decimal"/>
      <w:isLgl/>
      <w:lvlText w:val="%1.%2.%3.%4.%5.%6.%7.%8.%9."/>
      <w:lvlJc w:val="left"/>
      <w:pPr>
        <w:ind w:left="1980" w:hanging="1080"/>
      </w:pPr>
      <w:rPr>
        <w:rFonts w:hint="default"/>
      </w:rPr>
    </w:lvl>
  </w:abstractNum>
  <w:abstractNum w:abstractNumId="22" w15:restartNumberingAfterBreak="0">
    <w:nsid w:val="39CF0082"/>
    <w:multiLevelType w:val="hybridMultilevel"/>
    <w:tmpl w:val="58C04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EC6FD0"/>
    <w:multiLevelType w:val="multilevel"/>
    <w:tmpl w:val="822C67DC"/>
    <w:lvl w:ilvl="0">
      <w:start w:val="1"/>
      <w:numFmt w:val="bullet"/>
      <w:lvlText w:val=""/>
      <w:lvlJc w:val="left"/>
      <w:pPr>
        <w:tabs>
          <w:tab w:val="num" w:pos="570"/>
        </w:tabs>
        <w:ind w:left="570" w:hanging="570"/>
      </w:pPr>
      <w:rPr>
        <w:rFonts w:ascii="Symbol" w:hAnsi="Symbol" w:hint="default"/>
        <w:sz w:val="20"/>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24" w15:restartNumberingAfterBreak="0">
    <w:nsid w:val="3EEC19D8"/>
    <w:multiLevelType w:val="hybridMultilevel"/>
    <w:tmpl w:val="B47EC620"/>
    <w:lvl w:ilvl="0" w:tplc="3E5844CC">
      <w:start w:val="1"/>
      <w:numFmt w:val="lowerLetter"/>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5" w15:restartNumberingAfterBreak="0">
    <w:nsid w:val="42160598"/>
    <w:multiLevelType w:val="hybridMultilevel"/>
    <w:tmpl w:val="A404D00E"/>
    <w:lvl w:ilvl="0" w:tplc="FFFFFFFF">
      <w:start w:val="1"/>
      <w:numFmt w:val="decimal"/>
      <w:lvlText w:val="%1."/>
      <w:lvlJc w:val="left"/>
      <w:pPr>
        <w:ind w:left="720" w:hanging="360"/>
      </w:pPr>
      <w:rPr>
        <w:rFonts w:ascii="Times New Roman" w:hAnsi="Times New Roman" w:cs="Times New Roman" w:hint="default"/>
        <w:b w:val="0"/>
        <w:bCs w:val="0"/>
        <w:color w:val="auto"/>
      </w:rPr>
    </w:lvl>
    <w:lvl w:ilvl="1" w:tplc="FFFFFFFF">
      <w:start w:val="1"/>
      <w:numFmt w:val="lowerLetter"/>
      <w:lvlText w:val="%2."/>
      <w:lvlJc w:val="left"/>
      <w:pPr>
        <w:ind w:left="1440" w:hanging="360"/>
      </w:pPr>
    </w:lvl>
    <w:lvl w:ilvl="2" w:tplc="FFFFFFFF">
      <w:start w:val="1"/>
      <w:numFmt w:val="decimal"/>
      <w:lvlText w:val="%3."/>
      <w:lvlJc w:val="left"/>
      <w:pPr>
        <w:ind w:left="27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321077D"/>
    <w:multiLevelType w:val="hybridMultilevel"/>
    <w:tmpl w:val="FE36E9C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7" w15:restartNumberingAfterBreak="0">
    <w:nsid w:val="461C75DB"/>
    <w:multiLevelType w:val="hybridMultilevel"/>
    <w:tmpl w:val="CCDED580"/>
    <w:lvl w:ilvl="0" w:tplc="C4127B66">
      <w:start w:val="1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1850"/>
        </w:tabs>
        <w:ind w:left="185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465865D2"/>
    <w:multiLevelType w:val="hybridMultilevel"/>
    <w:tmpl w:val="E4C02DEE"/>
    <w:lvl w:ilvl="0" w:tplc="29EA673A">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9405026"/>
    <w:multiLevelType w:val="hybridMultilevel"/>
    <w:tmpl w:val="FBA6D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AD222C4"/>
    <w:multiLevelType w:val="multilevel"/>
    <w:tmpl w:val="EFD8F9FA"/>
    <w:lvl w:ilvl="0">
      <w:start w:val="1"/>
      <w:numFmt w:val="bullet"/>
      <w:lvlText w:val=""/>
      <w:lvlJc w:val="left"/>
      <w:pPr>
        <w:tabs>
          <w:tab w:val="num" w:pos="570"/>
        </w:tabs>
        <w:ind w:left="570" w:hanging="570"/>
      </w:pPr>
      <w:rPr>
        <w:rFonts w:ascii="Symbol" w:hAnsi="Symbol"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4BE85B6D"/>
    <w:multiLevelType w:val="hybridMultilevel"/>
    <w:tmpl w:val="4CD84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525E90"/>
    <w:multiLevelType w:val="hybridMultilevel"/>
    <w:tmpl w:val="010A180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4" w15:restartNumberingAfterBreak="0">
    <w:nsid w:val="4EA02372"/>
    <w:multiLevelType w:val="hybridMultilevel"/>
    <w:tmpl w:val="B6349452"/>
    <w:lvl w:ilvl="0" w:tplc="9EA0D570">
      <w:start w:val="1"/>
      <w:numFmt w:val="lowerLetter"/>
      <w:lvlText w:val="(%1)"/>
      <w:lvlJc w:val="left"/>
      <w:pPr>
        <w:ind w:left="1627"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0627CB3"/>
    <w:multiLevelType w:val="hybridMultilevel"/>
    <w:tmpl w:val="A404D00E"/>
    <w:lvl w:ilvl="0" w:tplc="FFFFFFFF">
      <w:start w:val="1"/>
      <w:numFmt w:val="decimal"/>
      <w:lvlText w:val="%1."/>
      <w:lvlJc w:val="left"/>
      <w:pPr>
        <w:ind w:left="720" w:hanging="360"/>
      </w:pPr>
      <w:rPr>
        <w:rFonts w:ascii="Times New Roman" w:hAnsi="Times New Roman" w:cs="Times New Roman" w:hint="default"/>
        <w:b w:val="0"/>
        <w:bCs w:val="0"/>
        <w:color w:val="auto"/>
      </w:rPr>
    </w:lvl>
    <w:lvl w:ilvl="1" w:tplc="FFFFFFFF">
      <w:start w:val="1"/>
      <w:numFmt w:val="lowerLetter"/>
      <w:lvlText w:val="%2."/>
      <w:lvlJc w:val="left"/>
      <w:pPr>
        <w:ind w:left="1440" w:hanging="360"/>
      </w:pPr>
    </w:lvl>
    <w:lvl w:ilvl="2" w:tplc="FFFFFFFF">
      <w:start w:val="1"/>
      <w:numFmt w:val="decimal"/>
      <w:lvlText w:val="%3."/>
      <w:lvlJc w:val="left"/>
      <w:pPr>
        <w:ind w:left="27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63745FD"/>
    <w:multiLevelType w:val="hybridMultilevel"/>
    <w:tmpl w:val="3DE26EA2"/>
    <w:lvl w:ilvl="0" w:tplc="04090001">
      <w:start w:val="1"/>
      <w:numFmt w:val="bullet"/>
      <w:lvlText w:val=""/>
      <w:lvlJc w:val="left"/>
      <w:pPr>
        <w:ind w:left="360" w:hanging="360"/>
      </w:pPr>
      <w:rPr>
        <w:rFonts w:ascii="Symbol" w:hAnsi="Symbol" w:hint="default"/>
      </w:rPr>
    </w:lvl>
    <w:lvl w:ilvl="1" w:tplc="C5562588">
      <w:numFmt w:val="bullet"/>
      <w:lvlText w:val="•"/>
      <w:lvlJc w:val="left"/>
      <w:pPr>
        <w:ind w:left="1440" w:hanging="72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68F73E7"/>
    <w:multiLevelType w:val="hybridMultilevel"/>
    <w:tmpl w:val="4B940078"/>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38" w15:restartNumberingAfterBreak="0">
    <w:nsid w:val="58D10498"/>
    <w:multiLevelType w:val="hybridMultilevel"/>
    <w:tmpl w:val="DDEC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596F0F"/>
    <w:multiLevelType w:val="hybridMultilevel"/>
    <w:tmpl w:val="B2FAB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F806982"/>
    <w:multiLevelType w:val="multilevel"/>
    <w:tmpl w:val="05ACE57A"/>
    <w:lvl w:ilvl="0">
      <w:numFmt w:val="bullet"/>
      <w:lvlText w:val="-"/>
      <w:lvlJc w:val="left"/>
      <w:pPr>
        <w:tabs>
          <w:tab w:val="num" w:pos="360"/>
        </w:tabs>
        <w:ind w:left="360" w:hanging="360"/>
      </w:pPr>
      <w:rPr>
        <w:rFonts w:ascii="Times New Roman" w:eastAsia="Times New Roman" w:hAnsi="Times New Roman"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41" w15:restartNumberingAfterBreak="0">
    <w:nsid w:val="620E7A4F"/>
    <w:multiLevelType w:val="hybridMultilevel"/>
    <w:tmpl w:val="80665A54"/>
    <w:lvl w:ilvl="0" w:tplc="1A9E85CC">
      <w:start w:val="1"/>
      <w:numFmt w:val="upperRoman"/>
      <w:lvlText w:val="%1."/>
      <w:lvlJc w:val="left"/>
      <w:pPr>
        <w:ind w:left="1620" w:hanging="720"/>
      </w:pPr>
      <w:rPr>
        <w:rFonts w:hint="default"/>
        <w:b/>
        <w:color w:val="000000"/>
        <w:sz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2" w15:restartNumberingAfterBreak="0">
    <w:nsid w:val="63B011A5"/>
    <w:multiLevelType w:val="hybridMultilevel"/>
    <w:tmpl w:val="1068DE6A"/>
    <w:lvl w:ilvl="0" w:tplc="3E5844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647651CD"/>
    <w:multiLevelType w:val="hybridMultilevel"/>
    <w:tmpl w:val="B9A6A524"/>
    <w:lvl w:ilvl="0" w:tplc="04360001">
      <w:start w:val="1"/>
      <w:numFmt w:val="bullet"/>
      <w:lvlText w:val=""/>
      <w:lvlJc w:val="left"/>
      <w:pPr>
        <w:ind w:left="360" w:hanging="360"/>
      </w:pPr>
      <w:rPr>
        <w:rFonts w:ascii="Symbol" w:hAnsi="Symbol" w:hint="default"/>
      </w:rPr>
    </w:lvl>
    <w:lvl w:ilvl="1" w:tplc="04360003" w:tentative="1">
      <w:start w:val="1"/>
      <w:numFmt w:val="bullet"/>
      <w:lvlText w:val="o"/>
      <w:lvlJc w:val="left"/>
      <w:pPr>
        <w:ind w:left="1080" w:hanging="360"/>
      </w:pPr>
      <w:rPr>
        <w:rFonts w:ascii="Courier New" w:hAnsi="Courier New" w:cs="Courier New" w:hint="default"/>
      </w:rPr>
    </w:lvl>
    <w:lvl w:ilvl="2" w:tplc="04360005" w:tentative="1">
      <w:start w:val="1"/>
      <w:numFmt w:val="bullet"/>
      <w:lvlText w:val=""/>
      <w:lvlJc w:val="left"/>
      <w:pPr>
        <w:ind w:left="1800" w:hanging="360"/>
      </w:pPr>
      <w:rPr>
        <w:rFonts w:ascii="Wingdings" w:hAnsi="Wingdings" w:hint="default"/>
      </w:rPr>
    </w:lvl>
    <w:lvl w:ilvl="3" w:tplc="04360001" w:tentative="1">
      <w:start w:val="1"/>
      <w:numFmt w:val="bullet"/>
      <w:lvlText w:val=""/>
      <w:lvlJc w:val="left"/>
      <w:pPr>
        <w:ind w:left="2520" w:hanging="360"/>
      </w:pPr>
      <w:rPr>
        <w:rFonts w:ascii="Symbol" w:hAnsi="Symbol" w:hint="default"/>
      </w:rPr>
    </w:lvl>
    <w:lvl w:ilvl="4" w:tplc="04360003" w:tentative="1">
      <w:start w:val="1"/>
      <w:numFmt w:val="bullet"/>
      <w:lvlText w:val="o"/>
      <w:lvlJc w:val="left"/>
      <w:pPr>
        <w:ind w:left="3240" w:hanging="360"/>
      </w:pPr>
      <w:rPr>
        <w:rFonts w:ascii="Courier New" w:hAnsi="Courier New" w:cs="Courier New" w:hint="default"/>
      </w:rPr>
    </w:lvl>
    <w:lvl w:ilvl="5" w:tplc="04360005" w:tentative="1">
      <w:start w:val="1"/>
      <w:numFmt w:val="bullet"/>
      <w:lvlText w:val=""/>
      <w:lvlJc w:val="left"/>
      <w:pPr>
        <w:ind w:left="3960" w:hanging="360"/>
      </w:pPr>
      <w:rPr>
        <w:rFonts w:ascii="Wingdings" w:hAnsi="Wingdings" w:hint="default"/>
      </w:rPr>
    </w:lvl>
    <w:lvl w:ilvl="6" w:tplc="04360001" w:tentative="1">
      <w:start w:val="1"/>
      <w:numFmt w:val="bullet"/>
      <w:lvlText w:val=""/>
      <w:lvlJc w:val="left"/>
      <w:pPr>
        <w:ind w:left="4680" w:hanging="360"/>
      </w:pPr>
      <w:rPr>
        <w:rFonts w:ascii="Symbol" w:hAnsi="Symbol" w:hint="default"/>
      </w:rPr>
    </w:lvl>
    <w:lvl w:ilvl="7" w:tplc="04360003" w:tentative="1">
      <w:start w:val="1"/>
      <w:numFmt w:val="bullet"/>
      <w:lvlText w:val="o"/>
      <w:lvlJc w:val="left"/>
      <w:pPr>
        <w:ind w:left="5400" w:hanging="360"/>
      </w:pPr>
      <w:rPr>
        <w:rFonts w:ascii="Courier New" w:hAnsi="Courier New" w:cs="Courier New" w:hint="default"/>
      </w:rPr>
    </w:lvl>
    <w:lvl w:ilvl="8" w:tplc="04360005" w:tentative="1">
      <w:start w:val="1"/>
      <w:numFmt w:val="bullet"/>
      <w:lvlText w:val=""/>
      <w:lvlJc w:val="left"/>
      <w:pPr>
        <w:ind w:left="6120" w:hanging="360"/>
      </w:pPr>
      <w:rPr>
        <w:rFonts w:ascii="Wingdings" w:hAnsi="Wingdings" w:hint="default"/>
      </w:rPr>
    </w:lvl>
  </w:abstractNum>
  <w:abstractNum w:abstractNumId="44" w15:restartNumberingAfterBreak="0">
    <w:nsid w:val="64B66A6F"/>
    <w:multiLevelType w:val="hybridMultilevel"/>
    <w:tmpl w:val="0220F42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5" w15:restartNumberingAfterBreak="0">
    <w:nsid w:val="66D543BB"/>
    <w:multiLevelType w:val="hybridMultilevel"/>
    <w:tmpl w:val="1D140CAE"/>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46" w15:restartNumberingAfterBreak="0">
    <w:nsid w:val="674D489E"/>
    <w:multiLevelType w:val="multilevel"/>
    <w:tmpl w:val="3D64868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15:restartNumberingAfterBreak="0">
    <w:nsid w:val="6776672A"/>
    <w:multiLevelType w:val="hybridMultilevel"/>
    <w:tmpl w:val="818A1710"/>
    <w:lvl w:ilvl="0" w:tplc="D27681EA">
      <w:start w:val="1"/>
      <w:numFmt w:val="lowerLetter"/>
      <w:lvlText w:val="(%1)"/>
      <w:lvlJc w:val="left"/>
      <w:pPr>
        <w:ind w:left="1620" w:hanging="360"/>
      </w:pPr>
      <w:rPr>
        <w:rFonts w:ascii="Times New Roman" w:hAnsi="Times New Roman" w:hint="default"/>
        <w:b w:val="0"/>
        <w:i w:val="0"/>
        <w:sz w:val="20"/>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48" w15:restartNumberingAfterBreak="0">
    <w:nsid w:val="69AF3049"/>
    <w:multiLevelType w:val="hybridMultilevel"/>
    <w:tmpl w:val="9F285E64"/>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49" w15:restartNumberingAfterBreak="0">
    <w:nsid w:val="6AD2356B"/>
    <w:multiLevelType w:val="hybridMultilevel"/>
    <w:tmpl w:val="0DACEC5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0" w15:restartNumberingAfterBreak="0">
    <w:nsid w:val="6D5A6283"/>
    <w:multiLevelType w:val="multilevel"/>
    <w:tmpl w:val="19982EC8"/>
    <w:lvl w:ilvl="0">
      <w:start w:val="1"/>
      <w:numFmt w:val="bullet"/>
      <w:lvlText w:val="o"/>
      <w:lvlJc w:val="left"/>
      <w:pPr>
        <w:tabs>
          <w:tab w:val="num" w:pos="1140"/>
        </w:tabs>
        <w:ind w:left="1140" w:hanging="570"/>
      </w:pPr>
      <w:rPr>
        <w:rFonts w:ascii="Courier New" w:hAnsi="Courier New" w:cs="Courier New" w:hint="default"/>
        <w:sz w:val="20"/>
      </w:rPr>
    </w:lvl>
    <w:lvl w:ilvl="1">
      <w:start w:val="1"/>
      <w:numFmt w:val="bullet"/>
      <w:lvlText w:val=""/>
      <w:lvlJc w:val="left"/>
      <w:pPr>
        <w:tabs>
          <w:tab w:val="num" w:pos="1140"/>
        </w:tabs>
        <w:ind w:left="1140" w:hanging="570"/>
      </w:pPr>
      <w:rPr>
        <w:rFonts w:ascii="Symbol" w:hAnsi="Symbol" w:hint="default"/>
      </w:rPr>
    </w:lvl>
    <w:lvl w:ilvl="2">
      <w:start w:val="1"/>
      <w:numFmt w:val="decimal"/>
      <w:lvlText w:val="%1.%2.%3"/>
      <w:lvlJc w:val="left"/>
      <w:pPr>
        <w:tabs>
          <w:tab w:val="num" w:pos="1290"/>
        </w:tabs>
        <w:ind w:left="1290" w:hanging="720"/>
      </w:pPr>
      <w:rPr>
        <w:rFonts w:hint="default"/>
        <w:sz w:val="20"/>
      </w:rPr>
    </w:lvl>
    <w:lvl w:ilvl="3">
      <w:start w:val="1"/>
      <w:numFmt w:val="decimal"/>
      <w:lvlText w:val="%1.%2.%3.%4"/>
      <w:lvlJc w:val="left"/>
      <w:pPr>
        <w:tabs>
          <w:tab w:val="num" w:pos="1290"/>
        </w:tabs>
        <w:ind w:left="1290" w:hanging="720"/>
      </w:pPr>
      <w:rPr>
        <w:rFonts w:hint="default"/>
        <w:sz w:val="20"/>
      </w:rPr>
    </w:lvl>
    <w:lvl w:ilvl="4">
      <w:start w:val="1"/>
      <w:numFmt w:val="decimal"/>
      <w:lvlText w:val="%1.%2.%3.%4.%5"/>
      <w:lvlJc w:val="left"/>
      <w:pPr>
        <w:tabs>
          <w:tab w:val="num" w:pos="1650"/>
        </w:tabs>
        <w:ind w:left="1650" w:hanging="1080"/>
      </w:pPr>
      <w:rPr>
        <w:rFonts w:hint="default"/>
        <w:sz w:val="20"/>
      </w:rPr>
    </w:lvl>
    <w:lvl w:ilvl="5">
      <w:start w:val="1"/>
      <w:numFmt w:val="decimal"/>
      <w:lvlText w:val="%1.%2.%3.%4.%5.%6"/>
      <w:lvlJc w:val="left"/>
      <w:pPr>
        <w:tabs>
          <w:tab w:val="num" w:pos="1650"/>
        </w:tabs>
        <w:ind w:left="1650" w:hanging="1080"/>
      </w:pPr>
      <w:rPr>
        <w:rFonts w:hint="default"/>
        <w:sz w:val="20"/>
      </w:rPr>
    </w:lvl>
    <w:lvl w:ilvl="6">
      <w:start w:val="1"/>
      <w:numFmt w:val="decimal"/>
      <w:lvlText w:val="%1.%2.%3.%4.%5.%6.%7"/>
      <w:lvlJc w:val="left"/>
      <w:pPr>
        <w:tabs>
          <w:tab w:val="num" w:pos="2010"/>
        </w:tabs>
        <w:ind w:left="2010" w:hanging="1440"/>
      </w:pPr>
      <w:rPr>
        <w:rFonts w:hint="default"/>
        <w:sz w:val="20"/>
      </w:rPr>
    </w:lvl>
    <w:lvl w:ilvl="7">
      <w:start w:val="1"/>
      <w:numFmt w:val="decimal"/>
      <w:lvlText w:val="%1.%2.%3.%4.%5.%6.%7.%8"/>
      <w:lvlJc w:val="left"/>
      <w:pPr>
        <w:tabs>
          <w:tab w:val="num" w:pos="2010"/>
        </w:tabs>
        <w:ind w:left="2010" w:hanging="1440"/>
      </w:pPr>
      <w:rPr>
        <w:rFonts w:hint="default"/>
        <w:sz w:val="20"/>
      </w:rPr>
    </w:lvl>
    <w:lvl w:ilvl="8">
      <w:start w:val="1"/>
      <w:numFmt w:val="decimal"/>
      <w:lvlText w:val="%1.%2.%3.%4.%5.%6.%7.%8.%9"/>
      <w:lvlJc w:val="left"/>
      <w:pPr>
        <w:tabs>
          <w:tab w:val="num" w:pos="2010"/>
        </w:tabs>
        <w:ind w:left="2010" w:hanging="1440"/>
      </w:pPr>
      <w:rPr>
        <w:rFonts w:hint="default"/>
        <w:sz w:val="20"/>
      </w:rPr>
    </w:lvl>
  </w:abstractNum>
  <w:abstractNum w:abstractNumId="51" w15:restartNumberingAfterBreak="0">
    <w:nsid w:val="70D73FD3"/>
    <w:multiLevelType w:val="hybridMultilevel"/>
    <w:tmpl w:val="894A85A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1FB06B2"/>
    <w:multiLevelType w:val="hybridMultilevel"/>
    <w:tmpl w:val="115C3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24F1A2D"/>
    <w:multiLevelType w:val="hybridMultilevel"/>
    <w:tmpl w:val="54F466F0"/>
    <w:lvl w:ilvl="0" w:tplc="C4EC346A">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73294488"/>
    <w:multiLevelType w:val="hybridMultilevel"/>
    <w:tmpl w:val="8D52E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320368"/>
    <w:multiLevelType w:val="multilevel"/>
    <w:tmpl w:val="C5FAB306"/>
    <w:lvl w:ilvl="0">
      <w:start w:val="9"/>
      <w:numFmt w:val="decimal"/>
      <w:lvlText w:val="%1"/>
      <w:lvlJc w:val="left"/>
      <w:pPr>
        <w:tabs>
          <w:tab w:val="num" w:pos="570"/>
        </w:tabs>
        <w:ind w:left="570" w:hanging="570"/>
      </w:pPr>
      <w:rPr>
        <w:rFonts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6" w15:restartNumberingAfterBreak="0">
    <w:nsid w:val="7B4F67B9"/>
    <w:multiLevelType w:val="multilevel"/>
    <w:tmpl w:val="FD24DCD6"/>
    <w:lvl w:ilvl="0">
      <w:start w:val="8"/>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7" w15:restartNumberingAfterBreak="0">
    <w:nsid w:val="7E5E298B"/>
    <w:multiLevelType w:val="hybridMultilevel"/>
    <w:tmpl w:val="0BD8A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8583897">
    <w:abstractNumId w:val="24"/>
  </w:num>
  <w:num w:numId="2" w16cid:durableId="2065179990">
    <w:abstractNumId w:val="42"/>
  </w:num>
  <w:num w:numId="3" w16cid:durableId="594946374">
    <w:abstractNumId w:val="34"/>
  </w:num>
  <w:num w:numId="4" w16cid:durableId="1442452478">
    <w:abstractNumId w:val="47"/>
  </w:num>
  <w:num w:numId="5" w16cid:durableId="1403066092">
    <w:abstractNumId w:val="36"/>
  </w:num>
  <w:num w:numId="6" w16cid:durableId="749734039">
    <w:abstractNumId w:val="1"/>
  </w:num>
  <w:num w:numId="7" w16cid:durableId="1449004889">
    <w:abstractNumId w:val="20"/>
  </w:num>
  <w:num w:numId="8" w16cid:durableId="930813721">
    <w:abstractNumId w:val="43"/>
  </w:num>
  <w:num w:numId="9" w16cid:durableId="1837915182">
    <w:abstractNumId w:val="56"/>
  </w:num>
  <w:num w:numId="10" w16cid:durableId="508718485">
    <w:abstractNumId w:val="46"/>
  </w:num>
  <w:num w:numId="11" w16cid:durableId="803817516">
    <w:abstractNumId w:val="55"/>
  </w:num>
  <w:num w:numId="12" w16cid:durableId="255402164">
    <w:abstractNumId w:val="31"/>
  </w:num>
  <w:num w:numId="13" w16cid:durableId="1219823831">
    <w:abstractNumId w:val="9"/>
  </w:num>
  <w:num w:numId="14" w16cid:durableId="992489688">
    <w:abstractNumId w:val="19"/>
  </w:num>
  <w:num w:numId="15" w16cid:durableId="281112310">
    <w:abstractNumId w:val="50"/>
  </w:num>
  <w:num w:numId="16" w16cid:durableId="663512979">
    <w:abstractNumId w:val="12"/>
  </w:num>
  <w:num w:numId="17" w16cid:durableId="243222260">
    <w:abstractNumId w:val="16"/>
  </w:num>
  <w:num w:numId="18" w16cid:durableId="1932663131">
    <w:abstractNumId w:val="23"/>
  </w:num>
  <w:num w:numId="19" w16cid:durableId="695231806">
    <w:abstractNumId w:val="53"/>
  </w:num>
  <w:num w:numId="20" w16cid:durableId="504396762">
    <w:abstractNumId w:val="11"/>
  </w:num>
  <w:num w:numId="21" w16cid:durableId="607932113">
    <w:abstractNumId w:val="10"/>
  </w:num>
  <w:num w:numId="22" w16cid:durableId="546181340">
    <w:abstractNumId w:val="51"/>
  </w:num>
  <w:num w:numId="23" w16cid:durableId="1586693980">
    <w:abstractNumId w:val="18"/>
  </w:num>
  <w:num w:numId="24" w16cid:durableId="1479571592">
    <w:abstractNumId w:val="4"/>
  </w:num>
  <w:num w:numId="25" w16cid:durableId="284313853">
    <w:abstractNumId w:val="48"/>
  </w:num>
  <w:num w:numId="26" w16cid:durableId="181551528">
    <w:abstractNumId w:val="45"/>
  </w:num>
  <w:num w:numId="27" w16cid:durableId="100148387">
    <w:abstractNumId w:val="39"/>
  </w:num>
  <w:num w:numId="28" w16cid:durableId="817917487">
    <w:abstractNumId w:val="2"/>
  </w:num>
  <w:num w:numId="29" w16cid:durableId="1728186620">
    <w:abstractNumId w:val="32"/>
  </w:num>
  <w:num w:numId="30" w16cid:durableId="1806121936">
    <w:abstractNumId w:val="38"/>
  </w:num>
  <w:num w:numId="31" w16cid:durableId="1572622591">
    <w:abstractNumId w:val="15"/>
  </w:num>
  <w:num w:numId="32" w16cid:durableId="77944122">
    <w:abstractNumId w:val="5"/>
  </w:num>
  <w:num w:numId="33" w16cid:durableId="582030835">
    <w:abstractNumId w:val="29"/>
  </w:num>
  <w:num w:numId="34" w16cid:durableId="79687506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20206162">
    <w:abstractNumId w:val="27"/>
  </w:num>
  <w:num w:numId="36" w16cid:durableId="1894921893">
    <w:abstractNumId w:val="7"/>
  </w:num>
  <w:num w:numId="37" w16cid:durableId="1040284448">
    <w:abstractNumId w:val="37"/>
  </w:num>
  <w:num w:numId="38" w16cid:durableId="1049718564">
    <w:abstractNumId w:val="14"/>
  </w:num>
  <w:num w:numId="39" w16cid:durableId="358817409">
    <w:abstractNumId w:val="3"/>
  </w:num>
  <w:num w:numId="40" w16cid:durableId="2032149131">
    <w:abstractNumId w:val="26"/>
  </w:num>
  <w:num w:numId="41" w16cid:durableId="1623725175">
    <w:abstractNumId w:val="6"/>
  </w:num>
  <w:num w:numId="42" w16cid:durableId="607471133">
    <w:abstractNumId w:val="22"/>
  </w:num>
  <w:num w:numId="43" w16cid:durableId="2000038569">
    <w:abstractNumId w:val="49"/>
  </w:num>
  <w:num w:numId="44" w16cid:durableId="947738272">
    <w:abstractNumId w:val="44"/>
  </w:num>
  <w:num w:numId="45" w16cid:durableId="441268402">
    <w:abstractNumId w:val="33"/>
  </w:num>
  <w:num w:numId="46" w16cid:durableId="728462544">
    <w:abstractNumId w:val="52"/>
  </w:num>
  <w:num w:numId="47" w16cid:durableId="1783063829">
    <w:abstractNumId w:val="54"/>
  </w:num>
  <w:num w:numId="48" w16cid:durableId="1681159384">
    <w:abstractNumId w:val="57"/>
  </w:num>
  <w:num w:numId="49" w16cid:durableId="175924997">
    <w:abstractNumId w:val="8"/>
  </w:num>
  <w:num w:numId="50" w16cid:durableId="1776291250">
    <w:abstractNumId w:val="0"/>
  </w:num>
  <w:num w:numId="51" w16cid:durableId="1838770055">
    <w:abstractNumId w:val="25"/>
  </w:num>
  <w:num w:numId="52" w16cid:durableId="738866132">
    <w:abstractNumId w:val="17"/>
  </w:num>
  <w:num w:numId="53" w16cid:durableId="1366522211">
    <w:abstractNumId w:val="35"/>
  </w:num>
  <w:num w:numId="54" w16cid:durableId="309527827">
    <w:abstractNumId w:val="13"/>
  </w:num>
  <w:num w:numId="55" w16cid:durableId="1756514684">
    <w:abstractNumId w:val="41"/>
  </w:num>
  <w:num w:numId="56" w16cid:durableId="339048504">
    <w:abstractNumId w:val="28"/>
  </w:num>
  <w:num w:numId="57" w16cid:durableId="1910923191">
    <w:abstractNumId w:val="21"/>
  </w:num>
  <w:num w:numId="58" w16cid:durableId="295987585">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53B"/>
    <w:rsid w:val="000010B5"/>
    <w:rsid w:val="0000185A"/>
    <w:rsid w:val="000027D2"/>
    <w:rsid w:val="0000312F"/>
    <w:rsid w:val="00003B30"/>
    <w:rsid w:val="00003E8B"/>
    <w:rsid w:val="00005E26"/>
    <w:rsid w:val="00006E59"/>
    <w:rsid w:val="0000704F"/>
    <w:rsid w:val="00012E88"/>
    <w:rsid w:val="0001309E"/>
    <w:rsid w:val="00013410"/>
    <w:rsid w:val="00013BF7"/>
    <w:rsid w:val="00013F42"/>
    <w:rsid w:val="000144A0"/>
    <w:rsid w:val="000153EB"/>
    <w:rsid w:val="00015875"/>
    <w:rsid w:val="00015FDE"/>
    <w:rsid w:val="00016217"/>
    <w:rsid w:val="00016861"/>
    <w:rsid w:val="00017D05"/>
    <w:rsid w:val="000200CF"/>
    <w:rsid w:val="000205F1"/>
    <w:rsid w:val="00022047"/>
    <w:rsid w:val="00023A8F"/>
    <w:rsid w:val="00023AEE"/>
    <w:rsid w:val="000274B9"/>
    <w:rsid w:val="0002758B"/>
    <w:rsid w:val="000276A0"/>
    <w:rsid w:val="00031B92"/>
    <w:rsid w:val="00031E57"/>
    <w:rsid w:val="0003257C"/>
    <w:rsid w:val="000330DB"/>
    <w:rsid w:val="0003429F"/>
    <w:rsid w:val="00034740"/>
    <w:rsid w:val="0003562A"/>
    <w:rsid w:val="00036095"/>
    <w:rsid w:val="000367E0"/>
    <w:rsid w:val="00036AF4"/>
    <w:rsid w:val="000372D6"/>
    <w:rsid w:val="00041C10"/>
    <w:rsid w:val="0004202A"/>
    <w:rsid w:val="00043804"/>
    <w:rsid w:val="000441A1"/>
    <w:rsid w:val="00044448"/>
    <w:rsid w:val="000449B5"/>
    <w:rsid w:val="0004508F"/>
    <w:rsid w:val="00050869"/>
    <w:rsid w:val="00051E3C"/>
    <w:rsid w:val="00055596"/>
    <w:rsid w:val="00056014"/>
    <w:rsid w:val="000561C1"/>
    <w:rsid w:val="00056204"/>
    <w:rsid w:val="00056D08"/>
    <w:rsid w:val="000570D1"/>
    <w:rsid w:val="000571A9"/>
    <w:rsid w:val="00057482"/>
    <w:rsid w:val="00060243"/>
    <w:rsid w:val="00060290"/>
    <w:rsid w:val="000611AB"/>
    <w:rsid w:val="00062788"/>
    <w:rsid w:val="00063E24"/>
    <w:rsid w:val="000652EB"/>
    <w:rsid w:val="000657A1"/>
    <w:rsid w:val="00067466"/>
    <w:rsid w:val="00072229"/>
    <w:rsid w:val="000728F8"/>
    <w:rsid w:val="00073CF1"/>
    <w:rsid w:val="00074BD0"/>
    <w:rsid w:val="00074D9A"/>
    <w:rsid w:val="00074DB9"/>
    <w:rsid w:val="000753C4"/>
    <w:rsid w:val="00075DF0"/>
    <w:rsid w:val="000762CA"/>
    <w:rsid w:val="00076CAA"/>
    <w:rsid w:val="000800C0"/>
    <w:rsid w:val="000803A4"/>
    <w:rsid w:val="000805AE"/>
    <w:rsid w:val="000806E3"/>
    <w:rsid w:val="00080805"/>
    <w:rsid w:val="00081604"/>
    <w:rsid w:val="00081E9F"/>
    <w:rsid w:val="0008339E"/>
    <w:rsid w:val="000852DC"/>
    <w:rsid w:val="000905D9"/>
    <w:rsid w:val="00090AD1"/>
    <w:rsid w:val="00090F4F"/>
    <w:rsid w:val="0009132A"/>
    <w:rsid w:val="00091476"/>
    <w:rsid w:val="00091984"/>
    <w:rsid w:val="00092879"/>
    <w:rsid w:val="00094E87"/>
    <w:rsid w:val="00095ACB"/>
    <w:rsid w:val="00097B45"/>
    <w:rsid w:val="00097FB2"/>
    <w:rsid w:val="000A0A05"/>
    <w:rsid w:val="000A151D"/>
    <w:rsid w:val="000A1826"/>
    <w:rsid w:val="000A1CA0"/>
    <w:rsid w:val="000A24C5"/>
    <w:rsid w:val="000A2967"/>
    <w:rsid w:val="000A2ABD"/>
    <w:rsid w:val="000A30A1"/>
    <w:rsid w:val="000A3683"/>
    <w:rsid w:val="000A3A38"/>
    <w:rsid w:val="000A3BEA"/>
    <w:rsid w:val="000A3F7F"/>
    <w:rsid w:val="000A47FD"/>
    <w:rsid w:val="000A5DFF"/>
    <w:rsid w:val="000A7192"/>
    <w:rsid w:val="000B0228"/>
    <w:rsid w:val="000B083D"/>
    <w:rsid w:val="000B2E16"/>
    <w:rsid w:val="000B3A13"/>
    <w:rsid w:val="000B3B8C"/>
    <w:rsid w:val="000B4BB2"/>
    <w:rsid w:val="000B6379"/>
    <w:rsid w:val="000B739B"/>
    <w:rsid w:val="000C1E8D"/>
    <w:rsid w:val="000C4202"/>
    <w:rsid w:val="000C4E54"/>
    <w:rsid w:val="000C58E0"/>
    <w:rsid w:val="000C76B0"/>
    <w:rsid w:val="000C7BBE"/>
    <w:rsid w:val="000D0A55"/>
    <w:rsid w:val="000D2475"/>
    <w:rsid w:val="000D442C"/>
    <w:rsid w:val="000D4DC4"/>
    <w:rsid w:val="000D7680"/>
    <w:rsid w:val="000E204A"/>
    <w:rsid w:val="000E2D77"/>
    <w:rsid w:val="000E3365"/>
    <w:rsid w:val="000E3B3C"/>
    <w:rsid w:val="000E55D6"/>
    <w:rsid w:val="000E5DE5"/>
    <w:rsid w:val="000E612D"/>
    <w:rsid w:val="000E6AB1"/>
    <w:rsid w:val="000E6CED"/>
    <w:rsid w:val="000E737D"/>
    <w:rsid w:val="000E745A"/>
    <w:rsid w:val="000E7A22"/>
    <w:rsid w:val="000E7E9E"/>
    <w:rsid w:val="000F0044"/>
    <w:rsid w:val="000F093A"/>
    <w:rsid w:val="000F0EFD"/>
    <w:rsid w:val="000F5541"/>
    <w:rsid w:val="000F57D4"/>
    <w:rsid w:val="000F703B"/>
    <w:rsid w:val="000F72ED"/>
    <w:rsid w:val="000F7A4C"/>
    <w:rsid w:val="001025A9"/>
    <w:rsid w:val="00103197"/>
    <w:rsid w:val="00103698"/>
    <w:rsid w:val="00103EA9"/>
    <w:rsid w:val="00106EF8"/>
    <w:rsid w:val="001079BC"/>
    <w:rsid w:val="001079CD"/>
    <w:rsid w:val="001101A2"/>
    <w:rsid w:val="00110B74"/>
    <w:rsid w:val="00111489"/>
    <w:rsid w:val="00111792"/>
    <w:rsid w:val="00111797"/>
    <w:rsid w:val="00111B19"/>
    <w:rsid w:val="00114A64"/>
    <w:rsid w:val="00115F59"/>
    <w:rsid w:val="00116C1A"/>
    <w:rsid w:val="00120A5D"/>
    <w:rsid w:val="00121554"/>
    <w:rsid w:val="00121F3E"/>
    <w:rsid w:val="0012229E"/>
    <w:rsid w:val="00123849"/>
    <w:rsid w:val="00123A5E"/>
    <w:rsid w:val="00125010"/>
    <w:rsid w:val="001251C8"/>
    <w:rsid w:val="00125266"/>
    <w:rsid w:val="00125B82"/>
    <w:rsid w:val="001305E6"/>
    <w:rsid w:val="001315CD"/>
    <w:rsid w:val="00131C8D"/>
    <w:rsid w:val="0013239A"/>
    <w:rsid w:val="00132AC0"/>
    <w:rsid w:val="00132B35"/>
    <w:rsid w:val="00132D93"/>
    <w:rsid w:val="001334D3"/>
    <w:rsid w:val="00133E55"/>
    <w:rsid w:val="00135E6E"/>
    <w:rsid w:val="00136ABC"/>
    <w:rsid w:val="0013761A"/>
    <w:rsid w:val="001379F1"/>
    <w:rsid w:val="0014350A"/>
    <w:rsid w:val="0014423A"/>
    <w:rsid w:val="00145CB0"/>
    <w:rsid w:val="00147042"/>
    <w:rsid w:val="001471A7"/>
    <w:rsid w:val="001506F6"/>
    <w:rsid w:val="001508E6"/>
    <w:rsid w:val="00154032"/>
    <w:rsid w:val="001547D3"/>
    <w:rsid w:val="0015573A"/>
    <w:rsid w:val="001557A9"/>
    <w:rsid w:val="001557F6"/>
    <w:rsid w:val="001559BD"/>
    <w:rsid w:val="00157297"/>
    <w:rsid w:val="00157F09"/>
    <w:rsid w:val="00157F79"/>
    <w:rsid w:val="00163240"/>
    <w:rsid w:val="00163E84"/>
    <w:rsid w:val="00165A12"/>
    <w:rsid w:val="001668AA"/>
    <w:rsid w:val="001675B1"/>
    <w:rsid w:val="0016789D"/>
    <w:rsid w:val="00167C87"/>
    <w:rsid w:val="00171F01"/>
    <w:rsid w:val="0017218A"/>
    <w:rsid w:val="00172EE3"/>
    <w:rsid w:val="0017349A"/>
    <w:rsid w:val="00174556"/>
    <w:rsid w:val="00174F19"/>
    <w:rsid w:val="00175746"/>
    <w:rsid w:val="00177804"/>
    <w:rsid w:val="00177E7E"/>
    <w:rsid w:val="00180BB5"/>
    <w:rsid w:val="00181544"/>
    <w:rsid w:val="0018356F"/>
    <w:rsid w:val="001843AD"/>
    <w:rsid w:val="001845F1"/>
    <w:rsid w:val="00184CBF"/>
    <w:rsid w:val="001874A7"/>
    <w:rsid w:val="001876C5"/>
    <w:rsid w:val="00187BA9"/>
    <w:rsid w:val="00187D68"/>
    <w:rsid w:val="00190155"/>
    <w:rsid w:val="001906B5"/>
    <w:rsid w:val="001913A7"/>
    <w:rsid w:val="00191FD7"/>
    <w:rsid w:val="00192198"/>
    <w:rsid w:val="00194163"/>
    <w:rsid w:val="00194359"/>
    <w:rsid w:val="00194881"/>
    <w:rsid w:val="00194FEB"/>
    <w:rsid w:val="001970A4"/>
    <w:rsid w:val="00197AD1"/>
    <w:rsid w:val="001A0EB8"/>
    <w:rsid w:val="001A17DA"/>
    <w:rsid w:val="001A24AE"/>
    <w:rsid w:val="001A31ED"/>
    <w:rsid w:val="001B0020"/>
    <w:rsid w:val="001B3F87"/>
    <w:rsid w:val="001B4026"/>
    <w:rsid w:val="001B56AD"/>
    <w:rsid w:val="001B571B"/>
    <w:rsid w:val="001B598C"/>
    <w:rsid w:val="001B6419"/>
    <w:rsid w:val="001B6A8B"/>
    <w:rsid w:val="001B6E76"/>
    <w:rsid w:val="001B76A6"/>
    <w:rsid w:val="001C07F8"/>
    <w:rsid w:val="001C1147"/>
    <w:rsid w:val="001C1BBD"/>
    <w:rsid w:val="001C2D7D"/>
    <w:rsid w:val="001C2F59"/>
    <w:rsid w:val="001C3155"/>
    <w:rsid w:val="001C3B6D"/>
    <w:rsid w:val="001C6C08"/>
    <w:rsid w:val="001D0646"/>
    <w:rsid w:val="001D12F4"/>
    <w:rsid w:val="001D1B55"/>
    <w:rsid w:val="001D2056"/>
    <w:rsid w:val="001D220F"/>
    <w:rsid w:val="001D42D1"/>
    <w:rsid w:val="001D547F"/>
    <w:rsid w:val="001D5B71"/>
    <w:rsid w:val="001D5D49"/>
    <w:rsid w:val="001D5F99"/>
    <w:rsid w:val="001D64E5"/>
    <w:rsid w:val="001D6634"/>
    <w:rsid w:val="001D6EB8"/>
    <w:rsid w:val="001E02F8"/>
    <w:rsid w:val="001E05EC"/>
    <w:rsid w:val="001E2165"/>
    <w:rsid w:val="001E25E9"/>
    <w:rsid w:val="001E2D18"/>
    <w:rsid w:val="001E3086"/>
    <w:rsid w:val="001E4028"/>
    <w:rsid w:val="001E4809"/>
    <w:rsid w:val="001E4F4F"/>
    <w:rsid w:val="001E538F"/>
    <w:rsid w:val="001E5847"/>
    <w:rsid w:val="001F1F06"/>
    <w:rsid w:val="001F27F4"/>
    <w:rsid w:val="001F3895"/>
    <w:rsid w:val="001F3DBB"/>
    <w:rsid w:val="001F3DC0"/>
    <w:rsid w:val="001F4871"/>
    <w:rsid w:val="001F4C5A"/>
    <w:rsid w:val="001F4EA9"/>
    <w:rsid w:val="001F4F73"/>
    <w:rsid w:val="001F6425"/>
    <w:rsid w:val="001F6772"/>
    <w:rsid w:val="001F7421"/>
    <w:rsid w:val="00200195"/>
    <w:rsid w:val="00200B5F"/>
    <w:rsid w:val="00201EEF"/>
    <w:rsid w:val="00202476"/>
    <w:rsid w:val="00202B58"/>
    <w:rsid w:val="002032DC"/>
    <w:rsid w:val="0020448C"/>
    <w:rsid w:val="002047C8"/>
    <w:rsid w:val="002052B3"/>
    <w:rsid w:val="00205453"/>
    <w:rsid w:val="002058F9"/>
    <w:rsid w:val="0020650A"/>
    <w:rsid w:val="0020799B"/>
    <w:rsid w:val="00207F32"/>
    <w:rsid w:val="00212B1F"/>
    <w:rsid w:val="00213340"/>
    <w:rsid w:val="00213D7C"/>
    <w:rsid w:val="00214513"/>
    <w:rsid w:val="00214EC6"/>
    <w:rsid w:val="002155B7"/>
    <w:rsid w:val="002156BB"/>
    <w:rsid w:val="00215F00"/>
    <w:rsid w:val="00216CE0"/>
    <w:rsid w:val="0021766A"/>
    <w:rsid w:val="00220C88"/>
    <w:rsid w:val="002225D3"/>
    <w:rsid w:val="00222A35"/>
    <w:rsid w:val="0022301D"/>
    <w:rsid w:val="002236F0"/>
    <w:rsid w:val="0022370D"/>
    <w:rsid w:val="00223F49"/>
    <w:rsid w:val="00224B2C"/>
    <w:rsid w:val="00226052"/>
    <w:rsid w:val="00226E3A"/>
    <w:rsid w:val="00226F3A"/>
    <w:rsid w:val="002272E2"/>
    <w:rsid w:val="00227E55"/>
    <w:rsid w:val="00232AA0"/>
    <w:rsid w:val="00232C75"/>
    <w:rsid w:val="00234CDF"/>
    <w:rsid w:val="00236B91"/>
    <w:rsid w:val="00236BF6"/>
    <w:rsid w:val="002373FC"/>
    <w:rsid w:val="002413D3"/>
    <w:rsid w:val="00241D6B"/>
    <w:rsid w:val="002424C0"/>
    <w:rsid w:val="00242617"/>
    <w:rsid w:val="00242A9A"/>
    <w:rsid w:val="00242CAA"/>
    <w:rsid w:val="0024503B"/>
    <w:rsid w:val="0024573D"/>
    <w:rsid w:val="00245D74"/>
    <w:rsid w:val="00246D03"/>
    <w:rsid w:val="00246DDF"/>
    <w:rsid w:val="002470FF"/>
    <w:rsid w:val="00247854"/>
    <w:rsid w:val="00254256"/>
    <w:rsid w:val="00257350"/>
    <w:rsid w:val="002573CC"/>
    <w:rsid w:val="00260FAA"/>
    <w:rsid w:val="00262338"/>
    <w:rsid w:val="00263694"/>
    <w:rsid w:val="00263938"/>
    <w:rsid w:val="002646D7"/>
    <w:rsid w:val="00264990"/>
    <w:rsid w:val="0026538D"/>
    <w:rsid w:val="002671D7"/>
    <w:rsid w:val="002719B6"/>
    <w:rsid w:val="0027259C"/>
    <w:rsid w:val="0027268F"/>
    <w:rsid w:val="00273122"/>
    <w:rsid w:val="00273543"/>
    <w:rsid w:val="00274C82"/>
    <w:rsid w:val="0027654D"/>
    <w:rsid w:val="00276B00"/>
    <w:rsid w:val="00277E29"/>
    <w:rsid w:val="002810DF"/>
    <w:rsid w:val="002812AB"/>
    <w:rsid w:val="002816D8"/>
    <w:rsid w:val="00281F8F"/>
    <w:rsid w:val="00282A8C"/>
    <w:rsid w:val="00284734"/>
    <w:rsid w:val="002854EE"/>
    <w:rsid w:val="0028565C"/>
    <w:rsid w:val="00286891"/>
    <w:rsid w:val="002875DE"/>
    <w:rsid w:val="00287914"/>
    <w:rsid w:val="00287E07"/>
    <w:rsid w:val="00290EB3"/>
    <w:rsid w:val="00292846"/>
    <w:rsid w:val="00292A90"/>
    <w:rsid w:val="0029458F"/>
    <w:rsid w:val="00294E89"/>
    <w:rsid w:val="002971D6"/>
    <w:rsid w:val="002A256A"/>
    <w:rsid w:val="002A26D9"/>
    <w:rsid w:val="002A2F08"/>
    <w:rsid w:val="002A3641"/>
    <w:rsid w:val="002A495F"/>
    <w:rsid w:val="002A4CE1"/>
    <w:rsid w:val="002A58D1"/>
    <w:rsid w:val="002A706F"/>
    <w:rsid w:val="002A70EA"/>
    <w:rsid w:val="002A7363"/>
    <w:rsid w:val="002A7F43"/>
    <w:rsid w:val="002B365E"/>
    <w:rsid w:val="002B3769"/>
    <w:rsid w:val="002B3E6C"/>
    <w:rsid w:val="002B489A"/>
    <w:rsid w:val="002B6341"/>
    <w:rsid w:val="002C031A"/>
    <w:rsid w:val="002C03C6"/>
    <w:rsid w:val="002C0526"/>
    <w:rsid w:val="002C27A8"/>
    <w:rsid w:val="002C333E"/>
    <w:rsid w:val="002C36C8"/>
    <w:rsid w:val="002C42E9"/>
    <w:rsid w:val="002C51A0"/>
    <w:rsid w:val="002C57E0"/>
    <w:rsid w:val="002C6093"/>
    <w:rsid w:val="002C641D"/>
    <w:rsid w:val="002C78BA"/>
    <w:rsid w:val="002C7971"/>
    <w:rsid w:val="002D0584"/>
    <w:rsid w:val="002D11D4"/>
    <w:rsid w:val="002D2A07"/>
    <w:rsid w:val="002D2E2A"/>
    <w:rsid w:val="002D4274"/>
    <w:rsid w:val="002D4F19"/>
    <w:rsid w:val="002D5295"/>
    <w:rsid w:val="002D52BF"/>
    <w:rsid w:val="002D62B1"/>
    <w:rsid w:val="002D6630"/>
    <w:rsid w:val="002D68FA"/>
    <w:rsid w:val="002D79CC"/>
    <w:rsid w:val="002D7ECA"/>
    <w:rsid w:val="002E0141"/>
    <w:rsid w:val="002E0B5D"/>
    <w:rsid w:val="002E0B76"/>
    <w:rsid w:val="002E1495"/>
    <w:rsid w:val="002E1905"/>
    <w:rsid w:val="002E2466"/>
    <w:rsid w:val="002E2900"/>
    <w:rsid w:val="002E3C0D"/>
    <w:rsid w:val="002E43EC"/>
    <w:rsid w:val="002E4883"/>
    <w:rsid w:val="002E5B3C"/>
    <w:rsid w:val="002E67B6"/>
    <w:rsid w:val="002E7A79"/>
    <w:rsid w:val="002F0758"/>
    <w:rsid w:val="002F1D9E"/>
    <w:rsid w:val="002F2C6E"/>
    <w:rsid w:val="002F38EC"/>
    <w:rsid w:val="002F3C88"/>
    <w:rsid w:val="002F4067"/>
    <w:rsid w:val="002F47EB"/>
    <w:rsid w:val="002F71E8"/>
    <w:rsid w:val="002F7339"/>
    <w:rsid w:val="002F7461"/>
    <w:rsid w:val="003006E4"/>
    <w:rsid w:val="003025E2"/>
    <w:rsid w:val="00303CB0"/>
    <w:rsid w:val="003042B1"/>
    <w:rsid w:val="00304430"/>
    <w:rsid w:val="00306D24"/>
    <w:rsid w:val="00307124"/>
    <w:rsid w:val="00307712"/>
    <w:rsid w:val="00307B8C"/>
    <w:rsid w:val="0031404A"/>
    <w:rsid w:val="003143A4"/>
    <w:rsid w:val="00314B7C"/>
    <w:rsid w:val="00314E49"/>
    <w:rsid w:val="00315445"/>
    <w:rsid w:val="00317183"/>
    <w:rsid w:val="003204AE"/>
    <w:rsid w:val="003205E1"/>
    <w:rsid w:val="003208EF"/>
    <w:rsid w:val="00321213"/>
    <w:rsid w:val="00323747"/>
    <w:rsid w:val="00323D35"/>
    <w:rsid w:val="00324846"/>
    <w:rsid w:val="003248EE"/>
    <w:rsid w:val="00324ABD"/>
    <w:rsid w:val="00324D9B"/>
    <w:rsid w:val="003272A6"/>
    <w:rsid w:val="003273CB"/>
    <w:rsid w:val="00330B4D"/>
    <w:rsid w:val="0033125E"/>
    <w:rsid w:val="003323CE"/>
    <w:rsid w:val="00332ED2"/>
    <w:rsid w:val="0033325E"/>
    <w:rsid w:val="003337DA"/>
    <w:rsid w:val="00335C99"/>
    <w:rsid w:val="00336913"/>
    <w:rsid w:val="00336FCA"/>
    <w:rsid w:val="0033718C"/>
    <w:rsid w:val="00337407"/>
    <w:rsid w:val="00337BB8"/>
    <w:rsid w:val="00340A68"/>
    <w:rsid w:val="00340E02"/>
    <w:rsid w:val="00341EC6"/>
    <w:rsid w:val="00341F33"/>
    <w:rsid w:val="00342E94"/>
    <w:rsid w:val="00343E6E"/>
    <w:rsid w:val="00343E9A"/>
    <w:rsid w:val="00344F07"/>
    <w:rsid w:val="003450C8"/>
    <w:rsid w:val="00345BA7"/>
    <w:rsid w:val="0034647A"/>
    <w:rsid w:val="0034782B"/>
    <w:rsid w:val="00351E5C"/>
    <w:rsid w:val="00351F5A"/>
    <w:rsid w:val="003538F7"/>
    <w:rsid w:val="0035580F"/>
    <w:rsid w:val="00357B24"/>
    <w:rsid w:val="00357CB4"/>
    <w:rsid w:val="003604EE"/>
    <w:rsid w:val="0036139C"/>
    <w:rsid w:val="00361842"/>
    <w:rsid w:val="00361CEE"/>
    <w:rsid w:val="0036286B"/>
    <w:rsid w:val="00363371"/>
    <w:rsid w:val="00364989"/>
    <w:rsid w:val="0036601B"/>
    <w:rsid w:val="003664C0"/>
    <w:rsid w:val="00366769"/>
    <w:rsid w:val="00367A28"/>
    <w:rsid w:val="00367E04"/>
    <w:rsid w:val="00370210"/>
    <w:rsid w:val="00370F9A"/>
    <w:rsid w:val="00375B64"/>
    <w:rsid w:val="00375ED2"/>
    <w:rsid w:val="003761F2"/>
    <w:rsid w:val="00376A05"/>
    <w:rsid w:val="003774FE"/>
    <w:rsid w:val="00377DA4"/>
    <w:rsid w:val="003815EB"/>
    <w:rsid w:val="0038525F"/>
    <w:rsid w:val="00386B65"/>
    <w:rsid w:val="00390E30"/>
    <w:rsid w:val="00392823"/>
    <w:rsid w:val="003938AC"/>
    <w:rsid w:val="00393ABE"/>
    <w:rsid w:val="00393DCA"/>
    <w:rsid w:val="00393EB3"/>
    <w:rsid w:val="0039458D"/>
    <w:rsid w:val="00394D61"/>
    <w:rsid w:val="00395201"/>
    <w:rsid w:val="00395B45"/>
    <w:rsid w:val="00395B84"/>
    <w:rsid w:val="00395BDC"/>
    <w:rsid w:val="0039607A"/>
    <w:rsid w:val="003967E5"/>
    <w:rsid w:val="003A05FC"/>
    <w:rsid w:val="003A1F5A"/>
    <w:rsid w:val="003A20C4"/>
    <w:rsid w:val="003A2ECE"/>
    <w:rsid w:val="003A3606"/>
    <w:rsid w:val="003A4252"/>
    <w:rsid w:val="003A42A7"/>
    <w:rsid w:val="003A539A"/>
    <w:rsid w:val="003A62A4"/>
    <w:rsid w:val="003A62AE"/>
    <w:rsid w:val="003A7476"/>
    <w:rsid w:val="003A7D82"/>
    <w:rsid w:val="003A7D86"/>
    <w:rsid w:val="003B0AA1"/>
    <w:rsid w:val="003B243D"/>
    <w:rsid w:val="003B271D"/>
    <w:rsid w:val="003B304F"/>
    <w:rsid w:val="003B40C5"/>
    <w:rsid w:val="003B5D18"/>
    <w:rsid w:val="003B61D5"/>
    <w:rsid w:val="003B6928"/>
    <w:rsid w:val="003B795D"/>
    <w:rsid w:val="003C26A6"/>
    <w:rsid w:val="003C26C1"/>
    <w:rsid w:val="003C5C11"/>
    <w:rsid w:val="003C6A5A"/>
    <w:rsid w:val="003C6AAD"/>
    <w:rsid w:val="003C76E4"/>
    <w:rsid w:val="003D1D4D"/>
    <w:rsid w:val="003D2D68"/>
    <w:rsid w:val="003D3682"/>
    <w:rsid w:val="003D37DD"/>
    <w:rsid w:val="003D3C34"/>
    <w:rsid w:val="003D45DF"/>
    <w:rsid w:val="003D47C6"/>
    <w:rsid w:val="003D4ED8"/>
    <w:rsid w:val="003D7BB7"/>
    <w:rsid w:val="003D7E38"/>
    <w:rsid w:val="003D7EAC"/>
    <w:rsid w:val="003E0A71"/>
    <w:rsid w:val="003E1AFA"/>
    <w:rsid w:val="003E2D1D"/>
    <w:rsid w:val="003E375F"/>
    <w:rsid w:val="003E379A"/>
    <w:rsid w:val="003E52B0"/>
    <w:rsid w:val="003E64DC"/>
    <w:rsid w:val="003E7A43"/>
    <w:rsid w:val="003F0B58"/>
    <w:rsid w:val="003F0D40"/>
    <w:rsid w:val="003F0EFA"/>
    <w:rsid w:val="003F2236"/>
    <w:rsid w:val="003F27B7"/>
    <w:rsid w:val="003F39B2"/>
    <w:rsid w:val="003F4051"/>
    <w:rsid w:val="003F5812"/>
    <w:rsid w:val="003F625A"/>
    <w:rsid w:val="003F6875"/>
    <w:rsid w:val="003F6AA4"/>
    <w:rsid w:val="003F6EA1"/>
    <w:rsid w:val="00400E4A"/>
    <w:rsid w:val="004028E7"/>
    <w:rsid w:val="00402E9A"/>
    <w:rsid w:val="00403FA8"/>
    <w:rsid w:val="00404040"/>
    <w:rsid w:val="00404213"/>
    <w:rsid w:val="0040442F"/>
    <w:rsid w:val="004048AC"/>
    <w:rsid w:val="00404B8E"/>
    <w:rsid w:val="004068C2"/>
    <w:rsid w:val="00406E61"/>
    <w:rsid w:val="00407CF5"/>
    <w:rsid w:val="00407DD6"/>
    <w:rsid w:val="004119AB"/>
    <w:rsid w:val="00412559"/>
    <w:rsid w:val="00412DBF"/>
    <w:rsid w:val="00414449"/>
    <w:rsid w:val="004145F0"/>
    <w:rsid w:val="00415E7F"/>
    <w:rsid w:val="004170C9"/>
    <w:rsid w:val="00417C6A"/>
    <w:rsid w:val="00420288"/>
    <w:rsid w:val="00421C78"/>
    <w:rsid w:val="004224CE"/>
    <w:rsid w:val="00422D3C"/>
    <w:rsid w:val="00423D39"/>
    <w:rsid w:val="00423D5E"/>
    <w:rsid w:val="00424A78"/>
    <w:rsid w:val="004254DB"/>
    <w:rsid w:val="00427EEA"/>
    <w:rsid w:val="00431836"/>
    <w:rsid w:val="004321E6"/>
    <w:rsid w:val="004323A9"/>
    <w:rsid w:val="0043278E"/>
    <w:rsid w:val="004327FB"/>
    <w:rsid w:val="004332A4"/>
    <w:rsid w:val="004360AC"/>
    <w:rsid w:val="004367E0"/>
    <w:rsid w:val="004369FE"/>
    <w:rsid w:val="00436B83"/>
    <w:rsid w:val="00437C10"/>
    <w:rsid w:val="00437DC3"/>
    <w:rsid w:val="00441061"/>
    <w:rsid w:val="004411A3"/>
    <w:rsid w:val="00443644"/>
    <w:rsid w:val="00443AB3"/>
    <w:rsid w:val="00443F67"/>
    <w:rsid w:val="00444401"/>
    <w:rsid w:val="0044560C"/>
    <w:rsid w:val="004462AF"/>
    <w:rsid w:val="004501C9"/>
    <w:rsid w:val="0045086C"/>
    <w:rsid w:val="00450C70"/>
    <w:rsid w:val="00450F80"/>
    <w:rsid w:val="00452612"/>
    <w:rsid w:val="00453344"/>
    <w:rsid w:val="00453B7E"/>
    <w:rsid w:val="00453F32"/>
    <w:rsid w:val="00454E76"/>
    <w:rsid w:val="00455E48"/>
    <w:rsid w:val="00456297"/>
    <w:rsid w:val="00457080"/>
    <w:rsid w:val="00460891"/>
    <w:rsid w:val="00461411"/>
    <w:rsid w:val="0046245F"/>
    <w:rsid w:val="00463969"/>
    <w:rsid w:val="00464702"/>
    <w:rsid w:val="004649C3"/>
    <w:rsid w:val="00464FB2"/>
    <w:rsid w:val="00465356"/>
    <w:rsid w:val="004660A4"/>
    <w:rsid w:val="004662A8"/>
    <w:rsid w:val="00466CDC"/>
    <w:rsid w:val="0046745E"/>
    <w:rsid w:val="00467FF7"/>
    <w:rsid w:val="004725ED"/>
    <w:rsid w:val="004736BE"/>
    <w:rsid w:val="0047556D"/>
    <w:rsid w:val="00475789"/>
    <w:rsid w:val="00475B5A"/>
    <w:rsid w:val="00476170"/>
    <w:rsid w:val="00477243"/>
    <w:rsid w:val="004801D4"/>
    <w:rsid w:val="00480284"/>
    <w:rsid w:val="00481C26"/>
    <w:rsid w:val="004820B0"/>
    <w:rsid w:val="00482117"/>
    <w:rsid w:val="00482E2F"/>
    <w:rsid w:val="00484BE0"/>
    <w:rsid w:val="004859B4"/>
    <w:rsid w:val="00486ACD"/>
    <w:rsid w:val="00487210"/>
    <w:rsid w:val="004876A1"/>
    <w:rsid w:val="00490B8D"/>
    <w:rsid w:val="00490F08"/>
    <w:rsid w:val="0049255A"/>
    <w:rsid w:val="00492C65"/>
    <w:rsid w:val="0049403F"/>
    <w:rsid w:val="00494323"/>
    <w:rsid w:val="00494349"/>
    <w:rsid w:val="00494485"/>
    <w:rsid w:val="00494A6F"/>
    <w:rsid w:val="0049682B"/>
    <w:rsid w:val="00496B32"/>
    <w:rsid w:val="0049762B"/>
    <w:rsid w:val="004A0F27"/>
    <w:rsid w:val="004A0F37"/>
    <w:rsid w:val="004A0F68"/>
    <w:rsid w:val="004A1013"/>
    <w:rsid w:val="004A1172"/>
    <w:rsid w:val="004A24B2"/>
    <w:rsid w:val="004A3608"/>
    <w:rsid w:val="004A455D"/>
    <w:rsid w:val="004A4FBD"/>
    <w:rsid w:val="004A76FF"/>
    <w:rsid w:val="004A7810"/>
    <w:rsid w:val="004A7E2B"/>
    <w:rsid w:val="004A7E93"/>
    <w:rsid w:val="004B021E"/>
    <w:rsid w:val="004B2A28"/>
    <w:rsid w:val="004B3171"/>
    <w:rsid w:val="004B3CFB"/>
    <w:rsid w:val="004B5105"/>
    <w:rsid w:val="004B5D6B"/>
    <w:rsid w:val="004B76F8"/>
    <w:rsid w:val="004C1327"/>
    <w:rsid w:val="004C1FA6"/>
    <w:rsid w:val="004C2869"/>
    <w:rsid w:val="004C3C88"/>
    <w:rsid w:val="004C45FF"/>
    <w:rsid w:val="004C4859"/>
    <w:rsid w:val="004C4A0F"/>
    <w:rsid w:val="004C5CFD"/>
    <w:rsid w:val="004C7777"/>
    <w:rsid w:val="004D12C0"/>
    <w:rsid w:val="004D18EA"/>
    <w:rsid w:val="004D2B29"/>
    <w:rsid w:val="004D30EE"/>
    <w:rsid w:val="004D31E6"/>
    <w:rsid w:val="004D3713"/>
    <w:rsid w:val="004D44AA"/>
    <w:rsid w:val="004D59D7"/>
    <w:rsid w:val="004D6254"/>
    <w:rsid w:val="004D70FD"/>
    <w:rsid w:val="004D7E99"/>
    <w:rsid w:val="004E00CE"/>
    <w:rsid w:val="004E13C8"/>
    <w:rsid w:val="004E2BDB"/>
    <w:rsid w:val="004E307B"/>
    <w:rsid w:val="004F02E0"/>
    <w:rsid w:val="004F077B"/>
    <w:rsid w:val="004F0966"/>
    <w:rsid w:val="004F3B24"/>
    <w:rsid w:val="004F435F"/>
    <w:rsid w:val="004F50AF"/>
    <w:rsid w:val="004F545C"/>
    <w:rsid w:val="004F590C"/>
    <w:rsid w:val="004F681D"/>
    <w:rsid w:val="004F6E14"/>
    <w:rsid w:val="00500166"/>
    <w:rsid w:val="005020A1"/>
    <w:rsid w:val="00502164"/>
    <w:rsid w:val="0050228C"/>
    <w:rsid w:val="00502857"/>
    <w:rsid w:val="00503173"/>
    <w:rsid w:val="005044A9"/>
    <w:rsid w:val="00504A5F"/>
    <w:rsid w:val="00504F68"/>
    <w:rsid w:val="005054DC"/>
    <w:rsid w:val="00505994"/>
    <w:rsid w:val="00505FD4"/>
    <w:rsid w:val="005062F0"/>
    <w:rsid w:val="00506BFF"/>
    <w:rsid w:val="00506E25"/>
    <w:rsid w:val="005077AC"/>
    <w:rsid w:val="0051132C"/>
    <w:rsid w:val="005119D0"/>
    <w:rsid w:val="00513483"/>
    <w:rsid w:val="00513A5C"/>
    <w:rsid w:val="00514A55"/>
    <w:rsid w:val="00514CA2"/>
    <w:rsid w:val="00514EF5"/>
    <w:rsid w:val="0051782D"/>
    <w:rsid w:val="0052087E"/>
    <w:rsid w:val="00521BC4"/>
    <w:rsid w:val="0052315E"/>
    <w:rsid w:val="005238AE"/>
    <w:rsid w:val="00523B73"/>
    <w:rsid w:val="00530ED3"/>
    <w:rsid w:val="00532D58"/>
    <w:rsid w:val="00533D2D"/>
    <w:rsid w:val="00534013"/>
    <w:rsid w:val="00534036"/>
    <w:rsid w:val="0053438E"/>
    <w:rsid w:val="005343E5"/>
    <w:rsid w:val="005346B7"/>
    <w:rsid w:val="005355EE"/>
    <w:rsid w:val="00535B16"/>
    <w:rsid w:val="005366D0"/>
    <w:rsid w:val="00537E27"/>
    <w:rsid w:val="00540B4D"/>
    <w:rsid w:val="00540FFA"/>
    <w:rsid w:val="00542930"/>
    <w:rsid w:val="005435B3"/>
    <w:rsid w:val="00545568"/>
    <w:rsid w:val="00550849"/>
    <w:rsid w:val="00550866"/>
    <w:rsid w:val="00554BF3"/>
    <w:rsid w:val="0055655F"/>
    <w:rsid w:val="0055657D"/>
    <w:rsid w:val="005579B9"/>
    <w:rsid w:val="00560D0D"/>
    <w:rsid w:val="005632F1"/>
    <w:rsid w:val="005642CD"/>
    <w:rsid w:val="00564418"/>
    <w:rsid w:val="005644AD"/>
    <w:rsid w:val="00565FB1"/>
    <w:rsid w:val="005662FB"/>
    <w:rsid w:val="00567781"/>
    <w:rsid w:val="00567ECC"/>
    <w:rsid w:val="0057019C"/>
    <w:rsid w:val="005713B1"/>
    <w:rsid w:val="0057363E"/>
    <w:rsid w:val="00575904"/>
    <w:rsid w:val="0057624B"/>
    <w:rsid w:val="0057644D"/>
    <w:rsid w:val="0057649A"/>
    <w:rsid w:val="00583090"/>
    <w:rsid w:val="005835F4"/>
    <w:rsid w:val="00583EFE"/>
    <w:rsid w:val="00584076"/>
    <w:rsid w:val="005841A3"/>
    <w:rsid w:val="00585D54"/>
    <w:rsid w:val="00586D9A"/>
    <w:rsid w:val="00590EAE"/>
    <w:rsid w:val="0059112A"/>
    <w:rsid w:val="0059116B"/>
    <w:rsid w:val="005914FD"/>
    <w:rsid w:val="00591B65"/>
    <w:rsid w:val="005925D7"/>
    <w:rsid w:val="00592A14"/>
    <w:rsid w:val="00593216"/>
    <w:rsid w:val="005933D3"/>
    <w:rsid w:val="00594BC3"/>
    <w:rsid w:val="00594DD8"/>
    <w:rsid w:val="0059508D"/>
    <w:rsid w:val="00596CA7"/>
    <w:rsid w:val="00596DC8"/>
    <w:rsid w:val="00596E16"/>
    <w:rsid w:val="00597A78"/>
    <w:rsid w:val="00597CD2"/>
    <w:rsid w:val="00597DC7"/>
    <w:rsid w:val="005A16A3"/>
    <w:rsid w:val="005A1C48"/>
    <w:rsid w:val="005A253A"/>
    <w:rsid w:val="005A2AD8"/>
    <w:rsid w:val="005A2DDF"/>
    <w:rsid w:val="005A3152"/>
    <w:rsid w:val="005A40AF"/>
    <w:rsid w:val="005A6064"/>
    <w:rsid w:val="005A64BF"/>
    <w:rsid w:val="005A72CC"/>
    <w:rsid w:val="005B02D5"/>
    <w:rsid w:val="005B0565"/>
    <w:rsid w:val="005B0A3E"/>
    <w:rsid w:val="005B15A4"/>
    <w:rsid w:val="005B4421"/>
    <w:rsid w:val="005B513F"/>
    <w:rsid w:val="005B7483"/>
    <w:rsid w:val="005B7929"/>
    <w:rsid w:val="005C0643"/>
    <w:rsid w:val="005C23AF"/>
    <w:rsid w:val="005C25D1"/>
    <w:rsid w:val="005C35A9"/>
    <w:rsid w:val="005C464B"/>
    <w:rsid w:val="005C4E5F"/>
    <w:rsid w:val="005C74A0"/>
    <w:rsid w:val="005D052C"/>
    <w:rsid w:val="005D08AE"/>
    <w:rsid w:val="005D16FE"/>
    <w:rsid w:val="005D4084"/>
    <w:rsid w:val="005D4777"/>
    <w:rsid w:val="005D4C2B"/>
    <w:rsid w:val="005D5784"/>
    <w:rsid w:val="005D61E6"/>
    <w:rsid w:val="005D6B2B"/>
    <w:rsid w:val="005D6E0A"/>
    <w:rsid w:val="005E22CD"/>
    <w:rsid w:val="005E2492"/>
    <w:rsid w:val="005E37AB"/>
    <w:rsid w:val="005E384D"/>
    <w:rsid w:val="005E4A4D"/>
    <w:rsid w:val="005E51FB"/>
    <w:rsid w:val="005E6B93"/>
    <w:rsid w:val="005E6F30"/>
    <w:rsid w:val="005E7953"/>
    <w:rsid w:val="005E7E82"/>
    <w:rsid w:val="005F2AF5"/>
    <w:rsid w:val="005F2C42"/>
    <w:rsid w:val="005F5039"/>
    <w:rsid w:val="005F6BAB"/>
    <w:rsid w:val="005F6C28"/>
    <w:rsid w:val="005F717D"/>
    <w:rsid w:val="005F7250"/>
    <w:rsid w:val="005F7AB6"/>
    <w:rsid w:val="005F7D4A"/>
    <w:rsid w:val="005F7E3C"/>
    <w:rsid w:val="00600FA8"/>
    <w:rsid w:val="0060111D"/>
    <w:rsid w:val="006039A6"/>
    <w:rsid w:val="00604A08"/>
    <w:rsid w:val="006063DA"/>
    <w:rsid w:val="00606CD0"/>
    <w:rsid w:val="00606CE3"/>
    <w:rsid w:val="0060706B"/>
    <w:rsid w:val="00607251"/>
    <w:rsid w:val="006119F8"/>
    <w:rsid w:val="00611DD3"/>
    <w:rsid w:val="00611EF0"/>
    <w:rsid w:val="00612219"/>
    <w:rsid w:val="00612E04"/>
    <w:rsid w:val="0061629E"/>
    <w:rsid w:val="00616949"/>
    <w:rsid w:val="006173A4"/>
    <w:rsid w:val="00617C44"/>
    <w:rsid w:val="00620086"/>
    <w:rsid w:val="00620988"/>
    <w:rsid w:val="006210FD"/>
    <w:rsid w:val="00621639"/>
    <w:rsid w:val="00622074"/>
    <w:rsid w:val="00622734"/>
    <w:rsid w:val="00622CE4"/>
    <w:rsid w:val="006234A7"/>
    <w:rsid w:val="00623F8E"/>
    <w:rsid w:val="00625917"/>
    <w:rsid w:val="0062789F"/>
    <w:rsid w:val="006278BD"/>
    <w:rsid w:val="00627AB5"/>
    <w:rsid w:val="006301BE"/>
    <w:rsid w:val="0063096E"/>
    <w:rsid w:val="00632DB2"/>
    <w:rsid w:val="00633349"/>
    <w:rsid w:val="006337AF"/>
    <w:rsid w:val="00633D61"/>
    <w:rsid w:val="0063402B"/>
    <w:rsid w:val="00634E8B"/>
    <w:rsid w:val="00635BC3"/>
    <w:rsid w:val="006364A9"/>
    <w:rsid w:val="00636570"/>
    <w:rsid w:val="00636F40"/>
    <w:rsid w:val="00637859"/>
    <w:rsid w:val="00637901"/>
    <w:rsid w:val="00637E1B"/>
    <w:rsid w:val="006402DF"/>
    <w:rsid w:val="0064164B"/>
    <w:rsid w:val="0064416A"/>
    <w:rsid w:val="00644468"/>
    <w:rsid w:val="00645B6A"/>
    <w:rsid w:val="00645F5E"/>
    <w:rsid w:val="00647469"/>
    <w:rsid w:val="00647B1E"/>
    <w:rsid w:val="00647C55"/>
    <w:rsid w:val="0065008B"/>
    <w:rsid w:val="00651443"/>
    <w:rsid w:val="00653721"/>
    <w:rsid w:val="00653A3B"/>
    <w:rsid w:val="00653FD9"/>
    <w:rsid w:val="006543A2"/>
    <w:rsid w:val="00654D42"/>
    <w:rsid w:val="006556BB"/>
    <w:rsid w:val="00656226"/>
    <w:rsid w:val="00656328"/>
    <w:rsid w:val="00656606"/>
    <w:rsid w:val="006569B6"/>
    <w:rsid w:val="00656D0E"/>
    <w:rsid w:val="006601FA"/>
    <w:rsid w:val="00660279"/>
    <w:rsid w:val="00660A94"/>
    <w:rsid w:val="00660D13"/>
    <w:rsid w:val="006610B7"/>
    <w:rsid w:val="006622B9"/>
    <w:rsid w:val="00662E1E"/>
    <w:rsid w:val="0066371E"/>
    <w:rsid w:val="0066455B"/>
    <w:rsid w:val="006647BE"/>
    <w:rsid w:val="00666744"/>
    <w:rsid w:val="00667B4C"/>
    <w:rsid w:val="006704D2"/>
    <w:rsid w:val="006707A0"/>
    <w:rsid w:val="00670BC4"/>
    <w:rsid w:val="006718ED"/>
    <w:rsid w:val="006724AD"/>
    <w:rsid w:val="00672BAB"/>
    <w:rsid w:val="0067314A"/>
    <w:rsid w:val="00673D1E"/>
    <w:rsid w:val="00673EE5"/>
    <w:rsid w:val="0067557E"/>
    <w:rsid w:val="00675E9D"/>
    <w:rsid w:val="006779CF"/>
    <w:rsid w:val="00677A8F"/>
    <w:rsid w:val="00677D63"/>
    <w:rsid w:val="00677F8A"/>
    <w:rsid w:val="006821E3"/>
    <w:rsid w:val="00683AD6"/>
    <w:rsid w:val="006842AE"/>
    <w:rsid w:val="006866C9"/>
    <w:rsid w:val="006875BA"/>
    <w:rsid w:val="0069097D"/>
    <w:rsid w:val="00693FEA"/>
    <w:rsid w:val="006945EC"/>
    <w:rsid w:val="00694C68"/>
    <w:rsid w:val="00694E8A"/>
    <w:rsid w:val="00695BC7"/>
    <w:rsid w:val="006A0952"/>
    <w:rsid w:val="006A0A4F"/>
    <w:rsid w:val="006A511D"/>
    <w:rsid w:val="006A525B"/>
    <w:rsid w:val="006A5773"/>
    <w:rsid w:val="006A5804"/>
    <w:rsid w:val="006A58F0"/>
    <w:rsid w:val="006A6262"/>
    <w:rsid w:val="006A7CE7"/>
    <w:rsid w:val="006B0372"/>
    <w:rsid w:val="006B0764"/>
    <w:rsid w:val="006B081C"/>
    <w:rsid w:val="006B4467"/>
    <w:rsid w:val="006B6C46"/>
    <w:rsid w:val="006B6E78"/>
    <w:rsid w:val="006B76AB"/>
    <w:rsid w:val="006B7970"/>
    <w:rsid w:val="006C0039"/>
    <w:rsid w:val="006C1927"/>
    <w:rsid w:val="006C2585"/>
    <w:rsid w:val="006C4008"/>
    <w:rsid w:val="006C4E2C"/>
    <w:rsid w:val="006C5931"/>
    <w:rsid w:val="006C73EF"/>
    <w:rsid w:val="006C7886"/>
    <w:rsid w:val="006D1723"/>
    <w:rsid w:val="006D3B21"/>
    <w:rsid w:val="006D5D3F"/>
    <w:rsid w:val="006D5D99"/>
    <w:rsid w:val="006D60ED"/>
    <w:rsid w:val="006E1166"/>
    <w:rsid w:val="006E1EDA"/>
    <w:rsid w:val="006E1FAF"/>
    <w:rsid w:val="006E24D9"/>
    <w:rsid w:val="006E25BA"/>
    <w:rsid w:val="006E27C6"/>
    <w:rsid w:val="006E4834"/>
    <w:rsid w:val="006E596E"/>
    <w:rsid w:val="006E65E0"/>
    <w:rsid w:val="006F033F"/>
    <w:rsid w:val="006F24D8"/>
    <w:rsid w:val="006F33B8"/>
    <w:rsid w:val="006F4C9C"/>
    <w:rsid w:val="006F640F"/>
    <w:rsid w:val="006F64B8"/>
    <w:rsid w:val="006F6ECF"/>
    <w:rsid w:val="006F762A"/>
    <w:rsid w:val="00701B6B"/>
    <w:rsid w:val="007026CB"/>
    <w:rsid w:val="00702D07"/>
    <w:rsid w:val="0070384F"/>
    <w:rsid w:val="00703A9E"/>
    <w:rsid w:val="00703D6D"/>
    <w:rsid w:val="00704095"/>
    <w:rsid w:val="00704152"/>
    <w:rsid w:val="00704284"/>
    <w:rsid w:val="00704FB5"/>
    <w:rsid w:val="00706B71"/>
    <w:rsid w:val="0071022A"/>
    <w:rsid w:val="00711062"/>
    <w:rsid w:val="00711D06"/>
    <w:rsid w:val="00711F79"/>
    <w:rsid w:val="0071277A"/>
    <w:rsid w:val="00712EE5"/>
    <w:rsid w:val="00713493"/>
    <w:rsid w:val="00713494"/>
    <w:rsid w:val="00713EA7"/>
    <w:rsid w:val="00714031"/>
    <w:rsid w:val="0071466E"/>
    <w:rsid w:val="00714843"/>
    <w:rsid w:val="00714A6C"/>
    <w:rsid w:val="00714CD3"/>
    <w:rsid w:val="0071582C"/>
    <w:rsid w:val="00716174"/>
    <w:rsid w:val="007203D8"/>
    <w:rsid w:val="007206A8"/>
    <w:rsid w:val="0072070F"/>
    <w:rsid w:val="0072116D"/>
    <w:rsid w:val="0072226F"/>
    <w:rsid w:val="00722B3F"/>
    <w:rsid w:val="0072318D"/>
    <w:rsid w:val="00725618"/>
    <w:rsid w:val="00725B78"/>
    <w:rsid w:val="00727082"/>
    <w:rsid w:val="0072710C"/>
    <w:rsid w:val="00731936"/>
    <w:rsid w:val="0073233C"/>
    <w:rsid w:val="00732D0C"/>
    <w:rsid w:val="00733EAD"/>
    <w:rsid w:val="00734A93"/>
    <w:rsid w:val="00734F54"/>
    <w:rsid w:val="007358C1"/>
    <w:rsid w:val="00736D93"/>
    <w:rsid w:val="00737C04"/>
    <w:rsid w:val="00737F64"/>
    <w:rsid w:val="00740137"/>
    <w:rsid w:val="007422C9"/>
    <w:rsid w:val="00742553"/>
    <w:rsid w:val="00743EC6"/>
    <w:rsid w:val="00744110"/>
    <w:rsid w:val="00744595"/>
    <w:rsid w:val="00744C3C"/>
    <w:rsid w:val="0074583A"/>
    <w:rsid w:val="0074695A"/>
    <w:rsid w:val="00747A52"/>
    <w:rsid w:val="0075062C"/>
    <w:rsid w:val="00750F1E"/>
    <w:rsid w:val="00751AE4"/>
    <w:rsid w:val="00751C12"/>
    <w:rsid w:val="00752691"/>
    <w:rsid w:val="007528F2"/>
    <w:rsid w:val="007543C1"/>
    <w:rsid w:val="007575C4"/>
    <w:rsid w:val="00757D63"/>
    <w:rsid w:val="00760699"/>
    <w:rsid w:val="00760987"/>
    <w:rsid w:val="00760C36"/>
    <w:rsid w:val="007610D4"/>
    <w:rsid w:val="00762A1B"/>
    <w:rsid w:val="00762D6D"/>
    <w:rsid w:val="00763700"/>
    <w:rsid w:val="0076427C"/>
    <w:rsid w:val="00765217"/>
    <w:rsid w:val="007655C0"/>
    <w:rsid w:val="007659AA"/>
    <w:rsid w:val="007662AE"/>
    <w:rsid w:val="00766334"/>
    <w:rsid w:val="007670F2"/>
    <w:rsid w:val="00767BB7"/>
    <w:rsid w:val="00767F22"/>
    <w:rsid w:val="00770F39"/>
    <w:rsid w:val="00771A6A"/>
    <w:rsid w:val="0077266C"/>
    <w:rsid w:val="00772802"/>
    <w:rsid w:val="00772DE3"/>
    <w:rsid w:val="00775066"/>
    <w:rsid w:val="00776406"/>
    <w:rsid w:val="007770EE"/>
    <w:rsid w:val="0078005A"/>
    <w:rsid w:val="00781B6F"/>
    <w:rsid w:val="00781F9C"/>
    <w:rsid w:val="007820ED"/>
    <w:rsid w:val="00782A7C"/>
    <w:rsid w:val="00782DFD"/>
    <w:rsid w:val="00784424"/>
    <w:rsid w:val="007844EA"/>
    <w:rsid w:val="00784A2B"/>
    <w:rsid w:val="00785474"/>
    <w:rsid w:val="007862F0"/>
    <w:rsid w:val="00787235"/>
    <w:rsid w:val="0078772C"/>
    <w:rsid w:val="00787B99"/>
    <w:rsid w:val="0079046A"/>
    <w:rsid w:val="007907C8"/>
    <w:rsid w:val="00791D3F"/>
    <w:rsid w:val="007925B6"/>
    <w:rsid w:val="00792ABF"/>
    <w:rsid w:val="00792BC9"/>
    <w:rsid w:val="007934F5"/>
    <w:rsid w:val="00793557"/>
    <w:rsid w:val="00793594"/>
    <w:rsid w:val="0079421C"/>
    <w:rsid w:val="0079526D"/>
    <w:rsid w:val="00795A2C"/>
    <w:rsid w:val="00797309"/>
    <w:rsid w:val="00797390"/>
    <w:rsid w:val="007A0015"/>
    <w:rsid w:val="007A05B6"/>
    <w:rsid w:val="007A14FE"/>
    <w:rsid w:val="007A1C0A"/>
    <w:rsid w:val="007A1C59"/>
    <w:rsid w:val="007A1D4E"/>
    <w:rsid w:val="007A4397"/>
    <w:rsid w:val="007A5B41"/>
    <w:rsid w:val="007A6170"/>
    <w:rsid w:val="007B15B4"/>
    <w:rsid w:val="007B3372"/>
    <w:rsid w:val="007B3A76"/>
    <w:rsid w:val="007B5792"/>
    <w:rsid w:val="007B6AAE"/>
    <w:rsid w:val="007C1032"/>
    <w:rsid w:val="007C250A"/>
    <w:rsid w:val="007C2934"/>
    <w:rsid w:val="007C31E2"/>
    <w:rsid w:val="007C3402"/>
    <w:rsid w:val="007C5CE1"/>
    <w:rsid w:val="007C5F8D"/>
    <w:rsid w:val="007C6F85"/>
    <w:rsid w:val="007D0569"/>
    <w:rsid w:val="007D16B1"/>
    <w:rsid w:val="007D19E4"/>
    <w:rsid w:val="007D2001"/>
    <w:rsid w:val="007D2C1F"/>
    <w:rsid w:val="007D3A64"/>
    <w:rsid w:val="007D5591"/>
    <w:rsid w:val="007D6587"/>
    <w:rsid w:val="007D7400"/>
    <w:rsid w:val="007D7761"/>
    <w:rsid w:val="007D79FF"/>
    <w:rsid w:val="007E02A7"/>
    <w:rsid w:val="007E283B"/>
    <w:rsid w:val="007E468A"/>
    <w:rsid w:val="007E4CA1"/>
    <w:rsid w:val="007E51A5"/>
    <w:rsid w:val="007E557A"/>
    <w:rsid w:val="007E5629"/>
    <w:rsid w:val="007E5E62"/>
    <w:rsid w:val="007E69E6"/>
    <w:rsid w:val="007E7F4C"/>
    <w:rsid w:val="007F067D"/>
    <w:rsid w:val="007F2EC6"/>
    <w:rsid w:val="007F3018"/>
    <w:rsid w:val="007F3BD5"/>
    <w:rsid w:val="007F3D70"/>
    <w:rsid w:val="007F5E06"/>
    <w:rsid w:val="007F6862"/>
    <w:rsid w:val="008013FC"/>
    <w:rsid w:val="008060C3"/>
    <w:rsid w:val="008063A1"/>
    <w:rsid w:val="008073ED"/>
    <w:rsid w:val="008079CD"/>
    <w:rsid w:val="00807F00"/>
    <w:rsid w:val="00812095"/>
    <w:rsid w:val="008134BD"/>
    <w:rsid w:val="008139A5"/>
    <w:rsid w:val="00814656"/>
    <w:rsid w:val="008169A8"/>
    <w:rsid w:val="00816DA8"/>
    <w:rsid w:val="00820E45"/>
    <w:rsid w:val="00821E2C"/>
    <w:rsid w:val="00822835"/>
    <w:rsid w:val="00823836"/>
    <w:rsid w:val="0082459B"/>
    <w:rsid w:val="00824902"/>
    <w:rsid w:val="00826758"/>
    <w:rsid w:val="00826A13"/>
    <w:rsid w:val="008313D1"/>
    <w:rsid w:val="00833045"/>
    <w:rsid w:val="00833261"/>
    <w:rsid w:val="008344AE"/>
    <w:rsid w:val="00834A7F"/>
    <w:rsid w:val="00834CEC"/>
    <w:rsid w:val="008353E0"/>
    <w:rsid w:val="00835DFB"/>
    <w:rsid w:val="008365F0"/>
    <w:rsid w:val="00836AF0"/>
    <w:rsid w:val="00836B6F"/>
    <w:rsid w:val="00841534"/>
    <w:rsid w:val="008421F0"/>
    <w:rsid w:val="008423C3"/>
    <w:rsid w:val="00843F2E"/>
    <w:rsid w:val="008462C7"/>
    <w:rsid w:val="008462F1"/>
    <w:rsid w:val="00846930"/>
    <w:rsid w:val="0084786D"/>
    <w:rsid w:val="0085066C"/>
    <w:rsid w:val="008507AD"/>
    <w:rsid w:val="00850FDE"/>
    <w:rsid w:val="00852876"/>
    <w:rsid w:val="008543F5"/>
    <w:rsid w:val="00855004"/>
    <w:rsid w:val="00855994"/>
    <w:rsid w:val="00855CD1"/>
    <w:rsid w:val="008572C4"/>
    <w:rsid w:val="0085733E"/>
    <w:rsid w:val="0085765A"/>
    <w:rsid w:val="008604A8"/>
    <w:rsid w:val="00860E64"/>
    <w:rsid w:val="00860F44"/>
    <w:rsid w:val="008613CE"/>
    <w:rsid w:val="008616F7"/>
    <w:rsid w:val="00861AFA"/>
    <w:rsid w:val="00863C61"/>
    <w:rsid w:val="00865522"/>
    <w:rsid w:val="008658B6"/>
    <w:rsid w:val="00865ADF"/>
    <w:rsid w:val="0086644C"/>
    <w:rsid w:val="008666B5"/>
    <w:rsid w:val="008703B3"/>
    <w:rsid w:val="00871F13"/>
    <w:rsid w:val="0087202F"/>
    <w:rsid w:val="00872B72"/>
    <w:rsid w:val="008749AE"/>
    <w:rsid w:val="00875665"/>
    <w:rsid w:val="008767B6"/>
    <w:rsid w:val="00876985"/>
    <w:rsid w:val="008771AF"/>
    <w:rsid w:val="008808E6"/>
    <w:rsid w:val="00882798"/>
    <w:rsid w:val="00883780"/>
    <w:rsid w:val="00883856"/>
    <w:rsid w:val="00883B99"/>
    <w:rsid w:val="00885066"/>
    <w:rsid w:val="00885AAD"/>
    <w:rsid w:val="00885F85"/>
    <w:rsid w:val="0088665E"/>
    <w:rsid w:val="008876DF"/>
    <w:rsid w:val="00887F48"/>
    <w:rsid w:val="008918AA"/>
    <w:rsid w:val="00891DA4"/>
    <w:rsid w:val="008923C8"/>
    <w:rsid w:val="008924B5"/>
    <w:rsid w:val="00893260"/>
    <w:rsid w:val="008932A8"/>
    <w:rsid w:val="00893756"/>
    <w:rsid w:val="00893E9A"/>
    <w:rsid w:val="00894A9E"/>
    <w:rsid w:val="008950F6"/>
    <w:rsid w:val="00895175"/>
    <w:rsid w:val="00895806"/>
    <w:rsid w:val="008961E1"/>
    <w:rsid w:val="00896815"/>
    <w:rsid w:val="008A0744"/>
    <w:rsid w:val="008A0A6E"/>
    <w:rsid w:val="008A0D0F"/>
    <w:rsid w:val="008A14EA"/>
    <w:rsid w:val="008A2F49"/>
    <w:rsid w:val="008A2FB3"/>
    <w:rsid w:val="008A398B"/>
    <w:rsid w:val="008A39AD"/>
    <w:rsid w:val="008A4A79"/>
    <w:rsid w:val="008A5601"/>
    <w:rsid w:val="008A58EB"/>
    <w:rsid w:val="008A59AD"/>
    <w:rsid w:val="008B0EEB"/>
    <w:rsid w:val="008B3A83"/>
    <w:rsid w:val="008B431D"/>
    <w:rsid w:val="008B4504"/>
    <w:rsid w:val="008B4DD0"/>
    <w:rsid w:val="008B51FD"/>
    <w:rsid w:val="008B6269"/>
    <w:rsid w:val="008B6766"/>
    <w:rsid w:val="008B70F5"/>
    <w:rsid w:val="008B7186"/>
    <w:rsid w:val="008B7192"/>
    <w:rsid w:val="008B7D40"/>
    <w:rsid w:val="008C0541"/>
    <w:rsid w:val="008C1939"/>
    <w:rsid w:val="008C2130"/>
    <w:rsid w:val="008C3396"/>
    <w:rsid w:val="008C621C"/>
    <w:rsid w:val="008C697C"/>
    <w:rsid w:val="008C6E16"/>
    <w:rsid w:val="008C7448"/>
    <w:rsid w:val="008C75ED"/>
    <w:rsid w:val="008C7649"/>
    <w:rsid w:val="008C7AC7"/>
    <w:rsid w:val="008E01B3"/>
    <w:rsid w:val="008E03B0"/>
    <w:rsid w:val="008E0991"/>
    <w:rsid w:val="008E1FCD"/>
    <w:rsid w:val="008E338E"/>
    <w:rsid w:val="008E37D6"/>
    <w:rsid w:val="008E43EB"/>
    <w:rsid w:val="008E4444"/>
    <w:rsid w:val="008E57FE"/>
    <w:rsid w:val="008E5C54"/>
    <w:rsid w:val="008E5DB7"/>
    <w:rsid w:val="008E6B56"/>
    <w:rsid w:val="008F0021"/>
    <w:rsid w:val="008F14CC"/>
    <w:rsid w:val="008F1818"/>
    <w:rsid w:val="008F2665"/>
    <w:rsid w:val="008F446B"/>
    <w:rsid w:val="008F507E"/>
    <w:rsid w:val="008F5251"/>
    <w:rsid w:val="008F5971"/>
    <w:rsid w:val="008F6376"/>
    <w:rsid w:val="008F6460"/>
    <w:rsid w:val="008F67F3"/>
    <w:rsid w:val="00900CC2"/>
    <w:rsid w:val="00901770"/>
    <w:rsid w:val="009019FB"/>
    <w:rsid w:val="00902AA5"/>
    <w:rsid w:val="009052B7"/>
    <w:rsid w:val="00905B05"/>
    <w:rsid w:val="0090753C"/>
    <w:rsid w:val="00907579"/>
    <w:rsid w:val="0090759D"/>
    <w:rsid w:val="0091156F"/>
    <w:rsid w:val="00911B66"/>
    <w:rsid w:val="009122D4"/>
    <w:rsid w:val="00912A7E"/>
    <w:rsid w:val="00915330"/>
    <w:rsid w:val="00916E69"/>
    <w:rsid w:val="00917525"/>
    <w:rsid w:val="0091777D"/>
    <w:rsid w:val="00917C39"/>
    <w:rsid w:val="0092057D"/>
    <w:rsid w:val="00920E6D"/>
    <w:rsid w:val="0092113B"/>
    <w:rsid w:val="009218DE"/>
    <w:rsid w:val="00922D00"/>
    <w:rsid w:val="009233CC"/>
    <w:rsid w:val="00923F17"/>
    <w:rsid w:val="009266DA"/>
    <w:rsid w:val="00927F35"/>
    <w:rsid w:val="00930DE8"/>
    <w:rsid w:val="009318DD"/>
    <w:rsid w:val="00932A12"/>
    <w:rsid w:val="009343DD"/>
    <w:rsid w:val="009352C3"/>
    <w:rsid w:val="00935413"/>
    <w:rsid w:val="009355C2"/>
    <w:rsid w:val="00935F5D"/>
    <w:rsid w:val="0093669F"/>
    <w:rsid w:val="009368E0"/>
    <w:rsid w:val="0094260B"/>
    <w:rsid w:val="00942661"/>
    <w:rsid w:val="00945307"/>
    <w:rsid w:val="0094558D"/>
    <w:rsid w:val="0094697C"/>
    <w:rsid w:val="00946FCE"/>
    <w:rsid w:val="00950334"/>
    <w:rsid w:val="009515BC"/>
    <w:rsid w:val="0095349A"/>
    <w:rsid w:val="00953B5B"/>
    <w:rsid w:val="00953ED0"/>
    <w:rsid w:val="0095492E"/>
    <w:rsid w:val="00955F7D"/>
    <w:rsid w:val="00960FDF"/>
    <w:rsid w:val="0096242F"/>
    <w:rsid w:val="00962E3B"/>
    <w:rsid w:val="00962FF5"/>
    <w:rsid w:val="0096341C"/>
    <w:rsid w:val="00964A4E"/>
    <w:rsid w:val="00965B02"/>
    <w:rsid w:val="00965C07"/>
    <w:rsid w:val="00965D2D"/>
    <w:rsid w:val="00967C86"/>
    <w:rsid w:val="00970A16"/>
    <w:rsid w:val="00971293"/>
    <w:rsid w:val="00971847"/>
    <w:rsid w:val="00972964"/>
    <w:rsid w:val="0097762F"/>
    <w:rsid w:val="00977B11"/>
    <w:rsid w:val="00977C0A"/>
    <w:rsid w:val="009806D2"/>
    <w:rsid w:val="009813A8"/>
    <w:rsid w:val="009816B8"/>
    <w:rsid w:val="00983B45"/>
    <w:rsid w:val="00983B5C"/>
    <w:rsid w:val="00985E6B"/>
    <w:rsid w:val="00986177"/>
    <w:rsid w:val="0098709A"/>
    <w:rsid w:val="0098766F"/>
    <w:rsid w:val="00993912"/>
    <w:rsid w:val="00993ABC"/>
    <w:rsid w:val="00994050"/>
    <w:rsid w:val="0099556F"/>
    <w:rsid w:val="009962CF"/>
    <w:rsid w:val="009969D6"/>
    <w:rsid w:val="009A0CF2"/>
    <w:rsid w:val="009A12D7"/>
    <w:rsid w:val="009A4268"/>
    <w:rsid w:val="009A4543"/>
    <w:rsid w:val="009A5DB1"/>
    <w:rsid w:val="009A7C5A"/>
    <w:rsid w:val="009A7E51"/>
    <w:rsid w:val="009B2040"/>
    <w:rsid w:val="009B21B9"/>
    <w:rsid w:val="009B29DE"/>
    <w:rsid w:val="009B2FAD"/>
    <w:rsid w:val="009B3494"/>
    <w:rsid w:val="009B4CD0"/>
    <w:rsid w:val="009B4DA7"/>
    <w:rsid w:val="009B5408"/>
    <w:rsid w:val="009B62BB"/>
    <w:rsid w:val="009C21C6"/>
    <w:rsid w:val="009C383B"/>
    <w:rsid w:val="009C3A80"/>
    <w:rsid w:val="009C41EC"/>
    <w:rsid w:val="009C45B8"/>
    <w:rsid w:val="009C5238"/>
    <w:rsid w:val="009C5D8F"/>
    <w:rsid w:val="009C6ED7"/>
    <w:rsid w:val="009C79C9"/>
    <w:rsid w:val="009D12B4"/>
    <w:rsid w:val="009D1E70"/>
    <w:rsid w:val="009D2135"/>
    <w:rsid w:val="009D21BF"/>
    <w:rsid w:val="009D2FA7"/>
    <w:rsid w:val="009D3673"/>
    <w:rsid w:val="009D4166"/>
    <w:rsid w:val="009D4CAE"/>
    <w:rsid w:val="009D55F9"/>
    <w:rsid w:val="009D5837"/>
    <w:rsid w:val="009D5A11"/>
    <w:rsid w:val="009D752D"/>
    <w:rsid w:val="009D765F"/>
    <w:rsid w:val="009D7760"/>
    <w:rsid w:val="009E16E6"/>
    <w:rsid w:val="009E1C0D"/>
    <w:rsid w:val="009E1E62"/>
    <w:rsid w:val="009E2953"/>
    <w:rsid w:val="009E30CE"/>
    <w:rsid w:val="009E3414"/>
    <w:rsid w:val="009E4BA2"/>
    <w:rsid w:val="009E4CDF"/>
    <w:rsid w:val="009E738D"/>
    <w:rsid w:val="009F04C3"/>
    <w:rsid w:val="009F0760"/>
    <w:rsid w:val="009F0DA4"/>
    <w:rsid w:val="009F102B"/>
    <w:rsid w:val="009F3B29"/>
    <w:rsid w:val="009F3DC7"/>
    <w:rsid w:val="009F4860"/>
    <w:rsid w:val="009F4BF4"/>
    <w:rsid w:val="009F5BF2"/>
    <w:rsid w:val="009F783C"/>
    <w:rsid w:val="009F7FF4"/>
    <w:rsid w:val="00A00057"/>
    <w:rsid w:val="00A00485"/>
    <w:rsid w:val="00A004B0"/>
    <w:rsid w:val="00A00EBA"/>
    <w:rsid w:val="00A01432"/>
    <w:rsid w:val="00A01690"/>
    <w:rsid w:val="00A01A5F"/>
    <w:rsid w:val="00A025AC"/>
    <w:rsid w:val="00A026B2"/>
    <w:rsid w:val="00A02C96"/>
    <w:rsid w:val="00A02E65"/>
    <w:rsid w:val="00A0340A"/>
    <w:rsid w:val="00A0440C"/>
    <w:rsid w:val="00A047AE"/>
    <w:rsid w:val="00A04C82"/>
    <w:rsid w:val="00A0585F"/>
    <w:rsid w:val="00A0694A"/>
    <w:rsid w:val="00A075C0"/>
    <w:rsid w:val="00A077AC"/>
    <w:rsid w:val="00A07978"/>
    <w:rsid w:val="00A07A33"/>
    <w:rsid w:val="00A106D9"/>
    <w:rsid w:val="00A10A30"/>
    <w:rsid w:val="00A110DE"/>
    <w:rsid w:val="00A112F0"/>
    <w:rsid w:val="00A1137C"/>
    <w:rsid w:val="00A113D7"/>
    <w:rsid w:val="00A11F0F"/>
    <w:rsid w:val="00A149C2"/>
    <w:rsid w:val="00A1575C"/>
    <w:rsid w:val="00A16126"/>
    <w:rsid w:val="00A165DB"/>
    <w:rsid w:val="00A20043"/>
    <w:rsid w:val="00A2083D"/>
    <w:rsid w:val="00A21C6C"/>
    <w:rsid w:val="00A2365A"/>
    <w:rsid w:val="00A24133"/>
    <w:rsid w:val="00A24B81"/>
    <w:rsid w:val="00A262BF"/>
    <w:rsid w:val="00A26FD7"/>
    <w:rsid w:val="00A27809"/>
    <w:rsid w:val="00A30533"/>
    <w:rsid w:val="00A3087F"/>
    <w:rsid w:val="00A3122E"/>
    <w:rsid w:val="00A317B0"/>
    <w:rsid w:val="00A31BF6"/>
    <w:rsid w:val="00A34591"/>
    <w:rsid w:val="00A34E44"/>
    <w:rsid w:val="00A35B8F"/>
    <w:rsid w:val="00A35FE5"/>
    <w:rsid w:val="00A3640F"/>
    <w:rsid w:val="00A37ECF"/>
    <w:rsid w:val="00A40CE2"/>
    <w:rsid w:val="00A41F05"/>
    <w:rsid w:val="00A42FAE"/>
    <w:rsid w:val="00A43175"/>
    <w:rsid w:val="00A43553"/>
    <w:rsid w:val="00A47176"/>
    <w:rsid w:val="00A475C5"/>
    <w:rsid w:val="00A4768C"/>
    <w:rsid w:val="00A47E50"/>
    <w:rsid w:val="00A50A68"/>
    <w:rsid w:val="00A50D3B"/>
    <w:rsid w:val="00A50E38"/>
    <w:rsid w:val="00A510C6"/>
    <w:rsid w:val="00A518AA"/>
    <w:rsid w:val="00A525E7"/>
    <w:rsid w:val="00A52C60"/>
    <w:rsid w:val="00A52F9E"/>
    <w:rsid w:val="00A539ED"/>
    <w:rsid w:val="00A54658"/>
    <w:rsid w:val="00A55CC8"/>
    <w:rsid w:val="00A56348"/>
    <w:rsid w:val="00A5703F"/>
    <w:rsid w:val="00A570C8"/>
    <w:rsid w:val="00A57D39"/>
    <w:rsid w:val="00A60B95"/>
    <w:rsid w:val="00A61825"/>
    <w:rsid w:val="00A61E2D"/>
    <w:rsid w:val="00A6316B"/>
    <w:rsid w:val="00A633C6"/>
    <w:rsid w:val="00A65316"/>
    <w:rsid w:val="00A674FF"/>
    <w:rsid w:val="00A70F69"/>
    <w:rsid w:val="00A72113"/>
    <w:rsid w:val="00A72611"/>
    <w:rsid w:val="00A7312E"/>
    <w:rsid w:val="00A73ABB"/>
    <w:rsid w:val="00A751A1"/>
    <w:rsid w:val="00A7580A"/>
    <w:rsid w:val="00A76D2C"/>
    <w:rsid w:val="00A77746"/>
    <w:rsid w:val="00A806AA"/>
    <w:rsid w:val="00A8224E"/>
    <w:rsid w:val="00A83594"/>
    <w:rsid w:val="00A83BF6"/>
    <w:rsid w:val="00A84BAC"/>
    <w:rsid w:val="00A84CBA"/>
    <w:rsid w:val="00A85BA3"/>
    <w:rsid w:val="00A87B4F"/>
    <w:rsid w:val="00A87F31"/>
    <w:rsid w:val="00A90D27"/>
    <w:rsid w:val="00A9103B"/>
    <w:rsid w:val="00A91284"/>
    <w:rsid w:val="00A918A7"/>
    <w:rsid w:val="00A92871"/>
    <w:rsid w:val="00A950DA"/>
    <w:rsid w:val="00A955EB"/>
    <w:rsid w:val="00A9591E"/>
    <w:rsid w:val="00AA1F49"/>
    <w:rsid w:val="00AA3A2E"/>
    <w:rsid w:val="00AA4099"/>
    <w:rsid w:val="00AA4619"/>
    <w:rsid w:val="00AA4D5A"/>
    <w:rsid w:val="00AA6835"/>
    <w:rsid w:val="00AA688A"/>
    <w:rsid w:val="00AA6913"/>
    <w:rsid w:val="00AB00F3"/>
    <w:rsid w:val="00AB0650"/>
    <w:rsid w:val="00AB1D9C"/>
    <w:rsid w:val="00AB2190"/>
    <w:rsid w:val="00AB2CA0"/>
    <w:rsid w:val="00AB39EB"/>
    <w:rsid w:val="00AB3F27"/>
    <w:rsid w:val="00AB3FD9"/>
    <w:rsid w:val="00AB7DE7"/>
    <w:rsid w:val="00AC01D4"/>
    <w:rsid w:val="00AC03AB"/>
    <w:rsid w:val="00AC0650"/>
    <w:rsid w:val="00AC07E0"/>
    <w:rsid w:val="00AC1BE7"/>
    <w:rsid w:val="00AC1F02"/>
    <w:rsid w:val="00AC275F"/>
    <w:rsid w:val="00AC3ADE"/>
    <w:rsid w:val="00AC3EE4"/>
    <w:rsid w:val="00AC4D72"/>
    <w:rsid w:val="00AC50A4"/>
    <w:rsid w:val="00AC5647"/>
    <w:rsid w:val="00AC5A95"/>
    <w:rsid w:val="00AC6074"/>
    <w:rsid w:val="00AC6471"/>
    <w:rsid w:val="00AD05E4"/>
    <w:rsid w:val="00AD1751"/>
    <w:rsid w:val="00AD2B6E"/>
    <w:rsid w:val="00AD340D"/>
    <w:rsid w:val="00AD3443"/>
    <w:rsid w:val="00AD34F6"/>
    <w:rsid w:val="00AD3E9B"/>
    <w:rsid w:val="00AD4B3C"/>
    <w:rsid w:val="00AD5047"/>
    <w:rsid w:val="00AD66C0"/>
    <w:rsid w:val="00AD68A5"/>
    <w:rsid w:val="00AD73EF"/>
    <w:rsid w:val="00AD7E63"/>
    <w:rsid w:val="00AE147F"/>
    <w:rsid w:val="00AE185D"/>
    <w:rsid w:val="00AE1BFE"/>
    <w:rsid w:val="00AE22F5"/>
    <w:rsid w:val="00AE2E80"/>
    <w:rsid w:val="00AE3842"/>
    <w:rsid w:val="00AE3D83"/>
    <w:rsid w:val="00AE4374"/>
    <w:rsid w:val="00AE466A"/>
    <w:rsid w:val="00AE47E9"/>
    <w:rsid w:val="00AE485C"/>
    <w:rsid w:val="00AE7D4F"/>
    <w:rsid w:val="00AE7FE4"/>
    <w:rsid w:val="00AF0117"/>
    <w:rsid w:val="00AF17D3"/>
    <w:rsid w:val="00AF1D77"/>
    <w:rsid w:val="00AF1E50"/>
    <w:rsid w:val="00AF286A"/>
    <w:rsid w:val="00AF38BA"/>
    <w:rsid w:val="00AF4808"/>
    <w:rsid w:val="00AF4F67"/>
    <w:rsid w:val="00AF5811"/>
    <w:rsid w:val="00AF6509"/>
    <w:rsid w:val="00B00BBE"/>
    <w:rsid w:val="00B016C9"/>
    <w:rsid w:val="00B02F19"/>
    <w:rsid w:val="00B04449"/>
    <w:rsid w:val="00B0456E"/>
    <w:rsid w:val="00B06A05"/>
    <w:rsid w:val="00B06BF6"/>
    <w:rsid w:val="00B06F7F"/>
    <w:rsid w:val="00B100F0"/>
    <w:rsid w:val="00B13078"/>
    <w:rsid w:val="00B13E07"/>
    <w:rsid w:val="00B1402E"/>
    <w:rsid w:val="00B142FD"/>
    <w:rsid w:val="00B14865"/>
    <w:rsid w:val="00B1561B"/>
    <w:rsid w:val="00B16767"/>
    <w:rsid w:val="00B206A5"/>
    <w:rsid w:val="00B20B93"/>
    <w:rsid w:val="00B21A8C"/>
    <w:rsid w:val="00B21D50"/>
    <w:rsid w:val="00B229BE"/>
    <w:rsid w:val="00B22F9B"/>
    <w:rsid w:val="00B23747"/>
    <w:rsid w:val="00B23E0A"/>
    <w:rsid w:val="00B24090"/>
    <w:rsid w:val="00B257E3"/>
    <w:rsid w:val="00B260C7"/>
    <w:rsid w:val="00B27494"/>
    <w:rsid w:val="00B279B9"/>
    <w:rsid w:val="00B27BFD"/>
    <w:rsid w:val="00B304BF"/>
    <w:rsid w:val="00B307CA"/>
    <w:rsid w:val="00B30FD0"/>
    <w:rsid w:val="00B34F48"/>
    <w:rsid w:val="00B37F84"/>
    <w:rsid w:val="00B4117C"/>
    <w:rsid w:val="00B4151A"/>
    <w:rsid w:val="00B44A7E"/>
    <w:rsid w:val="00B45D1B"/>
    <w:rsid w:val="00B45DF2"/>
    <w:rsid w:val="00B47780"/>
    <w:rsid w:val="00B51BA0"/>
    <w:rsid w:val="00B535BD"/>
    <w:rsid w:val="00B53701"/>
    <w:rsid w:val="00B53910"/>
    <w:rsid w:val="00B539F7"/>
    <w:rsid w:val="00B5509D"/>
    <w:rsid w:val="00B56A26"/>
    <w:rsid w:val="00B56C5F"/>
    <w:rsid w:val="00B573E6"/>
    <w:rsid w:val="00B6110A"/>
    <w:rsid w:val="00B6176A"/>
    <w:rsid w:val="00B6301A"/>
    <w:rsid w:val="00B642FB"/>
    <w:rsid w:val="00B64799"/>
    <w:rsid w:val="00B64845"/>
    <w:rsid w:val="00B64CAD"/>
    <w:rsid w:val="00B651FA"/>
    <w:rsid w:val="00B66751"/>
    <w:rsid w:val="00B66B7C"/>
    <w:rsid w:val="00B66CD7"/>
    <w:rsid w:val="00B67AA6"/>
    <w:rsid w:val="00B7066C"/>
    <w:rsid w:val="00B717D8"/>
    <w:rsid w:val="00B718E0"/>
    <w:rsid w:val="00B72DF3"/>
    <w:rsid w:val="00B74146"/>
    <w:rsid w:val="00B747A3"/>
    <w:rsid w:val="00B750D3"/>
    <w:rsid w:val="00B753D3"/>
    <w:rsid w:val="00B75A27"/>
    <w:rsid w:val="00B75E52"/>
    <w:rsid w:val="00B76F6C"/>
    <w:rsid w:val="00B8080B"/>
    <w:rsid w:val="00B811EF"/>
    <w:rsid w:val="00B81407"/>
    <w:rsid w:val="00B81568"/>
    <w:rsid w:val="00B82740"/>
    <w:rsid w:val="00B8310D"/>
    <w:rsid w:val="00B831B9"/>
    <w:rsid w:val="00B8431A"/>
    <w:rsid w:val="00B85791"/>
    <w:rsid w:val="00B86EF1"/>
    <w:rsid w:val="00B87671"/>
    <w:rsid w:val="00B90487"/>
    <w:rsid w:val="00B90674"/>
    <w:rsid w:val="00B91F77"/>
    <w:rsid w:val="00B91FFF"/>
    <w:rsid w:val="00B934E3"/>
    <w:rsid w:val="00B93CCF"/>
    <w:rsid w:val="00B94323"/>
    <w:rsid w:val="00B94444"/>
    <w:rsid w:val="00B9566B"/>
    <w:rsid w:val="00B95F92"/>
    <w:rsid w:val="00B961B7"/>
    <w:rsid w:val="00B963D4"/>
    <w:rsid w:val="00B975C8"/>
    <w:rsid w:val="00B9772B"/>
    <w:rsid w:val="00BA1C01"/>
    <w:rsid w:val="00BA2DEF"/>
    <w:rsid w:val="00BA35F2"/>
    <w:rsid w:val="00BA42FB"/>
    <w:rsid w:val="00BA4768"/>
    <w:rsid w:val="00BA4861"/>
    <w:rsid w:val="00BA4A92"/>
    <w:rsid w:val="00BA516F"/>
    <w:rsid w:val="00BA628C"/>
    <w:rsid w:val="00BA7059"/>
    <w:rsid w:val="00BB0051"/>
    <w:rsid w:val="00BB02C6"/>
    <w:rsid w:val="00BB0EB7"/>
    <w:rsid w:val="00BB1082"/>
    <w:rsid w:val="00BB2127"/>
    <w:rsid w:val="00BB3805"/>
    <w:rsid w:val="00BB4109"/>
    <w:rsid w:val="00BB4589"/>
    <w:rsid w:val="00BB52A5"/>
    <w:rsid w:val="00BB5893"/>
    <w:rsid w:val="00BB6740"/>
    <w:rsid w:val="00BB7EA1"/>
    <w:rsid w:val="00BB7EDA"/>
    <w:rsid w:val="00BB7F81"/>
    <w:rsid w:val="00BC045B"/>
    <w:rsid w:val="00BC2059"/>
    <w:rsid w:val="00BC261E"/>
    <w:rsid w:val="00BC269B"/>
    <w:rsid w:val="00BC27D2"/>
    <w:rsid w:val="00BC299D"/>
    <w:rsid w:val="00BC44BA"/>
    <w:rsid w:val="00BC4D71"/>
    <w:rsid w:val="00BC5C65"/>
    <w:rsid w:val="00BC69D9"/>
    <w:rsid w:val="00BC6D0F"/>
    <w:rsid w:val="00BD085F"/>
    <w:rsid w:val="00BD35E1"/>
    <w:rsid w:val="00BD3A56"/>
    <w:rsid w:val="00BD54FC"/>
    <w:rsid w:val="00BD63C3"/>
    <w:rsid w:val="00BD67CE"/>
    <w:rsid w:val="00BD76A4"/>
    <w:rsid w:val="00BE0186"/>
    <w:rsid w:val="00BE1C8A"/>
    <w:rsid w:val="00BE2069"/>
    <w:rsid w:val="00BE4857"/>
    <w:rsid w:val="00BE5847"/>
    <w:rsid w:val="00BE5BE0"/>
    <w:rsid w:val="00BE5D1D"/>
    <w:rsid w:val="00BE697B"/>
    <w:rsid w:val="00BE70E8"/>
    <w:rsid w:val="00BF0E76"/>
    <w:rsid w:val="00BF19DC"/>
    <w:rsid w:val="00BF2B3E"/>
    <w:rsid w:val="00BF2DAF"/>
    <w:rsid w:val="00BF2F39"/>
    <w:rsid w:val="00BF4E1B"/>
    <w:rsid w:val="00BF56C5"/>
    <w:rsid w:val="00BF5AB9"/>
    <w:rsid w:val="00BF79A3"/>
    <w:rsid w:val="00BF7A36"/>
    <w:rsid w:val="00C01083"/>
    <w:rsid w:val="00C041D5"/>
    <w:rsid w:val="00C044F7"/>
    <w:rsid w:val="00C0480F"/>
    <w:rsid w:val="00C04C9A"/>
    <w:rsid w:val="00C05E12"/>
    <w:rsid w:val="00C06A2F"/>
    <w:rsid w:val="00C1043C"/>
    <w:rsid w:val="00C10D90"/>
    <w:rsid w:val="00C12A51"/>
    <w:rsid w:val="00C12C65"/>
    <w:rsid w:val="00C12CD1"/>
    <w:rsid w:val="00C1591E"/>
    <w:rsid w:val="00C15EDD"/>
    <w:rsid w:val="00C173EE"/>
    <w:rsid w:val="00C20D36"/>
    <w:rsid w:val="00C21038"/>
    <w:rsid w:val="00C2286B"/>
    <w:rsid w:val="00C2396B"/>
    <w:rsid w:val="00C26865"/>
    <w:rsid w:val="00C26E4B"/>
    <w:rsid w:val="00C2785F"/>
    <w:rsid w:val="00C3075C"/>
    <w:rsid w:val="00C309E2"/>
    <w:rsid w:val="00C30BA6"/>
    <w:rsid w:val="00C31467"/>
    <w:rsid w:val="00C31F71"/>
    <w:rsid w:val="00C3228C"/>
    <w:rsid w:val="00C32E6D"/>
    <w:rsid w:val="00C33B06"/>
    <w:rsid w:val="00C33CB1"/>
    <w:rsid w:val="00C33F0C"/>
    <w:rsid w:val="00C34CCB"/>
    <w:rsid w:val="00C34D57"/>
    <w:rsid w:val="00C35515"/>
    <w:rsid w:val="00C3564F"/>
    <w:rsid w:val="00C35807"/>
    <w:rsid w:val="00C35A4B"/>
    <w:rsid w:val="00C36696"/>
    <w:rsid w:val="00C36720"/>
    <w:rsid w:val="00C36777"/>
    <w:rsid w:val="00C36FA8"/>
    <w:rsid w:val="00C37518"/>
    <w:rsid w:val="00C37F00"/>
    <w:rsid w:val="00C421C9"/>
    <w:rsid w:val="00C42A27"/>
    <w:rsid w:val="00C42A3A"/>
    <w:rsid w:val="00C42D47"/>
    <w:rsid w:val="00C437C6"/>
    <w:rsid w:val="00C4517F"/>
    <w:rsid w:val="00C451D1"/>
    <w:rsid w:val="00C45232"/>
    <w:rsid w:val="00C46646"/>
    <w:rsid w:val="00C46AA1"/>
    <w:rsid w:val="00C46E94"/>
    <w:rsid w:val="00C4704E"/>
    <w:rsid w:val="00C4713F"/>
    <w:rsid w:val="00C5090C"/>
    <w:rsid w:val="00C51509"/>
    <w:rsid w:val="00C51CC2"/>
    <w:rsid w:val="00C52097"/>
    <w:rsid w:val="00C52BA5"/>
    <w:rsid w:val="00C52F47"/>
    <w:rsid w:val="00C53323"/>
    <w:rsid w:val="00C53F9A"/>
    <w:rsid w:val="00C5400B"/>
    <w:rsid w:val="00C54D8C"/>
    <w:rsid w:val="00C55296"/>
    <w:rsid w:val="00C55398"/>
    <w:rsid w:val="00C56828"/>
    <w:rsid w:val="00C56AF6"/>
    <w:rsid w:val="00C56F43"/>
    <w:rsid w:val="00C56F74"/>
    <w:rsid w:val="00C57493"/>
    <w:rsid w:val="00C605E6"/>
    <w:rsid w:val="00C611C5"/>
    <w:rsid w:val="00C64533"/>
    <w:rsid w:val="00C64693"/>
    <w:rsid w:val="00C64D07"/>
    <w:rsid w:val="00C66CEF"/>
    <w:rsid w:val="00C670FE"/>
    <w:rsid w:val="00C6758A"/>
    <w:rsid w:val="00C70DE0"/>
    <w:rsid w:val="00C71087"/>
    <w:rsid w:val="00C71E3C"/>
    <w:rsid w:val="00C73C17"/>
    <w:rsid w:val="00C75492"/>
    <w:rsid w:val="00C76F93"/>
    <w:rsid w:val="00C77037"/>
    <w:rsid w:val="00C77C78"/>
    <w:rsid w:val="00C8146C"/>
    <w:rsid w:val="00C8151F"/>
    <w:rsid w:val="00C81EEC"/>
    <w:rsid w:val="00C8231E"/>
    <w:rsid w:val="00C846DD"/>
    <w:rsid w:val="00C84913"/>
    <w:rsid w:val="00C85CA6"/>
    <w:rsid w:val="00C85E3F"/>
    <w:rsid w:val="00C8658F"/>
    <w:rsid w:val="00C873DA"/>
    <w:rsid w:val="00C90A7F"/>
    <w:rsid w:val="00C9147E"/>
    <w:rsid w:val="00C925ED"/>
    <w:rsid w:val="00C9339F"/>
    <w:rsid w:val="00C93AA9"/>
    <w:rsid w:val="00C95976"/>
    <w:rsid w:val="00C96618"/>
    <w:rsid w:val="00C96A10"/>
    <w:rsid w:val="00C9753B"/>
    <w:rsid w:val="00CA0C87"/>
    <w:rsid w:val="00CA19CD"/>
    <w:rsid w:val="00CA1F28"/>
    <w:rsid w:val="00CA20F3"/>
    <w:rsid w:val="00CA2747"/>
    <w:rsid w:val="00CA2BE4"/>
    <w:rsid w:val="00CA4A62"/>
    <w:rsid w:val="00CA561E"/>
    <w:rsid w:val="00CA5B58"/>
    <w:rsid w:val="00CA659E"/>
    <w:rsid w:val="00CA6702"/>
    <w:rsid w:val="00CA6A39"/>
    <w:rsid w:val="00CA7DAD"/>
    <w:rsid w:val="00CB0E83"/>
    <w:rsid w:val="00CB23DD"/>
    <w:rsid w:val="00CB2757"/>
    <w:rsid w:val="00CB2FE7"/>
    <w:rsid w:val="00CB3623"/>
    <w:rsid w:val="00CB3B57"/>
    <w:rsid w:val="00CB42AE"/>
    <w:rsid w:val="00CB4586"/>
    <w:rsid w:val="00CB5100"/>
    <w:rsid w:val="00CB6768"/>
    <w:rsid w:val="00CB768F"/>
    <w:rsid w:val="00CC0848"/>
    <w:rsid w:val="00CC17DB"/>
    <w:rsid w:val="00CC20D5"/>
    <w:rsid w:val="00CC2CF9"/>
    <w:rsid w:val="00CC2F01"/>
    <w:rsid w:val="00CC5661"/>
    <w:rsid w:val="00CC586C"/>
    <w:rsid w:val="00CC5BCB"/>
    <w:rsid w:val="00CC6064"/>
    <w:rsid w:val="00CC6453"/>
    <w:rsid w:val="00CD2D8A"/>
    <w:rsid w:val="00CD31EA"/>
    <w:rsid w:val="00CD4B6F"/>
    <w:rsid w:val="00CD5817"/>
    <w:rsid w:val="00CD692F"/>
    <w:rsid w:val="00CE0392"/>
    <w:rsid w:val="00CE184D"/>
    <w:rsid w:val="00CE2303"/>
    <w:rsid w:val="00CE2604"/>
    <w:rsid w:val="00CE2A86"/>
    <w:rsid w:val="00CE2E59"/>
    <w:rsid w:val="00CE34B8"/>
    <w:rsid w:val="00CE392B"/>
    <w:rsid w:val="00CE4390"/>
    <w:rsid w:val="00CE46E3"/>
    <w:rsid w:val="00CE5481"/>
    <w:rsid w:val="00CE5866"/>
    <w:rsid w:val="00CE5FEF"/>
    <w:rsid w:val="00CF003F"/>
    <w:rsid w:val="00CF0045"/>
    <w:rsid w:val="00CF019D"/>
    <w:rsid w:val="00CF7194"/>
    <w:rsid w:val="00CF744B"/>
    <w:rsid w:val="00CF74AE"/>
    <w:rsid w:val="00CF75E6"/>
    <w:rsid w:val="00CF7C90"/>
    <w:rsid w:val="00CF7EA0"/>
    <w:rsid w:val="00D00393"/>
    <w:rsid w:val="00D00600"/>
    <w:rsid w:val="00D00A29"/>
    <w:rsid w:val="00D02612"/>
    <w:rsid w:val="00D02DE8"/>
    <w:rsid w:val="00D0329F"/>
    <w:rsid w:val="00D041D1"/>
    <w:rsid w:val="00D04372"/>
    <w:rsid w:val="00D04ADB"/>
    <w:rsid w:val="00D04F9C"/>
    <w:rsid w:val="00D05DB1"/>
    <w:rsid w:val="00D06299"/>
    <w:rsid w:val="00D07781"/>
    <w:rsid w:val="00D10294"/>
    <w:rsid w:val="00D1045D"/>
    <w:rsid w:val="00D133AA"/>
    <w:rsid w:val="00D13B0B"/>
    <w:rsid w:val="00D13CCF"/>
    <w:rsid w:val="00D14CF7"/>
    <w:rsid w:val="00D154E4"/>
    <w:rsid w:val="00D1576E"/>
    <w:rsid w:val="00D15943"/>
    <w:rsid w:val="00D15BBC"/>
    <w:rsid w:val="00D15E67"/>
    <w:rsid w:val="00D170C5"/>
    <w:rsid w:val="00D17767"/>
    <w:rsid w:val="00D17F09"/>
    <w:rsid w:val="00D2057B"/>
    <w:rsid w:val="00D20ABB"/>
    <w:rsid w:val="00D21955"/>
    <w:rsid w:val="00D24AEE"/>
    <w:rsid w:val="00D25315"/>
    <w:rsid w:val="00D26A33"/>
    <w:rsid w:val="00D27CA4"/>
    <w:rsid w:val="00D27D4C"/>
    <w:rsid w:val="00D3073E"/>
    <w:rsid w:val="00D30EC2"/>
    <w:rsid w:val="00D31676"/>
    <w:rsid w:val="00D316C8"/>
    <w:rsid w:val="00D337D5"/>
    <w:rsid w:val="00D33FB9"/>
    <w:rsid w:val="00D34817"/>
    <w:rsid w:val="00D3504E"/>
    <w:rsid w:val="00D365BB"/>
    <w:rsid w:val="00D36F8C"/>
    <w:rsid w:val="00D3795A"/>
    <w:rsid w:val="00D37AB5"/>
    <w:rsid w:val="00D404D9"/>
    <w:rsid w:val="00D40C74"/>
    <w:rsid w:val="00D43282"/>
    <w:rsid w:val="00D43EA4"/>
    <w:rsid w:val="00D44508"/>
    <w:rsid w:val="00D44776"/>
    <w:rsid w:val="00D476E4"/>
    <w:rsid w:val="00D47810"/>
    <w:rsid w:val="00D50FB8"/>
    <w:rsid w:val="00D5128E"/>
    <w:rsid w:val="00D52FD0"/>
    <w:rsid w:val="00D535E4"/>
    <w:rsid w:val="00D53C9E"/>
    <w:rsid w:val="00D53D9D"/>
    <w:rsid w:val="00D54385"/>
    <w:rsid w:val="00D606D9"/>
    <w:rsid w:val="00D61591"/>
    <w:rsid w:val="00D6259C"/>
    <w:rsid w:val="00D63630"/>
    <w:rsid w:val="00D63B91"/>
    <w:rsid w:val="00D64A4A"/>
    <w:rsid w:val="00D657C5"/>
    <w:rsid w:val="00D659F7"/>
    <w:rsid w:val="00D6679C"/>
    <w:rsid w:val="00D66B09"/>
    <w:rsid w:val="00D67C3D"/>
    <w:rsid w:val="00D72F5D"/>
    <w:rsid w:val="00D7309F"/>
    <w:rsid w:val="00D7370C"/>
    <w:rsid w:val="00D73EE6"/>
    <w:rsid w:val="00D742D2"/>
    <w:rsid w:val="00D744DC"/>
    <w:rsid w:val="00D74556"/>
    <w:rsid w:val="00D7552E"/>
    <w:rsid w:val="00D75CF7"/>
    <w:rsid w:val="00D75F59"/>
    <w:rsid w:val="00D76810"/>
    <w:rsid w:val="00D776C3"/>
    <w:rsid w:val="00D80153"/>
    <w:rsid w:val="00D80500"/>
    <w:rsid w:val="00D814BC"/>
    <w:rsid w:val="00D81AC7"/>
    <w:rsid w:val="00D83E45"/>
    <w:rsid w:val="00D842C5"/>
    <w:rsid w:val="00D842CD"/>
    <w:rsid w:val="00D8495C"/>
    <w:rsid w:val="00D8574A"/>
    <w:rsid w:val="00D86737"/>
    <w:rsid w:val="00D8696A"/>
    <w:rsid w:val="00D90419"/>
    <w:rsid w:val="00D90551"/>
    <w:rsid w:val="00D90F5A"/>
    <w:rsid w:val="00D9153B"/>
    <w:rsid w:val="00D9160A"/>
    <w:rsid w:val="00D9193A"/>
    <w:rsid w:val="00D95903"/>
    <w:rsid w:val="00D95D78"/>
    <w:rsid w:val="00DA0810"/>
    <w:rsid w:val="00DA12D6"/>
    <w:rsid w:val="00DA37B7"/>
    <w:rsid w:val="00DA3FCE"/>
    <w:rsid w:val="00DA4B42"/>
    <w:rsid w:val="00DA57DA"/>
    <w:rsid w:val="00DA7865"/>
    <w:rsid w:val="00DB0673"/>
    <w:rsid w:val="00DB2BE7"/>
    <w:rsid w:val="00DB40EF"/>
    <w:rsid w:val="00DB4203"/>
    <w:rsid w:val="00DB428C"/>
    <w:rsid w:val="00DB6B88"/>
    <w:rsid w:val="00DB6CCB"/>
    <w:rsid w:val="00DB7CA1"/>
    <w:rsid w:val="00DC094F"/>
    <w:rsid w:val="00DC24B5"/>
    <w:rsid w:val="00DC25DA"/>
    <w:rsid w:val="00DC410C"/>
    <w:rsid w:val="00DC4325"/>
    <w:rsid w:val="00DC4915"/>
    <w:rsid w:val="00DC4C59"/>
    <w:rsid w:val="00DC5149"/>
    <w:rsid w:val="00DC5B77"/>
    <w:rsid w:val="00DC5D9A"/>
    <w:rsid w:val="00DC68E1"/>
    <w:rsid w:val="00DC7FCE"/>
    <w:rsid w:val="00DD0452"/>
    <w:rsid w:val="00DD1663"/>
    <w:rsid w:val="00DD1B88"/>
    <w:rsid w:val="00DD334C"/>
    <w:rsid w:val="00DD34F8"/>
    <w:rsid w:val="00DD3C08"/>
    <w:rsid w:val="00DE0476"/>
    <w:rsid w:val="00DE1189"/>
    <w:rsid w:val="00DE17DE"/>
    <w:rsid w:val="00DE1B2F"/>
    <w:rsid w:val="00DE1C5A"/>
    <w:rsid w:val="00DE2AAC"/>
    <w:rsid w:val="00DE3889"/>
    <w:rsid w:val="00DE5E04"/>
    <w:rsid w:val="00DE6634"/>
    <w:rsid w:val="00DE7872"/>
    <w:rsid w:val="00DF1125"/>
    <w:rsid w:val="00DF2088"/>
    <w:rsid w:val="00DF22E5"/>
    <w:rsid w:val="00DF27AC"/>
    <w:rsid w:val="00DF28E7"/>
    <w:rsid w:val="00DF2FD1"/>
    <w:rsid w:val="00DF3441"/>
    <w:rsid w:val="00DF399A"/>
    <w:rsid w:val="00DF39FB"/>
    <w:rsid w:val="00DF447B"/>
    <w:rsid w:val="00DF4DCA"/>
    <w:rsid w:val="00DF6035"/>
    <w:rsid w:val="00DF6280"/>
    <w:rsid w:val="00DF7B14"/>
    <w:rsid w:val="00DF7B16"/>
    <w:rsid w:val="00E00009"/>
    <w:rsid w:val="00E01EF4"/>
    <w:rsid w:val="00E022B9"/>
    <w:rsid w:val="00E02A90"/>
    <w:rsid w:val="00E02CF2"/>
    <w:rsid w:val="00E035EE"/>
    <w:rsid w:val="00E04947"/>
    <w:rsid w:val="00E064D9"/>
    <w:rsid w:val="00E069F7"/>
    <w:rsid w:val="00E06C35"/>
    <w:rsid w:val="00E0710D"/>
    <w:rsid w:val="00E07F71"/>
    <w:rsid w:val="00E101C6"/>
    <w:rsid w:val="00E10317"/>
    <w:rsid w:val="00E10658"/>
    <w:rsid w:val="00E114D8"/>
    <w:rsid w:val="00E116ED"/>
    <w:rsid w:val="00E1256E"/>
    <w:rsid w:val="00E1347F"/>
    <w:rsid w:val="00E13DD9"/>
    <w:rsid w:val="00E1621B"/>
    <w:rsid w:val="00E16BC4"/>
    <w:rsid w:val="00E21114"/>
    <w:rsid w:val="00E22B84"/>
    <w:rsid w:val="00E22E30"/>
    <w:rsid w:val="00E25363"/>
    <w:rsid w:val="00E25E8A"/>
    <w:rsid w:val="00E26045"/>
    <w:rsid w:val="00E26BDB"/>
    <w:rsid w:val="00E26DF9"/>
    <w:rsid w:val="00E27298"/>
    <w:rsid w:val="00E27304"/>
    <w:rsid w:val="00E304D5"/>
    <w:rsid w:val="00E30CC7"/>
    <w:rsid w:val="00E328AA"/>
    <w:rsid w:val="00E33084"/>
    <w:rsid w:val="00E337F5"/>
    <w:rsid w:val="00E339E4"/>
    <w:rsid w:val="00E34EBC"/>
    <w:rsid w:val="00E3529F"/>
    <w:rsid w:val="00E352D0"/>
    <w:rsid w:val="00E37211"/>
    <w:rsid w:val="00E37848"/>
    <w:rsid w:val="00E4034D"/>
    <w:rsid w:val="00E404B3"/>
    <w:rsid w:val="00E41EE7"/>
    <w:rsid w:val="00E42084"/>
    <w:rsid w:val="00E44854"/>
    <w:rsid w:val="00E4540D"/>
    <w:rsid w:val="00E456B3"/>
    <w:rsid w:val="00E46CA7"/>
    <w:rsid w:val="00E47C56"/>
    <w:rsid w:val="00E50B82"/>
    <w:rsid w:val="00E5135E"/>
    <w:rsid w:val="00E51630"/>
    <w:rsid w:val="00E542AD"/>
    <w:rsid w:val="00E543FB"/>
    <w:rsid w:val="00E552CC"/>
    <w:rsid w:val="00E55808"/>
    <w:rsid w:val="00E559EA"/>
    <w:rsid w:val="00E55EFC"/>
    <w:rsid w:val="00E5696D"/>
    <w:rsid w:val="00E56C91"/>
    <w:rsid w:val="00E56E45"/>
    <w:rsid w:val="00E6161C"/>
    <w:rsid w:val="00E62DEC"/>
    <w:rsid w:val="00E63233"/>
    <w:rsid w:val="00E63CAE"/>
    <w:rsid w:val="00E63FE6"/>
    <w:rsid w:val="00E65960"/>
    <w:rsid w:val="00E65F8A"/>
    <w:rsid w:val="00E66ECB"/>
    <w:rsid w:val="00E67486"/>
    <w:rsid w:val="00E7055E"/>
    <w:rsid w:val="00E71139"/>
    <w:rsid w:val="00E727CE"/>
    <w:rsid w:val="00E73D84"/>
    <w:rsid w:val="00E749E1"/>
    <w:rsid w:val="00E8007A"/>
    <w:rsid w:val="00E803C0"/>
    <w:rsid w:val="00E80578"/>
    <w:rsid w:val="00E80B43"/>
    <w:rsid w:val="00E82872"/>
    <w:rsid w:val="00E833CB"/>
    <w:rsid w:val="00E83995"/>
    <w:rsid w:val="00E83CBA"/>
    <w:rsid w:val="00E83D2E"/>
    <w:rsid w:val="00E83FB2"/>
    <w:rsid w:val="00E844D4"/>
    <w:rsid w:val="00E85FEA"/>
    <w:rsid w:val="00E90615"/>
    <w:rsid w:val="00E916E6"/>
    <w:rsid w:val="00E91FE0"/>
    <w:rsid w:val="00E95AC2"/>
    <w:rsid w:val="00E97167"/>
    <w:rsid w:val="00E97787"/>
    <w:rsid w:val="00E97DBB"/>
    <w:rsid w:val="00EA0169"/>
    <w:rsid w:val="00EA093A"/>
    <w:rsid w:val="00EA3781"/>
    <w:rsid w:val="00EA4040"/>
    <w:rsid w:val="00EA49D7"/>
    <w:rsid w:val="00EA5017"/>
    <w:rsid w:val="00EA5023"/>
    <w:rsid w:val="00EA7061"/>
    <w:rsid w:val="00EA74ED"/>
    <w:rsid w:val="00EA7C5B"/>
    <w:rsid w:val="00EB13FE"/>
    <w:rsid w:val="00EB254B"/>
    <w:rsid w:val="00EB25FC"/>
    <w:rsid w:val="00EB2A8B"/>
    <w:rsid w:val="00EB39F1"/>
    <w:rsid w:val="00EB3F53"/>
    <w:rsid w:val="00EB406A"/>
    <w:rsid w:val="00EB460F"/>
    <w:rsid w:val="00EB472E"/>
    <w:rsid w:val="00EB5434"/>
    <w:rsid w:val="00EB5D6C"/>
    <w:rsid w:val="00EB6A9B"/>
    <w:rsid w:val="00EB76D6"/>
    <w:rsid w:val="00EB7770"/>
    <w:rsid w:val="00EC0178"/>
    <w:rsid w:val="00EC049F"/>
    <w:rsid w:val="00EC11E3"/>
    <w:rsid w:val="00EC12B4"/>
    <w:rsid w:val="00EC2011"/>
    <w:rsid w:val="00EC5B41"/>
    <w:rsid w:val="00ED024E"/>
    <w:rsid w:val="00ED0615"/>
    <w:rsid w:val="00ED194C"/>
    <w:rsid w:val="00ED2C26"/>
    <w:rsid w:val="00ED3898"/>
    <w:rsid w:val="00ED38BF"/>
    <w:rsid w:val="00ED5DB2"/>
    <w:rsid w:val="00ED5EC2"/>
    <w:rsid w:val="00ED769A"/>
    <w:rsid w:val="00ED7816"/>
    <w:rsid w:val="00EE009D"/>
    <w:rsid w:val="00EE0A9C"/>
    <w:rsid w:val="00EE0DF2"/>
    <w:rsid w:val="00EE1124"/>
    <w:rsid w:val="00EE21DD"/>
    <w:rsid w:val="00EE4131"/>
    <w:rsid w:val="00EE56DF"/>
    <w:rsid w:val="00EE587F"/>
    <w:rsid w:val="00EE5ED7"/>
    <w:rsid w:val="00EE64CC"/>
    <w:rsid w:val="00EE6A4E"/>
    <w:rsid w:val="00EE6D6B"/>
    <w:rsid w:val="00EE70C7"/>
    <w:rsid w:val="00EF1A24"/>
    <w:rsid w:val="00EF1BF1"/>
    <w:rsid w:val="00EF35FC"/>
    <w:rsid w:val="00EF4E5D"/>
    <w:rsid w:val="00EF559D"/>
    <w:rsid w:val="00EF5716"/>
    <w:rsid w:val="00EF71E1"/>
    <w:rsid w:val="00EF794C"/>
    <w:rsid w:val="00F003B9"/>
    <w:rsid w:val="00F01BD5"/>
    <w:rsid w:val="00F024E3"/>
    <w:rsid w:val="00F0264E"/>
    <w:rsid w:val="00F02815"/>
    <w:rsid w:val="00F041B2"/>
    <w:rsid w:val="00F0505F"/>
    <w:rsid w:val="00F0542A"/>
    <w:rsid w:val="00F05EAF"/>
    <w:rsid w:val="00F0656F"/>
    <w:rsid w:val="00F069F3"/>
    <w:rsid w:val="00F06D7C"/>
    <w:rsid w:val="00F079F3"/>
    <w:rsid w:val="00F1049D"/>
    <w:rsid w:val="00F119F0"/>
    <w:rsid w:val="00F147FD"/>
    <w:rsid w:val="00F1559F"/>
    <w:rsid w:val="00F15C8C"/>
    <w:rsid w:val="00F15FC1"/>
    <w:rsid w:val="00F166CE"/>
    <w:rsid w:val="00F16D07"/>
    <w:rsid w:val="00F17762"/>
    <w:rsid w:val="00F20A43"/>
    <w:rsid w:val="00F23C5A"/>
    <w:rsid w:val="00F23E91"/>
    <w:rsid w:val="00F24F77"/>
    <w:rsid w:val="00F261BC"/>
    <w:rsid w:val="00F277D4"/>
    <w:rsid w:val="00F30466"/>
    <w:rsid w:val="00F30A57"/>
    <w:rsid w:val="00F30A70"/>
    <w:rsid w:val="00F31104"/>
    <w:rsid w:val="00F31D17"/>
    <w:rsid w:val="00F33E65"/>
    <w:rsid w:val="00F3432C"/>
    <w:rsid w:val="00F34E93"/>
    <w:rsid w:val="00F358F0"/>
    <w:rsid w:val="00F43EAB"/>
    <w:rsid w:val="00F43F5A"/>
    <w:rsid w:val="00F44511"/>
    <w:rsid w:val="00F4474B"/>
    <w:rsid w:val="00F44FCF"/>
    <w:rsid w:val="00F45197"/>
    <w:rsid w:val="00F45708"/>
    <w:rsid w:val="00F475FD"/>
    <w:rsid w:val="00F47E77"/>
    <w:rsid w:val="00F5097D"/>
    <w:rsid w:val="00F513E5"/>
    <w:rsid w:val="00F5219B"/>
    <w:rsid w:val="00F527A6"/>
    <w:rsid w:val="00F53138"/>
    <w:rsid w:val="00F534C0"/>
    <w:rsid w:val="00F54930"/>
    <w:rsid w:val="00F5523B"/>
    <w:rsid w:val="00F561ED"/>
    <w:rsid w:val="00F57FBE"/>
    <w:rsid w:val="00F623B6"/>
    <w:rsid w:val="00F6280F"/>
    <w:rsid w:val="00F62819"/>
    <w:rsid w:val="00F6394B"/>
    <w:rsid w:val="00F642FE"/>
    <w:rsid w:val="00F6481F"/>
    <w:rsid w:val="00F65BD0"/>
    <w:rsid w:val="00F660D6"/>
    <w:rsid w:val="00F6653B"/>
    <w:rsid w:val="00F67170"/>
    <w:rsid w:val="00F67B1D"/>
    <w:rsid w:val="00F708D9"/>
    <w:rsid w:val="00F70F76"/>
    <w:rsid w:val="00F720FB"/>
    <w:rsid w:val="00F721C2"/>
    <w:rsid w:val="00F73DFB"/>
    <w:rsid w:val="00F74ABC"/>
    <w:rsid w:val="00F7715E"/>
    <w:rsid w:val="00F80602"/>
    <w:rsid w:val="00F81376"/>
    <w:rsid w:val="00F814DF"/>
    <w:rsid w:val="00F81E48"/>
    <w:rsid w:val="00F82E1F"/>
    <w:rsid w:val="00F83849"/>
    <w:rsid w:val="00F83AF1"/>
    <w:rsid w:val="00F8489E"/>
    <w:rsid w:val="00F84C20"/>
    <w:rsid w:val="00F85D2B"/>
    <w:rsid w:val="00F87614"/>
    <w:rsid w:val="00F87F8F"/>
    <w:rsid w:val="00F91FFB"/>
    <w:rsid w:val="00F92112"/>
    <w:rsid w:val="00F9230A"/>
    <w:rsid w:val="00F92366"/>
    <w:rsid w:val="00F92753"/>
    <w:rsid w:val="00F9598E"/>
    <w:rsid w:val="00F96B32"/>
    <w:rsid w:val="00F9735A"/>
    <w:rsid w:val="00FA39C1"/>
    <w:rsid w:val="00FA42F4"/>
    <w:rsid w:val="00FA4EBA"/>
    <w:rsid w:val="00FA6502"/>
    <w:rsid w:val="00FA6AFC"/>
    <w:rsid w:val="00FA7B72"/>
    <w:rsid w:val="00FB0139"/>
    <w:rsid w:val="00FB0730"/>
    <w:rsid w:val="00FB0BC1"/>
    <w:rsid w:val="00FB14A0"/>
    <w:rsid w:val="00FB34A3"/>
    <w:rsid w:val="00FB3939"/>
    <w:rsid w:val="00FB3EF1"/>
    <w:rsid w:val="00FB4E2A"/>
    <w:rsid w:val="00FB4E4A"/>
    <w:rsid w:val="00FB6D3A"/>
    <w:rsid w:val="00FB760E"/>
    <w:rsid w:val="00FB7924"/>
    <w:rsid w:val="00FB7B83"/>
    <w:rsid w:val="00FB7F35"/>
    <w:rsid w:val="00FC11D6"/>
    <w:rsid w:val="00FC1D04"/>
    <w:rsid w:val="00FC3F63"/>
    <w:rsid w:val="00FC48DD"/>
    <w:rsid w:val="00FC569E"/>
    <w:rsid w:val="00FC67E5"/>
    <w:rsid w:val="00FC6BFF"/>
    <w:rsid w:val="00FC7B5F"/>
    <w:rsid w:val="00FD04EB"/>
    <w:rsid w:val="00FD0A9B"/>
    <w:rsid w:val="00FD1036"/>
    <w:rsid w:val="00FD1062"/>
    <w:rsid w:val="00FD131D"/>
    <w:rsid w:val="00FD1865"/>
    <w:rsid w:val="00FD1BE6"/>
    <w:rsid w:val="00FD1EE1"/>
    <w:rsid w:val="00FD3049"/>
    <w:rsid w:val="00FD3151"/>
    <w:rsid w:val="00FD5177"/>
    <w:rsid w:val="00FD5398"/>
    <w:rsid w:val="00FD6A47"/>
    <w:rsid w:val="00FE0E12"/>
    <w:rsid w:val="00FE1C6F"/>
    <w:rsid w:val="00FE35E1"/>
    <w:rsid w:val="00FE3AFC"/>
    <w:rsid w:val="00FE4D5E"/>
    <w:rsid w:val="00FE6D86"/>
    <w:rsid w:val="00FE7385"/>
    <w:rsid w:val="00FE7FB0"/>
    <w:rsid w:val="00FF0DA7"/>
    <w:rsid w:val="00FF252B"/>
    <w:rsid w:val="00FF290C"/>
    <w:rsid w:val="00FF3276"/>
    <w:rsid w:val="00FF4397"/>
    <w:rsid w:val="00FF50BA"/>
    <w:rsid w:val="00FF5B26"/>
    <w:rsid w:val="00FF69CB"/>
    <w:rsid w:val="00FF7DE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440D39D"/>
  <w15:docId w15:val="{968918DC-DBDC-430F-8C5E-64FA706A0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53B"/>
    <w:rPr>
      <w:lang w:val="en-US"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qFormat/>
    <w:rsid w:val="00D9153B"/>
    <w:pPr>
      <w:keepNext/>
      <w:jc w:val="center"/>
      <w:outlineLvl w:val="1"/>
    </w:pPr>
    <w:rPr>
      <w:rFonts w:ascii="Arial" w:hAnsi="Arial"/>
      <w:b/>
      <w:sz w:val="28"/>
    </w:rPr>
  </w:style>
  <w:style w:type="paragraph" w:styleId="Heading3">
    <w:name w:val="heading 3"/>
    <w:basedOn w:val="Normal"/>
    <w:next w:val="Normal"/>
    <w:link w:val="Heading3Char"/>
    <w:semiHidden/>
    <w:unhideWhenUsed/>
    <w:qFormat/>
    <w:locked/>
    <w:rsid w:val="00D04ADB"/>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aliases w:val="single space,footnote text,Fodnotetekst Tegn,fn,ALTS FOOTNOTE,FOOTNOTES,Texte de note de bas de page,Fußnotentext arial,Footnote Text Char Char Char Char Char Char,WB-Fußnotentext,Fußnote,ADB,Char,Footnote Text Char Char Char,ft Char"/>
    <w:basedOn w:val="Normal"/>
    <w:link w:val="FootnoteTextChar"/>
    <w:uiPriority w:val="99"/>
    <w:qFormat/>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aliases w:val="ftref,16 Point,Superscript 6 Point,BVI fnr Char Char Char Char,BVI fnr Car Car Char Char Char Char,BVI fnr Car Char Char Char Char,BVI fnr Car Car Car Car Char Char Char1 Char Char,BVI fnr Char Char Char Char Char,R,BVI fnr"/>
    <w:link w:val="Char2"/>
    <w:qFormat/>
    <w:rsid w:val="00D9153B"/>
    <w:rPr>
      <w:rFonts w:cs="Times New Roman"/>
      <w:vertAlign w:val="superscript"/>
    </w:rPr>
  </w:style>
  <w:style w:type="paragraph" w:styleId="Footer">
    <w:name w:val="footer"/>
    <w:basedOn w:val="Normal"/>
    <w:link w:val="FooterChar"/>
    <w:uiPriority w:val="99"/>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aliases w:val="List Paragraph (numbered (a)),Table/Figure Heading,Lapis Bulleted List,Dot pt,F5 List Paragraph,List Paragraph1,No Spacing1,List Paragraph Char Char Char,Indicator Text,Numbered Para 1,Bullet 1,List Paragraph12,Bullet Points,WB Para"/>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semiHidden/>
    <w:rsid w:val="00400E4A"/>
    <w:rPr>
      <w:rFonts w:cs="Times New Roman"/>
      <w:sz w:val="6"/>
      <w:szCs w:val="6"/>
    </w:rPr>
  </w:style>
  <w:style w:type="character" w:customStyle="1" w:styleId="FooterChar">
    <w:name w:val="Footer Char"/>
    <w:link w:val="Footer"/>
    <w:uiPriority w:val="99"/>
    <w:locked/>
    <w:rsid w:val="005841A3"/>
    <w:rPr>
      <w:rFonts w:cs="Times New Roman"/>
    </w:rPr>
  </w:style>
  <w:style w:type="paragraph" w:styleId="CommentText">
    <w:name w:val="annotation text"/>
    <w:basedOn w:val="Normal"/>
    <w:link w:val="CommentTextChar"/>
    <w:uiPriority w:val="99"/>
    <w:rsid w:val="008543F5"/>
  </w:style>
  <w:style w:type="character" w:customStyle="1" w:styleId="CommentTextChar">
    <w:name w:val="Comment Text Char"/>
    <w:basedOn w:val="DefaultParagraphFont"/>
    <w:link w:val="CommentText"/>
    <w:uiPriority w:val="99"/>
    <w:rsid w:val="008543F5"/>
  </w:style>
  <w:style w:type="paragraph" w:styleId="CommentSubject">
    <w:name w:val="annotation subject"/>
    <w:basedOn w:val="CommentText"/>
    <w:next w:val="CommentText"/>
    <w:link w:val="CommentSubjectChar"/>
    <w:rsid w:val="008543F5"/>
    <w:rPr>
      <w:b/>
      <w:bCs/>
      <w:lang w:val="x-none" w:eastAsia="x-none"/>
    </w:rPr>
  </w:style>
  <w:style w:type="character" w:customStyle="1" w:styleId="CommentSubjectChar">
    <w:name w:val="Comment Subject Char"/>
    <w:link w:val="CommentSubject"/>
    <w:rsid w:val="008543F5"/>
    <w:rPr>
      <w:b/>
      <w:bCs/>
    </w:rPr>
  </w:style>
  <w:style w:type="character" w:customStyle="1" w:styleId="Heading1Char">
    <w:name w:val="Heading 1 Char"/>
    <w:link w:val="Heading1"/>
    <w:uiPriority w:val="9"/>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aliases w:val="single space Char,footnote text Char,Fodnotetekst Tegn Char,fn Char,ALTS FOOTNOTE Char,FOOTNOTES Char,Texte de note de bas de page Char,Fußnotentext arial Char,Footnote Text Char Char Char Char Char Char Char,WB-Fußnotentext Char"/>
    <w:basedOn w:val="DefaultParagraphFont"/>
    <w:link w:val="FootnoteText"/>
    <w:uiPriority w:val="99"/>
    <w:rsid w:val="00D6679C"/>
    <w:rPr>
      <w:rFonts w:ascii="Courier" w:hAnsi="Courier"/>
      <w:lang w:val="en-US" w:eastAsia="en-US"/>
    </w:rPr>
  </w:style>
  <w:style w:type="character" w:customStyle="1" w:styleId="ListParagraphChar">
    <w:name w:val="List Paragraph Char"/>
    <w:aliases w:val="List Paragraph (numbered (a)) Char,Table/Figure Heading Char,Lapis Bulleted List Char,Dot pt Char,F5 List Paragraph Char,List Paragraph1 Char,No Spacing1 Char,List Paragraph Char Char Char Char,Indicator Text Char,Bullet 1 Char"/>
    <w:link w:val="ListParagraph"/>
    <w:uiPriority w:val="34"/>
    <w:qFormat/>
    <w:locked/>
    <w:rsid w:val="009A4543"/>
    <w:rPr>
      <w:lang w:val="en-US" w:eastAsia="en-US"/>
    </w:rPr>
  </w:style>
  <w:style w:type="paragraph" w:styleId="Revision">
    <w:name w:val="Revision"/>
    <w:hidden/>
    <w:uiPriority w:val="99"/>
    <w:semiHidden/>
    <w:rsid w:val="0050228C"/>
    <w:rPr>
      <w:lang w:val="en-US" w:eastAsia="en-US"/>
    </w:rPr>
  </w:style>
  <w:style w:type="character" w:styleId="FollowedHyperlink">
    <w:name w:val="FollowedHyperlink"/>
    <w:basedOn w:val="DefaultParagraphFont"/>
    <w:semiHidden/>
    <w:unhideWhenUsed/>
    <w:rsid w:val="00704095"/>
    <w:rPr>
      <w:color w:val="800080" w:themeColor="followedHyperlink"/>
      <w:u w:val="single"/>
    </w:rPr>
  </w:style>
  <w:style w:type="character" w:styleId="UnresolvedMention">
    <w:name w:val="Unresolved Mention"/>
    <w:basedOn w:val="DefaultParagraphFont"/>
    <w:uiPriority w:val="99"/>
    <w:semiHidden/>
    <w:unhideWhenUsed/>
    <w:rsid w:val="00523B73"/>
    <w:rPr>
      <w:color w:val="605E5C"/>
      <w:shd w:val="clear" w:color="auto" w:fill="E1DFDD"/>
    </w:rPr>
  </w:style>
  <w:style w:type="paragraph" w:customStyle="1" w:styleId="Char2">
    <w:name w:val="Char2"/>
    <w:basedOn w:val="Normal"/>
    <w:link w:val="FootnoteReference"/>
    <w:uiPriority w:val="99"/>
    <w:rsid w:val="00C33B06"/>
    <w:pPr>
      <w:spacing w:after="160" w:line="240" w:lineRule="exact"/>
      <w:jc w:val="both"/>
    </w:pPr>
    <w:rPr>
      <w:vertAlign w:val="superscript"/>
      <w:lang w:val="en-GB" w:eastAsia="en-GB"/>
    </w:rPr>
  </w:style>
  <w:style w:type="paragraph" w:styleId="NormalWeb">
    <w:name w:val="Normal (Web)"/>
    <w:basedOn w:val="Normal"/>
    <w:uiPriority w:val="99"/>
    <w:unhideWhenUsed/>
    <w:rsid w:val="002156BB"/>
    <w:pPr>
      <w:spacing w:before="100" w:beforeAutospacing="1" w:after="100" w:afterAutospacing="1"/>
    </w:pPr>
    <w:rPr>
      <w:sz w:val="24"/>
      <w:szCs w:val="24"/>
      <w:lang w:val="en-ZW" w:eastAsia="en-GB"/>
    </w:rPr>
  </w:style>
  <w:style w:type="table" w:styleId="GridTable4-Accent1">
    <w:name w:val="Grid Table 4 Accent 1"/>
    <w:basedOn w:val="TableNormal"/>
    <w:uiPriority w:val="49"/>
    <w:rsid w:val="00D17F09"/>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Grid">
    <w:name w:val="Table Grid"/>
    <w:basedOn w:val="TableNormal"/>
    <w:uiPriority w:val="59"/>
    <w:rsid w:val="00D17F0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normal">
    <w:name w:val="x_msonormal"/>
    <w:basedOn w:val="Normal"/>
    <w:rsid w:val="00977B11"/>
    <w:pPr>
      <w:spacing w:before="100" w:beforeAutospacing="1" w:after="100" w:afterAutospacing="1"/>
    </w:pPr>
    <w:rPr>
      <w:sz w:val="24"/>
      <w:szCs w:val="24"/>
      <w:lang w:val="en-GB" w:eastAsia="en-GB"/>
    </w:rPr>
  </w:style>
  <w:style w:type="character" w:customStyle="1" w:styleId="cf01">
    <w:name w:val="cf01"/>
    <w:basedOn w:val="DefaultParagraphFont"/>
    <w:rsid w:val="00287914"/>
    <w:rPr>
      <w:rFonts w:ascii="Segoe UI" w:hAnsi="Segoe UI" w:cs="Segoe UI" w:hint="default"/>
      <w:sz w:val="18"/>
      <w:szCs w:val="18"/>
    </w:rPr>
  </w:style>
  <w:style w:type="paragraph" w:customStyle="1" w:styleId="CPDTexte">
    <w:name w:val="CPD Texte"/>
    <w:basedOn w:val="ListParagraph"/>
    <w:link w:val="CPDTexteCar"/>
    <w:qFormat/>
    <w:rsid w:val="00CA6702"/>
    <w:pPr>
      <w:tabs>
        <w:tab w:val="left" w:pos="1560"/>
      </w:tabs>
      <w:suppressAutoHyphens/>
      <w:autoSpaceDN w:val="0"/>
      <w:spacing w:after="120"/>
      <w:ind w:right="1196" w:hanging="360"/>
      <w:jc w:val="both"/>
      <w:textAlignment w:val="baseline"/>
    </w:pPr>
  </w:style>
  <w:style w:type="character" w:customStyle="1" w:styleId="CPDTexteCar">
    <w:name w:val="CPD Texte Car"/>
    <w:basedOn w:val="DefaultParagraphFont"/>
    <w:link w:val="CPDTexte"/>
    <w:rsid w:val="00CA6702"/>
    <w:rPr>
      <w:lang w:val="en-US" w:eastAsia="en-US"/>
    </w:rPr>
  </w:style>
  <w:style w:type="character" w:customStyle="1" w:styleId="Heading3Char">
    <w:name w:val="Heading 3 Char"/>
    <w:basedOn w:val="DefaultParagraphFont"/>
    <w:link w:val="Heading3"/>
    <w:semiHidden/>
    <w:rsid w:val="00D04ADB"/>
    <w:rPr>
      <w:rFonts w:asciiTheme="majorHAnsi" w:eastAsiaTheme="majorEastAsia" w:hAnsiTheme="majorHAnsi" w:cstheme="majorBidi"/>
      <w:color w:val="243F60"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22501853">
      <w:bodyDiv w:val="1"/>
      <w:marLeft w:val="0"/>
      <w:marRight w:val="0"/>
      <w:marTop w:val="0"/>
      <w:marBottom w:val="0"/>
      <w:divBdr>
        <w:top w:val="none" w:sz="0" w:space="0" w:color="auto"/>
        <w:left w:val="none" w:sz="0" w:space="0" w:color="auto"/>
        <w:bottom w:val="none" w:sz="0" w:space="0" w:color="auto"/>
        <w:right w:val="none" w:sz="0" w:space="0" w:color="auto"/>
      </w:divBdr>
    </w:div>
    <w:div w:id="546525098">
      <w:bodyDiv w:val="1"/>
      <w:marLeft w:val="0"/>
      <w:marRight w:val="0"/>
      <w:marTop w:val="0"/>
      <w:marBottom w:val="0"/>
      <w:divBdr>
        <w:top w:val="none" w:sz="0" w:space="0" w:color="auto"/>
        <w:left w:val="none" w:sz="0" w:space="0" w:color="auto"/>
        <w:bottom w:val="none" w:sz="0" w:space="0" w:color="auto"/>
        <w:right w:val="none" w:sz="0" w:space="0" w:color="auto"/>
      </w:divBdr>
    </w:div>
    <w:div w:id="891964460">
      <w:bodyDiv w:val="1"/>
      <w:marLeft w:val="0"/>
      <w:marRight w:val="0"/>
      <w:marTop w:val="0"/>
      <w:marBottom w:val="0"/>
      <w:divBdr>
        <w:top w:val="none" w:sz="0" w:space="0" w:color="auto"/>
        <w:left w:val="none" w:sz="0" w:space="0" w:color="auto"/>
        <w:bottom w:val="none" w:sz="0" w:space="0" w:color="auto"/>
        <w:right w:val="none" w:sz="0" w:space="0" w:color="auto"/>
      </w:divBdr>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405832698">
      <w:bodyDiv w:val="1"/>
      <w:marLeft w:val="0"/>
      <w:marRight w:val="0"/>
      <w:marTop w:val="0"/>
      <w:marBottom w:val="0"/>
      <w:divBdr>
        <w:top w:val="none" w:sz="0" w:space="0" w:color="auto"/>
        <w:left w:val="none" w:sz="0" w:space="0" w:color="auto"/>
        <w:bottom w:val="none" w:sz="0" w:space="0" w:color="auto"/>
        <w:right w:val="none" w:sz="0" w:space="0" w:color="auto"/>
      </w:divBdr>
    </w:div>
    <w:div w:id="1674602829">
      <w:bodyDiv w:val="1"/>
      <w:marLeft w:val="0"/>
      <w:marRight w:val="0"/>
      <w:marTop w:val="0"/>
      <w:marBottom w:val="0"/>
      <w:divBdr>
        <w:top w:val="none" w:sz="0" w:space="0" w:color="auto"/>
        <w:left w:val="none" w:sz="0" w:space="0" w:color="auto"/>
        <w:bottom w:val="none" w:sz="0" w:space="0" w:color="auto"/>
        <w:right w:val="none" w:sz="0" w:space="0" w:color="auto"/>
      </w:divBdr>
    </w:div>
    <w:div w:id="17755134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rc.undp.org/evaluation/documents/detail/21448" TargetMode="External"/><Relationship Id="rId2" Type="http://schemas.openxmlformats.org/officeDocument/2006/relationships/hyperlink" Target="https://erc.undp.org/evaluation/documents/detail/19457" TargetMode="External"/><Relationship Id="rId1" Type="http://schemas.openxmlformats.org/officeDocument/2006/relationships/hyperlink" Target="https://erc.undp.org/evaluation/evaluations/detail/12715?tab=document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422cd661a7fd286c2c6c482de215dd65">
  <xsd:schema xmlns:xsd="http://www.w3.org/2001/XMLSchema" xmlns:xs="http://www.w3.org/2001/XMLSchema" xmlns:p="http://schemas.microsoft.com/office/2006/metadata/properties" xmlns:ns2="5ebeba3d-fd60-4dcb-8548-a9fd3c51d9ff" targetNamespace="http://schemas.microsoft.com/office/2006/metadata/properties" ma:root="true" ma:fieldsID="3ea964148df72575aa99416149104b54"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UNITOFFICE-440-2260</_dlc_DocId>
    <_dlc_DocIdUrl xmlns="5ebeba3d-fd60-4dcb-8548-a9fd3c51d9ff">
      <Url>https://intranet.undp.org/unit/office/exo/sp2014/SP201417/_layouts/15/DocIdRedir.aspx?ID=UNITOFFICE-440-2260</Url>
      <Description>UNITOFFICE-440-2260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25299-70F4-444F-B236-44270C4DFCA3}">
  <ds:schemaRefs>
    <ds:schemaRef ds:uri="http://schemas.microsoft.com/sharepoint/events"/>
  </ds:schemaRefs>
</ds:datastoreItem>
</file>

<file path=customXml/itemProps2.xml><?xml version="1.0" encoding="utf-8"?>
<ds:datastoreItem xmlns:ds="http://schemas.openxmlformats.org/officeDocument/2006/customXml" ds:itemID="{1AAABAED-BA44-4E77-8C93-B400AA3B32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63C48D-7F62-4D2D-8219-0D81AFFED2D0}">
  <ds:schemaRefs>
    <ds:schemaRef ds:uri="http://schemas.microsoft.com/office/2006/metadata/properties"/>
    <ds:schemaRef ds:uri="http://schemas.microsoft.com/office/infopath/2007/PartnerControls"/>
    <ds:schemaRef ds:uri="5ebeba3d-fd60-4dcb-8548-a9fd3c51d9ff"/>
  </ds:schemaRefs>
</ds:datastoreItem>
</file>

<file path=customXml/itemProps4.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5.xml><?xml version="1.0" encoding="utf-8"?>
<ds:datastoreItem xmlns:ds="http://schemas.openxmlformats.org/officeDocument/2006/customXml" ds:itemID="{11D33306-29E9-411A-847B-F501ECEE3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17</Pages>
  <Words>6282</Words>
  <Characters>35813</Characters>
  <Application>Microsoft Office Word</Application>
  <DocSecurity>0</DocSecurity>
  <Lines>298</Lines>
  <Paragraphs>84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Second/First/Annual session of (year)</vt:lpstr>
      <vt:lpstr>Second/First/Annual session of (year)</vt:lpstr>
    </vt:vector>
  </TitlesOfParts>
  <Company>Microsoft</Company>
  <LinksUpToDate>false</LinksUpToDate>
  <CharactersWithSpaces>42011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subject/>
  <dc:creator>John Magoha</dc:creator>
  <cp:keywords/>
  <dc:description/>
  <cp:lastModifiedBy>Gio Emma Apruzzese</cp:lastModifiedBy>
  <cp:revision>25</cp:revision>
  <cp:lastPrinted>2014-09-17T01:01:00Z</cp:lastPrinted>
  <dcterms:created xsi:type="dcterms:W3CDTF">2023-05-19T09:43:00Z</dcterms:created>
  <dcterms:modified xsi:type="dcterms:W3CDTF">2023-06-29T17:37:00Z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19972b41-cb75-4480-a2b1-0ce0bb25c0bd</vt:lpwstr>
  </property>
  <property fmtid="{D5CDD505-2E9C-101B-9397-08002B2CF9AE}" pid="4" name="POPPBusinessProcess">
    <vt:lpwstr/>
  </property>
  <property fmtid="{D5CDD505-2E9C-101B-9397-08002B2CF9AE}" pid="5" name="UNDP_POPP_BUSINESSUNIT">
    <vt:lpwstr>669;#Programme and Project Management|1c019435-9793-447e-8959-0b32d23bf3d5</vt:lpwstr>
  </property>
</Properties>
</file>