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AD99C" w14:textId="2D891104" w:rsidR="00FF64A4" w:rsidRDefault="00FF64A4">
      <w:pPr>
        <w:rPr>
          <w:rFonts w:ascii="Century Gothic" w:eastAsiaTheme="majorEastAsia" w:hAnsi="Century Gothic" w:cstheme="majorBidi"/>
          <w:b/>
          <w:color w:val="2E74B5" w:themeColor="accent1" w:themeShade="BF"/>
        </w:rPr>
      </w:pPr>
      <w:bookmarkStart w:id="0" w:name="_Toc129400806"/>
      <w:r>
        <w:rPr>
          <w:noProof/>
        </w:rPr>
        <w:drawing>
          <wp:inline distT="0" distB="0" distL="0" distR="0" wp14:anchorId="68969E91" wp14:editId="174E2FB6">
            <wp:extent cx="6002020" cy="84893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020" cy="8489315"/>
                    </a:xfrm>
                    <a:prstGeom prst="rect">
                      <a:avLst/>
                    </a:prstGeom>
                    <a:noFill/>
                    <a:ln>
                      <a:noFill/>
                    </a:ln>
                  </pic:spPr>
                </pic:pic>
              </a:graphicData>
            </a:graphic>
          </wp:inline>
        </w:drawing>
      </w:r>
    </w:p>
    <w:p w14:paraId="5CC0E204" w14:textId="77777777" w:rsidR="00737A97" w:rsidRPr="00F4635D" w:rsidRDefault="00737A97" w:rsidP="00F4635D">
      <w:pPr>
        <w:pStyle w:val="Heading1"/>
        <w:jc w:val="center"/>
        <w:rPr>
          <w:rFonts w:ascii="Century Gothic" w:hAnsi="Century Gothic"/>
          <w:b/>
          <w:color w:val="000000" w:themeColor="text1"/>
          <w:sz w:val="22"/>
          <w:szCs w:val="22"/>
        </w:rPr>
      </w:pPr>
      <w:bookmarkStart w:id="1" w:name="_Toc2281"/>
      <w:bookmarkStart w:id="2" w:name="_Toc2843"/>
      <w:bookmarkStart w:id="3" w:name="_Toc113963659"/>
      <w:bookmarkStart w:id="4" w:name="_Toc17963"/>
      <w:bookmarkStart w:id="5" w:name="_Toc111802043"/>
      <w:bookmarkStart w:id="6" w:name="_Toc131077662"/>
      <w:bookmarkStart w:id="7" w:name="_Toc131079432"/>
      <w:r w:rsidRPr="00F4635D">
        <w:rPr>
          <w:rFonts w:ascii="Century Gothic" w:hAnsi="Century Gothic"/>
          <w:b/>
          <w:color w:val="000000" w:themeColor="text1"/>
          <w:sz w:val="22"/>
          <w:szCs w:val="22"/>
        </w:rPr>
        <w:lastRenderedPageBreak/>
        <w:t>Table of Contents</w:t>
      </w:r>
      <w:bookmarkEnd w:id="1"/>
      <w:bookmarkEnd w:id="2"/>
      <w:bookmarkEnd w:id="3"/>
      <w:bookmarkEnd w:id="4"/>
      <w:bookmarkEnd w:id="5"/>
      <w:bookmarkEnd w:id="6"/>
      <w:bookmarkEnd w:id="7"/>
    </w:p>
    <w:sdt>
      <w:sdtPr>
        <w:rPr>
          <w:rFonts w:asciiTheme="minorHAnsi" w:eastAsiaTheme="minorHAnsi" w:hAnsiTheme="minorHAnsi" w:cstheme="minorBidi"/>
          <w:color w:val="auto"/>
          <w:sz w:val="22"/>
          <w:szCs w:val="22"/>
          <w:lang w:val="ru-RU"/>
        </w:rPr>
        <w:id w:val="501080858"/>
        <w:docPartObj>
          <w:docPartGallery w:val="Table of Contents"/>
          <w:docPartUnique/>
        </w:docPartObj>
      </w:sdtPr>
      <w:sdtEndPr>
        <w:rPr>
          <w:b/>
          <w:bCs/>
          <w:lang w:val="en-GB"/>
        </w:rPr>
      </w:sdtEndPr>
      <w:sdtContent>
        <w:p w14:paraId="4A44FAC1" w14:textId="7DCA4AFD" w:rsidR="00B11399" w:rsidRPr="00B11399" w:rsidRDefault="00592E0C" w:rsidP="00B11399">
          <w:pPr>
            <w:pStyle w:val="TOCHeading"/>
            <w:spacing w:line="360" w:lineRule="auto"/>
          </w:pPr>
          <w:r>
            <w:fldChar w:fldCharType="begin"/>
          </w:r>
          <w:r>
            <w:instrText xml:space="preserve"> TOC \o "1-3" \h \z \u </w:instrText>
          </w:r>
          <w:r>
            <w:fldChar w:fldCharType="separate"/>
          </w:r>
        </w:p>
        <w:p w14:paraId="5354A9C9" w14:textId="77777777" w:rsidR="00B11399" w:rsidRDefault="00000000">
          <w:pPr>
            <w:pStyle w:val="TOC1"/>
            <w:rPr>
              <w:rFonts w:asciiTheme="minorHAnsi" w:eastAsiaTheme="minorEastAsia" w:hAnsiTheme="minorHAnsi"/>
              <w:b w:val="0"/>
              <w:color w:val="auto"/>
              <w:lang w:val="ru-RU" w:eastAsia="zh-CN"/>
            </w:rPr>
          </w:pPr>
          <w:hyperlink w:anchor="_Toc131079433" w:history="1">
            <w:r w:rsidR="00B11399" w:rsidRPr="00141C8D">
              <w:rPr>
                <w:rStyle w:val="Hyperlink"/>
              </w:rPr>
              <w:t>Executive Summary</w:t>
            </w:r>
            <w:r w:rsidR="00B11399">
              <w:rPr>
                <w:webHidden/>
              </w:rPr>
              <w:tab/>
            </w:r>
            <w:r w:rsidR="00B11399">
              <w:rPr>
                <w:webHidden/>
              </w:rPr>
              <w:fldChar w:fldCharType="begin"/>
            </w:r>
            <w:r w:rsidR="00B11399">
              <w:rPr>
                <w:webHidden/>
              </w:rPr>
              <w:instrText xml:space="preserve"> PAGEREF _Toc131079433 \h </w:instrText>
            </w:r>
            <w:r w:rsidR="00B11399">
              <w:rPr>
                <w:webHidden/>
              </w:rPr>
            </w:r>
            <w:r w:rsidR="00B11399">
              <w:rPr>
                <w:webHidden/>
              </w:rPr>
              <w:fldChar w:fldCharType="separate"/>
            </w:r>
            <w:r w:rsidR="00B11399">
              <w:rPr>
                <w:webHidden/>
              </w:rPr>
              <w:t>3</w:t>
            </w:r>
            <w:r w:rsidR="00B11399">
              <w:rPr>
                <w:webHidden/>
              </w:rPr>
              <w:fldChar w:fldCharType="end"/>
            </w:r>
          </w:hyperlink>
        </w:p>
        <w:p w14:paraId="72025E88" w14:textId="77777777" w:rsidR="00B11399" w:rsidRDefault="00000000">
          <w:pPr>
            <w:pStyle w:val="TOC1"/>
            <w:rPr>
              <w:rFonts w:asciiTheme="minorHAnsi" w:eastAsiaTheme="minorEastAsia" w:hAnsiTheme="minorHAnsi"/>
              <w:b w:val="0"/>
              <w:color w:val="auto"/>
              <w:lang w:val="ru-RU" w:eastAsia="zh-CN"/>
            </w:rPr>
          </w:pPr>
          <w:hyperlink w:anchor="_Toc131079434" w:history="1">
            <w:r w:rsidR="00B11399" w:rsidRPr="00141C8D">
              <w:rPr>
                <w:rStyle w:val="Hyperlink"/>
              </w:rPr>
              <w:t>Introduction</w:t>
            </w:r>
            <w:r w:rsidR="00B11399">
              <w:rPr>
                <w:webHidden/>
              </w:rPr>
              <w:tab/>
            </w:r>
            <w:r w:rsidR="00B11399">
              <w:rPr>
                <w:webHidden/>
              </w:rPr>
              <w:fldChar w:fldCharType="begin"/>
            </w:r>
            <w:r w:rsidR="00B11399">
              <w:rPr>
                <w:webHidden/>
              </w:rPr>
              <w:instrText xml:space="preserve"> PAGEREF _Toc131079434 \h </w:instrText>
            </w:r>
            <w:r w:rsidR="00B11399">
              <w:rPr>
                <w:webHidden/>
              </w:rPr>
            </w:r>
            <w:r w:rsidR="00B11399">
              <w:rPr>
                <w:webHidden/>
              </w:rPr>
              <w:fldChar w:fldCharType="separate"/>
            </w:r>
            <w:r w:rsidR="00B11399">
              <w:rPr>
                <w:webHidden/>
              </w:rPr>
              <w:t>6</w:t>
            </w:r>
            <w:r w:rsidR="00B11399">
              <w:rPr>
                <w:webHidden/>
              </w:rPr>
              <w:fldChar w:fldCharType="end"/>
            </w:r>
          </w:hyperlink>
        </w:p>
        <w:p w14:paraId="5FF1716E" w14:textId="77777777" w:rsidR="00B11399" w:rsidRDefault="00000000">
          <w:pPr>
            <w:pStyle w:val="TOC1"/>
            <w:rPr>
              <w:rFonts w:asciiTheme="minorHAnsi" w:eastAsiaTheme="minorEastAsia" w:hAnsiTheme="minorHAnsi"/>
              <w:b w:val="0"/>
              <w:color w:val="auto"/>
              <w:lang w:val="ru-RU" w:eastAsia="zh-CN"/>
            </w:rPr>
          </w:pPr>
          <w:hyperlink w:anchor="_Toc131079435" w:history="1">
            <w:r w:rsidR="00B11399" w:rsidRPr="00141C8D">
              <w:rPr>
                <w:rStyle w:val="Hyperlink"/>
              </w:rPr>
              <w:t>SECTION I: Evolution of Tanzania’s new agricultural sector strategy</w:t>
            </w:r>
            <w:r w:rsidR="00B11399">
              <w:rPr>
                <w:webHidden/>
              </w:rPr>
              <w:tab/>
            </w:r>
            <w:r w:rsidR="00B11399">
              <w:rPr>
                <w:webHidden/>
              </w:rPr>
              <w:fldChar w:fldCharType="begin"/>
            </w:r>
            <w:r w:rsidR="00B11399">
              <w:rPr>
                <w:webHidden/>
              </w:rPr>
              <w:instrText xml:space="preserve"> PAGEREF _Toc131079435 \h </w:instrText>
            </w:r>
            <w:r w:rsidR="00B11399">
              <w:rPr>
                <w:webHidden/>
              </w:rPr>
            </w:r>
            <w:r w:rsidR="00B11399">
              <w:rPr>
                <w:webHidden/>
              </w:rPr>
              <w:fldChar w:fldCharType="separate"/>
            </w:r>
            <w:r w:rsidR="00B11399">
              <w:rPr>
                <w:webHidden/>
              </w:rPr>
              <w:t>7</w:t>
            </w:r>
            <w:r w:rsidR="00B11399">
              <w:rPr>
                <w:webHidden/>
              </w:rPr>
              <w:fldChar w:fldCharType="end"/>
            </w:r>
          </w:hyperlink>
        </w:p>
        <w:p w14:paraId="4C9963B3" w14:textId="77777777" w:rsidR="00B11399" w:rsidRDefault="00000000">
          <w:pPr>
            <w:pStyle w:val="TOC1"/>
            <w:rPr>
              <w:rFonts w:asciiTheme="minorHAnsi" w:eastAsiaTheme="minorEastAsia" w:hAnsiTheme="minorHAnsi"/>
              <w:b w:val="0"/>
              <w:color w:val="auto"/>
              <w:lang w:val="ru-RU" w:eastAsia="zh-CN"/>
            </w:rPr>
          </w:pPr>
          <w:hyperlink w:anchor="_Toc131079436" w:history="1">
            <w:r w:rsidR="00B11399" w:rsidRPr="00141C8D">
              <w:rPr>
                <w:rStyle w:val="Hyperlink"/>
              </w:rPr>
              <w:t>SECTION II: Economic status of women in Tanzania in general and the agriculture sector in particular</w:t>
            </w:r>
            <w:r w:rsidR="00B11399">
              <w:rPr>
                <w:webHidden/>
              </w:rPr>
              <w:tab/>
            </w:r>
            <w:r w:rsidR="00B11399">
              <w:rPr>
                <w:webHidden/>
              </w:rPr>
              <w:fldChar w:fldCharType="begin"/>
            </w:r>
            <w:r w:rsidR="00B11399">
              <w:rPr>
                <w:webHidden/>
              </w:rPr>
              <w:instrText xml:space="preserve"> PAGEREF _Toc131079436 \h </w:instrText>
            </w:r>
            <w:r w:rsidR="00B11399">
              <w:rPr>
                <w:webHidden/>
              </w:rPr>
            </w:r>
            <w:r w:rsidR="00B11399">
              <w:rPr>
                <w:webHidden/>
              </w:rPr>
              <w:fldChar w:fldCharType="separate"/>
            </w:r>
            <w:r w:rsidR="00B11399">
              <w:rPr>
                <w:webHidden/>
              </w:rPr>
              <w:t>9</w:t>
            </w:r>
            <w:r w:rsidR="00B11399">
              <w:rPr>
                <w:webHidden/>
              </w:rPr>
              <w:fldChar w:fldCharType="end"/>
            </w:r>
          </w:hyperlink>
        </w:p>
        <w:p w14:paraId="3392A298" w14:textId="77777777" w:rsidR="00B11399" w:rsidRDefault="00000000">
          <w:pPr>
            <w:pStyle w:val="TOC1"/>
            <w:rPr>
              <w:rFonts w:asciiTheme="minorHAnsi" w:eastAsiaTheme="minorEastAsia" w:hAnsiTheme="minorHAnsi"/>
              <w:b w:val="0"/>
              <w:color w:val="auto"/>
              <w:lang w:val="ru-RU" w:eastAsia="zh-CN"/>
            </w:rPr>
          </w:pPr>
          <w:hyperlink w:anchor="_Toc131079437" w:history="1">
            <w:r w:rsidR="00B11399" w:rsidRPr="00141C8D">
              <w:rPr>
                <w:rStyle w:val="Hyperlink"/>
              </w:rPr>
              <w:t>SECTION III: Literature review of evidence on policies to empower women in the agricultural sector</w:t>
            </w:r>
            <w:r w:rsidR="00B11399">
              <w:rPr>
                <w:webHidden/>
              </w:rPr>
              <w:tab/>
            </w:r>
            <w:r w:rsidR="00B11399">
              <w:rPr>
                <w:webHidden/>
              </w:rPr>
              <w:fldChar w:fldCharType="begin"/>
            </w:r>
            <w:r w:rsidR="00B11399">
              <w:rPr>
                <w:webHidden/>
              </w:rPr>
              <w:instrText xml:space="preserve"> PAGEREF _Toc131079437 \h </w:instrText>
            </w:r>
            <w:r w:rsidR="00B11399">
              <w:rPr>
                <w:webHidden/>
              </w:rPr>
            </w:r>
            <w:r w:rsidR="00B11399">
              <w:rPr>
                <w:webHidden/>
              </w:rPr>
              <w:fldChar w:fldCharType="separate"/>
            </w:r>
            <w:r w:rsidR="00B11399">
              <w:rPr>
                <w:webHidden/>
              </w:rPr>
              <w:t>12</w:t>
            </w:r>
            <w:r w:rsidR="00B11399">
              <w:rPr>
                <w:webHidden/>
              </w:rPr>
              <w:fldChar w:fldCharType="end"/>
            </w:r>
          </w:hyperlink>
        </w:p>
        <w:p w14:paraId="1B746F85" w14:textId="77777777" w:rsidR="00B11399" w:rsidRDefault="00000000">
          <w:pPr>
            <w:pStyle w:val="TOC1"/>
            <w:rPr>
              <w:rFonts w:asciiTheme="minorHAnsi" w:eastAsiaTheme="minorEastAsia" w:hAnsiTheme="minorHAnsi"/>
              <w:b w:val="0"/>
              <w:color w:val="auto"/>
              <w:lang w:val="ru-RU" w:eastAsia="zh-CN"/>
            </w:rPr>
          </w:pPr>
          <w:hyperlink w:anchor="_Toc131079438" w:history="1">
            <w:r w:rsidR="00B11399" w:rsidRPr="00141C8D">
              <w:rPr>
                <w:rStyle w:val="Hyperlink"/>
              </w:rPr>
              <w:t>SECTION IV: Data and Model</w:t>
            </w:r>
            <w:r w:rsidR="00B11399">
              <w:rPr>
                <w:webHidden/>
              </w:rPr>
              <w:tab/>
            </w:r>
            <w:r w:rsidR="00B11399">
              <w:rPr>
                <w:webHidden/>
              </w:rPr>
              <w:fldChar w:fldCharType="begin"/>
            </w:r>
            <w:r w:rsidR="00B11399">
              <w:rPr>
                <w:webHidden/>
              </w:rPr>
              <w:instrText xml:space="preserve"> PAGEREF _Toc131079438 \h </w:instrText>
            </w:r>
            <w:r w:rsidR="00B11399">
              <w:rPr>
                <w:webHidden/>
              </w:rPr>
            </w:r>
            <w:r w:rsidR="00B11399">
              <w:rPr>
                <w:webHidden/>
              </w:rPr>
              <w:fldChar w:fldCharType="separate"/>
            </w:r>
            <w:r w:rsidR="00B11399">
              <w:rPr>
                <w:webHidden/>
              </w:rPr>
              <w:t>16</w:t>
            </w:r>
            <w:r w:rsidR="00B11399">
              <w:rPr>
                <w:webHidden/>
              </w:rPr>
              <w:fldChar w:fldCharType="end"/>
            </w:r>
          </w:hyperlink>
        </w:p>
        <w:p w14:paraId="5CE71409" w14:textId="77777777" w:rsidR="00B11399" w:rsidRDefault="00000000">
          <w:pPr>
            <w:pStyle w:val="TOC2"/>
            <w:tabs>
              <w:tab w:val="right" w:leader="dot" w:pos="9442"/>
            </w:tabs>
            <w:rPr>
              <w:rFonts w:eastAsiaTheme="minorEastAsia"/>
              <w:noProof/>
              <w:lang w:val="ru-RU" w:eastAsia="zh-CN"/>
            </w:rPr>
          </w:pPr>
          <w:hyperlink w:anchor="_Toc131079439" w:history="1">
            <w:r w:rsidR="00B11399" w:rsidRPr="00141C8D">
              <w:rPr>
                <w:rStyle w:val="Hyperlink"/>
                <w:rFonts w:ascii="Century Gothic" w:hAnsi="Century Gothic"/>
                <w:noProof/>
              </w:rPr>
              <w:t>4.1 Data: Social Accounting Matrix</w:t>
            </w:r>
            <w:r w:rsidR="00B11399">
              <w:rPr>
                <w:noProof/>
                <w:webHidden/>
              </w:rPr>
              <w:tab/>
            </w:r>
            <w:r w:rsidR="00B11399">
              <w:rPr>
                <w:noProof/>
                <w:webHidden/>
              </w:rPr>
              <w:fldChar w:fldCharType="begin"/>
            </w:r>
            <w:r w:rsidR="00B11399">
              <w:rPr>
                <w:noProof/>
                <w:webHidden/>
              </w:rPr>
              <w:instrText xml:space="preserve"> PAGEREF _Toc131079439 \h </w:instrText>
            </w:r>
            <w:r w:rsidR="00B11399">
              <w:rPr>
                <w:noProof/>
                <w:webHidden/>
              </w:rPr>
            </w:r>
            <w:r w:rsidR="00B11399">
              <w:rPr>
                <w:noProof/>
                <w:webHidden/>
              </w:rPr>
              <w:fldChar w:fldCharType="separate"/>
            </w:r>
            <w:r w:rsidR="00B11399">
              <w:rPr>
                <w:noProof/>
                <w:webHidden/>
              </w:rPr>
              <w:t>16</w:t>
            </w:r>
            <w:r w:rsidR="00B11399">
              <w:rPr>
                <w:noProof/>
                <w:webHidden/>
              </w:rPr>
              <w:fldChar w:fldCharType="end"/>
            </w:r>
          </w:hyperlink>
        </w:p>
        <w:p w14:paraId="27F88B7E" w14:textId="77777777" w:rsidR="00B11399" w:rsidRDefault="00000000">
          <w:pPr>
            <w:pStyle w:val="TOC2"/>
            <w:tabs>
              <w:tab w:val="right" w:leader="dot" w:pos="9442"/>
            </w:tabs>
            <w:rPr>
              <w:rFonts w:eastAsiaTheme="minorEastAsia"/>
              <w:noProof/>
              <w:lang w:val="ru-RU" w:eastAsia="zh-CN"/>
            </w:rPr>
          </w:pPr>
          <w:hyperlink w:anchor="_Toc131079440" w:history="1">
            <w:r w:rsidR="00B11399" w:rsidRPr="00141C8D">
              <w:rPr>
                <w:rStyle w:val="Hyperlink"/>
                <w:rFonts w:ascii="Century Gothic" w:hAnsi="Century Gothic"/>
                <w:noProof/>
              </w:rPr>
              <w:t>4.2 Model specification</w:t>
            </w:r>
            <w:r w:rsidR="00B11399">
              <w:rPr>
                <w:noProof/>
                <w:webHidden/>
              </w:rPr>
              <w:tab/>
            </w:r>
            <w:r w:rsidR="00B11399">
              <w:rPr>
                <w:noProof/>
                <w:webHidden/>
              </w:rPr>
              <w:fldChar w:fldCharType="begin"/>
            </w:r>
            <w:r w:rsidR="00B11399">
              <w:rPr>
                <w:noProof/>
                <w:webHidden/>
              </w:rPr>
              <w:instrText xml:space="preserve"> PAGEREF _Toc131079440 \h </w:instrText>
            </w:r>
            <w:r w:rsidR="00B11399">
              <w:rPr>
                <w:noProof/>
                <w:webHidden/>
              </w:rPr>
            </w:r>
            <w:r w:rsidR="00B11399">
              <w:rPr>
                <w:noProof/>
                <w:webHidden/>
              </w:rPr>
              <w:fldChar w:fldCharType="separate"/>
            </w:r>
            <w:r w:rsidR="00B11399">
              <w:rPr>
                <w:noProof/>
                <w:webHidden/>
              </w:rPr>
              <w:t>17</w:t>
            </w:r>
            <w:r w:rsidR="00B11399">
              <w:rPr>
                <w:noProof/>
                <w:webHidden/>
              </w:rPr>
              <w:fldChar w:fldCharType="end"/>
            </w:r>
          </w:hyperlink>
        </w:p>
        <w:p w14:paraId="050C1BAC" w14:textId="77777777" w:rsidR="00B11399" w:rsidRDefault="00000000">
          <w:pPr>
            <w:pStyle w:val="TOC1"/>
            <w:rPr>
              <w:rFonts w:asciiTheme="minorHAnsi" w:eastAsiaTheme="minorEastAsia" w:hAnsiTheme="minorHAnsi"/>
              <w:b w:val="0"/>
              <w:color w:val="auto"/>
              <w:lang w:val="ru-RU" w:eastAsia="zh-CN"/>
            </w:rPr>
          </w:pPr>
          <w:hyperlink w:anchor="_Toc131079441" w:history="1">
            <w:r w:rsidR="00B11399" w:rsidRPr="00141C8D">
              <w:rPr>
                <w:rStyle w:val="Hyperlink"/>
              </w:rPr>
              <w:t>SECTION V: Application and Results</w:t>
            </w:r>
            <w:r w:rsidR="00B11399">
              <w:rPr>
                <w:webHidden/>
              </w:rPr>
              <w:tab/>
            </w:r>
            <w:r w:rsidR="00B11399">
              <w:rPr>
                <w:webHidden/>
              </w:rPr>
              <w:fldChar w:fldCharType="begin"/>
            </w:r>
            <w:r w:rsidR="00B11399">
              <w:rPr>
                <w:webHidden/>
              </w:rPr>
              <w:instrText xml:space="preserve"> PAGEREF _Toc131079441 \h </w:instrText>
            </w:r>
            <w:r w:rsidR="00B11399">
              <w:rPr>
                <w:webHidden/>
              </w:rPr>
            </w:r>
            <w:r w:rsidR="00B11399">
              <w:rPr>
                <w:webHidden/>
              </w:rPr>
              <w:fldChar w:fldCharType="separate"/>
            </w:r>
            <w:r w:rsidR="00B11399">
              <w:rPr>
                <w:webHidden/>
              </w:rPr>
              <w:t>22</w:t>
            </w:r>
            <w:r w:rsidR="00B11399">
              <w:rPr>
                <w:webHidden/>
              </w:rPr>
              <w:fldChar w:fldCharType="end"/>
            </w:r>
          </w:hyperlink>
        </w:p>
        <w:p w14:paraId="3C8E401E" w14:textId="77777777" w:rsidR="00B11399" w:rsidRDefault="00000000">
          <w:pPr>
            <w:pStyle w:val="TOC2"/>
            <w:tabs>
              <w:tab w:val="right" w:leader="dot" w:pos="9442"/>
            </w:tabs>
            <w:rPr>
              <w:rFonts w:eastAsiaTheme="minorEastAsia"/>
              <w:noProof/>
              <w:lang w:val="ru-RU" w:eastAsia="zh-CN"/>
            </w:rPr>
          </w:pPr>
          <w:hyperlink w:anchor="_Toc131079442" w:history="1">
            <w:r w:rsidR="00B11399" w:rsidRPr="00141C8D">
              <w:rPr>
                <w:rStyle w:val="Hyperlink"/>
                <w:rFonts w:ascii="Century Gothic" w:hAnsi="Century Gothic"/>
                <w:noProof/>
              </w:rPr>
              <w:t>5.1 Simulated policy scenarios</w:t>
            </w:r>
            <w:r w:rsidR="00B11399">
              <w:rPr>
                <w:noProof/>
                <w:webHidden/>
              </w:rPr>
              <w:tab/>
            </w:r>
            <w:r w:rsidR="00B11399">
              <w:rPr>
                <w:noProof/>
                <w:webHidden/>
              </w:rPr>
              <w:fldChar w:fldCharType="begin"/>
            </w:r>
            <w:r w:rsidR="00B11399">
              <w:rPr>
                <w:noProof/>
                <w:webHidden/>
              </w:rPr>
              <w:instrText xml:space="preserve"> PAGEREF _Toc131079442 \h </w:instrText>
            </w:r>
            <w:r w:rsidR="00B11399">
              <w:rPr>
                <w:noProof/>
                <w:webHidden/>
              </w:rPr>
            </w:r>
            <w:r w:rsidR="00B11399">
              <w:rPr>
                <w:noProof/>
                <w:webHidden/>
              </w:rPr>
              <w:fldChar w:fldCharType="separate"/>
            </w:r>
            <w:r w:rsidR="00B11399">
              <w:rPr>
                <w:noProof/>
                <w:webHidden/>
              </w:rPr>
              <w:t>22</w:t>
            </w:r>
            <w:r w:rsidR="00B11399">
              <w:rPr>
                <w:noProof/>
                <w:webHidden/>
              </w:rPr>
              <w:fldChar w:fldCharType="end"/>
            </w:r>
          </w:hyperlink>
        </w:p>
        <w:p w14:paraId="383EA64D" w14:textId="77777777" w:rsidR="00B11399" w:rsidRDefault="00000000">
          <w:pPr>
            <w:pStyle w:val="TOC2"/>
            <w:tabs>
              <w:tab w:val="right" w:leader="dot" w:pos="9442"/>
            </w:tabs>
            <w:rPr>
              <w:rFonts w:eastAsiaTheme="minorEastAsia"/>
              <w:noProof/>
              <w:lang w:val="ru-RU" w:eastAsia="zh-CN"/>
            </w:rPr>
          </w:pPr>
          <w:hyperlink w:anchor="_Toc131079443" w:history="1">
            <w:r w:rsidR="00B11399" w:rsidRPr="00141C8D">
              <w:rPr>
                <w:rStyle w:val="Hyperlink"/>
                <w:rFonts w:ascii="Century Gothic" w:hAnsi="Century Gothic"/>
                <w:noProof/>
              </w:rPr>
              <w:t>5.2 Description scenarios</w:t>
            </w:r>
            <w:r w:rsidR="00B11399">
              <w:rPr>
                <w:noProof/>
                <w:webHidden/>
              </w:rPr>
              <w:tab/>
            </w:r>
            <w:r w:rsidR="00B11399">
              <w:rPr>
                <w:noProof/>
                <w:webHidden/>
              </w:rPr>
              <w:fldChar w:fldCharType="begin"/>
            </w:r>
            <w:r w:rsidR="00B11399">
              <w:rPr>
                <w:noProof/>
                <w:webHidden/>
              </w:rPr>
              <w:instrText xml:space="preserve"> PAGEREF _Toc131079443 \h </w:instrText>
            </w:r>
            <w:r w:rsidR="00B11399">
              <w:rPr>
                <w:noProof/>
                <w:webHidden/>
              </w:rPr>
            </w:r>
            <w:r w:rsidR="00B11399">
              <w:rPr>
                <w:noProof/>
                <w:webHidden/>
              </w:rPr>
              <w:fldChar w:fldCharType="separate"/>
            </w:r>
            <w:r w:rsidR="00B11399">
              <w:rPr>
                <w:noProof/>
                <w:webHidden/>
              </w:rPr>
              <w:t>22</w:t>
            </w:r>
            <w:r w:rsidR="00B11399">
              <w:rPr>
                <w:noProof/>
                <w:webHidden/>
              </w:rPr>
              <w:fldChar w:fldCharType="end"/>
            </w:r>
          </w:hyperlink>
        </w:p>
        <w:p w14:paraId="567EA4EC" w14:textId="77777777" w:rsidR="00B11399" w:rsidRDefault="00000000">
          <w:pPr>
            <w:pStyle w:val="TOC2"/>
            <w:tabs>
              <w:tab w:val="right" w:leader="dot" w:pos="9442"/>
            </w:tabs>
            <w:rPr>
              <w:rFonts w:eastAsiaTheme="minorEastAsia"/>
              <w:noProof/>
              <w:lang w:val="ru-RU" w:eastAsia="zh-CN"/>
            </w:rPr>
          </w:pPr>
          <w:hyperlink w:anchor="_Toc131079444" w:history="1">
            <w:r w:rsidR="00B11399" w:rsidRPr="00141C8D">
              <w:rPr>
                <w:rStyle w:val="Hyperlink"/>
                <w:rFonts w:ascii="Century Gothic" w:hAnsi="Century Gothic"/>
                <w:noProof/>
              </w:rPr>
              <w:t>5.3 Analysis of simulation results</w:t>
            </w:r>
            <w:r w:rsidR="00B11399">
              <w:rPr>
                <w:noProof/>
                <w:webHidden/>
              </w:rPr>
              <w:tab/>
            </w:r>
            <w:r w:rsidR="00B11399">
              <w:rPr>
                <w:noProof/>
                <w:webHidden/>
              </w:rPr>
              <w:fldChar w:fldCharType="begin"/>
            </w:r>
            <w:r w:rsidR="00B11399">
              <w:rPr>
                <w:noProof/>
                <w:webHidden/>
              </w:rPr>
              <w:instrText xml:space="preserve"> PAGEREF _Toc131079444 \h </w:instrText>
            </w:r>
            <w:r w:rsidR="00B11399">
              <w:rPr>
                <w:noProof/>
                <w:webHidden/>
              </w:rPr>
            </w:r>
            <w:r w:rsidR="00B11399">
              <w:rPr>
                <w:noProof/>
                <w:webHidden/>
              </w:rPr>
              <w:fldChar w:fldCharType="separate"/>
            </w:r>
            <w:r w:rsidR="00B11399">
              <w:rPr>
                <w:noProof/>
                <w:webHidden/>
              </w:rPr>
              <w:t>24</w:t>
            </w:r>
            <w:r w:rsidR="00B11399">
              <w:rPr>
                <w:noProof/>
                <w:webHidden/>
              </w:rPr>
              <w:fldChar w:fldCharType="end"/>
            </w:r>
          </w:hyperlink>
        </w:p>
        <w:p w14:paraId="5389E07A" w14:textId="77777777" w:rsidR="00B11399" w:rsidRDefault="00000000">
          <w:pPr>
            <w:pStyle w:val="TOC1"/>
            <w:rPr>
              <w:rFonts w:asciiTheme="minorHAnsi" w:eastAsiaTheme="minorEastAsia" w:hAnsiTheme="minorHAnsi"/>
              <w:b w:val="0"/>
              <w:color w:val="auto"/>
              <w:lang w:val="ru-RU" w:eastAsia="zh-CN"/>
            </w:rPr>
          </w:pPr>
          <w:hyperlink w:anchor="_Toc131079445" w:history="1">
            <w:r w:rsidR="00B11399" w:rsidRPr="00141C8D">
              <w:rPr>
                <w:rStyle w:val="Hyperlink"/>
                <w:lang w:val="en-US"/>
              </w:rPr>
              <w:t>Conclusion and policy recommendations</w:t>
            </w:r>
            <w:r w:rsidR="00B11399">
              <w:rPr>
                <w:webHidden/>
              </w:rPr>
              <w:tab/>
            </w:r>
            <w:r w:rsidR="00B11399">
              <w:rPr>
                <w:webHidden/>
              </w:rPr>
              <w:fldChar w:fldCharType="begin"/>
            </w:r>
            <w:r w:rsidR="00B11399">
              <w:rPr>
                <w:webHidden/>
              </w:rPr>
              <w:instrText xml:space="preserve"> PAGEREF _Toc131079445 \h </w:instrText>
            </w:r>
            <w:r w:rsidR="00B11399">
              <w:rPr>
                <w:webHidden/>
              </w:rPr>
            </w:r>
            <w:r w:rsidR="00B11399">
              <w:rPr>
                <w:webHidden/>
              </w:rPr>
              <w:fldChar w:fldCharType="separate"/>
            </w:r>
            <w:r w:rsidR="00B11399">
              <w:rPr>
                <w:webHidden/>
              </w:rPr>
              <w:t>41</w:t>
            </w:r>
            <w:r w:rsidR="00B11399">
              <w:rPr>
                <w:webHidden/>
              </w:rPr>
              <w:fldChar w:fldCharType="end"/>
            </w:r>
          </w:hyperlink>
        </w:p>
        <w:p w14:paraId="6B7593FD" w14:textId="77777777" w:rsidR="00B11399" w:rsidRDefault="00000000">
          <w:pPr>
            <w:pStyle w:val="TOC1"/>
            <w:rPr>
              <w:rFonts w:asciiTheme="minorHAnsi" w:eastAsiaTheme="minorEastAsia" w:hAnsiTheme="minorHAnsi"/>
              <w:b w:val="0"/>
              <w:color w:val="auto"/>
              <w:lang w:val="ru-RU" w:eastAsia="zh-CN"/>
            </w:rPr>
          </w:pPr>
          <w:hyperlink w:anchor="_Toc131079446" w:history="1">
            <w:r w:rsidR="00B11399" w:rsidRPr="00141C8D">
              <w:rPr>
                <w:rStyle w:val="Hyperlink"/>
              </w:rPr>
              <w:t>References</w:t>
            </w:r>
            <w:r w:rsidR="00B11399">
              <w:rPr>
                <w:webHidden/>
              </w:rPr>
              <w:tab/>
            </w:r>
            <w:r w:rsidR="00B11399">
              <w:rPr>
                <w:webHidden/>
              </w:rPr>
              <w:fldChar w:fldCharType="begin"/>
            </w:r>
            <w:r w:rsidR="00B11399">
              <w:rPr>
                <w:webHidden/>
              </w:rPr>
              <w:instrText xml:space="preserve"> PAGEREF _Toc131079446 \h </w:instrText>
            </w:r>
            <w:r w:rsidR="00B11399">
              <w:rPr>
                <w:webHidden/>
              </w:rPr>
            </w:r>
            <w:r w:rsidR="00B11399">
              <w:rPr>
                <w:webHidden/>
              </w:rPr>
              <w:fldChar w:fldCharType="separate"/>
            </w:r>
            <w:r w:rsidR="00B11399">
              <w:rPr>
                <w:webHidden/>
              </w:rPr>
              <w:t>43</w:t>
            </w:r>
            <w:r w:rsidR="00B11399">
              <w:rPr>
                <w:webHidden/>
              </w:rPr>
              <w:fldChar w:fldCharType="end"/>
            </w:r>
          </w:hyperlink>
        </w:p>
        <w:p w14:paraId="18BB51CA" w14:textId="77777777" w:rsidR="00B11399" w:rsidRDefault="00000000">
          <w:pPr>
            <w:pStyle w:val="TOC1"/>
            <w:rPr>
              <w:rFonts w:asciiTheme="minorHAnsi" w:eastAsiaTheme="minorEastAsia" w:hAnsiTheme="minorHAnsi"/>
              <w:b w:val="0"/>
              <w:color w:val="auto"/>
              <w:lang w:val="ru-RU" w:eastAsia="zh-CN"/>
            </w:rPr>
          </w:pPr>
          <w:hyperlink w:anchor="_Toc131079447" w:history="1">
            <w:r w:rsidR="00B11399" w:rsidRPr="00141C8D">
              <w:rPr>
                <w:rStyle w:val="Hyperlink"/>
              </w:rPr>
              <w:t>Appendices</w:t>
            </w:r>
            <w:r w:rsidR="00B11399">
              <w:rPr>
                <w:webHidden/>
              </w:rPr>
              <w:tab/>
            </w:r>
            <w:r w:rsidR="00B11399">
              <w:rPr>
                <w:webHidden/>
              </w:rPr>
              <w:fldChar w:fldCharType="begin"/>
            </w:r>
            <w:r w:rsidR="00B11399">
              <w:rPr>
                <w:webHidden/>
              </w:rPr>
              <w:instrText xml:space="preserve"> PAGEREF _Toc131079447 \h </w:instrText>
            </w:r>
            <w:r w:rsidR="00B11399">
              <w:rPr>
                <w:webHidden/>
              </w:rPr>
            </w:r>
            <w:r w:rsidR="00B11399">
              <w:rPr>
                <w:webHidden/>
              </w:rPr>
              <w:fldChar w:fldCharType="separate"/>
            </w:r>
            <w:r w:rsidR="00B11399">
              <w:rPr>
                <w:webHidden/>
              </w:rPr>
              <w:t>42</w:t>
            </w:r>
            <w:r w:rsidR="00B11399">
              <w:rPr>
                <w:webHidden/>
              </w:rPr>
              <w:fldChar w:fldCharType="end"/>
            </w:r>
          </w:hyperlink>
        </w:p>
        <w:p w14:paraId="6AB81A49" w14:textId="6929D1C1" w:rsidR="00592E0C" w:rsidRDefault="00592E0C" w:rsidP="00F4635D">
          <w:pPr>
            <w:spacing w:line="360" w:lineRule="auto"/>
          </w:pPr>
          <w:r>
            <w:rPr>
              <w:b/>
              <w:bCs/>
            </w:rPr>
            <w:fldChar w:fldCharType="end"/>
          </w:r>
        </w:p>
      </w:sdtContent>
    </w:sdt>
    <w:p w14:paraId="6EAB9EAC" w14:textId="77777777" w:rsidR="00737A97" w:rsidRDefault="00737A97" w:rsidP="00737A97">
      <w:pPr>
        <w:rPr>
          <w:rFonts w:ascii="Century Gothic" w:hAnsi="Century Gothic"/>
          <w:b/>
          <w:bCs/>
        </w:rPr>
      </w:pPr>
    </w:p>
    <w:p w14:paraId="48F329EA" w14:textId="77777777" w:rsidR="00737A97" w:rsidRDefault="00737A97" w:rsidP="00737A97">
      <w:pPr>
        <w:rPr>
          <w:rFonts w:ascii="Century Gothic" w:hAnsi="Century Gothic"/>
          <w:b/>
          <w:bCs/>
        </w:rPr>
      </w:pPr>
    </w:p>
    <w:p w14:paraId="339BD28C" w14:textId="60439D18" w:rsidR="00737A97" w:rsidRDefault="00737A97" w:rsidP="00737A97">
      <w:pPr>
        <w:rPr>
          <w:rFonts w:ascii="Century Gothic" w:hAnsi="Century Gothic"/>
          <w:b/>
          <w:bCs/>
        </w:rPr>
      </w:pPr>
      <w:r>
        <w:rPr>
          <w:rFonts w:ascii="Century Gothic" w:hAnsi="Century Gothic"/>
          <w:b/>
          <w:bCs/>
        </w:rPr>
        <w:br w:type="page"/>
      </w:r>
    </w:p>
    <w:p w14:paraId="7BE904D8" w14:textId="77777777" w:rsidR="00737A97" w:rsidRPr="00737A97" w:rsidRDefault="00737A97" w:rsidP="00737A97">
      <w:pPr>
        <w:pStyle w:val="Heading1"/>
        <w:spacing w:before="0" w:after="160"/>
        <w:rPr>
          <w:rFonts w:ascii="Century Gothic" w:hAnsi="Century Gothic"/>
          <w:b/>
          <w:sz w:val="28"/>
          <w:szCs w:val="28"/>
        </w:rPr>
      </w:pPr>
      <w:bookmarkStart w:id="8" w:name="_Toc131079433"/>
      <w:r w:rsidRPr="00737A97">
        <w:rPr>
          <w:rFonts w:ascii="Century Gothic" w:hAnsi="Century Gothic"/>
          <w:b/>
          <w:sz w:val="28"/>
          <w:szCs w:val="28"/>
        </w:rPr>
        <w:lastRenderedPageBreak/>
        <w:t>Executive Summary</w:t>
      </w:r>
      <w:bookmarkEnd w:id="8"/>
    </w:p>
    <w:p w14:paraId="356BD751" w14:textId="77777777" w:rsidR="00737A97" w:rsidRPr="00737A97" w:rsidRDefault="00737A97" w:rsidP="00737A97">
      <w:pPr>
        <w:jc w:val="both"/>
        <w:rPr>
          <w:rFonts w:ascii="Century Gothic" w:hAnsi="Century Gothic"/>
        </w:rPr>
      </w:pPr>
      <w:r w:rsidRPr="00737A97">
        <w:rPr>
          <w:rFonts w:ascii="Century Gothic" w:hAnsi="Century Gothic"/>
        </w:rPr>
        <w:t xml:space="preserve">In April 2022, President Samia Suluhu Hassan unveiled her new agricultural transformation strategy – dubbed ‘Agenda 10/30’ – which, as the name alludes, aims to accelerate the pace of output growth in the sector to 10 percent by 2030. At the centre of this strategy is a planned expansion in the amount of labour and land allocated to the sector. An extra 3 million workers are expected to be added to the sector by 2025 – to be made up mostly of women and youth – and land under cultivation is expected to reach 20 million hectares by 2030. Other key elements of the strategy include a massive expansion of irrigation, institution of a block farm system to aggregate smallholder farmers, and deployment of seed multiplication innovations. </w:t>
      </w:r>
    </w:p>
    <w:p w14:paraId="05301A38" w14:textId="77777777" w:rsidR="00737A97" w:rsidRPr="00737A97" w:rsidRDefault="00737A97" w:rsidP="00737A97">
      <w:pPr>
        <w:jc w:val="both"/>
        <w:rPr>
          <w:rFonts w:ascii="Century Gothic" w:hAnsi="Century Gothic"/>
        </w:rPr>
      </w:pPr>
      <w:r w:rsidRPr="00737A97">
        <w:rPr>
          <w:rFonts w:ascii="Century Gothic" w:hAnsi="Century Gothic"/>
        </w:rPr>
        <w:t>The focus on women in the agricultural transformation strategy presents an opportunity to ignite progress towards women’s economic empowerment and catalyse broader gender equality. More women than men (67 percent of the country’s total female labour force versus 64 percent of the male labour force) work in the agriculture sector, most of whom are currently at a distinct disadvantage when it comes to accessing productive inputs such as land, labour (family or hired), fertilizer, improved seeds, labour-saving technology, and finance. Moreover, women in the sector face entrenched and discriminatory economic, political and social norms and attitudes that act as overt and covert impediments to their economic empowerment. The fact that girls are legally allowed to marry at age 15, whereas boys can only marry after they reach age 18, is one example of how these norms operate to deny women and girls equal opportunity to reach their educational and employment potential. Women that marry at a younger age have children earlier and more frequently. In Tanzania, the adolescent (those aged 15-19) fertility rate is 115 per 1000, which is significantly higher than the sub-Saharan African average of 100 per 1000.</w:t>
      </w:r>
    </w:p>
    <w:p w14:paraId="216A7704" w14:textId="77777777" w:rsidR="00737A97" w:rsidRPr="00737A97" w:rsidRDefault="00737A97" w:rsidP="00737A97">
      <w:pPr>
        <w:jc w:val="both"/>
        <w:rPr>
          <w:rFonts w:ascii="Century Gothic" w:hAnsi="Century Gothic"/>
        </w:rPr>
      </w:pPr>
      <w:r w:rsidRPr="00737A97">
        <w:rPr>
          <w:rFonts w:ascii="Century Gothic" w:hAnsi="Century Gothic"/>
        </w:rPr>
        <w:t xml:space="preserve">In agriculture especially, women with more children inevitably find it harder to juggle their childcare duties with their often-arduous farming duties. They also miss out on training and other agricultural extension services, ensuing that they are left further behind the productivity curve in the absence of policy measures that tackle the myriad constraints that uniquely undermine women’s prospects of reaching their full potential in the sector. Uncovering all these impediments and their operation should therefore be a key facet of government’s strategy to increase the participation of women in agriculture. </w:t>
      </w:r>
    </w:p>
    <w:p w14:paraId="0C648F6D" w14:textId="77777777" w:rsidR="00737A97" w:rsidRPr="00737A97" w:rsidRDefault="00737A97" w:rsidP="00737A97">
      <w:pPr>
        <w:jc w:val="both"/>
        <w:rPr>
          <w:rFonts w:ascii="Century Gothic" w:hAnsi="Century Gothic"/>
        </w:rPr>
      </w:pPr>
      <w:r w:rsidRPr="00737A97">
        <w:rPr>
          <w:rFonts w:ascii="Century Gothic" w:hAnsi="Century Gothic"/>
        </w:rPr>
        <w:t>This is not only a desirable goal in its own right, but it also makes good economic sense. Empowering female farmers is one of the quickest and surest ways of increasing agricultural productivity and food production significantly. Research shows that if women farmers, globally are given access to the same inputs as their male counterparts today, they could increase their agricultural yields by 20 – 30 percent, raise total agricultural output by 2.5 to 4 percent and decrease world hunger by 17 percent – the equivalent of 100 – 150 million people.</w:t>
      </w:r>
      <w:r w:rsidRPr="00737A97">
        <w:rPr>
          <w:rFonts w:ascii="Century Gothic" w:hAnsi="Century Gothic"/>
          <w:vertAlign w:val="superscript"/>
        </w:rPr>
        <w:footnoteReference w:id="1"/>
      </w:r>
      <w:r w:rsidRPr="00737A97">
        <w:rPr>
          <w:rFonts w:ascii="Century Gothic" w:hAnsi="Century Gothic"/>
        </w:rPr>
        <w:t xml:space="preserve"> The spill over effects of these benefits could be even more significant. According to research by the World Bank, women spend up to 90 percent of their income on their families (compared with up to 35 percent for men).</w:t>
      </w:r>
      <w:r w:rsidRPr="00737A97">
        <w:rPr>
          <w:rFonts w:ascii="Century Gothic" w:hAnsi="Century Gothic"/>
          <w:vertAlign w:val="superscript"/>
        </w:rPr>
        <w:footnoteReference w:id="2"/>
      </w:r>
      <w:r w:rsidRPr="00737A97">
        <w:rPr>
          <w:rFonts w:ascii="Century Gothic" w:hAnsi="Century Gothic"/>
        </w:rPr>
        <w:t xml:space="preserve"> This means that </w:t>
      </w:r>
      <w:r w:rsidRPr="00737A97">
        <w:rPr>
          <w:rFonts w:ascii="Century Gothic" w:hAnsi="Century Gothic"/>
        </w:rPr>
        <w:lastRenderedPageBreak/>
        <w:t xml:space="preserve">more money is allocated towards investing in their families’ nutrition, health and education, benefiting both men and women, boys and girls, and helping to break otherwise intractable cycles of intergenerational poverty. In fact, the multiplier effect of investing in women’s empowerment in general is so pervasive that it returns seven dollars for every one dollar spent across multiple SDGs. </w:t>
      </w:r>
    </w:p>
    <w:p w14:paraId="08DEFA34" w14:textId="77777777" w:rsidR="00737A97" w:rsidRPr="00737A97" w:rsidRDefault="00737A97" w:rsidP="00737A97">
      <w:pPr>
        <w:jc w:val="both"/>
        <w:rPr>
          <w:rFonts w:ascii="Century Gothic" w:hAnsi="Century Gothic"/>
        </w:rPr>
      </w:pPr>
      <w:r w:rsidRPr="00737A97">
        <w:rPr>
          <w:rFonts w:ascii="Century Gothic" w:hAnsi="Century Gothic"/>
        </w:rPr>
        <w:t>In Tanzania, the gender gap in agricultural productivity has been estimated at 23 percent</w:t>
      </w:r>
      <w:r w:rsidRPr="00737A97">
        <w:rPr>
          <w:rFonts w:ascii="Century Gothic" w:hAnsi="Century Gothic"/>
          <w:vertAlign w:val="superscript"/>
        </w:rPr>
        <w:footnoteReference w:id="3"/>
      </w:r>
      <w:r w:rsidRPr="00737A97">
        <w:rPr>
          <w:rFonts w:ascii="Century Gothic" w:hAnsi="Century Gothic"/>
        </w:rPr>
        <w:t xml:space="preserve"> for similar-sized farm plots in the same geographical location. Closing this gap could increase annual agricultural production by 2.7 percent, lift around 80,000 people out of poverty each year and add 0.86 percent to the country’s gross domestic product (around USD 583.4 million a year), hastening Tanzania’s transition to middle-income country status.</w:t>
      </w:r>
    </w:p>
    <w:p w14:paraId="6D3159CE" w14:textId="77777777" w:rsidR="00737A97" w:rsidRPr="00737A97" w:rsidRDefault="00737A97" w:rsidP="00737A97">
      <w:pPr>
        <w:jc w:val="both"/>
        <w:rPr>
          <w:rFonts w:ascii="Century Gothic" w:hAnsi="Century Gothic"/>
        </w:rPr>
      </w:pPr>
      <w:r w:rsidRPr="00737A97">
        <w:rPr>
          <w:rFonts w:ascii="Century Gothic" w:hAnsi="Century Gothic"/>
        </w:rPr>
        <w:t>However, this report presents a growing body of evidence that shows that simply providing equal access to productive inputs for both male and female farmers may not guarantee equal levels of agricultural productivity outcomes among them. In Tanzania, while the lack of access to male labour (an input) explains 97 percent of the country’s gender gap in agricultural productivity, the root cause of this deficit is sometimes linked to prejudicial societal or cultural attitudes which deter men from seeking employment on women-owned farms or repudiating their authority if they do, leading to lower returns from these workers. Likewise, providing women with equal access to inputs like fertilizer and pesticides (which explains the remaining 3 percent of the productivity gap) need to take into consideration the quality of these inputs and the ability of women to use them effectively, which may need tailored training for women.</w:t>
      </w:r>
    </w:p>
    <w:p w14:paraId="194F2787" w14:textId="77777777" w:rsidR="00737A97" w:rsidRPr="00737A97" w:rsidRDefault="00737A97" w:rsidP="00737A97">
      <w:pPr>
        <w:jc w:val="both"/>
        <w:rPr>
          <w:rFonts w:ascii="Century Gothic" w:hAnsi="Century Gothic"/>
        </w:rPr>
      </w:pPr>
      <w:r w:rsidRPr="00737A97">
        <w:rPr>
          <w:rFonts w:ascii="Century Gothic" w:hAnsi="Century Gothic"/>
        </w:rPr>
        <w:t xml:space="preserve">This report aims to help shed more light on the nature and operation of the constraints that continue to undermine women’s productivity in the agriculture sector. We do so by simulating the impact of policy reforms, both from the literature and from government proposals, on key indicators of women’s economic empowerment such as income, household consumption, employment and productivity, using computable general equilibrium models (CGE). </w:t>
      </w:r>
    </w:p>
    <w:p w14:paraId="0CAC2AE8" w14:textId="77777777" w:rsidR="00737A97" w:rsidRPr="00737A97" w:rsidRDefault="00737A97" w:rsidP="00737A97">
      <w:pPr>
        <w:jc w:val="both"/>
        <w:rPr>
          <w:rFonts w:ascii="Century Gothic" w:hAnsi="Century Gothic"/>
          <w:lang w:val="en-US"/>
        </w:rPr>
      </w:pPr>
      <w:r w:rsidRPr="00737A97">
        <w:rPr>
          <w:rFonts w:ascii="Century Gothic" w:hAnsi="Century Gothic"/>
        </w:rPr>
        <w:t>First, we simulate the baseline or ‘business-as-usual’ scenario where the only policy reform undertaken is the planned increase in the supply of female labour in the agriculture sector. We find that this decreases</w:t>
      </w:r>
      <w:r w:rsidRPr="00737A97">
        <w:rPr>
          <w:rFonts w:ascii="Century Gothic" w:hAnsi="Century Gothic"/>
          <w:lang w:val="en-US"/>
        </w:rPr>
        <w:t xml:space="preserve"> overall agricultural output and depresses wage rates for all workers in the sector. Second, we simulate the impact of policies to provide women with equal access to agricultural land (alongside increasing the number of women farmers) and find that this reform has positive impacts on agricultural output, demand for female labour, and households’ purchasing power. Third, we simulate the impact of increasing access to fertilizer for women farmers and find that this reform is especially positive for increasing demand for the food crops grown by women, thus increasing their labour income. Finally, we simulate the impact of increasing the level of irrigation in the agricultural sector and find that this has the most positive impact on increasing female employment (and therefore wages) not only in crop production but also in related manufacturing sectors – which is positive for increasing women’s participation higher up the agricultural value chain. A key reason for this finding could be that more access to </w:t>
      </w:r>
      <w:r w:rsidRPr="00737A97">
        <w:rPr>
          <w:rFonts w:ascii="Century Gothic" w:hAnsi="Century Gothic"/>
          <w:lang w:val="en-US"/>
        </w:rPr>
        <w:lastRenderedPageBreak/>
        <w:t xml:space="preserve">irrigation helps to reduce the labour burden on women farmers and circumvent the need to rely on the scarce and relatively unproductive male labour available to them. </w:t>
      </w:r>
    </w:p>
    <w:p w14:paraId="43F6B6FC" w14:textId="77777777" w:rsidR="00737A97" w:rsidRPr="00737A97" w:rsidRDefault="00737A97" w:rsidP="00737A97">
      <w:pPr>
        <w:jc w:val="both"/>
        <w:rPr>
          <w:rFonts w:ascii="Century Gothic" w:hAnsi="Century Gothic"/>
          <w:lang w:val="en-US"/>
        </w:rPr>
      </w:pPr>
      <w:r w:rsidRPr="00737A97">
        <w:rPr>
          <w:rFonts w:ascii="Century Gothic" w:hAnsi="Century Gothic"/>
          <w:lang w:val="en-US"/>
        </w:rPr>
        <w:t>These results yield the following preliminary policy recommendations:</w:t>
      </w:r>
    </w:p>
    <w:p w14:paraId="6AD6BDEE" w14:textId="77777777" w:rsidR="00737A97" w:rsidRPr="00737A97" w:rsidRDefault="00737A97" w:rsidP="00737A97">
      <w:pPr>
        <w:numPr>
          <w:ilvl w:val="0"/>
          <w:numId w:val="20"/>
        </w:numPr>
        <w:contextualSpacing/>
        <w:jc w:val="both"/>
        <w:rPr>
          <w:rFonts w:ascii="Century Gothic" w:hAnsi="Century Gothic"/>
        </w:rPr>
      </w:pPr>
      <w:r w:rsidRPr="00737A97">
        <w:rPr>
          <w:rFonts w:ascii="Century Gothic" w:hAnsi="Century Gothic"/>
        </w:rPr>
        <w:t>Step up efforts to accelerate female land ownership and reduce land tenure insecurity which directly increases the incentive for women to invest more in improving land quality of the land they farm and has also been shown to indirectly reduce women’s fertility levels and hence childcare burden.</w:t>
      </w:r>
    </w:p>
    <w:p w14:paraId="4B41523D" w14:textId="77777777" w:rsidR="00737A97" w:rsidRPr="00737A97" w:rsidRDefault="00737A97" w:rsidP="00737A97">
      <w:pPr>
        <w:contextualSpacing/>
        <w:jc w:val="both"/>
        <w:rPr>
          <w:rFonts w:ascii="Century Gothic" w:hAnsi="Century Gothic"/>
        </w:rPr>
      </w:pPr>
    </w:p>
    <w:p w14:paraId="23FCD4E4" w14:textId="77777777" w:rsidR="00737A97" w:rsidRPr="00737A97" w:rsidRDefault="00737A97" w:rsidP="00737A97">
      <w:pPr>
        <w:numPr>
          <w:ilvl w:val="0"/>
          <w:numId w:val="20"/>
        </w:numPr>
        <w:contextualSpacing/>
        <w:jc w:val="both"/>
        <w:rPr>
          <w:rFonts w:ascii="Century Gothic" w:hAnsi="Century Gothic"/>
        </w:rPr>
      </w:pPr>
      <w:r w:rsidRPr="00737A97">
        <w:rPr>
          <w:rFonts w:ascii="Century Gothic" w:hAnsi="Century Gothic"/>
        </w:rPr>
        <w:t>Devise targeted measures to increase women’s access to high quality inputs such as fertilizer and pesticides and provide gender-sensitive training in their application.</w:t>
      </w:r>
    </w:p>
    <w:p w14:paraId="357FE36E" w14:textId="77777777" w:rsidR="00737A97" w:rsidRPr="00737A97" w:rsidRDefault="00737A97" w:rsidP="00737A97">
      <w:pPr>
        <w:contextualSpacing/>
        <w:rPr>
          <w:rFonts w:ascii="Century Gothic" w:hAnsi="Century Gothic"/>
        </w:rPr>
      </w:pPr>
    </w:p>
    <w:p w14:paraId="0644BA12" w14:textId="77777777" w:rsidR="00737A97" w:rsidRPr="00737A97" w:rsidRDefault="00737A97" w:rsidP="00737A97">
      <w:pPr>
        <w:numPr>
          <w:ilvl w:val="0"/>
          <w:numId w:val="20"/>
        </w:numPr>
        <w:tabs>
          <w:tab w:val="left" w:pos="90"/>
        </w:tabs>
        <w:contextualSpacing/>
        <w:jc w:val="both"/>
        <w:rPr>
          <w:rFonts w:ascii="Century Gothic" w:hAnsi="Century Gothic"/>
          <w:bCs/>
          <w:color w:val="000000" w:themeColor="text1"/>
          <w:lang w:val="en-US"/>
        </w:rPr>
      </w:pPr>
      <w:r w:rsidRPr="00737A97">
        <w:rPr>
          <w:rFonts w:ascii="Century Gothic" w:hAnsi="Century Gothic"/>
          <w:bCs/>
          <w:color w:val="000000" w:themeColor="text1"/>
          <w:lang w:val="en-US"/>
        </w:rPr>
        <w:t>Accelerate investment in irrigation to increase agricultural productivity and sequence the roll-out of such schemes to give priority to crop sectors with high female employment and high expected returns to crop production.</w:t>
      </w:r>
    </w:p>
    <w:p w14:paraId="15A3067B" w14:textId="77777777" w:rsidR="00737A97" w:rsidRPr="00737A97" w:rsidRDefault="00737A97" w:rsidP="00737A97">
      <w:pPr>
        <w:jc w:val="both"/>
        <w:rPr>
          <w:rFonts w:ascii="Century Gothic" w:hAnsi="Century Gothic"/>
        </w:rPr>
      </w:pPr>
    </w:p>
    <w:p w14:paraId="2A3C4A2B" w14:textId="77777777" w:rsidR="00737A97" w:rsidRPr="00737A97" w:rsidRDefault="00737A97" w:rsidP="00737A97">
      <w:pPr>
        <w:spacing w:afterLines="160" w:after="384" w:line="22" w:lineRule="atLeast"/>
        <w:rPr>
          <w:rFonts w:ascii="Century Gothic" w:hAnsi="Century Gothic"/>
          <w:b/>
          <w:bCs/>
        </w:rPr>
      </w:pPr>
      <w:r w:rsidRPr="00737A97">
        <w:rPr>
          <w:rFonts w:ascii="Century Gothic" w:hAnsi="Century Gothic"/>
          <w:b/>
          <w:bCs/>
        </w:rPr>
        <w:br w:type="page"/>
      </w:r>
    </w:p>
    <w:p w14:paraId="65F610E9" w14:textId="77777777" w:rsidR="00737A97" w:rsidRPr="00737A97" w:rsidRDefault="00737A97" w:rsidP="00737A97">
      <w:pPr>
        <w:pStyle w:val="Heading1"/>
        <w:spacing w:before="0" w:after="160"/>
        <w:rPr>
          <w:rFonts w:ascii="Century Gothic" w:hAnsi="Century Gothic"/>
          <w:b/>
          <w:sz w:val="28"/>
          <w:szCs w:val="28"/>
        </w:rPr>
      </w:pPr>
      <w:bookmarkStart w:id="9" w:name="_Toc131079434"/>
      <w:r w:rsidRPr="00737A97">
        <w:rPr>
          <w:rFonts w:ascii="Century Gothic" w:hAnsi="Century Gothic"/>
          <w:b/>
          <w:sz w:val="28"/>
          <w:szCs w:val="28"/>
        </w:rPr>
        <w:lastRenderedPageBreak/>
        <w:t>Introduction</w:t>
      </w:r>
      <w:bookmarkEnd w:id="9"/>
    </w:p>
    <w:p w14:paraId="2BF3AAD0" w14:textId="77777777" w:rsidR="00737A97" w:rsidRPr="00737A97" w:rsidRDefault="00737A97" w:rsidP="00737A97">
      <w:pPr>
        <w:jc w:val="both"/>
        <w:rPr>
          <w:rFonts w:ascii="Century Gothic" w:hAnsi="Century Gothic"/>
        </w:rPr>
      </w:pPr>
      <w:bookmarkStart w:id="10" w:name="_Hlk130546810"/>
      <w:r w:rsidRPr="00737A97">
        <w:rPr>
          <w:rFonts w:ascii="Century Gothic" w:hAnsi="Century Gothic"/>
        </w:rPr>
        <w:t xml:space="preserve">Women are at the heart of Tanzania’s new agricultural transformation strategy – Agenda 10/30 – which seeks to increase the sector’s growth rate to 10 percent per year by 2030 (from 3.2 percent in 2021). To achieve this target, the government plans to increase the number of workers employed in the sector by 3 million in mainland Tanzania and 300,000 in Zanzibar, to be made up mostly of women and youth. </w:t>
      </w:r>
      <w:bookmarkEnd w:id="10"/>
    </w:p>
    <w:p w14:paraId="3DECC42E" w14:textId="77777777" w:rsidR="00737A97" w:rsidRPr="00737A97" w:rsidRDefault="00737A97" w:rsidP="00737A97">
      <w:pPr>
        <w:jc w:val="both"/>
        <w:rPr>
          <w:rFonts w:ascii="Century Gothic" w:hAnsi="Century Gothic"/>
        </w:rPr>
      </w:pPr>
      <w:r w:rsidRPr="00737A97">
        <w:rPr>
          <w:rFonts w:ascii="Century Gothic" w:hAnsi="Century Gothic"/>
        </w:rPr>
        <w:t>If successful, Agenda 10/30 could potentially accelerate progress towards achieving gender equality and women’s empowerment in Tanzania. According to the World Bank, agricultural sector growth is 2 to 4 times more effective at reducing poverty than growth emanating from any other sector of the economy.</w:t>
      </w:r>
      <w:r w:rsidRPr="00737A97">
        <w:rPr>
          <w:rFonts w:ascii="Century Gothic" w:hAnsi="Century Gothic"/>
          <w:vertAlign w:val="superscript"/>
        </w:rPr>
        <w:footnoteReference w:id="4"/>
      </w:r>
      <w:r w:rsidRPr="00737A97">
        <w:rPr>
          <w:rFonts w:ascii="Century Gothic" w:hAnsi="Century Gothic"/>
        </w:rPr>
        <w:t xml:space="preserve"> In Tanzania, 67 percent of female workers are employed in agriculture, meaning that the vast majority of employed women – and their families – stand to benefit from the planned expansion in agricultural output.  Further, agriculture has the greatest potential to provide diverse opportunities for women according to the FAO,</w:t>
      </w:r>
      <w:r w:rsidRPr="00737A97">
        <w:rPr>
          <w:rFonts w:ascii="Century Gothic" w:hAnsi="Century Gothic"/>
          <w:vertAlign w:val="superscript"/>
        </w:rPr>
        <w:footnoteReference w:id="5"/>
      </w:r>
      <w:r w:rsidRPr="00737A97">
        <w:rPr>
          <w:rFonts w:ascii="Century Gothic" w:hAnsi="Century Gothic"/>
        </w:rPr>
        <w:t xml:space="preserve"> which could give women easier access to higher value-added economic activities than other sectors. This is especially the case if policies that prioritise women are implemented alongside output expansion measures. </w:t>
      </w:r>
    </w:p>
    <w:p w14:paraId="3F2EF1A7" w14:textId="77777777" w:rsidR="00737A97" w:rsidRPr="00737A97" w:rsidRDefault="00737A97" w:rsidP="00737A97">
      <w:pPr>
        <w:jc w:val="both"/>
        <w:rPr>
          <w:rFonts w:ascii="Century Gothic" w:hAnsi="Century Gothic"/>
        </w:rPr>
      </w:pPr>
      <w:r w:rsidRPr="00737A97">
        <w:rPr>
          <w:rFonts w:ascii="Century Gothic" w:hAnsi="Century Gothic"/>
        </w:rPr>
        <w:t>Women farmers globally are at a disadvantage in the agriculture sector when compared with their male counterparts. They have less access to productive inputs such as fertilizers, labour saving equipment and technology, hired or family labour (especially male labour), finance, extension services, improved seed varieties, and land. Moreover, a study conducted by the World Bank</w:t>
      </w:r>
      <w:r w:rsidRPr="00737A97">
        <w:rPr>
          <w:rFonts w:ascii="Century Gothic" w:hAnsi="Century Gothic"/>
          <w:vertAlign w:val="superscript"/>
        </w:rPr>
        <w:footnoteReference w:id="6"/>
      </w:r>
      <w:r w:rsidRPr="00737A97">
        <w:rPr>
          <w:rFonts w:ascii="Century Gothic" w:hAnsi="Century Gothic"/>
        </w:rPr>
        <w:t xml:space="preserve"> also suggests that whatever inputs they do receive could be sub-standard (land, labour, fertilizers) or inconsiderate of the specific needs of women (extension services). Disparities in educational attainment and entrenched cultural and discriminatory norms against women also impede their ability to use productive inputs as effectively as men. It therefore follows that simply providing women with equal access to agricultural inputs does not automatically guarantee equal improvements in their productivity. </w:t>
      </w:r>
    </w:p>
    <w:p w14:paraId="06F95E73" w14:textId="77777777" w:rsidR="00737A97" w:rsidRPr="00737A97" w:rsidRDefault="00737A97" w:rsidP="00737A97">
      <w:pPr>
        <w:jc w:val="both"/>
        <w:rPr>
          <w:rFonts w:ascii="Century Gothic" w:hAnsi="Century Gothic"/>
        </w:rPr>
      </w:pPr>
      <w:r w:rsidRPr="00737A97">
        <w:rPr>
          <w:rFonts w:ascii="Century Gothic" w:hAnsi="Century Gothic"/>
        </w:rPr>
        <w:t>However, closing all the gender gaps in agriculture – both in terms of quantity and quality – would allow women to increase their yields by 20 – 30 percent,</w:t>
      </w:r>
      <w:r w:rsidRPr="00737A97">
        <w:rPr>
          <w:rFonts w:ascii="Century Gothic" w:hAnsi="Century Gothic"/>
          <w:vertAlign w:val="superscript"/>
        </w:rPr>
        <w:footnoteReference w:id="7"/>
      </w:r>
      <w:r w:rsidRPr="00737A97">
        <w:rPr>
          <w:rFonts w:ascii="Century Gothic" w:hAnsi="Century Gothic"/>
        </w:rPr>
        <w:t xml:space="preserve"> and decrease global hunger by 17 percent.</w:t>
      </w:r>
      <w:r w:rsidRPr="00737A97">
        <w:rPr>
          <w:rFonts w:ascii="Century Gothic" w:hAnsi="Century Gothic"/>
          <w:vertAlign w:val="superscript"/>
        </w:rPr>
        <w:footnoteReference w:id="8"/>
      </w:r>
      <w:r w:rsidRPr="00737A97">
        <w:rPr>
          <w:rFonts w:ascii="Century Gothic" w:hAnsi="Century Gothic"/>
        </w:rPr>
        <w:t xml:space="preserve"> Also, agriculture’s role in providing the easiest route to women’s economic empowerment in developing countries is also catalytic for ensuring broader women’s empowerment in other spheres of society.</w:t>
      </w:r>
      <w:r w:rsidRPr="00737A97">
        <w:rPr>
          <w:rFonts w:ascii="Century Gothic" w:hAnsi="Century Gothic"/>
          <w:vertAlign w:val="superscript"/>
        </w:rPr>
        <w:footnoteReference w:id="9"/>
      </w:r>
      <w:r w:rsidRPr="00737A97">
        <w:rPr>
          <w:rFonts w:ascii="Century Gothic" w:hAnsi="Century Gothic"/>
        </w:rPr>
        <w:t xml:space="preserve"> Economic empowerment gives women more say and control over how resources are allocated and more stake in the societal and political processes that determine this allocation, turning them from passive recipients of repressive norms and beliefs about their pre-determined position in society to active co-creators of the kind of future they want for themselves and their families. </w:t>
      </w:r>
    </w:p>
    <w:p w14:paraId="27A91FE5" w14:textId="77777777" w:rsidR="00737A97" w:rsidRPr="00737A97" w:rsidRDefault="00737A97" w:rsidP="00737A97">
      <w:pPr>
        <w:jc w:val="both"/>
        <w:rPr>
          <w:rFonts w:ascii="Century Gothic" w:hAnsi="Century Gothic"/>
        </w:rPr>
      </w:pPr>
      <w:r w:rsidRPr="00737A97">
        <w:rPr>
          <w:rFonts w:ascii="Century Gothic" w:hAnsi="Century Gothic"/>
        </w:rPr>
        <w:t xml:space="preserve">By prioritising women, the government’s new agriculture strategy is taking steps in the right direction towards closing these diverse disparities including granting female farmers </w:t>
      </w:r>
      <w:r w:rsidRPr="00737A97">
        <w:rPr>
          <w:rFonts w:ascii="Century Gothic" w:hAnsi="Century Gothic"/>
        </w:rPr>
        <w:lastRenderedPageBreak/>
        <w:t>access to irrigated land and providing them with greater access to soft loans and subsidised inputs (fertilizers and seeds). However, it remains uncertain whether these measures will do enough to close the sizable gender gap between male and female farmers’ agricultural productivity, which is estimated at 23 percent,</w:t>
      </w:r>
      <w:r w:rsidRPr="00737A97">
        <w:rPr>
          <w:rFonts w:ascii="Century Gothic" w:hAnsi="Century Gothic"/>
          <w:vertAlign w:val="superscript"/>
        </w:rPr>
        <w:footnoteReference w:id="10"/>
      </w:r>
      <w:r w:rsidRPr="00737A97">
        <w:rPr>
          <w:rFonts w:ascii="Century Gothic" w:hAnsi="Century Gothic"/>
        </w:rPr>
        <w:t xml:space="preserve"> and hence advance gender equality in the agriculture sector. Intuitively, increasing the number of female workers in the sector could increase agricultural output overall, but without a commensurate increase in productivity, i.e. output per worker, the welfare benefits for the anticipated new female entrants into the sector could be eroded overtime. Thus, this paper aims to assess the gender equality and women’s empowerment implications of Agenda 10/30 by simulating the impact of proposed policy changes on key welfare metrics such as income, poverty levels, agricultural output and productivity. The paper will also simulate the policy impact of some policy recommendations derived from the literature on empowering women in agriculture in Tanzania and other developing countries to support government efforts to devise an appropriate mix and sequence of sector-specific and gender-forward enabling environment policies for advancing gender equality and women’s empowerment in the agriculture sector.</w:t>
      </w:r>
    </w:p>
    <w:p w14:paraId="1E395DEC" w14:textId="77777777" w:rsidR="00737A97" w:rsidRPr="00737A97" w:rsidRDefault="00737A97" w:rsidP="00737A97">
      <w:pPr>
        <w:jc w:val="both"/>
        <w:rPr>
          <w:rFonts w:ascii="Century Gothic" w:hAnsi="Century Gothic"/>
        </w:rPr>
      </w:pPr>
      <w:r w:rsidRPr="00737A97">
        <w:rPr>
          <w:rFonts w:ascii="Century Gothic" w:hAnsi="Century Gothic"/>
        </w:rPr>
        <w:t>The paper is organised as follows: section I reviews the government’s new agricultural transformation agenda, its aims, objectives and drivers both nationally and globally. Section II reviews the economic status of women in Tanzania in general and in the agriculture sector in particular, while section III analyses existing literature and evidence on policies to empower women in the agricultural sector. Section IV introduces the computable general equilibrium model (CGE) framework used for the policy simulations and its rationale, including past applications, the model specifications used for the policy simulations and their results; and section V concludes with policy recommendations from the results of the simulations.</w:t>
      </w:r>
    </w:p>
    <w:p w14:paraId="19D4F663" w14:textId="77777777" w:rsidR="00737A97" w:rsidRPr="00737A97" w:rsidRDefault="00737A97" w:rsidP="00737A97">
      <w:pPr>
        <w:jc w:val="both"/>
        <w:rPr>
          <w:rFonts w:ascii="Century Gothic" w:hAnsi="Century Gothic"/>
        </w:rPr>
      </w:pPr>
    </w:p>
    <w:p w14:paraId="19FCEAAA" w14:textId="77777777" w:rsidR="00737A97" w:rsidRPr="00737A97" w:rsidRDefault="00737A97" w:rsidP="00737A97">
      <w:pPr>
        <w:pStyle w:val="Heading1"/>
        <w:spacing w:before="0" w:after="160"/>
        <w:rPr>
          <w:rFonts w:ascii="Century Gothic" w:hAnsi="Century Gothic"/>
          <w:b/>
          <w:sz w:val="28"/>
          <w:szCs w:val="28"/>
        </w:rPr>
      </w:pPr>
      <w:bookmarkStart w:id="12" w:name="_Toc131079435"/>
      <w:r w:rsidRPr="00737A97">
        <w:rPr>
          <w:rFonts w:ascii="Century Gothic" w:hAnsi="Century Gothic"/>
          <w:b/>
          <w:sz w:val="28"/>
          <w:szCs w:val="28"/>
        </w:rPr>
        <w:t>SECTION I: Evolution of Tanzania’s new agricultural sector strategy</w:t>
      </w:r>
      <w:bookmarkEnd w:id="12"/>
    </w:p>
    <w:p w14:paraId="24FE3B59" w14:textId="77777777" w:rsidR="00707906" w:rsidRPr="00BA514E" w:rsidRDefault="00707906" w:rsidP="00707906">
      <w:pPr>
        <w:jc w:val="both"/>
        <w:rPr>
          <w:rFonts w:ascii="Century Gothic" w:hAnsi="Century Gothic"/>
        </w:rPr>
      </w:pPr>
      <w:r w:rsidRPr="00BA514E">
        <w:rPr>
          <w:rFonts w:ascii="Century Gothic" w:hAnsi="Century Gothic"/>
        </w:rPr>
        <w:t>In April 2022, President Samia Suluhu Hassan unveiled her new agricultural transformation strategy – dubbed ‘Agenda 10/30’ – which, as the name alludes, aims to accelerate the pace of output growth in the sector to 10 percent by 2030. At the centre of this strategy is a planned expansion in the amount of labour and land allocated to the sector. An extra 3 million workers are expected to be added to the sector by 2025, a third of which are expected to be young people, and land under cultivation is expected to reach 20 million hectares by 2030. Other key elements of the strategy include a massive expansion in irrigation to cover 50 percent of all land under cultivation by 2030, from just 6 percent currently,</w:t>
      </w:r>
      <w:r w:rsidRPr="00BA514E">
        <w:rPr>
          <w:rFonts w:ascii="Century Gothic" w:hAnsi="Century Gothic"/>
          <w:vertAlign w:val="superscript"/>
        </w:rPr>
        <w:footnoteReference w:id="11"/>
      </w:r>
      <w:r w:rsidRPr="00BA514E">
        <w:rPr>
          <w:rFonts w:ascii="Century Gothic" w:hAnsi="Century Gothic"/>
        </w:rPr>
        <w:t xml:space="preserve"> institution of a ‘block farm’ system to aggregate smallholder farmers, where every farmer – with priority given to women and youth – will receive at least 10 acres of land to benefit from economies of scale, and deployment of seed multiplication innovations.</w:t>
      </w:r>
      <w:r w:rsidRPr="00BA514E">
        <w:rPr>
          <w:rFonts w:ascii="Century Gothic" w:hAnsi="Century Gothic"/>
          <w:vertAlign w:val="superscript"/>
        </w:rPr>
        <w:footnoteReference w:id="12"/>
      </w:r>
      <w:r w:rsidRPr="00BA514E">
        <w:rPr>
          <w:rFonts w:ascii="Century Gothic" w:hAnsi="Century Gothic"/>
        </w:rPr>
        <w:t xml:space="preserve"> </w:t>
      </w:r>
    </w:p>
    <w:p w14:paraId="48379548" w14:textId="77777777" w:rsidR="00707906" w:rsidRPr="00BA514E" w:rsidRDefault="00707906" w:rsidP="00707906">
      <w:pPr>
        <w:jc w:val="both"/>
        <w:rPr>
          <w:rFonts w:ascii="Century Gothic" w:hAnsi="Century Gothic"/>
        </w:rPr>
      </w:pPr>
      <w:r w:rsidRPr="00BA514E">
        <w:rPr>
          <w:rFonts w:ascii="Century Gothic" w:hAnsi="Century Gothic"/>
        </w:rPr>
        <w:lastRenderedPageBreak/>
        <w:t xml:space="preserve">In addition to accelerating growth in the agriculture sector the new strategy aims to </w:t>
      </w:r>
      <w:r w:rsidRPr="00BA514E">
        <w:rPr>
          <w:rFonts w:ascii="Century Gothic" w:hAnsi="Century Gothic"/>
          <w:lang w:val="en-US"/>
        </w:rPr>
        <w:t xml:space="preserve">increase the value agricultural exports from USD 1.2 billion per annum to more than USD 5 billion by 2030, led by an increase in horticultural exports from USD 750 million to USD 2 billion. The government also plans to leverage its position as one of Africa’s few surplus food producers to supply 20 percent of the region’s food imports demand, especially for cereals like rice and maize. </w:t>
      </w:r>
    </w:p>
    <w:p w14:paraId="1766BDBB" w14:textId="77777777" w:rsidR="00707906" w:rsidRPr="00BA514E" w:rsidRDefault="00707906" w:rsidP="00707906">
      <w:pPr>
        <w:jc w:val="both"/>
        <w:rPr>
          <w:rFonts w:ascii="Century Gothic" w:hAnsi="Century Gothic"/>
        </w:rPr>
      </w:pPr>
      <w:r w:rsidRPr="00BA514E">
        <w:rPr>
          <w:rFonts w:ascii="Century Gothic" w:hAnsi="Century Gothic"/>
        </w:rPr>
        <w:t>Agenda 10/30 results from the culmination of years of underinvestment in the agriculture sector, which has seen the sector’s growth rate fall to just 3.2 percent in 2021, heightening the risk of food insecurity. The war in Ukraine, which led to shortages of wheat and edible oils in the country, also raised the urgency to take immediate measures to address the inefficiencies in the sector. Yet the measures outlined by the President last year largely mirror those in existing policy plans. For instance, the Agriculture Sector Development Programme II (ASDP II) 2015/16-2024/25, seeks to increase productivity, commercialization and incomes of smallholder farmers for improved livelihood, food and nutrition security. Measures currently underway include policy reforms to liberalise markets for agricultural inputs and outputs plus provision of support to transform smallholder subsistence farmers into commercial farmers through increased productivity of target commodities within sustainable production systems. Improvements in rural infrastructure (including expansion and modernisation of irrigation) are also part of ASDP III.</w:t>
      </w:r>
      <w:r w:rsidRPr="00BA514E">
        <w:rPr>
          <w:rFonts w:ascii="Century Gothic" w:hAnsi="Century Gothic"/>
          <w:vertAlign w:val="superscript"/>
        </w:rPr>
        <w:footnoteReference w:id="13"/>
      </w:r>
      <w:r w:rsidRPr="00BA514E">
        <w:rPr>
          <w:rFonts w:ascii="Century Gothic" w:hAnsi="Century Gothic"/>
        </w:rPr>
        <w:t xml:space="preserve"> </w:t>
      </w:r>
    </w:p>
    <w:p w14:paraId="5B8968DA" w14:textId="77777777" w:rsidR="00707906" w:rsidRPr="00BA514E" w:rsidRDefault="00707906" w:rsidP="00707906">
      <w:pPr>
        <w:jc w:val="both"/>
        <w:rPr>
          <w:rFonts w:ascii="Century Gothic" w:hAnsi="Century Gothic"/>
        </w:rPr>
      </w:pPr>
      <w:r w:rsidRPr="00BA514E">
        <w:rPr>
          <w:rFonts w:ascii="Century Gothic" w:hAnsi="Century Gothic"/>
        </w:rPr>
        <w:t>FYDP III defines the broad direction planned for the agriculture sector over FYs 2021/22 – 2025/26, emphasising increasing competitiveness, strengthening forward and backward linkages to other sectors and increasing investments in research and development targeting strategic crops to increase both output and productivity. In Zanzibar, the Government hopes to improve productivity through the use of climate smart, environmentally sustainable techniques and modern technology which can simultaneously free up labour to secondary or tertiary sectors, increase export revenue and improve food and nutritional security while protecting habitats for eco-tourism. The key difference with the new strategy is that the government is now providing the financial muscle to make these plans a reality.</w:t>
      </w:r>
    </w:p>
    <w:p w14:paraId="41885CB2" w14:textId="77777777" w:rsidR="00707906" w:rsidRPr="00BA514E" w:rsidRDefault="00707906" w:rsidP="00707906">
      <w:pPr>
        <w:jc w:val="both"/>
        <w:rPr>
          <w:rFonts w:ascii="Century Gothic" w:hAnsi="Century Gothic"/>
        </w:rPr>
      </w:pPr>
      <w:r w:rsidRPr="00BA514E">
        <w:rPr>
          <w:rFonts w:ascii="Century Gothic" w:hAnsi="Century Gothic"/>
        </w:rPr>
        <w:t xml:space="preserve">The government increased the agricultural budget nearly threefold to TZS 954 billion shillings in the FY 2022/23 budget (from TZS 294 billion in the previous FY) and plans to keep the budget elevated going forward. Investment in irrigation alone accounts for almost 40 percent of this budget (TZS 360 billion, up from just TZS 50 billion in FY 2021/22). The plan is to scale up small-scale irrigation schemes across the country by tapping the country’s vast water resources including Lakes Victoria, Tanganyika and Nyasa, as well as large rivers like Malagarasi, Ruvuma, Rufiji, Mara and Ruvu. </w:t>
      </w:r>
    </w:p>
    <w:p w14:paraId="2758E8EA" w14:textId="77777777" w:rsidR="00707906" w:rsidRPr="00BA514E" w:rsidRDefault="00707906" w:rsidP="00707906">
      <w:pPr>
        <w:jc w:val="both"/>
        <w:rPr>
          <w:rFonts w:ascii="Century Gothic" w:hAnsi="Century Gothic"/>
        </w:rPr>
      </w:pPr>
      <w:r w:rsidRPr="00BA514E">
        <w:rPr>
          <w:rFonts w:ascii="Century Gothic" w:hAnsi="Century Gothic"/>
        </w:rPr>
        <w:t xml:space="preserve">Another cornerstone of Agenda 10/30 is the Building a Better Tomorrow: Youth Agribusiness Initiative (BBT:YAI) 2022-2030, which was launched by the Ministry of Agriculture to combat the negative perception of agriculture sector employment among young people and thus encourage them to engage more in the sector. </w:t>
      </w:r>
    </w:p>
    <w:p w14:paraId="18EC2117" w14:textId="77777777" w:rsidR="00707906" w:rsidRPr="00BA514E" w:rsidRDefault="00707906" w:rsidP="00707906">
      <w:pPr>
        <w:spacing w:before="240"/>
        <w:jc w:val="both"/>
        <w:rPr>
          <w:rFonts w:ascii="Century Gothic" w:hAnsi="Century Gothic"/>
        </w:rPr>
      </w:pPr>
      <w:r w:rsidRPr="00BA514E">
        <w:rPr>
          <w:rFonts w:ascii="Century Gothic" w:hAnsi="Century Gothic"/>
        </w:rPr>
        <w:t xml:space="preserve">BBT-YAI’s strategic objectives are to; i) inspire youth through implementing a behaviour/ attitude changing communication strategy; ii) empower youth through training, </w:t>
      </w:r>
      <w:r w:rsidRPr="00BA514E">
        <w:rPr>
          <w:rFonts w:ascii="Century Gothic" w:hAnsi="Century Gothic"/>
        </w:rPr>
        <w:lastRenderedPageBreak/>
        <w:t>mentoring and coaching; iii) engage youth in profitable and sustainable management of agribusinesses; iv) enable youth-led enterprises by improving the business environment; and v) coordinate effectively youth agribusiness support initiatives for synergy and efficiency. Over the eight-year programme, the agriculture ministry hopes to establish 12,000 profitable enterprises in 12,000 villages across the country.</w:t>
      </w:r>
      <w:r w:rsidRPr="00BA514E">
        <w:rPr>
          <w:rFonts w:ascii="Century Gothic" w:hAnsi="Century Gothic"/>
          <w:vertAlign w:val="superscript"/>
        </w:rPr>
        <w:footnoteReference w:id="14"/>
      </w:r>
      <w:r w:rsidRPr="00BA514E">
        <w:rPr>
          <w:rFonts w:ascii="Century Gothic" w:hAnsi="Century Gothic"/>
        </w:rPr>
        <w:t xml:space="preserve"> Already, the first cohort of 812 young beneficiaries of the programme have started receiving practical training on modern agricultural methods, after which they will be allocated 10 acres of land for free to use for their agricultural ventures supported by agricultural extension workers.</w:t>
      </w:r>
      <w:r w:rsidRPr="00BA514E">
        <w:rPr>
          <w:rFonts w:ascii="Century Gothic" w:hAnsi="Century Gothic"/>
          <w:vertAlign w:val="superscript"/>
        </w:rPr>
        <w:footnoteReference w:id="15"/>
      </w:r>
    </w:p>
    <w:p w14:paraId="4F707198" w14:textId="77777777" w:rsidR="00737A97" w:rsidRPr="00737A97" w:rsidRDefault="00737A97" w:rsidP="00EE3BED">
      <w:pPr>
        <w:jc w:val="both"/>
        <w:rPr>
          <w:rFonts w:ascii="Century Gothic" w:hAnsi="Century Gothic"/>
        </w:rPr>
      </w:pPr>
    </w:p>
    <w:p w14:paraId="27C2B900" w14:textId="77777777" w:rsidR="00737A97" w:rsidRPr="00EE3BED" w:rsidRDefault="00737A97" w:rsidP="00EE3BED">
      <w:pPr>
        <w:pStyle w:val="Heading1"/>
        <w:spacing w:before="0" w:after="160"/>
        <w:jc w:val="both"/>
        <w:rPr>
          <w:rFonts w:ascii="Century Gothic" w:hAnsi="Century Gothic"/>
          <w:b/>
          <w:sz w:val="28"/>
          <w:szCs w:val="28"/>
        </w:rPr>
      </w:pPr>
      <w:bookmarkStart w:id="14" w:name="_Toc131079436"/>
      <w:r w:rsidRPr="00EE3BED">
        <w:rPr>
          <w:rFonts w:ascii="Century Gothic" w:hAnsi="Century Gothic"/>
          <w:b/>
          <w:sz w:val="28"/>
          <w:szCs w:val="28"/>
        </w:rPr>
        <w:t>SECTION II: Economic status of women in Tanzania in general and the agriculture sector in particular</w:t>
      </w:r>
      <w:bookmarkEnd w:id="14"/>
    </w:p>
    <w:p w14:paraId="743FF43D" w14:textId="77777777" w:rsidR="00737A97" w:rsidRPr="00737A97" w:rsidRDefault="00737A97" w:rsidP="00EE3BED">
      <w:pPr>
        <w:jc w:val="both"/>
        <w:rPr>
          <w:rFonts w:ascii="Century Gothic" w:hAnsi="Century Gothic"/>
        </w:rPr>
      </w:pPr>
      <w:r w:rsidRPr="00737A97">
        <w:rPr>
          <w:rFonts w:ascii="Century Gothic" w:hAnsi="Century Gothic"/>
        </w:rPr>
        <w:t xml:space="preserve">Gender equality is enshrined in the Constitution of the United Republic of Tanzania and operationalised through several national plans including the National Women and Gender Policy (2000) and the National Strategy for Gender and Development (NSGD, 2002). Also, both the third Five-Year Development Plan (FYDP III) and Zanzibar Development Plan (ZADEP) have adopted gender equality and women’s empowerment goals. This has translated into significant progress in increasing women’s access to education and employment, which in turn has boosted economic growth and poverty reduction. </w:t>
      </w:r>
    </w:p>
    <w:p w14:paraId="5489ADB0" w14:textId="77777777" w:rsidR="00737A97" w:rsidRPr="00737A97" w:rsidRDefault="00737A97" w:rsidP="00EE3BED">
      <w:pPr>
        <w:jc w:val="both"/>
        <w:rPr>
          <w:rFonts w:ascii="Century Gothic" w:hAnsi="Century Gothic"/>
        </w:rPr>
      </w:pPr>
      <w:r w:rsidRPr="00737A97">
        <w:rPr>
          <w:rFonts w:ascii="Century Gothic" w:hAnsi="Century Gothic"/>
        </w:rPr>
        <w:t>For instance, the country has achieved near-gender parity in primary education, thanks in large part to its fee-free education programme, which was introduced in 2014. The primary school enrolment rate for girls and boys stood at 96.7 percent and 94.8 percent respectively in mainland Tanzania and 86.4 percent for girls and 86.3 percent for boys in Zanzibar in 2020.</w:t>
      </w:r>
      <w:r w:rsidRPr="00737A97">
        <w:rPr>
          <w:rFonts w:ascii="Century Gothic" w:hAnsi="Century Gothic"/>
          <w:vertAlign w:val="superscript"/>
        </w:rPr>
        <w:footnoteReference w:id="16"/>
      </w:r>
      <w:r w:rsidRPr="00737A97">
        <w:rPr>
          <w:rFonts w:ascii="Century Gothic" w:hAnsi="Century Gothic"/>
        </w:rPr>
        <w:t xml:space="preserve"> However, the low enrolment rates at secondary school level for both genders, and in particular for girls at upper secondary level, remains a drag on women’s economic prospects. Overall, only 29.8 percent of girls are enrolled in secondary school (2020 data), with only 5.9 percent in upper secondary school (2019 data), compared with 30.0 percent and 7.8 percent for boys respectively. Upper secondary school enrolment metrics may improve substantially in the future if the government moves ahead with its plan to expand fee-free education to upper secondary school level as tabled in the financial year (FY) 2022/23 budget,</w:t>
      </w:r>
      <w:r w:rsidRPr="00737A97">
        <w:rPr>
          <w:rFonts w:ascii="Century Gothic" w:hAnsi="Century Gothic"/>
          <w:vertAlign w:val="superscript"/>
        </w:rPr>
        <w:footnoteReference w:id="17"/>
      </w:r>
      <w:r w:rsidRPr="00737A97">
        <w:rPr>
          <w:rFonts w:ascii="Century Gothic" w:hAnsi="Century Gothic"/>
        </w:rPr>
        <w:t xml:space="preserve"> although the success of that policy at lower secondary school level has not been impressive either, underscoring the low value placed on educational attainment above primary school level. </w:t>
      </w:r>
    </w:p>
    <w:p w14:paraId="40D91792" w14:textId="77777777" w:rsidR="00737A97" w:rsidRPr="00737A97" w:rsidRDefault="00737A97" w:rsidP="00EE3BED">
      <w:pPr>
        <w:jc w:val="both"/>
        <w:rPr>
          <w:rFonts w:ascii="Century Gothic" w:hAnsi="Century Gothic"/>
        </w:rPr>
      </w:pPr>
      <w:r w:rsidRPr="00737A97">
        <w:rPr>
          <w:rFonts w:ascii="Century Gothic" w:hAnsi="Century Gothic"/>
        </w:rPr>
        <w:t xml:space="preserve">Tanzania’s high prevalence of child marriage and teenage pregnancy continue to impede girls’ educational attainment and employment prospects. Girls are allowed by law to marry at age 15 and even as young as 14 with a court’s permission. Boys, by contrast, are only legally allowed to marry from age 18. This has resulted in a wide gap between the proportion of married adolescent girls and boys aged 15-19, which stood at </w:t>
      </w:r>
      <w:r w:rsidRPr="00737A97">
        <w:rPr>
          <w:rFonts w:ascii="Century Gothic" w:hAnsi="Century Gothic"/>
        </w:rPr>
        <w:lastRenderedPageBreak/>
        <w:t>23 percent and just 2 percent respectively in 2020.</w:t>
      </w:r>
      <w:r w:rsidRPr="00737A97">
        <w:rPr>
          <w:rFonts w:ascii="Century Gothic" w:hAnsi="Century Gothic"/>
          <w:vertAlign w:val="superscript"/>
        </w:rPr>
        <w:footnoteReference w:id="18"/>
      </w:r>
      <w:r w:rsidRPr="00737A97">
        <w:rPr>
          <w:rFonts w:ascii="Century Gothic" w:hAnsi="Century Gothic"/>
        </w:rPr>
        <w:t xml:space="preserve"> This is linked to the country’s persistently high fertility rates as girls who marry young also tend to start having children earlier and more frequently. The adolescent fertility rate in Tanzania stood at 115 per 1000 compared with the sub-Saharan African average of 100 per 1000 in 2019.</w:t>
      </w:r>
      <w:r w:rsidRPr="00737A97">
        <w:rPr>
          <w:rFonts w:ascii="Century Gothic" w:hAnsi="Century Gothic"/>
          <w:vertAlign w:val="superscript"/>
        </w:rPr>
        <w:footnoteReference w:id="19"/>
      </w:r>
      <w:r w:rsidRPr="00737A97">
        <w:rPr>
          <w:rFonts w:ascii="Century Gothic" w:hAnsi="Century Gothic"/>
        </w:rPr>
        <w:t xml:space="preserve"> This impinges on women’s ability to participate in education or employment, especially as pregnant and married girls are legally barred from education.</w:t>
      </w:r>
      <w:r w:rsidRPr="00737A97">
        <w:rPr>
          <w:rFonts w:ascii="Century Gothic" w:hAnsi="Century Gothic"/>
          <w:vertAlign w:val="superscript"/>
        </w:rPr>
        <w:footnoteReference w:id="20"/>
      </w:r>
      <w:r w:rsidRPr="00737A97">
        <w:rPr>
          <w:rFonts w:ascii="Century Gothic" w:hAnsi="Century Gothic"/>
        </w:rPr>
        <w:t xml:space="preserve"> </w:t>
      </w:r>
    </w:p>
    <w:p w14:paraId="09AE3E6B" w14:textId="604AA0EE" w:rsidR="00707906" w:rsidRPr="00592E0C" w:rsidRDefault="00737A97" w:rsidP="00592E0C">
      <w:pPr>
        <w:jc w:val="both"/>
        <w:rPr>
          <w:rFonts w:ascii="Century Gothic" w:hAnsi="Century Gothic"/>
        </w:rPr>
      </w:pPr>
      <w:r w:rsidRPr="00737A97">
        <w:rPr>
          <w:rFonts w:ascii="Century Gothic" w:hAnsi="Century Gothic"/>
        </w:rPr>
        <w:t>In the labour market, women’s labour participation rose from 67 percent in 2000/01 to a remarkable 80 percent in 2019 (figure 1) – well above the average for sub-Saharan Africa (63 percent). Also, the gender gap amongst wage-earners narrowed considerably from 0.35 to 0.64 over the same timeframe. Nevertheless, only 22 percent of female workers are in paid employment, compared with 48 percent of male workers,</w:t>
      </w:r>
      <w:r w:rsidRPr="00737A97">
        <w:rPr>
          <w:rFonts w:ascii="Century Gothic" w:hAnsi="Century Gothic"/>
          <w:vertAlign w:val="superscript"/>
        </w:rPr>
        <w:footnoteReference w:id="21"/>
      </w:r>
      <w:r w:rsidRPr="00737A97">
        <w:rPr>
          <w:rFonts w:ascii="Century Gothic" w:hAnsi="Century Gothic"/>
        </w:rPr>
        <w:t xml:space="preserve"> and 88.7 percent are in vulnerable employment.</w:t>
      </w:r>
      <w:r w:rsidRPr="00737A97">
        <w:rPr>
          <w:rFonts w:ascii="Century Gothic" w:hAnsi="Century Gothic"/>
          <w:vertAlign w:val="superscript"/>
        </w:rPr>
        <w:footnoteReference w:id="22"/>
      </w:r>
      <w:r w:rsidRPr="00737A97">
        <w:rPr>
          <w:rFonts w:ascii="Century Gothic" w:hAnsi="Century Gothic"/>
        </w:rPr>
        <w:t xml:space="preserve"> The declining trend in the wage-earning gender gap is somewhat mirrored in the agriculture sector where the share of unpaid female workers fell from 78 percent in 2004/05 to 64 percent in 2015/16</w:t>
      </w:r>
      <w:r w:rsidRPr="00737A97">
        <w:rPr>
          <w:rFonts w:ascii="Century Gothic" w:hAnsi="Century Gothic"/>
          <w:vertAlign w:val="superscript"/>
        </w:rPr>
        <w:footnoteReference w:id="23"/>
      </w:r>
      <w:r w:rsidRPr="00737A97">
        <w:rPr>
          <w:rFonts w:ascii="Century Gothic" w:hAnsi="Century Gothic"/>
        </w:rPr>
        <w:t xml:space="preserve"> – although this remains a prohibitively significant co</w:t>
      </w:r>
      <w:r w:rsidR="00592E0C">
        <w:rPr>
          <w:rFonts w:ascii="Century Gothic" w:hAnsi="Century Gothic"/>
        </w:rPr>
        <w:t xml:space="preserve">nstraint to poverty reduction. </w:t>
      </w:r>
    </w:p>
    <w:p w14:paraId="7C9D4FFB" w14:textId="77777777" w:rsidR="00707906" w:rsidRDefault="00707906" w:rsidP="00592E0C">
      <w:pPr>
        <w:jc w:val="center"/>
        <w:rPr>
          <w:rFonts w:ascii="Century Gothic" w:hAnsi="Century Gothic"/>
          <w:lang w:val="en-US"/>
        </w:rPr>
      </w:pPr>
      <w:r w:rsidRPr="00121FDE">
        <w:rPr>
          <w:rFonts w:ascii="Century Gothic" w:hAnsi="Century Gothic"/>
          <w:noProof/>
          <w:lang w:eastAsia="zh-CN"/>
        </w:rPr>
        <w:drawing>
          <wp:inline distT="0" distB="0" distL="0" distR="0" wp14:anchorId="6ABFA1DA" wp14:editId="54B1143E">
            <wp:extent cx="4572000" cy="2743200"/>
            <wp:effectExtent l="0" t="0" r="0" b="0"/>
            <wp:docPr id="14" name="Chart 10">
              <a:extLst xmlns:a="http://schemas.openxmlformats.org/drawingml/2006/main">
                <a:ext uri="{FF2B5EF4-FFF2-40B4-BE49-F238E27FC236}">
                  <a16:creationId xmlns:a16="http://schemas.microsoft.com/office/drawing/2014/main" id="{B858807D-AAD1-6F68-5AF2-0EBC9F1BC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124A78" w14:textId="77777777" w:rsidR="00707906" w:rsidRPr="00121FDE" w:rsidRDefault="00707906" w:rsidP="00707906">
      <w:pPr>
        <w:rPr>
          <w:rFonts w:ascii="Century Gothic" w:hAnsi="Century Gothic"/>
          <w:sz w:val="16"/>
          <w:szCs w:val="16"/>
          <w:lang w:val="en-US"/>
        </w:rPr>
      </w:pPr>
      <w:r w:rsidRPr="00121FDE">
        <w:rPr>
          <w:rFonts w:ascii="Century Gothic" w:hAnsi="Century Gothic"/>
          <w:sz w:val="16"/>
          <w:szCs w:val="16"/>
          <w:lang w:val="en-US"/>
        </w:rPr>
        <w:t>Source: World Bank</w:t>
      </w:r>
    </w:p>
    <w:p w14:paraId="02146F0D" w14:textId="42838A15" w:rsidR="00707906" w:rsidRPr="00707906" w:rsidRDefault="00707906" w:rsidP="00707906">
      <w:pPr>
        <w:rPr>
          <w:rFonts w:ascii="Century Gothic" w:hAnsi="Century Gothic"/>
          <w:bCs/>
          <w:lang w:val="en-US"/>
        </w:rPr>
      </w:pPr>
      <w:r w:rsidRPr="00707906">
        <w:rPr>
          <w:rFonts w:ascii="Century Gothic" w:hAnsi="Century Gothic"/>
          <w:bCs/>
          <w:lang w:val="en-US"/>
        </w:rPr>
        <w:t>Figure 1</w:t>
      </w:r>
      <w:r w:rsidR="00592E0C">
        <w:rPr>
          <w:rFonts w:ascii="Century Gothic" w:hAnsi="Century Gothic"/>
          <w:bCs/>
          <w:lang w:val="en-US"/>
        </w:rPr>
        <w:t>.</w:t>
      </w:r>
      <w:r w:rsidRPr="00707906">
        <w:rPr>
          <w:rFonts w:ascii="Century Gothic" w:hAnsi="Century Gothic"/>
          <w:bCs/>
          <w:lang w:val="en-US"/>
        </w:rPr>
        <w:t xml:space="preserve"> Labour Force Participation Rates by Gender, Tanzania and Comparators, 2019</w:t>
      </w:r>
    </w:p>
    <w:p w14:paraId="28626584" w14:textId="77777777" w:rsidR="00707906" w:rsidRDefault="00707906" w:rsidP="00EE3BED">
      <w:pPr>
        <w:jc w:val="both"/>
        <w:rPr>
          <w:rFonts w:ascii="Century Gothic" w:hAnsi="Century Gothic"/>
          <w:lang w:val="en-US"/>
        </w:rPr>
      </w:pPr>
    </w:p>
    <w:p w14:paraId="522F1E77" w14:textId="77777777" w:rsidR="00737A97" w:rsidRPr="00737A97" w:rsidRDefault="00737A97" w:rsidP="00EE3BED">
      <w:pPr>
        <w:jc w:val="both"/>
        <w:rPr>
          <w:rFonts w:ascii="Century Gothic" w:hAnsi="Century Gothic"/>
        </w:rPr>
      </w:pPr>
      <w:r w:rsidRPr="00737A97">
        <w:rPr>
          <w:rFonts w:ascii="Century Gothic" w:hAnsi="Century Gothic"/>
        </w:rPr>
        <w:t xml:space="preserve">On average, women wage employees are paid 67 cents for every dollar paid to male wage employees, despite legislation (the 2004 Employment and Labour Relations Act), which prohibits gender-based discrimination in employment and mandates equal renumeration for equal work. Women are also more engaged than their male counterparts in the home, performing 54 percent of household duties. Women tend to be </w:t>
      </w:r>
      <w:r w:rsidRPr="00737A97">
        <w:rPr>
          <w:rFonts w:ascii="Century Gothic" w:hAnsi="Century Gothic"/>
        </w:rPr>
        <w:lastRenderedPageBreak/>
        <w:t xml:space="preserve">the primary caretakers, with responsibility for childcare, cooking food, cleaning the house, caring for the elderly and the sick and fetching water and firewood, curtailing the time they have available for participation in employment and training. </w:t>
      </w:r>
    </w:p>
    <w:p w14:paraId="74B08BC7" w14:textId="77777777" w:rsidR="00737A97" w:rsidRPr="00737A97" w:rsidRDefault="00737A97" w:rsidP="00EE3BED">
      <w:pPr>
        <w:jc w:val="both"/>
        <w:rPr>
          <w:rFonts w:ascii="Century Gothic" w:hAnsi="Century Gothic"/>
          <w:lang w:val="en-US"/>
        </w:rPr>
      </w:pPr>
      <w:r w:rsidRPr="00737A97">
        <w:rPr>
          <w:rFonts w:ascii="Century Gothic" w:hAnsi="Century Gothic"/>
        </w:rPr>
        <w:t>Most (65 percent) of Tanzania’s labour force remains concentrated in the agricultural sector, with 67 percent of women and 64 percent of men engaged in the sector respectively. The majority of farmers in the country (15 million) are smallholders with women comprising roughly half of them. The average area cultivated by women is 0.6 ha compared to 1 ha for men,</w:t>
      </w:r>
      <w:r w:rsidRPr="00737A97">
        <w:rPr>
          <w:rFonts w:ascii="Century Gothic" w:hAnsi="Century Gothic"/>
          <w:vertAlign w:val="superscript"/>
        </w:rPr>
        <w:footnoteReference w:id="24"/>
      </w:r>
      <w:r w:rsidRPr="00737A97">
        <w:rPr>
          <w:rFonts w:ascii="Century Gothic" w:hAnsi="Century Gothic"/>
        </w:rPr>
        <w:t xml:space="preserve"> and women rely on rain-fed (92 percent) or bucket-fed irrigation. Whereas only 63 percent and 23 percent of men rely on rain-fed and bucket-fed irrigation respectively.</w:t>
      </w:r>
      <w:r w:rsidRPr="00737A97">
        <w:rPr>
          <w:rFonts w:ascii="Century Gothic" w:hAnsi="Century Gothic"/>
          <w:vertAlign w:val="superscript"/>
          <w:lang w:val="en-US"/>
        </w:rPr>
        <w:t xml:space="preserve"> </w:t>
      </w:r>
      <w:r w:rsidRPr="00737A97">
        <w:rPr>
          <w:rFonts w:ascii="Century Gothic" w:hAnsi="Century Gothic"/>
          <w:vertAlign w:val="superscript"/>
          <w:lang w:val="en-US"/>
        </w:rPr>
        <w:footnoteReference w:id="25"/>
      </w:r>
      <w:r w:rsidRPr="00737A97">
        <w:rPr>
          <w:rFonts w:ascii="Century Gothic" w:hAnsi="Century Gothic"/>
        </w:rPr>
        <w:t xml:space="preserve"> This implies that all of the country’s limited irrigated land is allocated to men. The gender disparity in cultivated plot sizes is tied to </w:t>
      </w:r>
      <w:r w:rsidRPr="00737A97">
        <w:rPr>
          <w:rFonts w:ascii="Century Gothic" w:hAnsi="Century Gothic"/>
          <w:lang w:val="en-US"/>
        </w:rPr>
        <w:t>customary rules that only grant women user rights.</w:t>
      </w:r>
    </w:p>
    <w:p w14:paraId="33EF3540" w14:textId="77777777" w:rsidR="00737A97" w:rsidRPr="00737A97" w:rsidRDefault="00737A97" w:rsidP="00EE3BED">
      <w:pPr>
        <w:jc w:val="both"/>
        <w:rPr>
          <w:rFonts w:ascii="Century Gothic" w:hAnsi="Century Gothic"/>
        </w:rPr>
      </w:pPr>
      <w:r w:rsidRPr="00737A97">
        <w:rPr>
          <w:rFonts w:ascii="Century Gothic" w:hAnsi="Century Gothic"/>
        </w:rPr>
        <w:t xml:space="preserve">Women are less likely than men to own land (33 percent versus 47 percent), but the land gender gap in Tanzania mirrors those observed in the rest of sub-Saharan Africa on average (38 percent and 51 percent, respectively). However, 30 percent of Tanzanian men are the sole owners of land according to the National Bureau of Statistics (2019), while only 9 percent of women solely own land. </w:t>
      </w:r>
    </w:p>
    <w:p w14:paraId="2EFB1B8D" w14:textId="0FE5996E" w:rsidR="00737A97" w:rsidRPr="00737A97" w:rsidRDefault="00737A97" w:rsidP="00EE3BED">
      <w:pPr>
        <w:jc w:val="both"/>
        <w:rPr>
          <w:rFonts w:ascii="Century Gothic" w:hAnsi="Century Gothic"/>
        </w:rPr>
      </w:pPr>
      <w:r w:rsidRPr="00737A97">
        <w:rPr>
          <w:rFonts w:ascii="Century Gothic" w:hAnsi="Century Gothic"/>
        </w:rPr>
        <w:t>In terms of gender roles in the agriculture sector, women are far more likely to be involved in cultivation of lower value food crops, while men dominate the more lucrative cash crops sector. In both food and cash crops, women are more prominent in less ‘techincal’ tasks such as weeding, harvesting and food storage, while men are typically in charge of clearing and preparing t</w:t>
      </w:r>
      <w:r w:rsidR="00592E0C">
        <w:rPr>
          <w:rFonts w:ascii="Century Gothic" w:hAnsi="Century Gothic"/>
        </w:rPr>
        <w:t xml:space="preserve">he land and farm construction. </w:t>
      </w:r>
    </w:p>
    <w:p w14:paraId="725CC291" w14:textId="77777777" w:rsidR="00737A97" w:rsidRPr="00737A97" w:rsidRDefault="00737A97" w:rsidP="00EE3BED">
      <w:pPr>
        <w:jc w:val="center"/>
        <w:rPr>
          <w:rFonts w:ascii="Century Gothic" w:hAnsi="Century Gothic"/>
        </w:rPr>
      </w:pPr>
      <w:r w:rsidRPr="00737A97">
        <w:rPr>
          <w:rFonts w:ascii="Century Gothic" w:hAnsi="Century Gothic"/>
          <w:noProof/>
          <w:lang w:val="ru-RU" w:eastAsia="zh-CN"/>
        </w:rPr>
        <w:drawing>
          <wp:inline distT="0" distB="0" distL="0" distR="0" wp14:anchorId="321240D4" wp14:editId="014DD844">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EF8168" w14:textId="77777777" w:rsidR="00592E0C" w:rsidRPr="00592E0C" w:rsidRDefault="00592E0C" w:rsidP="00592E0C">
      <w:pPr>
        <w:jc w:val="both"/>
        <w:rPr>
          <w:rFonts w:ascii="Century Gothic" w:hAnsi="Century Gothic"/>
          <w:sz w:val="18"/>
          <w:szCs w:val="18"/>
        </w:rPr>
      </w:pPr>
      <w:r w:rsidRPr="00592E0C">
        <w:rPr>
          <w:rFonts w:ascii="Century Gothic" w:hAnsi="Century Gothic"/>
          <w:sz w:val="18"/>
          <w:szCs w:val="18"/>
        </w:rPr>
        <w:t>Source: Ellis, 2007</w:t>
      </w:r>
    </w:p>
    <w:p w14:paraId="11401975" w14:textId="70443B89" w:rsidR="00737A97" w:rsidRPr="00737A97" w:rsidRDefault="00737A97" w:rsidP="00EE3BED">
      <w:pPr>
        <w:jc w:val="both"/>
        <w:rPr>
          <w:rFonts w:ascii="Century Gothic" w:hAnsi="Century Gothic"/>
        </w:rPr>
      </w:pPr>
      <w:r w:rsidRPr="00737A97">
        <w:rPr>
          <w:rFonts w:ascii="Century Gothic" w:hAnsi="Century Gothic"/>
        </w:rPr>
        <w:t>Figure 2</w:t>
      </w:r>
      <w:r w:rsidR="00592E0C">
        <w:rPr>
          <w:rFonts w:ascii="Century Gothic" w:hAnsi="Century Gothic"/>
        </w:rPr>
        <w:t>.</w:t>
      </w:r>
      <w:r w:rsidRPr="00737A97">
        <w:rPr>
          <w:rFonts w:ascii="Century Gothic" w:hAnsi="Century Gothic"/>
        </w:rPr>
        <w:t xml:space="preserve"> Division of Labour in Agriculture by women and men, in % of hours spent on activity</w:t>
      </w:r>
    </w:p>
    <w:p w14:paraId="631D4883" w14:textId="77777777" w:rsidR="00737A97" w:rsidRPr="00EE3BED" w:rsidRDefault="00737A97" w:rsidP="00EE3BED">
      <w:pPr>
        <w:pStyle w:val="Heading1"/>
        <w:spacing w:before="0" w:after="160"/>
        <w:jc w:val="both"/>
        <w:rPr>
          <w:rFonts w:ascii="Century Gothic" w:hAnsi="Century Gothic"/>
          <w:b/>
          <w:sz w:val="28"/>
          <w:szCs w:val="28"/>
        </w:rPr>
      </w:pPr>
      <w:bookmarkStart w:id="15" w:name="_Toc131079437"/>
      <w:r w:rsidRPr="00EE3BED">
        <w:rPr>
          <w:rFonts w:ascii="Century Gothic" w:hAnsi="Century Gothic"/>
          <w:b/>
          <w:sz w:val="28"/>
          <w:szCs w:val="28"/>
        </w:rPr>
        <w:lastRenderedPageBreak/>
        <w:t>SECTION III: Literature review of evidence on policies to empower women in the agricultural sector</w:t>
      </w:r>
      <w:bookmarkEnd w:id="15"/>
    </w:p>
    <w:p w14:paraId="7573AD77" w14:textId="77777777" w:rsidR="00737A97" w:rsidRPr="00737A97" w:rsidRDefault="00737A97" w:rsidP="00EE3BED">
      <w:pPr>
        <w:jc w:val="both"/>
        <w:rPr>
          <w:rFonts w:ascii="Century Gothic" w:hAnsi="Century Gothic"/>
        </w:rPr>
      </w:pPr>
      <w:r w:rsidRPr="00737A97">
        <w:rPr>
          <w:rFonts w:ascii="Century Gothic" w:hAnsi="Century Gothic"/>
        </w:rPr>
        <w:t xml:space="preserve">It is widely recognised that a key obstacle to increasing agricultural output and food security across Africa is the wide and pervasive gender gap in agricultural productivity. Although women make up almost half of the agricultural labour force in Africa, a lack of equal access to productive inputs (land, labour, fertilizers, finance, extension services, labour-saving technology and improved seeds) and entrenched, discriminatory and often institutionalized norms continue to act as barriers which curtail women’s productive potential. In the meantime, intersecting crises such as the looming climate emergency, mounting insecurity and the war in Ukraine, together with high population growth and rising demand for food, are threatening food security across Africa, increasing the urgency to tackle the region’s agricultural productivity deficit. </w:t>
      </w:r>
    </w:p>
    <w:p w14:paraId="71D2B34D" w14:textId="77777777" w:rsidR="00737A97" w:rsidRPr="00737A97" w:rsidRDefault="00737A97" w:rsidP="00EE3BED">
      <w:pPr>
        <w:jc w:val="both"/>
        <w:rPr>
          <w:rFonts w:ascii="Century Gothic" w:hAnsi="Century Gothic"/>
        </w:rPr>
      </w:pPr>
      <w:bookmarkStart w:id="16" w:name="_Hlk130986087"/>
      <w:r w:rsidRPr="00737A97">
        <w:rPr>
          <w:rFonts w:ascii="Century Gothic" w:hAnsi="Century Gothic"/>
        </w:rPr>
        <w:t>Empowering female farmers is one of the quickest and surest ways of increasing agricultural productivity and food production significantly.</w:t>
      </w:r>
      <w:bookmarkEnd w:id="16"/>
      <w:r w:rsidRPr="00737A97">
        <w:rPr>
          <w:rFonts w:ascii="Century Gothic" w:hAnsi="Century Gothic"/>
        </w:rPr>
        <w:t xml:space="preserve"> Research shows that if women farmers, globally are given access to the same inputs as their male counterparts today, they could increase their agricultural yields by 20 – 30 percent, raise total agricultural output by 2.5 to 4 percent and decrease world hunger by 17 percent – the equivalent of 100 – 150 million people.</w:t>
      </w:r>
      <w:r w:rsidRPr="00737A97">
        <w:rPr>
          <w:rFonts w:ascii="Century Gothic" w:hAnsi="Century Gothic"/>
          <w:vertAlign w:val="superscript"/>
        </w:rPr>
        <w:footnoteReference w:id="26"/>
      </w:r>
      <w:r w:rsidRPr="00737A97">
        <w:rPr>
          <w:rFonts w:ascii="Century Gothic" w:hAnsi="Century Gothic"/>
        </w:rPr>
        <w:t xml:space="preserve"> The spill over effects of these benefits could be even more significant. According to research by the World Bank, women spend up to 90 percent of their income on their families (compared to up to 35 percent for men).</w:t>
      </w:r>
      <w:r w:rsidRPr="00737A97">
        <w:rPr>
          <w:rFonts w:ascii="Century Gothic" w:hAnsi="Century Gothic"/>
          <w:vertAlign w:val="superscript"/>
        </w:rPr>
        <w:footnoteReference w:id="27"/>
      </w:r>
      <w:r w:rsidRPr="00737A97">
        <w:rPr>
          <w:rFonts w:ascii="Century Gothic" w:hAnsi="Century Gothic"/>
        </w:rPr>
        <w:t xml:space="preserve"> This means that more money is allocated towards investing in their families’ nutrition, health and education, benefiting both men and women, boys and girls, and helping to break otherwise intractable cycles of intergenerational poverty. In fact, the multiplier effect of investing in women’s empowerment in general is so pervasive that it returns seven dollars for every one dollar spent across multiple SDGs. The stronger bargaining power women wield within their families because of higher agricultural earnings could also help lessen the incidence of and support for violence against women and girls (VAWG) as they become more valuable to family members (especially children). At least in the long run.</w:t>
      </w:r>
      <w:r w:rsidRPr="00737A97">
        <w:rPr>
          <w:rFonts w:ascii="Century Gothic" w:hAnsi="Century Gothic"/>
          <w:vertAlign w:val="superscript"/>
        </w:rPr>
        <w:footnoteReference w:id="28"/>
      </w:r>
    </w:p>
    <w:p w14:paraId="3B358197" w14:textId="77777777" w:rsidR="00737A97" w:rsidRPr="00737A97" w:rsidRDefault="00737A97" w:rsidP="00EE3BED">
      <w:pPr>
        <w:jc w:val="both"/>
        <w:rPr>
          <w:rFonts w:ascii="Century Gothic" w:hAnsi="Century Gothic"/>
        </w:rPr>
      </w:pPr>
      <w:r w:rsidRPr="00737A97">
        <w:rPr>
          <w:rFonts w:ascii="Century Gothic" w:hAnsi="Century Gothic"/>
        </w:rPr>
        <w:t>In Tanzania, the gender gap in agricultural productivity has been estimated at 23 percent</w:t>
      </w:r>
      <w:r w:rsidRPr="00737A97">
        <w:rPr>
          <w:rFonts w:ascii="Century Gothic" w:hAnsi="Century Gothic"/>
          <w:vertAlign w:val="superscript"/>
        </w:rPr>
        <w:footnoteReference w:id="29"/>
      </w:r>
      <w:r w:rsidRPr="00737A97">
        <w:rPr>
          <w:rFonts w:ascii="Century Gothic" w:hAnsi="Century Gothic"/>
        </w:rPr>
        <w:t xml:space="preserve"> for similar-sized farm plots in the same geographical location. This rises to 26 percent in the central zones of the country and 51 percent in the eastern zones, which are more arid and therefore food insecure,</w:t>
      </w:r>
      <w:r w:rsidRPr="00737A97">
        <w:rPr>
          <w:rFonts w:ascii="Century Gothic" w:hAnsi="Century Gothic"/>
          <w:vertAlign w:val="superscript"/>
        </w:rPr>
        <w:footnoteReference w:id="30"/>
      </w:r>
      <w:r w:rsidRPr="00737A97">
        <w:rPr>
          <w:rFonts w:ascii="Century Gothic" w:hAnsi="Century Gothic"/>
        </w:rPr>
        <w:t xml:space="preserve"> underscoring the importance of geographical considerations when formulating agricultural sector policies. Closing this gap could increase annual agricultural production by 2.7 percent, lift around 80,000 people out of poverty each year and add 0.86 percent to the country’s gross domestic product (around USD 583.4 million), hastening Tanzania’s transition to middle-income country status (figure 3).</w:t>
      </w:r>
    </w:p>
    <w:p w14:paraId="3E0BF0D8" w14:textId="77777777" w:rsidR="00707906" w:rsidRPr="00121FDE" w:rsidRDefault="00707906" w:rsidP="00592E0C">
      <w:pPr>
        <w:jc w:val="center"/>
        <w:rPr>
          <w:rFonts w:ascii="Century Gothic" w:hAnsi="Century Gothic"/>
          <w:lang w:val="en-US"/>
        </w:rPr>
      </w:pPr>
      <w:r w:rsidRPr="00121FDE">
        <w:rPr>
          <w:rFonts w:ascii="Century Gothic" w:hAnsi="Century Gothic"/>
          <w:noProof/>
          <w:lang w:eastAsia="zh-CN"/>
        </w:rPr>
        <w:lastRenderedPageBreak/>
        <w:drawing>
          <wp:inline distT="0" distB="0" distL="0" distR="0" wp14:anchorId="494B6606" wp14:editId="6C95DD4D">
            <wp:extent cx="4572000" cy="2743200"/>
            <wp:effectExtent l="0" t="0" r="0" b="0"/>
            <wp:docPr id="15" name="Chart 11">
              <a:extLst xmlns:a="http://schemas.openxmlformats.org/drawingml/2006/main">
                <a:ext uri="{FF2B5EF4-FFF2-40B4-BE49-F238E27FC236}">
                  <a16:creationId xmlns:a16="http://schemas.microsoft.com/office/drawing/2014/main" id="{577273CB-B5C7-F3C6-E674-1932E66E6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236E4D" w14:textId="77777777" w:rsidR="00707906" w:rsidRPr="00121FDE" w:rsidRDefault="00707906" w:rsidP="00707906">
      <w:pPr>
        <w:rPr>
          <w:rFonts w:ascii="Century Gothic" w:hAnsi="Century Gothic"/>
          <w:sz w:val="16"/>
          <w:szCs w:val="16"/>
          <w:lang w:val="en-US"/>
        </w:rPr>
      </w:pPr>
      <w:r w:rsidRPr="00121FDE">
        <w:rPr>
          <w:rFonts w:ascii="Century Gothic" w:hAnsi="Century Gothic"/>
          <w:sz w:val="16"/>
          <w:szCs w:val="16"/>
          <w:lang w:val="en-US"/>
        </w:rPr>
        <w:t>Source: World Bank</w:t>
      </w:r>
    </w:p>
    <w:p w14:paraId="5F6461A5" w14:textId="6C5DF6D5" w:rsidR="00707906" w:rsidRPr="00707906" w:rsidRDefault="00707906" w:rsidP="00707906">
      <w:pPr>
        <w:jc w:val="both"/>
        <w:rPr>
          <w:rFonts w:ascii="Century Gothic" w:hAnsi="Century Gothic"/>
          <w:bCs/>
          <w:lang w:val="en-US"/>
        </w:rPr>
      </w:pPr>
      <w:r w:rsidRPr="00707906">
        <w:rPr>
          <w:rFonts w:ascii="Century Gothic" w:hAnsi="Century Gothic"/>
          <w:bCs/>
          <w:lang w:val="en-US"/>
        </w:rPr>
        <w:t>Figure 3. The Impact of Closing the Gender Gap in Agricultural Productivity on Marginal Crop Production, Total Agricultural Output, and GDP, Tanzania and Comparators</w:t>
      </w:r>
    </w:p>
    <w:p w14:paraId="64F505B6" w14:textId="77777777" w:rsidR="00707906" w:rsidRPr="00707906" w:rsidRDefault="00707906" w:rsidP="00EE3BED">
      <w:pPr>
        <w:jc w:val="both"/>
        <w:rPr>
          <w:rFonts w:ascii="Century Gothic" w:hAnsi="Century Gothic"/>
          <w:lang w:val="en-US"/>
        </w:rPr>
      </w:pPr>
    </w:p>
    <w:p w14:paraId="777198D1" w14:textId="77777777" w:rsidR="00737A97" w:rsidRPr="00737A97" w:rsidRDefault="00737A97" w:rsidP="00EE3BED">
      <w:pPr>
        <w:jc w:val="both"/>
        <w:rPr>
          <w:rFonts w:ascii="Century Gothic" w:hAnsi="Century Gothic"/>
        </w:rPr>
      </w:pPr>
      <w:r w:rsidRPr="00737A97">
        <w:rPr>
          <w:rFonts w:ascii="Century Gothic" w:hAnsi="Century Gothic"/>
        </w:rPr>
        <w:t>However, simply providing women and men with identical inputs may not be sufficient to fully close the gender productivity gap. Governments will need to devise a wholistic set of policy interventions that also aim to address, dismantle, and/or circumvent entrenched and systemically discriminatory norms and attitudes that continue to undermine women’s agricultural potential. Emerging research that considers not only the quantity and level of agricultural inputs and resources available to female farmers but also the returns (in terms of productivity gains) that these resources yield for them is shedding new light on the factors that continue to contribute to the persistent gender gap in agricultural productivity, despite the growing policy attention that is being paid to gender equality in African agriculture, along with novel policy recommendations to address these (table 1).</w:t>
      </w:r>
      <w:r w:rsidRPr="00737A97">
        <w:rPr>
          <w:rFonts w:ascii="Century Gothic" w:hAnsi="Century Gothic"/>
          <w:vertAlign w:val="superscript"/>
        </w:rPr>
        <w:footnoteReference w:id="31"/>
      </w:r>
      <w:r w:rsidRPr="00737A97">
        <w:rPr>
          <w:rFonts w:ascii="Century Gothic" w:hAnsi="Century Gothic"/>
        </w:rPr>
        <w:t xml:space="preserve"> Six often overlapping factors stand out as most relevant in the African context:</w:t>
      </w:r>
    </w:p>
    <w:p w14:paraId="5C007931" w14:textId="77777777" w:rsidR="00737A97" w:rsidRPr="00737A97" w:rsidRDefault="00737A97" w:rsidP="00EE3BED">
      <w:pPr>
        <w:numPr>
          <w:ilvl w:val="0"/>
          <w:numId w:val="19"/>
        </w:numPr>
        <w:contextualSpacing/>
        <w:jc w:val="both"/>
        <w:rPr>
          <w:rFonts w:ascii="Century Gothic" w:hAnsi="Century Gothic"/>
        </w:rPr>
      </w:pPr>
      <w:r w:rsidRPr="00737A97">
        <w:rPr>
          <w:rFonts w:ascii="Century Gothic" w:hAnsi="Century Gothic"/>
        </w:rPr>
        <w:t xml:space="preserve">Lack of access to labour, especially male labour, is the biggest barrier facing women farmers in Africa, and the most revelatory about the extent of discrimination facing female employers in general and in agriculture especially. Research findings show that not only do women farmers find is more difficult to mobilize male farm labour (either family or otherwise), in the overwhelming majority of countries studied, the male labour that they are able to access generate lower returns than they do for their male employers. There could be several explanations for this phenomenon depending on the country context including cultural norms that make it difficult for men to accept female authority and/or that prevent women from asserting their leadership. More so if they are young. Other reasons include that women may not be able to pay as much as their male counterparts, may not devote enough time to supervising all labour (including male) because of childcare and other household duties, and that women </w:t>
      </w:r>
      <w:r w:rsidRPr="00737A97">
        <w:rPr>
          <w:rFonts w:ascii="Century Gothic" w:hAnsi="Century Gothic"/>
        </w:rPr>
        <w:lastRenderedPageBreak/>
        <w:t>farmers typically come from smaller households with fewer adult men due to factors such as widowhood, divorce or migration. In Tanzania, this constraint explains 97 percent of the country’s gender gap in agricultural productivity (the remaining 3 percent being explained by lower returns from non-labour inputs such as fertilizers and pesticides). Eliminating it alone could add USD 102 million to Tanzania’s annual GDP.</w:t>
      </w:r>
    </w:p>
    <w:p w14:paraId="193642F7" w14:textId="77777777" w:rsidR="00737A97" w:rsidRPr="00737A97" w:rsidRDefault="00737A97" w:rsidP="00EE3BED">
      <w:pPr>
        <w:contextualSpacing/>
        <w:jc w:val="both"/>
        <w:rPr>
          <w:rFonts w:ascii="Century Gothic" w:hAnsi="Century Gothic"/>
        </w:rPr>
      </w:pPr>
    </w:p>
    <w:p w14:paraId="51B3C25D" w14:textId="77777777" w:rsidR="00737A97" w:rsidRPr="00737A97" w:rsidRDefault="00737A97" w:rsidP="00EE3BED">
      <w:pPr>
        <w:numPr>
          <w:ilvl w:val="0"/>
          <w:numId w:val="19"/>
        </w:numPr>
        <w:contextualSpacing/>
        <w:jc w:val="both"/>
        <w:rPr>
          <w:rFonts w:ascii="Century Gothic" w:hAnsi="Century Gothic"/>
        </w:rPr>
      </w:pPr>
      <w:r w:rsidRPr="00737A97">
        <w:rPr>
          <w:rFonts w:ascii="Century Gothic" w:hAnsi="Century Gothic"/>
        </w:rPr>
        <w:t xml:space="preserve">Unequal use of and returns to non-labour farm inputs such as fertilizers also affects all countries to varying degrees. In some cases, the gender gap in agricultural productivity is mainly because of shortfalls in use of these inputs while in other cases (including in Tanzania), lower returns to use of equal quantities of these inputs are also important considerations. This could result from lower quality inputs or incorrect timing and application. </w:t>
      </w:r>
    </w:p>
    <w:p w14:paraId="7834524F" w14:textId="77777777" w:rsidR="00737A97" w:rsidRPr="00737A97" w:rsidRDefault="00737A97" w:rsidP="00EE3BED">
      <w:pPr>
        <w:contextualSpacing/>
        <w:rPr>
          <w:rFonts w:ascii="Century Gothic" w:hAnsi="Century Gothic"/>
        </w:rPr>
      </w:pPr>
    </w:p>
    <w:p w14:paraId="0A468974" w14:textId="77777777" w:rsidR="00737A97" w:rsidRPr="00737A97" w:rsidRDefault="00737A97" w:rsidP="00EE3BED">
      <w:pPr>
        <w:numPr>
          <w:ilvl w:val="0"/>
          <w:numId w:val="19"/>
        </w:numPr>
        <w:contextualSpacing/>
        <w:jc w:val="both"/>
        <w:rPr>
          <w:rFonts w:ascii="Century Gothic" w:hAnsi="Century Gothic"/>
        </w:rPr>
      </w:pPr>
      <w:r w:rsidRPr="00737A97">
        <w:rPr>
          <w:rFonts w:ascii="Century Gothic" w:hAnsi="Century Gothic"/>
        </w:rPr>
        <w:t>Lack of access to and control of land due to discriminatory customary and statutory land tenure systems that favour men’s over women’s rights leads to lower investments on female-managed farms or the allocation of higher quality (including irrigated) land to men while women receive lower quality, smaller and less arable plots. This is compounded by the difficulties women face in managing larger plots because of the unique labour shortages they face and their inability to deploy non-labour inputs effectively.</w:t>
      </w:r>
    </w:p>
    <w:p w14:paraId="4F13D838" w14:textId="77777777" w:rsidR="00737A97" w:rsidRPr="00737A97" w:rsidRDefault="00737A97" w:rsidP="00EE3BED">
      <w:pPr>
        <w:contextualSpacing/>
        <w:rPr>
          <w:rFonts w:ascii="Century Gothic" w:hAnsi="Century Gothic"/>
        </w:rPr>
      </w:pPr>
    </w:p>
    <w:p w14:paraId="475AB535" w14:textId="77777777" w:rsidR="00737A97" w:rsidRPr="00737A97" w:rsidRDefault="00737A97" w:rsidP="00EE3BED">
      <w:pPr>
        <w:numPr>
          <w:ilvl w:val="0"/>
          <w:numId w:val="19"/>
        </w:numPr>
        <w:contextualSpacing/>
        <w:jc w:val="both"/>
        <w:rPr>
          <w:rFonts w:ascii="Century Gothic" w:hAnsi="Century Gothic"/>
        </w:rPr>
      </w:pPr>
      <w:r w:rsidRPr="00737A97">
        <w:rPr>
          <w:rFonts w:ascii="Century Gothic" w:hAnsi="Century Gothic"/>
        </w:rPr>
        <w:t>Barriers against accessing agricultural information, markets and extension services that stem from gender-insensitive training programmes, cultural restrictions to interacting with male extension workers, mobility issues due to childcare and other household chores, lower ownership of household assets such as mobile phones and reliance on second-hand agricultural information and knowledge, which may not be accurate.</w:t>
      </w:r>
    </w:p>
    <w:p w14:paraId="7DE69C6D" w14:textId="77777777" w:rsidR="00737A97" w:rsidRPr="00737A97" w:rsidRDefault="00737A97" w:rsidP="00EE3BED">
      <w:pPr>
        <w:contextualSpacing/>
        <w:rPr>
          <w:rFonts w:ascii="Century Gothic" w:hAnsi="Century Gothic"/>
        </w:rPr>
      </w:pPr>
    </w:p>
    <w:p w14:paraId="130BEA33" w14:textId="77777777" w:rsidR="00737A97" w:rsidRPr="00737A97" w:rsidRDefault="00737A97" w:rsidP="00EE3BED">
      <w:pPr>
        <w:numPr>
          <w:ilvl w:val="0"/>
          <w:numId w:val="19"/>
        </w:numPr>
        <w:contextualSpacing/>
        <w:jc w:val="both"/>
        <w:rPr>
          <w:rFonts w:ascii="Century Gothic" w:hAnsi="Century Gothic"/>
        </w:rPr>
      </w:pPr>
      <w:r w:rsidRPr="00737A97">
        <w:rPr>
          <w:rFonts w:ascii="Century Gothic" w:hAnsi="Century Gothic"/>
        </w:rPr>
        <w:t xml:space="preserve">Educational disparities amongst men and women particularly at secondary school level – although this may diminish significantly as the generation of girls that have benefited from stepped-up efforts to achieve gender parity in schooling begin to enter the labour force at scale. </w:t>
      </w:r>
    </w:p>
    <w:p w14:paraId="4B246FE2" w14:textId="77777777" w:rsidR="00737A97" w:rsidRPr="00737A97" w:rsidRDefault="00737A97" w:rsidP="00EE3BED">
      <w:pPr>
        <w:contextualSpacing/>
        <w:rPr>
          <w:rFonts w:ascii="Century Gothic" w:hAnsi="Century Gothic"/>
        </w:rPr>
      </w:pPr>
    </w:p>
    <w:p w14:paraId="4FE50445" w14:textId="77777777" w:rsidR="00737A97" w:rsidRDefault="00737A97" w:rsidP="00EE3BED">
      <w:pPr>
        <w:numPr>
          <w:ilvl w:val="0"/>
          <w:numId w:val="19"/>
        </w:numPr>
        <w:contextualSpacing/>
        <w:jc w:val="both"/>
        <w:rPr>
          <w:rFonts w:ascii="Century Gothic" w:hAnsi="Century Gothic"/>
        </w:rPr>
      </w:pPr>
      <w:r w:rsidRPr="00737A97">
        <w:rPr>
          <w:rFonts w:ascii="Century Gothic" w:hAnsi="Century Gothic"/>
        </w:rPr>
        <w:t xml:space="preserve">Limited access to high-value commercial agriculture. Evidence from several countries show that women enjoy greater returns (and therefore incomes) than men when they switch to higher-value agriculture even with the above barriers, suggesting that this may be one of the quickest routes to closing the gender-gap for female farmers. </w:t>
      </w:r>
    </w:p>
    <w:p w14:paraId="04ACDEEC" w14:textId="77777777" w:rsidR="00592E0C" w:rsidRPr="00737A97" w:rsidRDefault="00592E0C" w:rsidP="00592E0C">
      <w:pPr>
        <w:contextualSpacing/>
        <w:jc w:val="both"/>
        <w:rPr>
          <w:rFonts w:ascii="Century Gothic" w:hAnsi="Century Gothic"/>
        </w:rPr>
      </w:pPr>
    </w:p>
    <w:p w14:paraId="488F0ABC" w14:textId="0397D950" w:rsidR="00707906" w:rsidRPr="00592E0C" w:rsidRDefault="00707906" w:rsidP="00707906">
      <w:pPr>
        <w:rPr>
          <w:rFonts w:ascii="Century Gothic" w:hAnsi="Century Gothic"/>
          <w:bCs/>
          <w:lang w:val="en-US"/>
        </w:rPr>
      </w:pPr>
      <w:r w:rsidRPr="00592E0C">
        <w:rPr>
          <w:rFonts w:ascii="Century Gothic" w:hAnsi="Century Gothic"/>
          <w:bCs/>
          <w:lang w:val="en-US"/>
        </w:rPr>
        <w:t>Table</w:t>
      </w:r>
      <w:r w:rsidR="00592E0C">
        <w:rPr>
          <w:rFonts w:ascii="Century Gothic" w:hAnsi="Century Gothic"/>
          <w:bCs/>
          <w:lang w:val="en-US"/>
        </w:rPr>
        <w:t xml:space="preserve"> 1.</w:t>
      </w:r>
      <w:r w:rsidRPr="00592E0C">
        <w:rPr>
          <w:rFonts w:ascii="Century Gothic" w:hAnsi="Century Gothic"/>
          <w:bCs/>
          <w:lang w:val="en-US"/>
        </w:rPr>
        <w:t xml:space="preserve"> Ten Policy Priorities for Narrowing the Gender Gap in African Agriculture</w:t>
      </w:r>
    </w:p>
    <w:tbl>
      <w:tblPr>
        <w:tblStyle w:val="TableGrid"/>
        <w:tblW w:w="9918" w:type="dxa"/>
        <w:tblLook w:val="04A0" w:firstRow="1" w:lastRow="0" w:firstColumn="1" w:lastColumn="0" w:noHBand="0" w:noVBand="1"/>
      </w:tblPr>
      <w:tblGrid>
        <w:gridCol w:w="1838"/>
        <w:gridCol w:w="3260"/>
        <w:gridCol w:w="4820"/>
      </w:tblGrid>
      <w:tr w:rsidR="00707906" w:rsidRPr="00592E0C" w14:paraId="6A0FF116" w14:textId="77777777" w:rsidTr="00592E0C">
        <w:tc>
          <w:tcPr>
            <w:tcW w:w="1838" w:type="dxa"/>
          </w:tcPr>
          <w:p w14:paraId="329BB134" w14:textId="77777777" w:rsidR="00707906" w:rsidRPr="00592E0C" w:rsidRDefault="00707906" w:rsidP="00592E0C">
            <w:pPr>
              <w:rPr>
                <w:rFonts w:ascii="Century Gothic" w:hAnsi="Century Gothic"/>
                <w:b/>
                <w:bCs/>
                <w:sz w:val="20"/>
                <w:szCs w:val="20"/>
                <w:lang w:val="en-US"/>
              </w:rPr>
            </w:pPr>
            <w:r w:rsidRPr="00592E0C">
              <w:rPr>
                <w:rFonts w:ascii="Century Gothic" w:hAnsi="Century Gothic"/>
                <w:b/>
                <w:bCs/>
                <w:sz w:val="20"/>
                <w:szCs w:val="20"/>
                <w:lang w:val="en-US"/>
              </w:rPr>
              <w:t>Key driver</w:t>
            </w:r>
          </w:p>
        </w:tc>
        <w:tc>
          <w:tcPr>
            <w:tcW w:w="3260" w:type="dxa"/>
          </w:tcPr>
          <w:p w14:paraId="19E9E8BE" w14:textId="77777777" w:rsidR="00707906" w:rsidRPr="00592E0C" w:rsidRDefault="00707906" w:rsidP="00592E0C">
            <w:pPr>
              <w:rPr>
                <w:rFonts w:ascii="Century Gothic" w:hAnsi="Century Gothic"/>
                <w:b/>
                <w:bCs/>
                <w:sz w:val="20"/>
                <w:szCs w:val="20"/>
                <w:lang w:val="en-US"/>
              </w:rPr>
            </w:pPr>
            <w:r w:rsidRPr="00592E0C">
              <w:rPr>
                <w:rFonts w:ascii="Century Gothic" w:hAnsi="Century Gothic"/>
                <w:b/>
                <w:bCs/>
                <w:sz w:val="20"/>
                <w:szCs w:val="20"/>
                <w:lang w:val="en-US"/>
              </w:rPr>
              <w:t>Policy Priority</w:t>
            </w:r>
          </w:p>
        </w:tc>
        <w:tc>
          <w:tcPr>
            <w:tcW w:w="4820" w:type="dxa"/>
          </w:tcPr>
          <w:p w14:paraId="3D927420" w14:textId="77777777" w:rsidR="00707906" w:rsidRPr="00592E0C" w:rsidRDefault="00707906" w:rsidP="00592E0C">
            <w:pPr>
              <w:rPr>
                <w:rFonts w:ascii="Century Gothic" w:hAnsi="Century Gothic"/>
                <w:b/>
                <w:bCs/>
                <w:sz w:val="20"/>
                <w:szCs w:val="20"/>
                <w:lang w:val="en-US"/>
              </w:rPr>
            </w:pPr>
            <w:r w:rsidRPr="00592E0C">
              <w:rPr>
                <w:rFonts w:ascii="Century Gothic" w:hAnsi="Century Gothic"/>
                <w:b/>
                <w:bCs/>
                <w:sz w:val="20"/>
                <w:szCs w:val="20"/>
                <w:lang w:val="en-US"/>
              </w:rPr>
              <w:t>Policy Option</w:t>
            </w:r>
          </w:p>
          <w:p w14:paraId="367DC4D2" w14:textId="77777777" w:rsidR="00707906" w:rsidRPr="00592E0C" w:rsidRDefault="00707906" w:rsidP="00592E0C">
            <w:pPr>
              <w:rPr>
                <w:rFonts w:ascii="Century Gothic" w:hAnsi="Century Gothic"/>
                <w:i/>
                <w:iCs/>
                <w:sz w:val="20"/>
                <w:szCs w:val="20"/>
                <w:lang w:val="en-US"/>
              </w:rPr>
            </w:pPr>
            <w:r w:rsidRPr="00592E0C">
              <w:rPr>
                <w:rFonts w:ascii="Century Gothic" w:hAnsi="Century Gothic"/>
                <w:i/>
                <w:iCs/>
                <w:sz w:val="20"/>
                <w:szCs w:val="20"/>
                <w:lang w:val="en-US"/>
              </w:rPr>
              <w:t>Green: Promising policy option (based on available evidence)</w:t>
            </w:r>
          </w:p>
          <w:p w14:paraId="11F473EC" w14:textId="77777777" w:rsidR="00707906" w:rsidRPr="00592E0C" w:rsidRDefault="00707906" w:rsidP="00592E0C">
            <w:pPr>
              <w:rPr>
                <w:rFonts w:ascii="Century Gothic" w:hAnsi="Century Gothic"/>
                <w:sz w:val="20"/>
                <w:szCs w:val="20"/>
                <w:lang w:val="en-US"/>
              </w:rPr>
            </w:pPr>
            <w:r w:rsidRPr="00592E0C">
              <w:rPr>
                <w:rFonts w:ascii="Century Gothic" w:hAnsi="Century Gothic"/>
                <w:i/>
                <w:iCs/>
                <w:sz w:val="20"/>
                <w:szCs w:val="20"/>
                <w:lang w:val="en-US"/>
              </w:rPr>
              <w:t>Yellow: Emerging policy option (based on available evidence)</w:t>
            </w:r>
          </w:p>
        </w:tc>
      </w:tr>
      <w:tr w:rsidR="00707906" w:rsidRPr="00592E0C" w14:paraId="46BBBA51" w14:textId="77777777" w:rsidTr="00592E0C">
        <w:tc>
          <w:tcPr>
            <w:tcW w:w="1838" w:type="dxa"/>
            <w:vMerge w:val="restart"/>
          </w:tcPr>
          <w:p w14:paraId="00A0B65B" w14:textId="77777777" w:rsidR="00707906" w:rsidRPr="00592E0C" w:rsidRDefault="00707906" w:rsidP="00592E0C">
            <w:pPr>
              <w:rPr>
                <w:rFonts w:ascii="Century Gothic" w:hAnsi="Century Gothic"/>
                <w:sz w:val="20"/>
                <w:szCs w:val="20"/>
                <w:lang w:val="en-US"/>
              </w:rPr>
            </w:pPr>
          </w:p>
          <w:p w14:paraId="308080F9" w14:textId="77777777" w:rsidR="00707906" w:rsidRPr="00592E0C" w:rsidRDefault="00707906" w:rsidP="00592E0C">
            <w:pPr>
              <w:rPr>
                <w:rFonts w:ascii="Century Gothic" w:hAnsi="Century Gothic"/>
                <w:sz w:val="20"/>
                <w:szCs w:val="20"/>
                <w:lang w:val="en-US"/>
              </w:rPr>
            </w:pPr>
          </w:p>
          <w:p w14:paraId="4CE0A7F9"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LAND</w:t>
            </w:r>
          </w:p>
          <w:p w14:paraId="6198E6CA"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lastRenderedPageBreak/>
              <w:t xml:space="preserve">                          </w:t>
            </w:r>
            <w:r w:rsidRPr="00592E0C">
              <w:rPr>
                <w:rFonts w:ascii="Century Gothic" w:hAnsi="Century Gothic"/>
                <w:noProof/>
                <w:sz w:val="20"/>
                <w:szCs w:val="20"/>
                <w:lang w:eastAsia="zh-CN"/>
              </w:rPr>
              <w:drawing>
                <wp:inline distT="0" distB="0" distL="0" distR="0" wp14:anchorId="58DA60F7" wp14:editId="4CC6DA7E">
                  <wp:extent cx="381053" cy="447737"/>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53" cy="447737"/>
                          </a:xfrm>
                          <a:prstGeom prst="rect">
                            <a:avLst/>
                          </a:prstGeom>
                        </pic:spPr>
                      </pic:pic>
                    </a:graphicData>
                  </a:graphic>
                </wp:inline>
              </w:drawing>
            </w:r>
          </w:p>
        </w:tc>
        <w:tc>
          <w:tcPr>
            <w:tcW w:w="3260" w:type="dxa"/>
            <w:vMerge w:val="restart"/>
          </w:tcPr>
          <w:p w14:paraId="41DAC81F" w14:textId="77777777" w:rsidR="00707906" w:rsidRPr="00592E0C" w:rsidRDefault="00707906" w:rsidP="00592E0C">
            <w:pPr>
              <w:pStyle w:val="ListParagraph"/>
              <w:rPr>
                <w:rFonts w:ascii="Century Gothic" w:hAnsi="Century Gothic"/>
                <w:sz w:val="20"/>
                <w:szCs w:val="20"/>
                <w:lang w:val="en-US"/>
              </w:rPr>
            </w:pPr>
          </w:p>
          <w:p w14:paraId="013C26F4" w14:textId="77777777" w:rsidR="00707906" w:rsidRPr="00592E0C" w:rsidRDefault="00707906" w:rsidP="00592E0C">
            <w:pPr>
              <w:rPr>
                <w:rFonts w:ascii="Century Gothic" w:hAnsi="Century Gothic"/>
                <w:sz w:val="20"/>
                <w:szCs w:val="20"/>
                <w:lang w:val="en-US"/>
              </w:rPr>
            </w:pPr>
          </w:p>
          <w:p w14:paraId="7BAF225F"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lastRenderedPageBreak/>
              <w:t>Strengthen women’s land rights.</w:t>
            </w:r>
          </w:p>
        </w:tc>
        <w:tc>
          <w:tcPr>
            <w:tcW w:w="4820" w:type="dxa"/>
            <w:shd w:val="clear" w:color="auto" w:fill="92D050"/>
          </w:tcPr>
          <w:p w14:paraId="08C69E83"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lastRenderedPageBreak/>
              <w:t>Formalize land rights through registration to increase women’s tenure security.</w:t>
            </w:r>
          </w:p>
        </w:tc>
      </w:tr>
      <w:tr w:rsidR="00707906" w:rsidRPr="00592E0C" w14:paraId="283374E3" w14:textId="77777777" w:rsidTr="00592E0C">
        <w:tc>
          <w:tcPr>
            <w:tcW w:w="1838" w:type="dxa"/>
            <w:vMerge/>
          </w:tcPr>
          <w:p w14:paraId="2AE78E24" w14:textId="77777777" w:rsidR="00707906" w:rsidRPr="00592E0C" w:rsidRDefault="00707906" w:rsidP="00592E0C">
            <w:pPr>
              <w:rPr>
                <w:rFonts w:ascii="Century Gothic" w:hAnsi="Century Gothic"/>
                <w:sz w:val="20"/>
                <w:szCs w:val="20"/>
                <w:lang w:val="en-US"/>
              </w:rPr>
            </w:pPr>
          </w:p>
        </w:tc>
        <w:tc>
          <w:tcPr>
            <w:tcW w:w="3260" w:type="dxa"/>
            <w:vMerge/>
          </w:tcPr>
          <w:p w14:paraId="1044D751" w14:textId="77777777" w:rsidR="00707906" w:rsidRPr="00592E0C" w:rsidRDefault="00707906" w:rsidP="00592E0C">
            <w:pPr>
              <w:rPr>
                <w:rFonts w:ascii="Century Gothic" w:hAnsi="Century Gothic"/>
                <w:sz w:val="20"/>
                <w:szCs w:val="20"/>
                <w:lang w:val="en-US"/>
              </w:rPr>
            </w:pPr>
          </w:p>
        </w:tc>
        <w:tc>
          <w:tcPr>
            <w:tcW w:w="4820" w:type="dxa"/>
            <w:shd w:val="clear" w:color="auto" w:fill="92D050"/>
          </w:tcPr>
          <w:p w14:paraId="3C0508E8"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Expand co-titling and individual titling for women.</w:t>
            </w:r>
          </w:p>
        </w:tc>
      </w:tr>
      <w:tr w:rsidR="00707906" w:rsidRPr="00592E0C" w14:paraId="7439C822" w14:textId="77777777" w:rsidTr="00592E0C">
        <w:tc>
          <w:tcPr>
            <w:tcW w:w="1838" w:type="dxa"/>
            <w:vMerge/>
          </w:tcPr>
          <w:p w14:paraId="591802AD" w14:textId="77777777" w:rsidR="00707906" w:rsidRPr="00592E0C" w:rsidRDefault="00707906" w:rsidP="00592E0C">
            <w:pPr>
              <w:rPr>
                <w:rFonts w:ascii="Century Gothic" w:hAnsi="Century Gothic"/>
                <w:sz w:val="20"/>
                <w:szCs w:val="20"/>
                <w:lang w:val="en-US"/>
              </w:rPr>
            </w:pPr>
          </w:p>
        </w:tc>
        <w:tc>
          <w:tcPr>
            <w:tcW w:w="3260" w:type="dxa"/>
            <w:vMerge/>
          </w:tcPr>
          <w:p w14:paraId="092B9B5D" w14:textId="77777777" w:rsidR="00707906" w:rsidRPr="00592E0C" w:rsidRDefault="00707906" w:rsidP="00592E0C">
            <w:pPr>
              <w:rPr>
                <w:rFonts w:ascii="Century Gothic" w:hAnsi="Century Gothic"/>
                <w:sz w:val="20"/>
                <w:szCs w:val="20"/>
                <w:lang w:val="en-US"/>
              </w:rPr>
            </w:pPr>
          </w:p>
        </w:tc>
        <w:tc>
          <w:tcPr>
            <w:tcW w:w="4820" w:type="dxa"/>
            <w:shd w:val="clear" w:color="auto" w:fill="FFC000" w:themeFill="accent4"/>
          </w:tcPr>
          <w:p w14:paraId="68F40391"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Reform family and inheritance law to protect women’s rights.</w:t>
            </w:r>
          </w:p>
        </w:tc>
      </w:tr>
      <w:tr w:rsidR="00707906" w:rsidRPr="00592E0C" w14:paraId="555AC323" w14:textId="77777777" w:rsidTr="00592E0C">
        <w:tc>
          <w:tcPr>
            <w:tcW w:w="1838" w:type="dxa"/>
            <w:vMerge w:val="restart"/>
          </w:tcPr>
          <w:p w14:paraId="67BFC738"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LABOUR      </w:t>
            </w:r>
          </w:p>
          <w:p w14:paraId="434AADBF"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p>
          <w:p w14:paraId="22F862A3"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r w:rsidRPr="00592E0C">
              <w:rPr>
                <w:rFonts w:ascii="Century Gothic" w:hAnsi="Century Gothic"/>
                <w:noProof/>
                <w:sz w:val="20"/>
                <w:szCs w:val="20"/>
                <w:lang w:eastAsia="zh-CN"/>
              </w:rPr>
              <w:drawing>
                <wp:inline distT="0" distB="0" distL="0" distR="0" wp14:anchorId="03B8E9CC" wp14:editId="67EDD84D">
                  <wp:extent cx="495369" cy="138131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69" cy="1381318"/>
                          </a:xfrm>
                          <a:prstGeom prst="rect">
                            <a:avLst/>
                          </a:prstGeom>
                        </pic:spPr>
                      </pic:pic>
                    </a:graphicData>
                  </a:graphic>
                </wp:inline>
              </w:drawing>
            </w:r>
          </w:p>
        </w:tc>
        <w:tc>
          <w:tcPr>
            <w:tcW w:w="3260" w:type="dxa"/>
            <w:vMerge w:val="restart"/>
          </w:tcPr>
          <w:p w14:paraId="2DECD06C"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Improve women’s access to hired labour.</w:t>
            </w:r>
          </w:p>
        </w:tc>
        <w:tc>
          <w:tcPr>
            <w:tcW w:w="4820" w:type="dxa"/>
            <w:shd w:val="clear" w:color="auto" w:fill="FFC000" w:themeFill="accent4"/>
          </w:tcPr>
          <w:p w14:paraId="71048477"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Offer women farmers financing to hire farm labour</w:t>
            </w:r>
          </w:p>
        </w:tc>
      </w:tr>
      <w:tr w:rsidR="00707906" w:rsidRPr="00592E0C" w14:paraId="7A641086" w14:textId="77777777" w:rsidTr="00592E0C">
        <w:tc>
          <w:tcPr>
            <w:tcW w:w="1838" w:type="dxa"/>
            <w:vMerge/>
          </w:tcPr>
          <w:p w14:paraId="15FD03F0" w14:textId="77777777" w:rsidR="00707906" w:rsidRPr="00592E0C" w:rsidRDefault="00707906" w:rsidP="00592E0C">
            <w:pPr>
              <w:rPr>
                <w:rFonts w:ascii="Century Gothic" w:hAnsi="Century Gothic"/>
                <w:sz w:val="20"/>
                <w:szCs w:val="20"/>
                <w:lang w:val="en-US"/>
              </w:rPr>
            </w:pPr>
          </w:p>
        </w:tc>
        <w:tc>
          <w:tcPr>
            <w:tcW w:w="3260" w:type="dxa"/>
            <w:vMerge/>
          </w:tcPr>
          <w:p w14:paraId="268CC915" w14:textId="77777777" w:rsidR="00707906" w:rsidRPr="00592E0C" w:rsidRDefault="00707906" w:rsidP="00592E0C">
            <w:pPr>
              <w:pStyle w:val="ListParagraph"/>
              <w:rPr>
                <w:rFonts w:ascii="Century Gothic" w:hAnsi="Century Gothic"/>
                <w:sz w:val="20"/>
                <w:szCs w:val="20"/>
                <w:lang w:val="en-US"/>
              </w:rPr>
            </w:pPr>
          </w:p>
        </w:tc>
        <w:tc>
          <w:tcPr>
            <w:tcW w:w="4820" w:type="dxa"/>
            <w:shd w:val="clear" w:color="auto" w:fill="FFC000" w:themeFill="accent4"/>
          </w:tcPr>
          <w:p w14:paraId="020AFBA1"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Task agents with helping women farmers to find labour</w:t>
            </w:r>
          </w:p>
        </w:tc>
      </w:tr>
      <w:tr w:rsidR="00707906" w:rsidRPr="00592E0C" w14:paraId="39B83D71" w14:textId="77777777" w:rsidTr="00592E0C">
        <w:tc>
          <w:tcPr>
            <w:tcW w:w="1838" w:type="dxa"/>
            <w:vMerge/>
          </w:tcPr>
          <w:p w14:paraId="6BDAD7FF" w14:textId="77777777" w:rsidR="00707906" w:rsidRPr="00592E0C" w:rsidRDefault="00707906" w:rsidP="00592E0C">
            <w:pPr>
              <w:rPr>
                <w:rFonts w:ascii="Century Gothic" w:hAnsi="Century Gothic"/>
                <w:sz w:val="20"/>
                <w:szCs w:val="20"/>
                <w:lang w:val="en-US"/>
              </w:rPr>
            </w:pPr>
          </w:p>
        </w:tc>
        <w:tc>
          <w:tcPr>
            <w:tcW w:w="3260" w:type="dxa"/>
          </w:tcPr>
          <w:p w14:paraId="459D3105"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Enhance women’s use of tools and equipment that reduce the amount of labour they require on the farm</w:t>
            </w:r>
          </w:p>
        </w:tc>
        <w:tc>
          <w:tcPr>
            <w:tcW w:w="4820" w:type="dxa"/>
            <w:shd w:val="clear" w:color="auto" w:fill="FFC000" w:themeFill="accent4"/>
          </w:tcPr>
          <w:p w14:paraId="3A6E6F7F"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Provide women farmers with financing or discounts for hiring or purchasing machinery</w:t>
            </w:r>
          </w:p>
        </w:tc>
      </w:tr>
      <w:tr w:rsidR="00707906" w:rsidRPr="00592E0C" w14:paraId="564CF53C" w14:textId="77777777" w:rsidTr="00592E0C">
        <w:tc>
          <w:tcPr>
            <w:tcW w:w="1838" w:type="dxa"/>
            <w:vMerge/>
          </w:tcPr>
          <w:p w14:paraId="6C19FDE0" w14:textId="77777777" w:rsidR="00707906" w:rsidRPr="00592E0C" w:rsidRDefault="00707906" w:rsidP="00592E0C">
            <w:pPr>
              <w:rPr>
                <w:rFonts w:ascii="Century Gothic" w:hAnsi="Century Gothic"/>
                <w:sz w:val="20"/>
                <w:szCs w:val="20"/>
                <w:lang w:val="en-US"/>
              </w:rPr>
            </w:pPr>
          </w:p>
        </w:tc>
        <w:tc>
          <w:tcPr>
            <w:tcW w:w="3260" w:type="dxa"/>
          </w:tcPr>
          <w:p w14:paraId="3C2D74CF"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Provide community-based child-care centers</w:t>
            </w:r>
          </w:p>
        </w:tc>
        <w:tc>
          <w:tcPr>
            <w:tcW w:w="4820" w:type="dxa"/>
            <w:shd w:val="clear" w:color="auto" w:fill="FFC000" w:themeFill="accent4"/>
          </w:tcPr>
          <w:p w14:paraId="36E6FB8C"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Provide community-based child-care centers</w:t>
            </w:r>
          </w:p>
        </w:tc>
      </w:tr>
      <w:tr w:rsidR="00707906" w:rsidRPr="00592E0C" w14:paraId="32F164C7" w14:textId="77777777" w:rsidTr="00592E0C">
        <w:tc>
          <w:tcPr>
            <w:tcW w:w="1838" w:type="dxa"/>
            <w:vMerge w:val="restart"/>
          </w:tcPr>
          <w:p w14:paraId="6168F4A8"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NON-LABOUR INPUTS</w:t>
            </w:r>
          </w:p>
          <w:p w14:paraId="127EC686"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r w:rsidRPr="00592E0C">
              <w:rPr>
                <w:rFonts w:ascii="Century Gothic" w:hAnsi="Century Gothic"/>
                <w:noProof/>
                <w:sz w:val="20"/>
                <w:szCs w:val="20"/>
                <w:lang w:eastAsia="zh-CN"/>
              </w:rPr>
              <w:drawing>
                <wp:inline distT="0" distB="0" distL="0" distR="0" wp14:anchorId="2A8FEDB9" wp14:editId="6E9F8D53">
                  <wp:extent cx="504895" cy="1409897"/>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895" cy="1409897"/>
                          </a:xfrm>
                          <a:prstGeom prst="rect">
                            <a:avLst/>
                          </a:prstGeom>
                        </pic:spPr>
                      </pic:pic>
                    </a:graphicData>
                  </a:graphic>
                </wp:inline>
              </w:drawing>
            </w:r>
          </w:p>
        </w:tc>
        <w:tc>
          <w:tcPr>
            <w:tcW w:w="3260" w:type="dxa"/>
            <w:vMerge w:val="restart"/>
          </w:tcPr>
          <w:p w14:paraId="2492AEF7"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Encourage women farmers to use more, and higher-quality fertilizer.</w:t>
            </w:r>
          </w:p>
        </w:tc>
        <w:tc>
          <w:tcPr>
            <w:tcW w:w="4820" w:type="dxa"/>
            <w:shd w:val="clear" w:color="auto" w:fill="92D050"/>
          </w:tcPr>
          <w:p w14:paraId="2A4EFA9F"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Provide women farmers with financing or price discounts aligned with their cash flow to encourage the purchase of fertilizer.</w:t>
            </w:r>
          </w:p>
        </w:tc>
      </w:tr>
      <w:tr w:rsidR="00707906" w:rsidRPr="00592E0C" w14:paraId="4D2A2332" w14:textId="77777777" w:rsidTr="00592E0C">
        <w:tc>
          <w:tcPr>
            <w:tcW w:w="1838" w:type="dxa"/>
            <w:vMerge/>
          </w:tcPr>
          <w:p w14:paraId="71B3F6EA" w14:textId="77777777" w:rsidR="00707906" w:rsidRPr="00592E0C" w:rsidRDefault="00707906" w:rsidP="00592E0C">
            <w:pPr>
              <w:rPr>
                <w:rFonts w:ascii="Century Gothic" w:hAnsi="Century Gothic"/>
                <w:sz w:val="20"/>
                <w:szCs w:val="20"/>
                <w:lang w:val="en-US"/>
              </w:rPr>
            </w:pPr>
          </w:p>
        </w:tc>
        <w:tc>
          <w:tcPr>
            <w:tcW w:w="3260" w:type="dxa"/>
            <w:vMerge/>
          </w:tcPr>
          <w:p w14:paraId="201459EF" w14:textId="77777777" w:rsidR="00707906" w:rsidRPr="00592E0C" w:rsidRDefault="00707906" w:rsidP="00592E0C">
            <w:pPr>
              <w:pStyle w:val="ListParagraph"/>
              <w:rPr>
                <w:rFonts w:ascii="Century Gothic" w:hAnsi="Century Gothic"/>
                <w:sz w:val="20"/>
                <w:szCs w:val="20"/>
                <w:lang w:val="en-US"/>
              </w:rPr>
            </w:pPr>
          </w:p>
        </w:tc>
        <w:tc>
          <w:tcPr>
            <w:tcW w:w="4820" w:type="dxa"/>
            <w:shd w:val="clear" w:color="auto" w:fill="FFC000" w:themeFill="accent4"/>
          </w:tcPr>
          <w:p w14:paraId="47CAE118"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Certify small bags of fertilizers for used by women.</w:t>
            </w:r>
          </w:p>
        </w:tc>
      </w:tr>
      <w:tr w:rsidR="00707906" w:rsidRPr="00592E0C" w14:paraId="749CDB8F" w14:textId="77777777" w:rsidTr="00592E0C">
        <w:tc>
          <w:tcPr>
            <w:tcW w:w="1838" w:type="dxa"/>
            <w:vMerge/>
          </w:tcPr>
          <w:p w14:paraId="649507F5" w14:textId="77777777" w:rsidR="00707906" w:rsidRPr="00592E0C" w:rsidRDefault="00707906" w:rsidP="00592E0C">
            <w:pPr>
              <w:rPr>
                <w:rFonts w:ascii="Century Gothic" w:hAnsi="Century Gothic"/>
                <w:sz w:val="20"/>
                <w:szCs w:val="20"/>
                <w:lang w:val="en-US"/>
              </w:rPr>
            </w:pPr>
          </w:p>
        </w:tc>
        <w:tc>
          <w:tcPr>
            <w:tcW w:w="3260" w:type="dxa"/>
            <w:vMerge w:val="restart"/>
          </w:tcPr>
          <w:p w14:paraId="445F3731"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Increase women’s use of improved seeds.</w:t>
            </w:r>
          </w:p>
        </w:tc>
        <w:tc>
          <w:tcPr>
            <w:tcW w:w="4820" w:type="dxa"/>
            <w:shd w:val="clear" w:color="auto" w:fill="FFC000" w:themeFill="accent4"/>
          </w:tcPr>
          <w:p w14:paraId="13D52FF1"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Provide flexible financing for seeds</w:t>
            </w:r>
          </w:p>
        </w:tc>
      </w:tr>
      <w:tr w:rsidR="00707906" w:rsidRPr="00592E0C" w14:paraId="21D0A29C" w14:textId="77777777" w:rsidTr="00592E0C">
        <w:tc>
          <w:tcPr>
            <w:tcW w:w="1838" w:type="dxa"/>
            <w:vMerge/>
          </w:tcPr>
          <w:p w14:paraId="409FE0D4" w14:textId="77777777" w:rsidR="00707906" w:rsidRPr="00592E0C" w:rsidRDefault="00707906" w:rsidP="00592E0C">
            <w:pPr>
              <w:rPr>
                <w:rFonts w:ascii="Century Gothic" w:hAnsi="Century Gothic"/>
                <w:sz w:val="20"/>
                <w:szCs w:val="20"/>
                <w:lang w:val="en-US"/>
              </w:rPr>
            </w:pPr>
          </w:p>
        </w:tc>
        <w:tc>
          <w:tcPr>
            <w:tcW w:w="3260" w:type="dxa"/>
            <w:vMerge/>
          </w:tcPr>
          <w:p w14:paraId="508103CD" w14:textId="77777777" w:rsidR="00707906" w:rsidRPr="00592E0C" w:rsidRDefault="00707906" w:rsidP="00592E0C">
            <w:pPr>
              <w:pStyle w:val="ListParagraph"/>
              <w:rPr>
                <w:rFonts w:ascii="Century Gothic" w:hAnsi="Century Gothic"/>
                <w:sz w:val="20"/>
                <w:szCs w:val="20"/>
                <w:lang w:val="en-US"/>
              </w:rPr>
            </w:pPr>
          </w:p>
        </w:tc>
        <w:tc>
          <w:tcPr>
            <w:tcW w:w="4820" w:type="dxa"/>
            <w:shd w:val="clear" w:color="auto" w:fill="FFC000" w:themeFill="accent4"/>
          </w:tcPr>
          <w:p w14:paraId="007BA0B3"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Help women better identify and obtain good-quality seed.</w:t>
            </w:r>
          </w:p>
        </w:tc>
      </w:tr>
      <w:tr w:rsidR="00707906" w:rsidRPr="00592E0C" w14:paraId="08615E0F" w14:textId="77777777" w:rsidTr="00592E0C">
        <w:tc>
          <w:tcPr>
            <w:tcW w:w="1838" w:type="dxa"/>
            <w:vMerge w:val="restart"/>
          </w:tcPr>
          <w:p w14:paraId="5BFAFB43"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INFORMATION</w:t>
            </w:r>
          </w:p>
          <w:p w14:paraId="46860E59" w14:textId="77777777" w:rsidR="00707906" w:rsidRPr="00592E0C" w:rsidRDefault="00707906" w:rsidP="00592E0C">
            <w:pPr>
              <w:rPr>
                <w:rFonts w:ascii="Century Gothic" w:hAnsi="Century Gothic"/>
                <w:sz w:val="20"/>
                <w:szCs w:val="20"/>
                <w:lang w:val="en-US"/>
              </w:rPr>
            </w:pPr>
          </w:p>
          <w:p w14:paraId="1FE135C4"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r w:rsidRPr="00592E0C">
              <w:rPr>
                <w:rFonts w:ascii="Century Gothic" w:hAnsi="Century Gothic"/>
                <w:noProof/>
                <w:sz w:val="20"/>
                <w:szCs w:val="20"/>
                <w:lang w:eastAsia="zh-CN"/>
              </w:rPr>
              <w:drawing>
                <wp:inline distT="0" distB="0" distL="0" distR="0" wp14:anchorId="79FD8F0D" wp14:editId="0F65E721">
                  <wp:extent cx="485843" cy="533474"/>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843" cy="533474"/>
                          </a:xfrm>
                          <a:prstGeom prst="rect">
                            <a:avLst/>
                          </a:prstGeom>
                        </pic:spPr>
                      </pic:pic>
                    </a:graphicData>
                  </a:graphic>
                </wp:inline>
              </w:drawing>
            </w:r>
          </w:p>
        </w:tc>
        <w:tc>
          <w:tcPr>
            <w:tcW w:w="3260" w:type="dxa"/>
            <w:vMerge w:val="restart"/>
          </w:tcPr>
          <w:p w14:paraId="1DD853FB"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Tailor extension services to women’s needs and leverage social networks to spread agricultural knowledge.</w:t>
            </w:r>
          </w:p>
        </w:tc>
        <w:tc>
          <w:tcPr>
            <w:tcW w:w="4820" w:type="dxa"/>
            <w:shd w:val="clear" w:color="auto" w:fill="92D050"/>
          </w:tcPr>
          <w:p w14:paraId="0F1A8B5E"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Train extension agents to target female farmers and be more responsive to their agricultural information needs.</w:t>
            </w:r>
          </w:p>
        </w:tc>
      </w:tr>
      <w:tr w:rsidR="00707906" w:rsidRPr="00592E0C" w14:paraId="67A994DA" w14:textId="77777777" w:rsidTr="00592E0C">
        <w:tc>
          <w:tcPr>
            <w:tcW w:w="1838" w:type="dxa"/>
            <w:vMerge/>
          </w:tcPr>
          <w:p w14:paraId="1A620ED0" w14:textId="77777777" w:rsidR="00707906" w:rsidRPr="00592E0C" w:rsidRDefault="00707906" w:rsidP="00592E0C">
            <w:pPr>
              <w:rPr>
                <w:rFonts w:ascii="Century Gothic" w:hAnsi="Century Gothic"/>
                <w:sz w:val="20"/>
                <w:szCs w:val="20"/>
                <w:lang w:val="en-US"/>
              </w:rPr>
            </w:pPr>
          </w:p>
        </w:tc>
        <w:tc>
          <w:tcPr>
            <w:tcW w:w="3260" w:type="dxa"/>
            <w:vMerge/>
          </w:tcPr>
          <w:p w14:paraId="3EDEFF3B" w14:textId="77777777" w:rsidR="00707906" w:rsidRPr="00592E0C" w:rsidRDefault="00707906" w:rsidP="00592E0C">
            <w:pPr>
              <w:pStyle w:val="ListParagraph"/>
              <w:rPr>
                <w:rFonts w:ascii="Century Gothic" w:hAnsi="Century Gothic"/>
                <w:sz w:val="20"/>
                <w:szCs w:val="20"/>
                <w:lang w:val="en-US"/>
              </w:rPr>
            </w:pPr>
          </w:p>
        </w:tc>
        <w:tc>
          <w:tcPr>
            <w:tcW w:w="4820" w:type="dxa"/>
            <w:shd w:val="clear" w:color="auto" w:fill="92D050"/>
          </w:tcPr>
          <w:p w14:paraId="0BF240B8"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Bring agricultural training and advice to women’s doorsteps through farmer field schools and mobile phone applications.</w:t>
            </w:r>
          </w:p>
        </w:tc>
      </w:tr>
      <w:tr w:rsidR="00707906" w:rsidRPr="00592E0C" w14:paraId="1FEC0B1A" w14:textId="77777777" w:rsidTr="00592E0C">
        <w:tc>
          <w:tcPr>
            <w:tcW w:w="1838" w:type="dxa"/>
            <w:vMerge/>
          </w:tcPr>
          <w:p w14:paraId="6FC0705E" w14:textId="77777777" w:rsidR="00707906" w:rsidRPr="00592E0C" w:rsidRDefault="00707906" w:rsidP="00592E0C">
            <w:pPr>
              <w:rPr>
                <w:rFonts w:ascii="Century Gothic" w:hAnsi="Century Gothic"/>
                <w:sz w:val="20"/>
                <w:szCs w:val="20"/>
                <w:lang w:val="en-US"/>
              </w:rPr>
            </w:pPr>
          </w:p>
        </w:tc>
        <w:tc>
          <w:tcPr>
            <w:tcW w:w="3260" w:type="dxa"/>
            <w:vMerge/>
          </w:tcPr>
          <w:p w14:paraId="44A3CC0C" w14:textId="77777777" w:rsidR="00707906" w:rsidRPr="00592E0C" w:rsidRDefault="00707906" w:rsidP="00592E0C">
            <w:pPr>
              <w:pStyle w:val="ListParagraph"/>
              <w:rPr>
                <w:rFonts w:ascii="Century Gothic" w:hAnsi="Century Gothic"/>
                <w:sz w:val="20"/>
                <w:szCs w:val="20"/>
                <w:lang w:val="en-US"/>
              </w:rPr>
            </w:pPr>
          </w:p>
        </w:tc>
        <w:tc>
          <w:tcPr>
            <w:tcW w:w="4820" w:type="dxa"/>
            <w:shd w:val="clear" w:color="auto" w:fill="92D050"/>
          </w:tcPr>
          <w:p w14:paraId="5AD7B29D"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Identify female volunteer farm advisors to spread information within women’s social networks.</w:t>
            </w:r>
          </w:p>
        </w:tc>
      </w:tr>
      <w:tr w:rsidR="00707906" w:rsidRPr="00592E0C" w14:paraId="60542EF8" w14:textId="77777777" w:rsidTr="00592E0C">
        <w:tc>
          <w:tcPr>
            <w:tcW w:w="1838" w:type="dxa"/>
            <w:vMerge w:val="restart"/>
          </w:tcPr>
          <w:p w14:paraId="3D72A4A9"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ACCESS TO MARKETS</w:t>
            </w:r>
          </w:p>
          <w:p w14:paraId="7223B46B"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r w:rsidRPr="00592E0C">
              <w:rPr>
                <w:rFonts w:ascii="Century Gothic" w:hAnsi="Century Gothic"/>
                <w:noProof/>
                <w:sz w:val="20"/>
                <w:szCs w:val="20"/>
                <w:lang w:eastAsia="zh-CN"/>
              </w:rPr>
              <w:drawing>
                <wp:inline distT="0" distB="0" distL="0" distR="0" wp14:anchorId="536084C6" wp14:editId="38D28B14">
                  <wp:extent cx="476316" cy="1190791"/>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316" cy="1190791"/>
                          </a:xfrm>
                          <a:prstGeom prst="rect">
                            <a:avLst/>
                          </a:prstGeom>
                        </pic:spPr>
                      </pic:pic>
                    </a:graphicData>
                  </a:graphic>
                </wp:inline>
              </w:drawing>
            </w:r>
          </w:p>
        </w:tc>
        <w:tc>
          <w:tcPr>
            <w:tcW w:w="3260" w:type="dxa"/>
          </w:tcPr>
          <w:p w14:paraId="5ECD6295"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Promote women’s cultivation of high value/cash crops.</w:t>
            </w:r>
          </w:p>
        </w:tc>
        <w:tc>
          <w:tcPr>
            <w:tcW w:w="4820" w:type="dxa"/>
            <w:shd w:val="clear" w:color="auto" w:fill="FFC000" w:themeFill="accent4"/>
          </w:tcPr>
          <w:p w14:paraId="084BD5C2"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Promote women’s cultivation of high value/cash crops.</w:t>
            </w:r>
          </w:p>
        </w:tc>
      </w:tr>
      <w:tr w:rsidR="00707906" w:rsidRPr="00592E0C" w14:paraId="1E6E4C63" w14:textId="77777777" w:rsidTr="00592E0C">
        <w:tc>
          <w:tcPr>
            <w:tcW w:w="1838" w:type="dxa"/>
            <w:vMerge/>
          </w:tcPr>
          <w:p w14:paraId="189AC27A" w14:textId="77777777" w:rsidR="00707906" w:rsidRPr="00592E0C" w:rsidRDefault="00707906" w:rsidP="00592E0C">
            <w:pPr>
              <w:rPr>
                <w:rFonts w:ascii="Century Gothic" w:hAnsi="Century Gothic"/>
                <w:sz w:val="20"/>
                <w:szCs w:val="20"/>
                <w:lang w:val="en-US"/>
              </w:rPr>
            </w:pPr>
          </w:p>
        </w:tc>
        <w:tc>
          <w:tcPr>
            <w:tcW w:w="3260" w:type="dxa"/>
            <w:vMerge w:val="restart"/>
          </w:tcPr>
          <w:p w14:paraId="042388C2"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Facilitate women’s access to and effective participation in markets.</w:t>
            </w:r>
          </w:p>
        </w:tc>
        <w:tc>
          <w:tcPr>
            <w:tcW w:w="4820" w:type="dxa"/>
            <w:shd w:val="clear" w:color="auto" w:fill="92D050"/>
          </w:tcPr>
          <w:p w14:paraId="6242240F"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Provide market services through information and communication technology (ICT)</w:t>
            </w:r>
          </w:p>
        </w:tc>
      </w:tr>
      <w:tr w:rsidR="00707906" w:rsidRPr="00592E0C" w14:paraId="497D303F" w14:textId="77777777" w:rsidTr="00592E0C">
        <w:trPr>
          <w:trHeight w:val="664"/>
        </w:trPr>
        <w:tc>
          <w:tcPr>
            <w:tcW w:w="1838" w:type="dxa"/>
            <w:vMerge/>
          </w:tcPr>
          <w:p w14:paraId="08752BE3" w14:textId="77777777" w:rsidR="00707906" w:rsidRPr="00592E0C" w:rsidRDefault="00707906" w:rsidP="00592E0C">
            <w:pPr>
              <w:rPr>
                <w:rFonts w:ascii="Century Gothic" w:hAnsi="Century Gothic"/>
                <w:sz w:val="20"/>
                <w:szCs w:val="20"/>
                <w:lang w:val="en-US"/>
              </w:rPr>
            </w:pPr>
          </w:p>
        </w:tc>
        <w:tc>
          <w:tcPr>
            <w:tcW w:w="3260" w:type="dxa"/>
            <w:vMerge/>
          </w:tcPr>
          <w:p w14:paraId="1221669B" w14:textId="77777777" w:rsidR="00707906" w:rsidRPr="00592E0C" w:rsidRDefault="00707906" w:rsidP="00592E0C">
            <w:pPr>
              <w:rPr>
                <w:rFonts w:ascii="Century Gothic" w:hAnsi="Century Gothic"/>
                <w:sz w:val="20"/>
                <w:szCs w:val="20"/>
                <w:lang w:val="en-US"/>
              </w:rPr>
            </w:pPr>
          </w:p>
        </w:tc>
        <w:tc>
          <w:tcPr>
            <w:tcW w:w="4820" w:type="dxa"/>
            <w:shd w:val="clear" w:color="auto" w:fill="FFC000" w:themeFill="accent4"/>
          </w:tcPr>
          <w:p w14:paraId="2669F232"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Channel existing groups to access market opportunities</w:t>
            </w:r>
          </w:p>
        </w:tc>
      </w:tr>
      <w:tr w:rsidR="00707906" w:rsidRPr="00592E0C" w14:paraId="79CCDB1A" w14:textId="77777777" w:rsidTr="00592E0C">
        <w:tc>
          <w:tcPr>
            <w:tcW w:w="1838" w:type="dxa"/>
          </w:tcPr>
          <w:p w14:paraId="62B0B0AF"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HUMAN CAPITAL   </w:t>
            </w:r>
          </w:p>
          <w:p w14:paraId="2F771493"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 xml:space="preserve">                               </w:t>
            </w:r>
            <w:r w:rsidRPr="00592E0C">
              <w:rPr>
                <w:rFonts w:ascii="Century Gothic" w:hAnsi="Century Gothic"/>
                <w:noProof/>
                <w:sz w:val="20"/>
                <w:szCs w:val="20"/>
                <w:lang w:eastAsia="zh-CN"/>
              </w:rPr>
              <w:drawing>
                <wp:inline distT="0" distB="0" distL="0" distR="0" wp14:anchorId="002E4E5E" wp14:editId="0B81264C">
                  <wp:extent cx="438211" cy="42868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211" cy="428685"/>
                          </a:xfrm>
                          <a:prstGeom prst="rect">
                            <a:avLst/>
                          </a:prstGeom>
                        </pic:spPr>
                      </pic:pic>
                    </a:graphicData>
                  </a:graphic>
                </wp:inline>
              </w:drawing>
            </w:r>
          </w:p>
        </w:tc>
        <w:tc>
          <w:tcPr>
            <w:tcW w:w="3260" w:type="dxa"/>
          </w:tcPr>
          <w:p w14:paraId="065D0D91" w14:textId="77777777" w:rsidR="00707906" w:rsidRPr="00592E0C" w:rsidRDefault="00707906" w:rsidP="00707906">
            <w:pPr>
              <w:pStyle w:val="ListParagraph"/>
              <w:numPr>
                <w:ilvl w:val="0"/>
                <w:numId w:val="23"/>
              </w:numPr>
              <w:spacing w:line="240" w:lineRule="auto"/>
              <w:rPr>
                <w:rFonts w:ascii="Century Gothic" w:hAnsi="Century Gothic"/>
                <w:sz w:val="20"/>
                <w:szCs w:val="20"/>
                <w:lang w:val="en-US"/>
              </w:rPr>
            </w:pPr>
            <w:r w:rsidRPr="00592E0C">
              <w:rPr>
                <w:rFonts w:ascii="Century Gothic" w:hAnsi="Century Gothic"/>
                <w:sz w:val="20"/>
                <w:szCs w:val="20"/>
                <w:lang w:val="en-US"/>
              </w:rPr>
              <w:t xml:space="preserve">Raise education levels of adult female farmers. </w:t>
            </w:r>
          </w:p>
        </w:tc>
        <w:tc>
          <w:tcPr>
            <w:tcW w:w="4820" w:type="dxa"/>
            <w:shd w:val="clear" w:color="auto" w:fill="92D050"/>
          </w:tcPr>
          <w:p w14:paraId="3ADE3610" w14:textId="77777777" w:rsidR="00707906" w:rsidRPr="00592E0C" w:rsidRDefault="00707906" w:rsidP="00592E0C">
            <w:pPr>
              <w:rPr>
                <w:rFonts w:ascii="Century Gothic" w:hAnsi="Century Gothic"/>
                <w:sz w:val="20"/>
                <w:szCs w:val="20"/>
                <w:lang w:val="en-US"/>
              </w:rPr>
            </w:pPr>
            <w:r w:rsidRPr="00592E0C">
              <w:rPr>
                <w:rFonts w:ascii="Century Gothic" w:hAnsi="Century Gothic"/>
                <w:sz w:val="20"/>
                <w:szCs w:val="20"/>
                <w:lang w:val="en-US"/>
              </w:rPr>
              <w:t>Raise education levels of adult female farmers.</w:t>
            </w:r>
          </w:p>
        </w:tc>
      </w:tr>
    </w:tbl>
    <w:p w14:paraId="42FE65BD" w14:textId="77777777" w:rsidR="00707906" w:rsidRPr="00121FDE" w:rsidRDefault="00707906" w:rsidP="00707906">
      <w:pPr>
        <w:rPr>
          <w:rFonts w:ascii="Century Gothic" w:hAnsi="Century Gothic"/>
          <w:sz w:val="16"/>
          <w:szCs w:val="16"/>
          <w:lang w:val="en-US"/>
        </w:rPr>
      </w:pPr>
      <w:r w:rsidRPr="00121FDE">
        <w:rPr>
          <w:rFonts w:ascii="Century Gothic" w:hAnsi="Century Gothic"/>
          <w:sz w:val="16"/>
          <w:szCs w:val="16"/>
          <w:lang w:val="en-US"/>
        </w:rPr>
        <w:t>Source: World Bank</w:t>
      </w:r>
    </w:p>
    <w:p w14:paraId="1AC8BD3B" w14:textId="1AC77665" w:rsidR="00411CF7" w:rsidRPr="00EE3BED" w:rsidRDefault="00EE3BED" w:rsidP="00EE3BED">
      <w:pPr>
        <w:pStyle w:val="Heading1"/>
        <w:spacing w:before="0" w:after="160"/>
        <w:rPr>
          <w:rFonts w:ascii="Century Gothic" w:hAnsi="Century Gothic"/>
          <w:b/>
          <w:sz w:val="28"/>
          <w:szCs w:val="28"/>
        </w:rPr>
      </w:pPr>
      <w:bookmarkStart w:id="17" w:name="_Toc131079438"/>
      <w:r>
        <w:rPr>
          <w:rFonts w:ascii="Century Gothic" w:hAnsi="Century Gothic"/>
          <w:b/>
          <w:sz w:val="28"/>
          <w:szCs w:val="28"/>
        </w:rPr>
        <w:lastRenderedPageBreak/>
        <w:t>SECTION IV:</w:t>
      </w:r>
      <w:r w:rsidR="00737A97" w:rsidRPr="00EE3BED">
        <w:rPr>
          <w:rFonts w:ascii="Century Gothic" w:hAnsi="Century Gothic"/>
          <w:b/>
          <w:sz w:val="28"/>
          <w:szCs w:val="28"/>
        </w:rPr>
        <w:t xml:space="preserve"> Data and Model</w:t>
      </w:r>
      <w:bookmarkStart w:id="18" w:name="_Toc129400807"/>
      <w:bookmarkEnd w:id="0"/>
      <w:bookmarkEnd w:id="17"/>
    </w:p>
    <w:p w14:paraId="22105002" w14:textId="3891C121" w:rsidR="00411CF7" w:rsidRPr="00592E0C" w:rsidRDefault="00411CF7" w:rsidP="00592E0C">
      <w:pPr>
        <w:jc w:val="both"/>
        <w:rPr>
          <w:rFonts w:ascii="Century Gothic" w:hAnsi="Century Gothic"/>
        </w:rPr>
      </w:pPr>
      <w:r w:rsidRPr="00592E0C">
        <w:rPr>
          <w:rFonts w:ascii="Century Gothic" w:hAnsi="Century Gothic"/>
        </w:rPr>
        <w:t>For this study, we used two types of computable general equilibrium models - static and dynamic. The static form allowed us to simulate the impact of policy reform</w:t>
      </w:r>
      <w:r w:rsidR="00A844F4" w:rsidRPr="00592E0C">
        <w:rPr>
          <w:rFonts w:ascii="Century Gothic" w:hAnsi="Century Gothic"/>
        </w:rPr>
        <w:t>s</w:t>
      </w:r>
      <w:r w:rsidR="00F4635D">
        <w:rPr>
          <w:rFonts w:ascii="Century Gothic" w:hAnsi="Century Gothic"/>
        </w:rPr>
        <w:t xml:space="preserve"> such as abolishing </w:t>
      </w:r>
      <w:r w:rsidRPr="00592E0C">
        <w:rPr>
          <w:rFonts w:ascii="Century Gothic" w:hAnsi="Century Gothic"/>
        </w:rPr>
        <w:t>VAT on fertilizers and equal access to arable land</w:t>
      </w:r>
      <w:r w:rsidR="00A844F4" w:rsidRPr="00592E0C">
        <w:rPr>
          <w:rFonts w:ascii="Century Gothic" w:hAnsi="Century Gothic"/>
        </w:rPr>
        <w:t xml:space="preserve"> for women</w:t>
      </w:r>
      <w:r w:rsidRPr="00592E0C">
        <w:rPr>
          <w:rFonts w:ascii="Century Gothic" w:hAnsi="Century Gothic"/>
        </w:rPr>
        <w:t xml:space="preserve"> by comparing equilibrium properties before and after</w:t>
      </w:r>
      <w:r w:rsidR="00A844F4" w:rsidRPr="00592E0C">
        <w:rPr>
          <w:rFonts w:ascii="Century Gothic" w:hAnsi="Century Gothic"/>
        </w:rPr>
        <w:t xml:space="preserve"> the reform</w:t>
      </w:r>
      <w:r w:rsidRPr="00592E0C">
        <w:rPr>
          <w:rFonts w:ascii="Century Gothic" w:hAnsi="Century Gothic"/>
        </w:rPr>
        <w:t xml:space="preserve"> in t</w:t>
      </w:r>
      <w:r w:rsidR="00A844F4" w:rsidRPr="00592E0C">
        <w:rPr>
          <w:rFonts w:ascii="Century Gothic" w:hAnsi="Century Gothic"/>
        </w:rPr>
        <w:t xml:space="preserve">he </w:t>
      </w:r>
      <w:r w:rsidRPr="00592E0C">
        <w:rPr>
          <w:rFonts w:ascii="Century Gothic" w:hAnsi="Century Gothic"/>
        </w:rPr>
        <w:t xml:space="preserve">short-run. </w:t>
      </w:r>
    </w:p>
    <w:p w14:paraId="66DA32D1" w14:textId="6ADAE599" w:rsidR="00411CF7" w:rsidRPr="00592E0C" w:rsidRDefault="00411CF7" w:rsidP="00592E0C">
      <w:pPr>
        <w:jc w:val="both"/>
        <w:rPr>
          <w:rFonts w:ascii="Century Gothic" w:hAnsi="Century Gothic"/>
        </w:rPr>
      </w:pPr>
      <w:r w:rsidRPr="00592E0C">
        <w:rPr>
          <w:rFonts w:ascii="Century Gothic" w:hAnsi="Century Gothic"/>
        </w:rPr>
        <w:t xml:space="preserve">In the dynamic form of the CGE model, we tracked the growth of output as well as economic fluctuations due to policy reforms (specifically, an increase in women's employment in the agricultural sector and investment in </w:t>
      </w:r>
      <w:r w:rsidR="00A844F4" w:rsidRPr="00592E0C">
        <w:rPr>
          <w:rFonts w:ascii="Century Gothic" w:hAnsi="Century Gothic"/>
        </w:rPr>
        <w:t xml:space="preserve">expanding </w:t>
      </w:r>
      <w:r w:rsidRPr="00592E0C">
        <w:rPr>
          <w:rFonts w:ascii="Century Gothic" w:hAnsi="Century Gothic"/>
        </w:rPr>
        <w:t xml:space="preserve">irrigation) over a </w:t>
      </w:r>
      <w:r w:rsidR="00A844F4" w:rsidRPr="00592E0C">
        <w:rPr>
          <w:rFonts w:ascii="Century Gothic" w:hAnsi="Century Gothic"/>
        </w:rPr>
        <w:t>longer timeframe</w:t>
      </w:r>
      <w:r w:rsidRPr="00592E0C">
        <w:rPr>
          <w:rFonts w:ascii="Century Gothic" w:hAnsi="Century Gothic"/>
        </w:rPr>
        <w:t>. The database used for this study is the Social Accounting Matrix (SAM) which provides a snapshot of the real economy.</w:t>
      </w:r>
    </w:p>
    <w:p w14:paraId="5BDC70D0" w14:textId="77777777" w:rsidR="00411CF7" w:rsidRPr="00737A97" w:rsidRDefault="00411CF7" w:rsidP="00EE3BED"/>
    <w:p w14:paraId="32E0C330" w14:textId="1B9EB7F4" w:rsidR="00411CF7" w:rsidRPr="00EE3BED" w:rsidRDefault="00737A97" w:rsidP="00EE3BED">
      <w:pPr>
        <w:pStyle w:val="Heading2"/>
        <w:spacing w:before="0" w:after="160" w:line="259" w:lineRule="auto"/>
        <w:rPr>
          <w:rFonts w:ascii="Century Gothic" w:hAnsi="Century Gothic"/>
          <w:color w:val="0070C0"/>
          <w:sz w:val="22"/>
          <w:szCs w:val="22"/>
        </w:rPr>
      </w:pPr>
      <w:bookmarkStart w:id="19" w:name="_Toc131079439"/>
      <w:r w:rsidRPr="00EE3BED">
        <w:rPr>
          <w:rFonts w:ascii="Century Gothic" w:hAnsi="Century Gothic"/>
          <w:color w:val="0070C0"/>
          <w:sz w:val="22"/>
          <w:szCs w:val="22"/>
        </w:rPr>
        <w:t>4</w:t>
      </w:r>
      <w:r w:rsidR="00411CF7" w:rsidRPr="00EE3BED">
        <w:rPr>
          <w:rFonts w:ascii="Century Gothic" w:hAnsi="Century Gothic"/>
          <w:color w:val="0070C0"/>
          <w:sz w:val="22"/>
          <w:szCs w:val="22"/>
        </w:rPr>
        <w:t>.1 Data: Social Accounting Matrix</w:t>
      </w:r>
      <w:bookmarkEnd w:id="18"/>
      <w:bookmarkEnd w:id="19"/>
    </w:p>
    <w:p w14:paraId="73ACEA4B" w14:textId="30C3D4B4" w:rsidR="00411CF7" w:rsidRPr="00737A97" w:rsidRDefault="00411CF7" w:rsidP="00EE3BED">
      <w:pPr>
        <w:jc w:val="both"/>
        <w:rPr>
          <w:rFonts w:ascii="Century Gothic" w:hAnsi="Century Gothic" w:cs="Times New Roman"/>
          <w:color w:val="000000" w:themeColor="text1"/>
        </w:rPr>
      </w:pPr>
      <w:r w:rsidRPr="00737A97">
        <w:rPr>
          <w:rFonts w:ascii="Century Gothic" w:hAnsi="Century Gothic"/>
        </w:rPr>
        <w:t xml:space="preserve">This study used Tanzania’s 2015 Social Accounting Matrix (SAM), which was developed by </w:t>
      </w:r>
      <w:r w:rsidR="0006593D" w:rsidRPr="00737A97">
        <w:rPr>
          <w:rFonts w:ascii="Century Gothic" w:hAnsi="Century Gothic"/>
        </w:rPr>
        <w:t xml:space="preserve">the </w:t>
      </w:r>
      <w:r w:rsidRPr="00737A97">
        <w:rPr>
          <w:rFonts w:ascii="Century Gothic" w:hAnsi="Century Gothic"/>
        </w:rPr>
        <w:t>International Food Policy Research Institute (IFPRI)</w:t>
      </w:r>
      <w:r w:rsidRPr="00737A97">
        <w:rPr>
          <w:rStyle w:val="FootnoteReference"/>
          <w:rFonts w:ascii="Century Gothic" w:hAnsi="Century Gothic"/>
          <w:shd w:val="clear" w:color="auto" w:fill="FFFFFF" w:themeFill="background1"/>
        </w:rPr>
        <w:footnoteReference w:id="32"/>
      </w:r>
      <w:r w:rsidRPr="00737A97">
        <w:rPr>
          <w:rFonts w:ascii="Century Gothic" w:hAnsi="Century Gothic"/>
          <w:shd w:val="clear" w:color="auto" w:fill="FFFFFF" w:themeFill="background1"/>
        </w:rPr>
        <w:t>. The 2015 SAM for Tanzania</w:t>
      </w:r>
      <w:r w:rsidR="0006593D" w:rsidRPr="00737A97">
        <w:rPr>
          <w:rFonts w:ascii="Century Gothic" w:hAnsi="Century Gothic"/>
          <w:shd w:val="clear" w:color="auto" w:fill="FFFFFF" w:themeFill="background1"/>
        </w:rPr>
        <w:t>, which originally</w:t>
      </w:r>
      <w:r w:rsidRPr="00737A97">
        <w:rPr>
          <w:rFonts w:ascii="Century Gothic" w:hAnsi="Century Gothic"/>
          <w:shd w:val="clear" w:color="auto" w:fill="FFFFFF" w:themeFill="background1"/>
        </w:rPr>
        <w:t xml:space="preserve"> consists of 70 distinct sectors and 68 commodities</w:t>
      </w:r>
      <w:r w:rsidR="0006593D" w:rsidRPr="00737A97">
        <w:rPr>
          <w:rFonts w:ascii="Century Gothic" w:hAnsi="Century Gothic"/>
          <w:shd w:val="clear" w:color="auto" w:fill="FFFFFF" w:themeFill="background1"/>
        </w:rPr>
        <w:t>,</w:t>
      </w:r>
      <w:r w:rsidRPr="00737A97">
        <w:rPr>
          <w:rFonts w:ascii="Century Gothic" w:hAnsi="Century Gothic"/>
          <w:shd w:val="clear" w:color="auto" w:fill="FFFFFF" w:themeFill="background1"/>
        </w:rPr>
        <w:t xml:space="preserve"> has been </w:t>
      </w:r>
      <w:r w:rsidR="0006593D" w:rsidRPr="00737A97">
        <w:rPr>
          <w:rFonts w:ascii="Century Gothic" w:hAnsi="Century Gothic"/>
          <w:shd w:val="clear" w:color="auto" w:fill="FFFFFF" w:themeFill="background1"/>
        </w:rPr>
        <w:t xml:space="preserve">consolidated </w:t>
      </w:r>
      <w:r w:rsidRPr="00737A97">
        <w:rPr>
          <w:rFonts w:ascii="Century Gothic" w:hAnsi="Century Gothic"/>
          <w:shd w:val="clear" w:color="auto" w:fill="FFFFFF" w:themeFill="background1"/>
        </w:rPr>
        <w:t xml:space="preserve">into 56 sectors and 58 commodities. Out of these, 30 sectors are agricultural, 19 are industrial, and 7 are service sectors. </w:t>
      </w:r>
      <w:r w:rsidR="0006593D" w:rsidRPr="00737A97">
        <w:rPr>
          <w:rFonts w:ascii="Century Gothic" w:hAnsi="Century Gothic"/>
          <w:shd w:val="clear" w:color="auto" w:fill="FFFFFF" w:themeFill="background1"/>
        </w:rPr>
        <w:t>The d</w:t>
      </w:r>
      <w:r w:rsidRPr="00737A97">
        <w:rPr>
          <w:rFonts w:ascii="Century Gothic" w:hAnsi="Century Gothic"/>
          <w:shd w:val="clear" w:color="auto" w:fill="FFFFFF" w:themeFill="background1"/>
        </w:rPr>
        <w:t xml:space="preserve">etailed SAM </w:t>
      </w:r>
      <w:r w:rsidR="0006593D" w:rsidRPr="00737A97">
        <w:rPr>
          <w:rFonts w:ascii="Century Gothic" w:hAnsi="Century Gothic"/>
          <w:shd w:val="clear" w:color="auto" w:fill="FFFFFF" w:themeFill="background1"/>
        </w:rPr>
        <w:t>f</w:t>
      </w:r>
      <w:r w:rsidRPr="00737A97">
        <w:rPr>
          <w:rFonts w:ascii="Century Gothic" w:hAnsi="Century Gothic"/>
          <w:shd w:val="clear" w:color="auto" w:fill="FFFFFF" w:themeFill="background1"/>
        </w:rPr>
        <w:t xml:space="preserve">ramework for </w:t>
      </w:r>
      <w:r w:rsidR="0006593D" w:rsidRPr="00737A97">
        <w:rPr>
          <w:rFonts w:ascii="Century Gothic" w:hAnsi="Century Gothic"/>
          <w:shd w:val="clear" w:color="auto" w:fill="FFFFFF" w:themeFill="background1"/>
        </w:rPr>
        <w:t xml:space="preserve">the </w:t>
      </w:r>
      <w:r w:rsidRPr="00737A97">
        <w:rPr>
          <w:rFonts w:ascii="Century Gothic" w:hAnsi="Century Gothic"/>
          <w:shd w:val="clear" w:color="auto" w:fill="FFFFFF" w:themeFill="background1"/>
        </w:rPr>
        <w:t xml:space="preserve">Tanzanian economy is presented in Appendix 1. </w:t>
      </w:r>
      <w:r w:rsidRPr="00737A97">
        <w:rPr>
          <w:rFonts w:ascii="Century Gothic" w:hAnsi="Century Gothic" w:cs="Times New Roman"/>
          <w:color w:val="000000" w:themeColor="text1"/>
          <w:shd w:val="clear" w:color="auto" w:fill="FFFFFF" w:themeFill="background1"/>
        </w:rPr>
        <w:t xml:space="preserve">Using the </w:t>
      </w:r>
      <w:r w:rsidR="00E353F6" w:rsidRPr="00737A97">
        <w:rPr>
          <w:rFonts w:ascii="Century Gothic" w:hAnsi="Century Gothic" w:cs="Times New Roman"/>
          <w:color w:val="000000" w:themeColor="text1"/>
          <w:shd w:val="clear" w:color="auto" w:fill="FFFFFF" w:themeFill="background1"/>
        </w:rPr>
        <w:t>Social accounting matrix balance (</w:t>
      </w:r>
      <w:r w:rsidRPr="00737A97">
        <w:rPr>
          <w:rFonts w:ascii="Century Gothic" w:hAnsi="Century Gothic" w:cs="Times New Roman"/>
          <w:color w:val="000000" w:themeColor="text1"/>
          <w:shd w:val="clear" w:color="auto" w:fill="FFFFFF" w:themeFill="background1"/>
        </w:rPr>
        <w:t>SAMBAL</w:t>
      </w:r>
      <w:r w:rsidR="00E353F6" w:rsidRPr="00737A97">
        <w:rPr>
          <w:rFonts w:ascii="Century Gothic" w:hAnsi="Century Gothic" w:cs="Times New Roman"/>
          <w:color w:val="000000" w:themeColor="text1"/>
          <w:shd w:val="clear" w:color="auto" w:fill="FFFFFF" w:themeFill="background1"/>
        </w:rPr>
        <w:t>)</w:t>
      </w:r>
      <w:r w:rsidRPr="00737A97">
        <w:rPr>
          <w:rFonts w:ascii="Century Gothic" w:hAnsi="Century Gothic" w:cs="Times New Roman"/>
          <w:color w:val="000000" w:themeColor="text1"/>
          <w:shd w:val="clear" w:color="auto" w:fill="FFFFFF" w:themeFill="background1"/>
        </w:rPr>
        <w:t xml:space="preserve"> method by Lemelin et al (2013)</w:t>
      </w:r>
      <w:r w:rsidRPr="00737A97">
        <w:rPr>
          <w:rStyle w:val="FootnoteReference"/>
          <w:rFonts w:ascii="Century Gothic" w:hAnsi="Century Gothic" w:cs="Times New Roman"/>
          <w:color w:val="000000" w:themeColor="text1"/>
          <w:shd w:val="clear" w:color="auto" w:fill="FFFFFF" w:themeFill="background1"/>
        </w:rPr>
        <w:footnoteReference w:id="33"/>
      </w:r>
      <w:r w:rsidRPr="00737A97">
        <w:rPr>
          <w:rFonts w:ascii="Century Gothic" w:hAnsi="Century Gothic" w:cs="Times New Roman"/>
          <w:color w:val="000000" w:themeColor="text1"/>
          <w:shd w:val="clear" w:color="auto" w:fill="FFFFFF" w:themeFill="background1"/>
        </w:rPr>
        <w:t xml:space="preserve">, the 2015 SAM for Tanzania was updated to 2019. </w:t>
      </w:r>
    </w:p>
    <w:p w14:paraId="4BA521A0" w14:textId="52A7299C" w:rsidR="00411CF7" w:rsidRPr="00737A97" w:rsidRDefault="00E353F6" w:rsidP="00EE3BED">
      <w:pPr>
        <w:jc w:val="both"/>
        <w:rPr>
          <w:rFonts w:ascii="Century Gothic" w:hAnsi="Century Gothic"/>
          <w:color w:val="000000" w:themeColor="text1"/>
        </w:rPr>
      </w:pPr>
      <w:r w:rsidRPr="00D516D0">
        <w:rPr>
          <w:rFonts w:ascii="Century Gothic" w:hAnsi="Century Gothic"/>
          <w:color w:val="000000" w:themeColor="text1"/>
        </w:rPr>
        <w:t>For the purpose of this study, the 2015 SAM integrates gender aspect using data from</w:t>
      </w:r>
      <w:r w:rsidR="00411CF7" w:rsidRPr="00737A97">
        <w:rPr>
          <w:rFonts w:ascii="Century Gothic" w:hAnsi="Century Gothic"/>
          <w:color w:val="000000" w:themeColor="text1"/>
        </w:rPr>
        <w:t>the 2014 Integrated Labour Force Survey</w:t>
      </w:r>
      <w:r w:rsidR="00411CF7" w:rsidRPr="00737A97">
        <w:rPr>
          <w:rStyle w:val="FootnoteReference"/>
          <w:rFonts w:ascii="Century Gothic" w:hAnsi="Century Gothic"/>
          <w:color w:val="000000" w:themeColor="text1"/>
        </w:rPr>
        <w:footnoteReference w:id="34"/>
      </w:r>
      <w:r w:rsidR="00411CF7" w:rsidRPr="00737A97">
        <w:rPr>
          <w:rFonts w:ascii="Century Gothic" w:hAnsi="Century Gothic"/>
          <w:color w:val="000000" w:themeColor="text1"/>
        </w:rPr>
        <w:t xml:space="preserve">. Three types of labour are considered: skilled, semi-skilled and unskilled. Each labour type is disaggregated by gender. Since we are particularly interested in the agricultural sector, it is the agricultural sectors that undergo a detailed disaggregation of production factors. </w:t>
      </w:r>
    </w:p>
    <w:p w14:paraId="1907E400" w14:textId="6B6518F0" w:rsidR="00411CF7" w:rsidRPr="00737A97" w:rsidRDefault="00411CF7" w:rsidP="00EE3BED">
      <w:pPr>
        <w:jc w:val="both"/>
        <w:rPr>
          <w:rFonts w:ascii="Century Gothic" w:hAnsi="Century Gothic"/>
        </w:rPr>
      </w:pPr>
      <w:r w:rsidRPr="00737A97">
        <w:rPr>
          <w:rFonts w:ascii="Century Gothic" w:hAnsi="Century Gothic"/>
          <w:color w:val="000000" w:themeColor="text1"/>
        </w:rPr>
        <w:t xml:space="preserve">The capital factor is disaggregated into the land owned-women and land-owned men, farm and non-farm capital. </w:t>
      </w:r>
      <w:r w:rsidRPr="00737A97">
        <w:rPr>
          <w:rFonts w:ascii="Century Gothic" w:hAnsi="Century Gothic"/>
        </w:rPr>
        <w:t>Land intensity is shown separately from capital intensity to show the dominance o</w:t>
      </w:r>
      <w:r w:rsidR="0006593D" w:rsidRPr="00737A97">
        <w:rPr>
          <w:rFonts w:ascii="Century Gothic" w:hAnsi="Century Gothic"/>
        </w:rPr>
        <w:t>f</w:t>
      </w:r>
      <w:r w:rsidRPr="00737A97">
        <w:rPr>
          <w:rFonts w:ascii="Century Gothic" w:hAnsi="Century Gothic"/>
        </w:rPr>
        <w:t xml:space="preserve"> land </w:t>
      </w:r>
      <w:r w:rsidR="0006593D" w:rsidRPr="00737A97">
        <w:rPr>
          <w:rFonts w:ascii="Century Gothic" w:hAnsi="Century Gothic"/>
        </w:rPr>
        <w:t>in Tanzania’s</w:t>
      </w:r>
      <w:r w:rsidRPr="00737A97">
        <w:rPr>
          <w:rFonts w:ascii="Century Gothic" w:hAnsi="Century Gothic"/>
        </w:rPr>
        <w:t xml:space="preserve"> agriculture sector, which could otherwise not be clear if land was considered as part of capital. The land allocation between women-owned and men-owned is based on the 2019/2020 Household Budget Survey and 2019/2020 </w:t>
      </w:r>
      <w:r w:rsidR="0006593D" w:rsidRPr="00737A97">
        <w:rPr>
          <w:rFonts w:ascii="Century Gothic" w:hAnsi="Century Gothic"/>
        </w:rPr>
        <w:t>n</w:t>
      </w:r>
      <w:r w:rsidRPr="00737A97">
        <w:rPr>
          <w:rFonts w:ascii="Century Gothic" w:hAnsi="Century Gothic"/>
        </w:rPr>
        <w:t>ational data. Mapping and land distribution among women and men are presented in Appendix 2. Labour intensive sectors are health, education, public administration, and business services and capital-intensive sectors are meat process</w:t>
      </w:r>
      <w:r w:rsidR="0006593D" w:rsidRPr="00737A97">
        <w:rPr>
          <w:rFonts w:ascii="Century Gothic" w:hAnsi="Century Gothic"/>
        </w:rPr>
        <w:t>ing</w:t>
      </w:r>
      <w:r w:rsidRPr="00737A97">
        <w:rPr>
          <w:rFonts w:ascii="Century Gothic" w:hAnsi="Century Gothic"/>
        </w:rPr>
        <w:t xml:space="preserve">, fats, oils, and beverages. Among the agricultural sectors, maize, sorghum, and millet are mostly land intensive by both men and women. The economy is relatively capital intensive (Appendix 3). </w:t>
      </w:r>
    </w:p>
    <w:p w14:paraId="5EC2848D" w14:textId="1C628FC4" w:rsidR="00411CF7" w:rsidRPr="00737A97" w:rsidRDefault="00411CF7" w:rsidP="00EE3BED">
      <w:pPr>
        <w:jc w:val="both"/>
        <w:rPr>
          <w:rFonts w:ascii="Century Gothic" w:hAnsi="Century Gothic" w:cs="Times New Roman"/>
          <w:color w:val="000000" w:themeColor="text1"/>
          <w:lang w:val="en-US"/>
        </w:rPr>
      </w:pPr>
      <w:r w:rsidRPr="00737A97">
        <w:rPr>
          <w:rFonts w:ascii="Century Gothic" w:hAnsi="Century Gothic" w:cs="Times New Roman"/>
          <w:color w:val="000000" w:themeColor="text1"/>
          <w:lang w:val="en-US"/>
        </w:rPr>
        <w:t xml:space="preserve">The SAM considers specific accounts for direct taxes, indirect taxes on commodity sales (including value-added taxes), and import taxes to address fiscal policies. </w:t>
      </w:r>
      <w:r w:rsidRPr="00737A97">
        <w:rPr>
          <w:rFonts w:ascii="Century Gothic" w:hAnsi="Century Gothic"/>
          <w:color w:val="000000" w:themeColor="text1"/>
        </w:rPr>
        <w:t xml:space="preserve">It considers four </w:t>
      </w:r>
      <w:r w:rsidRPr="00737A97">
        <w:rPr>
          <w:rFonts w:ascii="Century Gothic" w:hAnsi="Century Gothic"/>
          <w:color w:val="000000" w:themeColor="text1"/>
        </w:rPr>
        <w:lastRenderedPageBreak/>
        <w:t xml:space="preserve">different institutions: households, firms, the government and the rest of the world. </w:t>
      </w:r>
      <w:r w:rsidR="0006593D" w:rsidRPr="00737A97">
        <w:rPr>
          <w:rFonts w:ascii="Century Gothic" w:hAnsi="Century Gothic"/>
        </w:rPr>
        <w:t>The</w:t>
      </w:r>
      <w:r w:rsidRPr="00737A97">
        <w:rPr>
          <w:rFonts w:ascii="Century Gothic" w:hAnsi="Century Gothic"/>
        </w:rPr>
        <w:t xml:space="preserve"> </w:t>
      </w:r>
      <w:r w:rsidR="0006593D" w:rsidRPr="00737A97">
        <w:rPr>
          <w:rFonts w:ascii="Century Gothic" w:hAnsi="Century Gothic"/>
        </w:rPr>
        <w:t>s</w:t>
      </w:r>
      <w:r w:rsidRPr="00737A97">
        <w:rPr>
          <w:rFonts w:ascii="Century Gothic" w:hAnsi="Century Gothic"/>
        </w:rPr>
        <w:t>avings (investment) account is divided into public investment, private investment, and changes in inventories.</w:t>
      </w:r>
    </w:p>
    <w:p w14:paraId="67640A09" w14:textId="3F2C2C8A"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Regarding the disaggregation of household income derived from production factors, the income share of each factor type per household category were calculated (</w:t>
      </w:r>
      <w:r w:rsidR="00574526" w:rsidRPr="00737A97">
        <w:rPr>
          <w:rFonts w:ascii="Century Gothic" w:hAnsi="Century Gothic"/>
          <w:color w:val="000000" w:themeColor="text1"/>
        </w:rPr>
        <w:t>t</w:t>
      </w:r>
      <w:r w:rsidR="00370E0B">
        <w:rPr>
          <w:rFonts w:ascii="Century Gothic" w:hAnsi="Century Gothic"/>
          <w:color w:val="000000" w:themeColor="text1"/>
        </w:rPr>
        <w:t>able 2</w:t>
      </w:r>
      <w:r w:rsidRPr="00737A97">
        <w:rPr>
          <w:rFonts w:ascii="Century Gothic" w:hAnsi="Century Gothic"/>
          <w:color w:val="000000" w:themeColor="text1"/>
        </w:rPr>
        <w:t>).</w:t>
      </w:r>
    </w:p>
    <w:p w14:paraId="03E1DBEE" w14:textId="4B896367" w:rsidR="00411CF7" w:rsidRPr="00737A97" w:rsidRDefault="00370E0B" w:rsidP="00EE3BED">
      <w:pPr>
        <w:jc w:val="both"/>
        <w:rPr>
          <w:rFonts w:ascii="Century Gothic" w:hAnsi="Century Gothic"/>
          <w:color w:val="000000" w:themeColor="text1"/>
        </w:rPr>
      </w:pPr>
      <w:r>
        <w:rPr>
          <w:rFonts w:ascii="Century Gothic" w:hAnsi="Century Gothic"/>
          <w:color w:val="000000" w:themeColor="text1"/>
        </w:rPr>
        <w:t>Table 2</w:t>
      </w:r>
      <w:r w:rsidR="00411CF7" w:rsidRPr="00737A97">
        <w:rPr>
          <w:rFonts w:ascii="Century Gothic" w:hAnsi="Century Gothic"/>
          <w:color w:val="000000" w:themeColor="text1"/>
        </w:rPr>
        <w:t>. Distribution of income for production factors (in %)</w:t>
      </w:r>
    </w:p>
    <w:tbl>
      <w:tblPr>
        <w:tblStyle w:val="TableGrid"/>
        <w:tblW w:w="0" w:type="auto"/>
        <w:tblLook w:val="04A0" w:firstRow="1" w:lastRow="0" w:firstColumn="1" w:lastColumn="0" w:noHBand="0" w:noVBand="1"/>
      </w:tblPr>
      <w:tblGrid>
        <w:gridCol w:w="1435"/>
        <w:gridCol w:w="1335"/>
        <w:gridCol w:w="1339"/>
        <w:gridCol w:w="1326"/>
        <w:gridCol w:w="1326"/>
        <w:gridCol w:w="1345"/>
        <w:gridCol w:w="1336"/>
      </w:tblGrid>
      <w:tr w:rsidR="00411CF7" w:rsidRPr="00737A97" w14:paraId="15417AC9" w14:textId="77777777" w:rsidTr="000442BC">
        <w:tc>
          <w:tcPr>
            <w:tcW w:w="1449" w:type="dxa"/>
          </w:tcPr>
          <w:p w14:paraId="0ABEF914" w14:textId="77777777" w:rsidR="00411CF7" w:rsidRPr="00737A97" w:rsidRDefault="00411CF7" w:rsidP="00EE3BED">
            <w:pPr>
              <w:jc w:val="both"/>
              <w:rPr>
                <w:rFonts w:ascii="Century Gothic" w:hAnsi="Century Gothic"/>
                <w:color w:val="000000" w:themeColor="text1"/>
              </w:rPr>
            </w:pPr>
          </w:p>
        </w:tc>
        <w:tc>
          <w:tcPr>
            <w:tcW w:w="1381" w:type="dxa"/>
          </w:tcPr>
          <w:p w14:paraId="5B662FE8"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Men labour income</w:t>
            </w:r>
          </w:p>
        </w:tc>
        <w:tc>
          <w:tcPr>
            <w:tcW w:w="1382" w:type="dxa"/>
          </w:tcPr>
          <w:p w14:paraId="7A48C798"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Women labour income</w:t>
            </w:r>
          </w:p>
        </w:tc>
        <w:tc>
          <w:tcPr>
            <w:tcW w:w="1380" w:type="dxa"/>
          </w:tcPr>
          <w:p w14:paraId="551E1D23"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Farm capital</w:t>
            </w:r>
          </w:p>
        </w:tc>
        <w:tc>
          <w:tcPr>
            <w:tcW w:w="1380" w:type="dxa"/>
          </w:tcPr>
          <w:p w14:paraId="7F50988F"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Non-farm capital</w:t>
            </w:r>
          </w:p>
        </w:tc>
        <w:tc>
          <w:tcPr>
            <w:tcW w:w="1382" w:type="dxa"/>
          </w:tcPr>
          <w:p w14:paraId="51F9A5C7" w14:textId="78E2356B"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 xml:space="preserve">Income from </w:t>
            </w:r>
            <w:r w:rsidR="00574526" w:rsidRPr="00737A97">
              <w:rPr>
                <w:rFonts w:ascii="Century Gothic" w:hAnsi="Century Gothic"/>
                <w:color w:val="000000" w:themeColor="text1"/>
              </w:rPr>
              <w:t>women-owned</w:t>
            </w:r>
          </w:p>
        </w:tc>
        <w:tc>
          <w:tcPr>
            <w:tcW w:w="1382" w:type="dxa"/>
          </w:tcPr>
          <w:p w14:paraId="715998A2" w14:textId="19284B0D"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 xml:space="preserve">Income </w:t>
            </w:r>
            <w:r w:rsidR="00574526" w:rsidRPr="00737A97">
              <w:rPr>
                <w:rFonts w:ascii="Century Gothic" w:hAnsi="Century Gothic"/>
                <w:color w:val="000000" w:themeColor="text1"/>
              </w:rPr>
              <w:t>men-owned land</w:t>
            </w:r>
          </w:p>
        </w:tc>
      </w:tr>
      <w:tr w:rsidR="00411CF7" w:rsidRPr="00737A97" w14:paraId="16C36B58" w14:textId="77777777" w:rsidTr="000442BC">
        <w:tc>
          <w:tcPr>
            <w:tcW w:w="1449" w:type="dxa"/>
          </w:tcPr>
          <w:p w14:paraId="0C103548"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Household</w:t>
            </w:r>
          </w:p>
        </w:tc>
        <w:tc>
          <w:tcPr>
            <w:tcW w:w="1381" w:type="dxa"/>
          </w:tcPr>
          <w:p w14:paraId="64D8D0D6"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55.4</w:t>
            </w:r>
          </w:p>
        </w:tc>
        <w:tc>
          <w:tcPr>
            <w:tcW w:w="1382" w:type="dxa"/>
          </w:tcPr>
          <w:p w14:paraId="6CD09F18"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21.9</w:t>
            </w:r>
          </w:p>
        </w:tc>
        <w:tc>
          <w:tcPr>
            <w:tcW w:w="1380" w:type="dxa"/>
          </w:tcPr>
          <w:p w14:paraId="1A745781"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10.8</w:t>
            </w:r>
          </w:p>
        </w:tc>
        <w:tc>
          <w:tcPr>
            <w:tcW w:w="1380" w:type="dxa"/>
          </w:tcPr>
          <w:p w14:paraId="7C4DA608"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0</w:t>
            </w:r>
          </w:p>
        </w:tc>
        <w:tc>
          <w:tcPr>
            <w:tcW w:w="1382" w:type="dxa"/>
          </w:tcPr>
          <w:p w14:paraId="49E78D9F"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7.3</w:t>
            </w:r>
          </w:p>
        </w:tc>
        <w:tc>
          <w:tcPr>
            <w:tcW w:w="1382" w:type="dxa"/>
          </w:tcPr>
          <w:p w14:paraId="5330EB65" w14:textId="77777777" w:rsidR="00411CF7" w:rsidRPr="00737A97" w:rsidRDefault="00411CF7" w:rsidP="00EE3BED">
            <w:pPr>
              <w:jc w:val="center"/>
              <w:rPr>
                <w:rFonts w:ascii="Century Gothic" w:hAnsi="Century Gothic"/>
                <w:color w:val="000000" w:themeColor="text1"/>
              </w:rPr>
            </w:pPr>
            <w:r w:rsidRPr="00737A97">
              <w:rPr>
                <w:rFonts w:ascii="Century Gothic" w:hAnsi="Century Gothic"/>
                <w:color w:val="000000" w:themeColor="text1"/>
              </w:rPr>
              <w:t>4.5</w:t>
            </w:r>
          </w:p>
        </w:tc>
      </w:tr>
    </w:tbl>
    <w:p w14:paraId="61F9C6CA" w14:textId="77777777"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Source: Author’s estimation based on disaggregated by gender 2019 SAM</w:t>
      </w:r>
    </w:p>
    <w:p w14:paraId="464C1996" w14:textId="77777777" w:rsidR="00411CF7" w:rsidRPr="00737A97" w:rsidRDefault="00411CF7" w:rsidP="00EE3BED">
      <w:pPr>
        <w:jc w:val="both"/>
        <w:rPr>
          <w:rFonts w:ascii="Century Gothic" w:hAnsi="Century Gothic"/>
          <w:color w:val="000000" w:themeColor="text1"/>
        </w:rPr>
      </w:pPr>
    </w:p>
    <w:p w14:paraId="47AE021E" w14:textId="7FD6BD70" w:rsidR="00411CF7" w:rsidRPr="00EE3BED" w:rsidRDefault="00737A97" w:rsidP="00EE3BED">
      <w:pPr>
        <w:pStyle w:val="Heading2"/>
        <w:spacing w:before="0" w:after="160" w:line="259" w:lineRule="auto"/>
        <w:ind w:left="0" w:firstLine="0"/>
        <w:rPr>
          <w:rFonts w:ascii="Century Gothic" w:hAnsi="Century Gothic"/>
          <w:color w:val="0070C0"/>
          <w:sz w:val="22"/>
          <w:szCs w:val="22"/>
        </w:rPr>
      </w:pPr>
      <w:bookmarkStart w:id="20" w:name="_Toc129400808"/>
      <w:bookmarkStart w:id="21" w:name="_Toc131079440"/>
      <w:r w:rsidRPr="00EE3BED">
        <w:rPr>
          <w:rFonts w:ascii="Century Gothic" w:hAnsi="Century Gothic"/>
          <w:color w:val="0070C0"/>
          <w:sz w:val="22"/>
          <w:szCs w:val="22"/>
        </w:rPr>
        <w:t>4</w:t>
      </w:r>
      <w:r w:rsidR="00411CF7" w:rsidRPr="00EE3BED">
        <w:rPr>
          <w:rFonts w:ascii="Century Gothic" w:hAnsi="Century Gothic"/>
          <w:color w:val="0070C0"/>
          <w:sz w:val="22"/>
          <w:szCs w:val="22"/>
        </w:rPr>
        <w:t>.2 Model specification</w:t>
      </w:r>
      <w:bookmarkEnd w:id="20"/>
      <w:bookmarkEnd w:id="21"/>
    </w:p>
    <w:p w14:paraId="79941CC6" w14:textId="10E8E750"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 xml:space="preserve">This study uses both </w:t>
      </w:r>
      <w:r w:rsidR="00E2085B" w:rsidRPr="00737A97">
        <w:rPr>
          <w:rFonts w:ascii="Century Gothic" w:hAnsi="Century Gothic"/>
          <w:color w:val="000000" w:themeColor="text1"/>
        </w:rPr>
        <w:t xml:space="preserve">the </w:t>
      </w:r>
      <w:r w:rsidRPr="00737A97">
        <w:rPr>
          <w:rFonts w:ascii="Century Gothic" w:hAnsi="Century Gothic"/>
          <w:color w:val="000000" w:themeColor="text1"/>
        </w:rPr>
        <w:t>static and recursive dynamic CGE models of the Partnership for Economic Policy (PEP 1-1 and PEP 1-t, 2.1 version) developed by Decaluwé et al. (2013)</w:t>
      </w:r>
      <w:r w:rsidRPr="00737A97">
        <w:rPr>
          <w:rStyle w:val="FootnoteReference"/>
          <w:rFonts w:ascii="Century Gothic" w:hAnsi="Century Gothic"/>
          <w:color w:val="000000" w:themeColor="text1"/>
        </w:rPr>
        <w:footnoteReference w:id="35"/>
      </w:r>
      <w:r w:rsidRPr="00737A97">
        <w:rPr>
          <w:rFonts w:ascii="Century Gothic" w:hAnsi="Century Gothic"/>
          <w:color w:val="000000" w:themeColor="text1"/>
        </w:rPr>
        <w:t xml:space="preserve">. </w:t>
      </w:r>
    </w:p>
    <w:p w14:paraId="5E80492E" w14:textId="178537C8" w:rsidR="00DA33FD"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 xml:space="preserve">In the model, there are two factors of production, capital and labour. </w:t>
      </w:r>
      <w:r w:rsidR="00E2085B" w:rsidRPr="00737A97">
        <w:rPr>
          <w:rFonts w:ascii="Century Gothic" w:hAnsi="Century Gothic"/>
          <w:color w:val="000000" w:themeColor="text1"/>
        </w:rPr>
        <w:t>C</w:t>
      </w:r>
      <w:r w:rsidRPr="00737A97">
        <w:rPr>
          <w:rFonts w:ascii="Century Gothic" w:hAnsi="Century Gothic"/>
          <w:color w:val="000000" w:themeColor="text1"/>
        </w:rPr>
        <w:t xml:space="preserve">apital is </w:t>
      </w:r>
      <w:r w:rsidR="00E2085B" w:rsidRPr="00737A97">
        <w:rPr>
          <w:rFonts w:ascii="Century Gothic" w:hAnsi="Century Gothic"/>
          <w:color w:val="000000" w:themeColor="text1"/>
        </w:rPr>
        <w:t xml:space="preserve">further </w:t>
      </w:r>
      <w:r w:rsidRPr="00737A97">
        <w:rPr>
          <w:rFonts w:ascii="Century Gothic" w:hAnsi="Century Gothic"/>
          <w:color w:val="000000" w:themeColor="text1"/>
        </w:rPr>
        <w:t>divided</w:t>
      </w:r>
      <w:r w:rsidR="00E2085B" w:rsidRPr="00737A97">
        <w:rPr>
          <w:rFonts w:ascii="Century Gothic" w:hAnsi="Century Gothic"/>
          <w:color w:val="000000" w:themeColor="text1"/>
        </w:rPr>
        <w:t xml:space="preserve"> into</w:t>
      </w:r>
      <w:r w:rsidRPr="00737A97">
        <w:rPr>
          <w:rFonts w:ascii="Century Gothic" w:hAnsi="Century Gothic"/>
          <w:color w:val="000000" w:themeColor="text1"/>
        </w:rPr>
        <w:t xml:space="preserve"> land, physical </w:t>
      </w:r>
      <w:r w:rsidR="00E2085B" w:rsidRPr="00737A97">
        <w:rPr>
          <w:rFonts w:ascii="Century Gothic" w:hAnsi="Century Gothic"/>
          <w:color w:val="000000" w:themeColor="text1"/>
        </w:rPr>
        <w:t xml:space="preserve">capital </w:t>
      </w:r>
      <w:r w:rsidRPr="00737A97">
        <w:rPr>
          <w:rFonts w:ascii="Century Gothic" w:hAnsi="Century Gothic"/>
          <w:color w:val="000000" w:themeColor="text1"/>
        </w:rPr>
        <w:t xml:space="preserve">and non-physical capital. According to our SAM, labour is </w:t>
      </w:r>
      <w:r w:rsidR="00A83C37" w:rsidRPr="00737A97">
        <w:rPr>
          <w:rFonts w:ascii="Century Gothic" w:hAnsi="Century Gothic"/>
          <w:color w:val="000000" w:themeColor="text1"/>
        </w:rPr>
        <w:t xml:space="preserve">also further </w:t>
      </w:r>
      <w:r w:rsidRPr="00737A97">
        <w:rPr>
          <w:rFonts w:ascii="Century Gothic" w:hAnsi="Century Gothic"/>
          <w:color w:val="000000" w:themeColor="text1"/>
        </w:rPr>
        <w:t>disaggregated by gender and skills. Therefore, a total of six categories of lab</w:t>
      </w:r>
      <w:r w:rsidR="00F4635D">
        <w:rPr>
          <w:rFonts w:ascii="Century Gothic" w:hAnsi="Century Gothic"/>
          <w:color w:val="000000" w:themeColor="text1"/>
        </w:rPr>
        <w:t xml:space="preserve">our are included in the model. </w:t>
      </w:r>
    </w:p>
    <w:p w14:paraId="2E1A6D90" w14:textId="32D0E8EB" w:rsidR="00DA33FD"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The domestic production function is assumed to be of constant returns to scale and presented in a four-level production process. At the first level, output is a Leontief function of value added and intermediate consumption. At the second level, it is assumed that composite labour and composite capital are substitutes following a constant elasticity of substitution (CES) function. At the third level, a CES function is used to represent the substitution between composite men and composite women labour. At the fourth level, the composite men labour demand is an aggregate function of men of different skills represented by a CES function having low elasticity. Similarly, the composite women labour is a CES function</w:t>
      </w:r>
      <w:r w:rsidR="00370E0B">
        <w:rPr>
          <w:rFonts w:ascii="Century Gothic" w:hAnsi="Century Gothic"/>
          <w:color w:val="000000" w:themeColor="text1"/>
        </w:rPr>
        <w:t xml:space="preserve"> of women of different skills. </w:t>
      </w:r>
    </w:p>
    <w:p w14:paraId="5C126172" w14:textId="56A74691"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Agents in the model include one household, firms, government, and the rest of the world (ROW). The household receives capital, labour income, and transfers from institutions. Firms’ income is derived from capital owned and transfers from other institutions, while they spend on dividends and direct taxes and make savings. The government collects taxes (direct, indirect taxes, and import duties). The ROW obtains its income from capital, labour, imports, and transfers from firms and government. ROW spending consists of commodities purchases (from exports) and transfers to the households (remittance</w:t>
      </w:r>
      <w:r w:rsidR="00DA33FD" w:rsidRPr="00737A97">
        <w:rPr>
          <w:rFonts w:ascii="Century Gothic" w:hAnsi="Century Gothic"/>
          <w:color w:val="000000" w:themeColor="text1"/>
        </w:rPr>
        <w:t>s</w:t>
      </w:r>
      <w:r w:rsidRPr="00737A97">
        <w:rPr>
          <w:rFonts w:ascii="Century Gothic" w:hAnsi="Century Gothic"/>
          <w:color w:val="000000" w:themeColor="text1"/>
        </w:rPr>
        <w:t>). Current account balance represents the difference be</w:t>
      </w:r>
      <w:r w:rsidR="00370E0B">
        <w:rPr>
          <w:rFonts w:ascii="Century Gothic" w:hAnsi="Century Gothic"/>
          <w:color w:val="000000" w:themeColor="text1"/>
        </w:rPr>
        <w:t xml:space="preserve">tween ROW spending and income. </w:t>
      </w:r>
    </w:p>
    <w:p w14:paraId="172CD7C7" w14:textId="59E31CAD" w:rsidR="00DA33FD"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lastRenderedPageBreak/>
        <w:t xml:space="preserve">Static PEP-1-1 CGE model was used for the simulation scenarios (i.e., effects of land reforms aimed at increasing land ownership among women farmers and </w:t>
      </w:r>
      <w:r w:rsidRPr="00737A97">
        <w:rPr>
          <w:rStyle w:val="fontstyle21"/>
          <w:rFonts w:ascii="Century Gothic" w:hAnsi="Century Gothic"/>
          <w:color w:val="auto"/>
          <w:lang w:val="en-US"/>
        </w:rPr>
        <w:t xml:space="preserve">the productivity and welfare impacts of ensuring equal access to productive inputs (i.e. fertilizers) for all farmers </w:t>
      </w:r>
      <w:r w:rsidR="00DA33FD" w:rsidRPr="00737A97">
        <w:rPr>
          <w:rStyle w:val="fontstyle21"/>
          <w:rFonts w:ascii="Century Gothic" w:hAnsi="Century Gothic"/>
          <w:color w:val="auto"/>
          <w:lang w:val="en-US"/>
        </w:rPr>
        <w:t xml:space="preserve">–  </w:t>
      </w:r>
      <w:r w:rsidRPr="00737A97">
        <w:rPr>
          <w:rStyle w:val="fontstyle21"/>
          <w:rFonts w:ascii="Century Gothic" w:hAnsi="Century Gothic"/>
          <w:color w:val="auto"/>
          <w:lang w:val="en-US"/>
        </w:rPr>
        <w:t>especially for women</w:t>
      </w:r>
      <w:r w:rsidRPr="00737A97">
        <w:rPr>
          <w:rFonts w:ascii="Century Gothic" w:hAnsi="Century Gothic"/>
          <w:color w:val="000000" w:themeColor="text1"/>
        </w:rPr>
        <w:t>. The other two scenarios were run by the recursive dynamic PEP 1-t CGE model. The CGE model is recursive dynamic, which means that key parameters in the model are updated each period based on previous period results. The model is run over 11 years (2019–2030) with each equilibrium period representing a single year. During this time the model captures exogenous demographic and technological change. Changes in the population, labour supply, and total factor productivity (TFP) are based on observed trends and</w:t>
      </w:r>
      <w:r w:rsidR="00370E0B">
        <w:rPr>
          <w:rFonts w:ascii="Century Gothic" w:hAnsi="Century Gothic"/>
          <w:color w:val="000000" w:themeColor="text1"/>
        </w:rPr>
        <w:t xml:space="preserve"> available literature. </w:t>
      </w:r>
    </w:p>
    <w:p w14:paraId="230279B3" w14:textId="3B3D41A7" w:rsidR="00411CF7" w:rsidRPr="00737A97" w:rsidRDefault="00411CF7" w:rsidP="00EE3BED">
      <w:pPr>
        <w:jc w:val="both"/>
        <w:rPr>
          <w:rFonts w:ascii="Century Gothic" w:hAnsi="Century Gothic"/>
        </w:rPr>
      </w:pPr>
      <w:r w:rsidRPr="00737A97">
        <w:rPr>
          <w:rFonts w:ascii="Century Gothic" w:hAnsi="Century Gothic"/>
        </w:rPr>
        <w:t>We modified</w:t>
      </w:r>
      <w:r w:rsidR="00187410" w:rsidRPr="00737A97">
        <w:rPr>
          <w:rFonts w:ascii="Century Gothic" w:hAnsi="Century Gothic"/>
        </w:rPr>
        <w:t xml:space="preserve"> the</w:t>
      </w:r>
      <w:r w:rsidRPr="00737A97">
        <w:rPr>
          <w:rFonts w:ascii="Century Gothic" w:hAnsi="Century Gothic"/>
        </w:rPr>
        <w:t xml:space="preserve"> labour market equations following the methodology of Kinyondo and Mabugu (2009)</w:t>
      </w:r>
      <w:r w:rsidRPr="00737A97">
        <w:rPr>
          <w:rStyle w:val="FootnoteReference"/>
          <w:rFonts w:ascii="Century Gothic" w:hAnsi="Century Gothic"/>
        </w:rPr>
        <w:footnoteReference w:id="36"/>
      </w:r>
      <w:r w:rsidR="00187410" w:rsidRPr="00737A97">
        <w:rPr>
          <w:rFonts w:ascii="Century Gothic" w:hAnsi="Century Gothic"/>
        </w:rPr>
        <w:t xml:space="preserve"> and</w:t>
      </w:r>
      <w:r w:rsidRPr="00737A97">
        <w:rPr>
          <w:rFonts w:ascii="Century Gothic" w:hAnsi="Century Gothic"/>
        </w:rPr>
        <w:t xml:space="preserve"> Maisonnave and Decaluwe (2010)</w:t>
      </w:r>
      <w:r w:rsidRPr="00737A97">
        <w:rPr>
          <w:rStyle w:val="FootnoteReference"/>
          <w:rFonts w:ascii="Century Gothic" w:hAnsi="Century Gothic"/>
        </w:rPr>
        <w:footnoteReference w:id="37"/>
      </w:r>
      <w:r w:rsidRPr="00737A97">
        <w:rPr>
          <w:rFonts w:ascii="Century Gothic" w:hAnsi="Century Gothic"/>
        </w:rPr>
        <w:t>.</w:t>
      </w:r>
    </w:p>
    <w:p w14:paraId="31038A0A" w14:textId="51384FF8" w:rsidR="00411CF7" w:rsidRPr="00737A97" w:rsidRDefault="00411CF7" w:rsidP="00EE3BED">
      <w:pPr>
        <w:jc w:val="both"/>
        <w:rPr>
          <w:rFonts w:ascii="Century Gothic" w:hAnsi="Century Gothic"/>
        </w:rPr>
      </w:pPr>
      <w:r w:rsidRPr="00737A97">
        <w:rPr>
          <w:rFonts w:ascii="Century Gothic" w:hAnsi="Century Gothic"/>
        </w:rPr>
        <w:t>Labour was broken down into subsets that captured skills and gender groups. To do so, the two broad categories of labour were considered as follows (equation 1):</w:t>
      </w:r>
    </w:p>
    <w:p w14:paraId="7860C1B8" w14:textId="77777777" w:rsidR="00187410" w:rsidRPr="00737A97" w:rsidRDefault="00187410" w:rsidP="00EE3BED">
      <w:pPr>
        <w:jc w:val="both"/>
        <w:rPr>
          <w:rFonts w:ascii="Century Gothic" w:hAnsi="Century Gothic"/>
        </w:rPr>
      </w:pPr>
    </w:p>
    <w:p w14:paraId="6FD37C71" w14:textId="3C436E9B" w:rsidR="00411CF7" w:rsidRPr="00737A97" w:rsidRDefault="00411CF7" w:rsidP="00EE3BED">
      <w:pPr>
        <w:jc w:val="both"/>
        <w:rPr>
          <w:rFonts w:ascii="Century Gothic" w:hAnsi="Century Gothic"/>
        </w:rPr>
      </w:pPr>
      <m:oMath>
        <m:r>
          <w:rPr>
            <w:rFonts w:ascii="Cambria Math" w:hAnsi="Cambria Math"/>
          </w:rPr>
          <m:t>L</m:t>
        </m:r>
        <m:r>
          <m:rPr>
            <m:sty m:val="p"/>
          </m:rPr>
          <w:rPr>
            <w:rFonts w:ascii="Cambria Math" w:hAnsi="Cambria Math"/>
          </w:rPr>
          <m:t>=</m:t>
        </m:r>
        <m:d>
          <m:dPr>
            <m:begChr m:val="{"/>
            <m:endChr m:val="}"/>
            <m:ctrlPr>
              <w:rPr>
                <w:rFonts w:ascii="Cambria Math" w:hAnsi="Cambria Math"/>
              </w:rPr>
            </m:ctrlPr>
          </m:dPr>
          <m:e>
            <m:r>
              <w:rPr>
                <w:rFonts w:ascii="Cambria Math" w:hAnsi="Cambria Math"/>
              </w:rPr>
              <m:t>LM</m:t>
            </m:r>
            <m:r>
              <m:rPr>
                <m:sty m:val="p"/>
              </m:rPr>
              <w:rPr>
                <w:rFonts w:ascii="Cambria Math" w:hAnsi="Cambria Math"/>
              </w:rPr>
              <m:t>,</m:t>
            </m:r>
            <m:r>
              <w:rPr>
                <w:rFonts w:ascii="Cambria Math" w:hAnsi="Cambria Math"/>
              </w:rPr>
              <m:t>LF</m:t>
            </m:r>
          </m:e>
        </m:d>
      </m:oMath>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00187410" w:rsidRPr="00737A97">
        <w:rPr>
          <w:rFonts w:ascii="Century Gothic" w:hAnsi="Century Gothic"/>
        </w:rPr>
        <w:t xml:space="preserve">                                               </w:t>
      </w:r>
      <w:r w:rsidRPr="00737A97">
        <w:rPr>
          <w:rFonts w:ascii="Century Gothic" w:hAnsi="Century Gothic"/>
        </w:rPr>
        <w:tab/>
        <w:t>(1)</w:t>
      </w:r>
    </w:p>
    <w:p w14:paraId="1F5A00F3" w14:textId="7EFAEAAA" w:rsidR="00411CF7" w:rsidRPr="00737A97" w:rsidRDefault="00411CF7" w:rsidP="00EE3BED">
      <w:pPr>
        <w:jc w:val="both"/>
        <w:rPr>
          <w:rFonts w:ascii="Century Gothic" w:hAnsi="Century Gothic"/>
        </w:rPr>
      </w:pPr>
      <w:r w:rsidRPr="00737A97">
        <w:rPr>
          <w:rFonts w:ascii="Century Gothic" w:hAnsi="Century Gothic"/>
        </w:rPr>
        <w:t xml:space="preserve">where </w:t>
      </w:r>
      <m:oMath>
        <m:r>
          <w:rPr>
            <w:rFonts w:ascii="Cambria Math" w:hAnsi="Cambria Math"/>
          </w:rPr>
          <m:t>LM</m:t>
        </m:r>
      </m:oMath>
      <w:r w:rsidRPr="00737A97">
        <w:rPr>
          <w:rFonts w:ascii="Century Gothic" w:hAnsi="Century Gothic"/>
        </w:rPr>
        <w:t xml:space="preserve"> = male labour and </w:t>
      </w:r>
      <m:oMath>
        <m:r>
          <w:rPr>
            <w:rFonts w:ascii="Cambria Math" w:hAnsi="Cambria Math"/>
          </w:rPr>
          <m:t>LF</m:t>
        </m:r>
      </m:oMath>
      <w:r w:rsidRPr="00737A97">
        <w:rPr>
          <w:rFonts w:ascii="Century Gothic" w:hAnsi="Century Gothic"/>
        </w:rPr>
        <w:t>=female labour.</w:t>
      </w:r>
    </w:p>
    <w:p w14:paraId="7B09737D" w14:textId="77777777" w:rsidR="00187410" w:rsidRPr="00737A97" w:rsidRDefault="00187410" w:rsidP="00EE3BED">
      <w:pPr>
        <w:jc w:val="both"/>
        <w:rPr>
          <w:rFonts w:ascii="Century Gothic" w:hAnsi="Century Gothic"/>
        </w:rPr>
      </w:pPr>
    </w:p>
    <w:p w14:paraId="5AE33488" w14:textId="0251F4FC" w:rsidR="00411CF7" w:rsidRPr="00737A97" w:rsidRDefault="00411CF7" w:rsidP="00EE3BED">
      <w:pPr>
        <w:jc w:val="both"/>
        <w:rPr>
          <w:rFonts w:ascii="Century Gothic" w:hAnsi="Century Gothic"/>
        </w:rPr>
      </w:pPr>
      <w:r w:rsidRPr="00737A97">
        <w:rPr>
          <w:rFonts w:ascii="Century Gothic" w:hAnsi="Century Gothic"/>
        </w:rPr>
        <w:t xml:space="preserve">The composite male and female labour was further disaggregated according to skills (see equations 2 and 3). </w:t>
      </w:r>
    </w:p>
    <w:p w14:paraId="1D302298" w14:textId="77777777" w:rsidR="00187410" w:rsidRPr="00737A97" w:rsidRDefault="00187410" w:rsidP="00EE3BED">
      <w:pPr>
        <w:jc w:val="both"/>
        <w:rPr>
          <w:rFonts w:ascii="Century Gothic" w:hAnsi="Century Gothic"/>
        </w:rPr>
      </w:pPr>
    </w:p>
    <w:p w14:paraId="59631F78" w14:textId="77777777" w:rsidR="00411CF7" w:rsidRPr="00737A97" w:rsidRDefault="00411CF7" w:rsidP="00EE3BED">
      <w:pPr>
        <w:jc w:val="both"/>
        <w:rPr>
          <w:rFonts w:ascii="Century Gothic" w:hAnsi="Century Gothic"/>
        </w:rPr>
      </w:pPr>
      <m:oMath>
        <m:r>
          <w:rPr>
            <w:rFonts w:ascii="Cambria Math" w:hAnsi="Cambria Math"/>
          </w:rPr>
          <m:t>LM</m:t>
        </m:r>
        <m:r>
          <m:rPr>
            <m:sty m:val="p"/>
          </m:rPr>
          <w:rPr>
            <w:rFonts w:ascii="Cambria Math" w:hAnsi="Cambria Math"/>
          </w:rPr>
          <m:t>∈</m:t>
        </m:r>
        <m:r>
          <w:rPr>
            <w:rFonts w:ascii="Cambria Math" w:hAnsi="Cambria Math"/>
          </w:rPr>
          <m:t>L</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m:t>
                </m:r>
              </m:e>
              <m:sub>
                <m:r>
                  <w:rPr>
                    <w:rFonts w:ascii="Cambria Math" w:hAnsi="Cambria Math"/>
                  </w:rPr>
                  <m:t>usk</m:t>
                </m:r>
              </m:sub>
            </m:sSub>
            <m:r>
              <m:rPr>
                <m:sty m:val="p"/>
              </m:rPr>
              <w:rPr>
                <w:rFonts w:ascii="Cambria Math" w:hAnsi="Cambria Math"/>
              </w:rPr>
              <m:t>,</m:t>
            </m:r>
            <m:sSub>
              <m:sSubPr>
                <m:ctrlPr>
                  <w:rPr>
                    <w:rFonts w:ascii="Cambria Math" w:hAnsi="Cambria Math"/>
                  </w:rPr>
                </m:ctrlPr>
              </m:sSubPr>
              <m:e>
                <m:r>
                  <w:rPr>
                    <w:rFonts w:ascii="Cambria Math" w:hAnsi="Cambria Math"/>
                  </w:rPr>
                  <m:t>LM</m:t>
                </m:r>
              </m:e>
              <m:sub>
                <m:r>
                  <w:rPr>
                    <w:rFonts w:ascii="Cambria Math" w:hAnsi="Cambria Math"/>
                  </w:rPr>
                  <m:t>ssk</m:t>
                </m:r>
              </m:sub>
            </m:sSub>
            <m:r>
              <m:rPr>
                <m:sty m:val="p"/>
              </m:rPr>
              <w:rPr>
                <w:rFonts w:ascii="Cambria Math" w:hAnsi="Cambria Math"/>
              </w:rPr>
              <m:t>,</m:t>
            </m:r>
            <m:sSub>
              <m:sSubPr>
                <m:ctrlPr>
                  <w:rPr>
                    <w:rFonts w:ascii="Cambria Math" w:hAnsi="Cambria Math"/>
                  </w:rPr>
                </m:ctrlPr>
              </m:sSubPr>
              <m:e>
                <m:r>
                  <w:rPr>
                    <w:rFonts w:ascii="Cambria Math" w:hAnsi="Cambria Math"/>
                  </w:rPr>
                  <m:t>LM</m:t>
                </m:r>
              </m:e>
              <m:sub>
                <m:r>
                  <w:rPr>
                    <w:rFonts w:ascii="Cambria Math" w:hAnsi="Cambria Math"/>
                  </w:rPr>
                  <m:t>sk</m:t>
                </m:r>
              </m:sub>
            </m:sSub>
          </m:e>
        </m:d>
      </m:oMath>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t>(2)</w:t>
      </w:r>
    </w:p>
    <w:p w14:paraId="4ABB252C" w14:textId="35B7EC33" w:rsidR="00411CF7" w:rsidRPr="00737A97" w:rsidRDefault="00411CF7" w:rsidP="00EE3BED">
      <w:pPr>
        <w:jc w:val="both"/>
        <w:rPr>
          <w:rFonts w:ascii="Century Gothic" w:hAnsi="Century Gothic"/>
        </w:rPr>
      </w:pPr>
      <m:oMath>
        <m:r>
          <w:rPr>
            <w:rFonts w:ascii="Cambria Math" w:hAnsi="Cambria Math"/>
          </w:rPr>
          <m:t>LF</m:t>
        </m:r>
        <m:r>
          <m:rPr>
            <m:sty m:val="p"/>
          </m:rPr>
          <w:rPr>
            <w:rFonts w:ascii="Cambria Math" w:hAnsi="Cambria Math"/>
          </w:rPr>
          <m:t>∈</m:t>
        </m:r>
        <m:r>
          <w:rPr>
            <w:rFonts w:ascii="Cambria Math" w:hAnsi="Cambria Math"/>
          </w:rPr>
          <m:t>L</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LF</m:t>
                </m:r>
              </m:e>
              <m:sub>
                <m:r>
                  <w:rPr>
                    <w:rFonts w:ascii="Cambria Math" w:hAnsi="Cambria Math"/>
                  </w:rPr>
                  <m:t>usk</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ssk</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sk</m:t>
                </m:r>
              </m:sub>
            </m:sSub>
          </m:e>
        </m:d>
      </m:oMath>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r>
      <w:r w:rsidRPr="00737A97">
        <w:rPr>
          <w:rFonts w:ascii="Century Gothic" w:hAnsi="Century Gothic"/>
        </w:rPr>
        <w:tab/>
        <w:t>(3)</w:t>
      </w:r>
    </w:p>
    <w:p w14:paraId="6BED2204" w14:textId="77777777" w:rsidR="00187410" w:rsidRPr="00737A97" w:rsidRDefault="00187410" w:rsidP="00EE3BED">
      <w:pPr>
        <w:jc w:val="both"/>
        <w:rPr>
          <w:rFonts w:ascii="Century Gothic" w:hAnsi="Century Gothic"/>
        </w:rPr>
      </w:pPr>
    </w:p>
    <w:p w14:paraId="088DD604" w14:textId="0385509B" w:rsidR="00411CF7" w:rsidRPr="00737A97" w:rsidRDefault="00411CF7" w:rsidP="00EE3BED">
      <w:pPr>
        <w:jc w:val="both"/>
        <w:rPr>
          <w:rFonts w:ascii="Century Gothic" w:hAnsi="Century Gothic"/>
        </w:rPr>
      </w:pPr>
      <w:r w:rsidRPr="00737A97">
        <w:rPr>
          <w:rFonts w:ascii="Century Gothic" w:hAnsi="Century Gothic"/>
        </w:rPr>
        <w:t>Therefore, the SAM has a total of six labour categories. Given this labour disaggregation, the composite labour demand equation was modified to take into account</w:t>
      </w:r>
      <w:r w:rsidR="00187410" w:rsidRPr="00737A97">
        <w:rPr>
          <w:rFonts w:ascii="Century Gothic" w:hAnsi="Century Gothic"/>
        </w:rPr>
        <w:t xml:space="preserve"> the</w:t>
      </w:r>
      <w:r w:rsidRPr="00737A97">
        <w:rPr>
          <w:rFonts w:ascii="Century Gothic" w:hAnsi="Century Gothic"/>
        </w:rPr>
        <w:t xml:space="preserve"> gender dimension (see equation 4).</w:t>
      </w:r>
    </w:p>
    <w:p w14:paraId="44580070" w14:textId="6D808756" w:rsidR="00411CF7" w:rsidRPr="00737A97" w:rsidRDefault="00000000" w:rsidP="00EE3BED">
      <w:pPr>
        <w:jc w:val="both"/>
        <w:rPr>
          <w:rFonts w:ascii="Century Gothic" w:hAnsi="Century Gothic"/>
        </w:rPr>
      </w:pPr>
      <m:oMath>
        <m:sSub>
          <m:sSubPr>
            <m:ctrlPr>
              <w:rPr>
                <w:rFonts w:ascii="Cambria Math" w:hAnsi="Cambria Math"/>
              </w:rPr>
            </m:ctrlPr>
          </m:sSubPr>
          <m:e>
            <m:r>
              <w:rPr>
                <w:rFonts w:ascii="Cambria Math" w:hAnsi="Cambria Math"/>
              </w:rPr>
              <m:t>LDC</m:t>
            </m:r>
          </m:e>
          <m:sub>
            <m:r>
              <w:rPr>
                <w:rFonts w:ascii="Cambria Math" w:hAnsi="Cambria Math"/>
              </w:rPr>
              <m:t>j</m:t>
            </m:r>
            <m:r>
              <m:rPr>
                <m:sty m:val="p"/>
              </m:rPr>
              <w:rPr>
                <w:rFonts w:ascii="Cambria Math" w:hAnsi="Cambria Math"/>
              </w:rPr>
              <m:t>,</m:t>
            </m:r>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j</m:t>
            </m:r>
          </m:sub>
          <m:sup>
            <m:r>
              <w:rPr>
                <w:rFonts w:ascii="Cambria Math" w:hAnsi="Cambria Math"/>
              </w:rPr>
              <m:t>LDC</m:t>
            </m:r>
          </m:sup>
        </m:sSubSup>
        <m:sSup>
          <m:sSupPr>
            <m:ctrlPr>
              <w:rPr>
                <w:rFonts w:ascii="Cambria Math" w:hAnsi="Cambria Math"/>
              </w:rPr>
            </m:ctrlPr>
          </m:sSupPr>
          <m:e>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j</m:t>
                </m:r>
              </m:sub>
              <m:sup>
                <m:r>
                  <w:rPr>
                    <w:rFonts w:ascii="Cambria Math" w:hAnsi="Cambria Math"/>
                  </w:rPr>
                  <m:t>LDC</m:t>
                </m:r>
              </m:sup>
            </m:sSubSup>
            <m:sSubSup>
              <m:sSubSupPr>
                <m:ctrlPr>
                  <w:rPr>
                    <w:rFonts w:ascii="Cambria Math" w:hAnsi="Cambria Math"/>
                  </w:rPr>
                </m:ctrlPr>
              </m:sSubSupPr>
              <m:e>
                <m:r>
                  <w:rPr>
                    <w:rFonts w:ascii="Cambria Math" w:hAnsi="Cambria Math"/>
                  </w:rPr>
                  <m:t>LDM</m:t>
                </m:r>
              </m:e>
              <m:sub>
                <m:r>
                  <w:rPr>
                    <w:rFonts w:ascii="Cambria Math" w:hAnsi="Cambria Math"/>
                  </w:rPr>
                  <m:t>j</m:t>
                </m:r>
                <m:r>
                  <m:rPr>
                    <m:sty m:val="p"/>
                  </m:rPr>
                  <w:rPr>
                    <w:rFonts w:ascii="Cambria Math" w:hAnsi="Cambria Math"/>
                  </w:rPr>
                  <m:t>,</m:t>
                </m:r>
                <m:r>
                  <w:rPr>
                    <w:rFonts w:ascii="Cambria Math" w:hAnsi="Cambria Math"/>
                  </w:rPr>
                  <m:t>t</m:t>
                </m:r>
              </m:sub>
              <m:sup>
                <m:sSubSup>
                  <m:sSubSupPr>
                    <m:ctrlPr>
                      <w:rPr>
                        <w:rFonts w:ascii="Cambria Math" w:hAnsi="Cambria Math"/>
                      </w:rPr>
                    </m:ctrlPr>
                  </m:sSubSupPr>
                  <m:e>
                    <m:r>
                      <m:rPr>
                        <m:sty m:val="p"/>
                      </m:rPr>
                      <w:rPr>
                        <w:rFonts w:ascii="Cambria Math" w:hAnsi="Cambria Math"/>
                      </w:rPr>
                      <m:t>-</m:t>
                    </m:r>
                    <m:r>
                      <w:rPr>
                        <w:rFonts w:ascii="Cambria Math" w:hAnsi="Cambria Math"/>
                      </w:rPr>
                      <m:t>ρ</m:t>
                    </m:r>
                  </m:e>
                  <m:sub>
                    <m:r>
                      <w:rPr>
                        <w:rFonts w:ascii="Cambria Math" w:hAnsi="Cambria Math"/>
                      </w:rPr>
                      <m:t>j</m:t>
                    </m:r>
                  </m:sub>
                  <m:sup>
                    <m:r>
                      <w:rPr>
                        <w:rFonts w:ascii="Cambria Math" w:hAnsi="Cambria Math"/>
                      </w:rPr>
                      <m:t>LDC</m:t>
                    </m:r>
                  </m:sup>
                </m:sSubSup>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β</m:t>
                    </m:r>
                  </m:e>
                  <m:sub>
                    <m:r>
                      <w:rPr>
                        <w:rFonts w:ascii="Cambria Math" w:hAnsi="Cambria Math"/>
                      </w:rPr>
                      <m:t>j</m:t>
                    </m:r>
                  </m:sub>
                  <m:sup>
                    <m:r>
                      <w:rPr>
                        <w:rFonts w:ascii="Cambria Math" w:hAnsi="Cambria Math"/>
                      </w:rPr>
                      <m:t>LDC</m:t>
                    </m:r>
                  </m:sup>
                </m:sSubSup>
              </m:e>
            </m:d>
            <m:sSubSup>
              <m:sSubSupPr>
                <m:ctrlPr>
                  <w:rPr>
                    <w:rFonts w:ascii="Cambria Math" w:hAnsi="Cambria Math"/>
                  </w:rPr>
                </m:ctrlPr>
              </m:sSubSupPr>
              <m:e>
                <m:r>
                  <w:rPr>
                    <w:rFonts w:ascii="Cambria Math" w:hAnsi="Cambria Math"/>
                  </w:rPr>
                  <m:t>LDF</m:t>
                </m:r>
              </m:e>
              <m:sub>
                <m:r>
                  <w:rPr>
                    <w:rFonts w:ascii="Cambria Math" w:hAnsi="Cambria Math"/>
                  </w:rPr>
                  <m:t>j</m:t>
                </m:r>
                <m:r>
                  <m:rPr>
                    <m:sty m:val="p"/>
                  </m:rPr>
                  <w:rPr>
                    <w:rFonts w:ascii="Cambria Math" w:hAnsi="Cambria Math"/>
                  </w:rPr>
                  <m:t>,</m:t>
                </m:r>
                <m:r>
                  <w:rPr>
                    <w:rFonts w:ascii="Cambria Math" w:hAnsi="Cambria Math"/>
                  </w:rPr>
                  <m:t>t</m:t>
                </m:r>
              </m:sub>
              <m:sup>
                <m:sSubSup>
                  <m:sSubSupPr>
                    <m:ctrlPr>
                      <w:rPr>
                        <w:rFonts w:ascii="Cambria Math" w:hAnsi="Cambria Math"/>
                      </w:rPr>
                    </m:ctrlPr>
                  </m:sSubSupPr>
                  <m:e>
                    <m:r>
                      <m:rPr>
                        <m:sty m:val="p"/>
                      </m:rPr>
                      <w:rPr>
                        <w:rFonts w:ascii="Cambria Math" w:hAnsi="Cambria Math"/>
                      </w:rPr>
                      <m:t>-</m:t>
                    </m:r>
                    <m:r>
                      <w:rPr>
                        <w:rFonts w:ascii="Cambria Math" w:hAnsi="Cambria Math"/>
                      </w:rPr>
                      <m:t>ρ</m:t>
                    </m:r>
                  </m:e>
                  <m:sub>
                    <m:r>
                      <w:rPr>
                        <w:rFonts w:ascii="Cambria Math" w:hAnsi="Cambria Math"/>
                      </w:rPr>
                      <m:t>j</m:t>
                    </m:r>
                  </m:sub>
                  <m:sup>
                    <m:r>
                      <w:rPr>
                        <w:rFonts w:ascii="Cambria Math" w:hAnsi="Cambria Math"/>
                      </w:rPr>
                      <m:t>LDC</m:t>
                    </m:r>
                  </m:sup>
                </m:sSubSup>
              </m:sup>
            </m:sSubSup>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ρ</m:t>
                    </m:r>
                  </m:e>
                  <m:sub>
                    <m:r>
                      <w:rPr>
                        <w:rFonts w:ascii="Cambria Math" w:hAnsi="Cambria Math"/>
                      </w:rPr>
                      <m:t>j</m:t>
                    </m:r>
                  </m:sub>
                  <m:sup>
                    <m:r>
                      <w:rPr>
                        <w:rFonts w:ascii="Cambria Math" w:hAnsi="Cambria Math"/>
                      </w:rPr>
                      <m:t>LDC</m:t>
                    </m:r>
                  </m:sup>
                </m:sSubSup>
              </m:den>
            </m:f>
          </m:sup>
        </m:sSup>
      </m:oMath>
      <w:r w:rsidR="00411CF7" w:rsidRPr="00737A97">
        <w:rPr>
          <w:rFonts w:ascii="Century Gothic" w:hAnsi="Century Gothic"/>
        </w:rPr>
        <w:tab/>
      </w:r>
      <w:r w:rsidR="00411CF7" w:rsidRPr="00737A97">
        <w:rPr>
          <w:rFonts w:ascii="Century Gothic" w:hAnsi="Century Gothic"/>
        </w:rPr>
        <w:tab/>
      </w:r>
      <w:r w:rsidR="00187410" w:rsidRPr="00737A97">
        <w:rPr>
          <w:rFonts w:ascii="Century Gothic" w:hAnsi="Century Gothic"/>
        </w:rPr>
        <w:t xml:space="preserve">                       </w:t>
      </w:r>
      <w:r w:rsidR="00411CF7" w:rsidRPr="00737A97">
        <w:rPr>
          <w:rFonts w:ascii="Century Gothic" w:hAnsi="Century Gothic"/>
        </w:rPr>
        <w:t>(4)</w:t>
      </w:r>
    </w:p>
    <w:p w14:paraId="7F15B03C" w14:textId="380C8680" w:rsidR="00411CF7" w:rsidRPr="00737A97" w:rsidRDefault="00187410" w:rsidP="00EE3BED">
      <w:pPr>
        <w:jc w:val="both"/>
        <w:rPr>
          <w:rFonts w:ascii="Century Gothic" w:hAnsi="Century Gothic"/>
        </w:rPr>
      </w:pPr>
      <w:r w:rsidRPr="00737A97">
        <w:rPr>
          <w:rFonts w:ascii="Century Gothic" w:hAnsi="Century Gothic"/>
        </w:rPr>
        <w:t>w</w:t>
      </w:r>
      <w:r w:rsidR="00411CF7" w:rsidRPr="00737A97">
        <w:rPr>
          <w:rFonts w:ascii="Century Gothic" w:hAnsi="Century Gothic"/>
        </w:rPr>
        <w:t>here</w:t>
      </w:r>
      <w:r w:rsidRPr="00737A97">
        <w:rPr>
          <w:rFonts w:ascii="Century Gothic" w:hAnsi="Century Gothic"/>
        </w:rPr>
        <w:t>:</w:t>
      </w:r>
    </w:p>
    <w:p w14:paraId="7E16EF0B"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LDC</m:t>
            </m:r>
          </m:e>
          <m:sub>
            <m:r>
              <w:rPr>
                <w:rFonts w:ascii="Cambria Math" w:hAnsi="Cambria Math"/>
              </w:rPr>
              <m:t>j,t</m:t>
            </m:r>
          </m:sub>
        </m:sSub>
        <m:r>
          <w:rPr>
            <w:rFonts w:ascii="Cambria Math" w:hAnsi="Cambria Math"/>
          </w:rPr>
          <m:t xml:space="preserve"> </m:t>
        </m:r>
      </m:oMath>
      <w:r w:rsidR="00411CF7" w:rsidRPr="00737A97">
        <w:rPr>
          <w:rFonts w:ascii="Century Gothic" w:hAnsi="Century Gothic"/>
        </w:rPr>
        <w:t>is the composite demand of labour at time t;</w:t>
      </w:r>
    </w:p>
    <w:p w14:paraId="50DD85EF"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LDM</m:t>
            </m:r>
          </m:e>
          <m:sub>
            <m:r>
              <w:rPr>
                <w:rFonts w:ascii="Cambria Math" w:hAnsi="Cambria Math"/>
              </w:rPr>
              <m:t>j,t</m:t>
            </m:r>
          </m:sub>
        </m:sSub>
      </m:oMath>
      <w:r w:rsidR="00411CF7" w:rsidRPr="00737A97">
        <w:rPr>
          <w:rFonts w:ascii="Century Gothic" w:hAnsi="Century Gothic"/>
        </w:rPr>
        <w:t xml:space="preserve"> is the demand for male labour at time t;</w:t>
      </w:r>
    </w:p>
    <w:p w14:paraId="5D68154A"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LDF</m:t>
            </m:r>
          </m:e>
          <m:sub>
            <m:r>
              <w:rPr>
                <w:rFonts w:ascii="Cambria Math" w:hAnsi="Cambria Math"/>
              </w:rPr>
              <m:t>j,t</m:t>
            </m:r>
          </m:sub>
        </m:sSub>
      </m:oMath>
      <w:r w:rsidR="00411CF7" w:rsidRPr="00737A97">
        <w:rPr>
          <w:rFonts w:ascii="Century Gothic" w:hAnsi="Century Gothic"/>
        </w:rPr>
        <w:t xml:space="preserve"> is the demand for female labour at time t;</w:t>
      </w:r>
    </w:p>
    <w:p w14:paraId="7D058E32" w14:textId="77777777" w:rsidR="00411CF7" w:rsidRPr="00737A97" w:rsidRDefault="00000000" w:rsidP="00EE3BED">
      <w:pPr>
        <w:jc w:val="both"/>
        <w:rPr>
          <w:rFonts w:ascii="Century Gothic" w:hAnsi="Century Gothic"/>
        </w:rPr>
      </w:pP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LDC</m:t>
            </m:r>
          </m:sup>
        </m:sSubSup>
      </m:oMath>
      <w:r w:rsidR="00411CF7" w:rsidRPr="00737A97">
        <w:rPr>
          <w:rFonts w:ascii="Century Gothic" w:hAnsi="Century Gothic"/>
        </w:rPr>
        <w:t xml:space="preserve"> is the scale parameter (CES - composite labour); </w:t>
      </w:r>
    </w:p>
    <w:p w14:paraId="592D1DF5" w14:textId="77777777" w:rsidR="00411CF7" w:rsidRPr="00737A97" w:rsidRDefault="00000000" w:rsidP="00EE3BED">
      <w:pPr>
        <w:jc w:val="both"/>
        <w:rPr>
          <w:rFonts w:ascii="Century Gothic" w:hAnsi="Century Gothic"/>
        </w:rPr>
      </w:pPr>
      <m:oMath>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LDC</m:t>
            </m:r>
          </m:sup>
        </m:sSubSup>
      </m:oMath>
      <w:r w:rsidR="00411CF7" w:rsidRPr="00737A97">
        <w:rPr>
          <w:rFonts w:ascii="Century Gothic" w:hAnsi="Century Gothic"/>
        </w:rPr>
        <w:t xml:space="preserve"> is the share parameter (CES - composite labour); </w:t>
      </w:r>
    </w:p>
    <w:p w14:paraId="32E31B58" w14:textId="77777777" w:rsidR="00411CF7" w:rsidRPr="00737A97" w:rsidRDefault="00000000" w:rsidP="00EE3BED">
      <w:pPr>
        <w:jc w:val="both"/>
        <w:rPr>
          <w:rFonts w:ascii="Century Gothic" w:hAnsi="Century Gothic"/>
        </w:rPr>
      </w:pPr>
      <m:oMath>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LDC</m:t>
            </m:r>
          </m:sup>
        </m:sSubSup>
      </m:oMath>
      <w:r w:rsidR="00411CF7" w:rsidRPr="00737A97">
        <w:rPr>
          <w:rFonts w:ascii="Century Gothic" w:hAnsi="Century Gothic"/>
        </w:rPr>
        <w:t xml:space="preserve"> is the elasticity parameter (CES - composite labour).</w:t>
      </w:r>
    </w:p>
    <w:p w14:paraId="4D9CC28E" w14:textId="77777777" w:rsidR="00411CF7" w:rsidRPr="00737A97" w:rsidRDefault="00411CF7" w:rsidP="00EE3BED">
      <w:pPr>
        <w:jc w:val="both"/>
        <w:rPr>
          <w:rFonts w:ascii="Century Gothic" w:hAnsi="Century Gothic"/>
        </w:rPr>
      </w:pPr>
      <w:r w:rsidRPr="00737A97">
        <w:rPr>
          <w:rFonts w:ascii="Century Gothic" w:hAnsi="Century Gothic"/>
        </w:rPr>
        <w:t>At the next level, the composite male and female labour was also modelled using CES functions with substitution possibilities among different skills groups (see equations 5 and 6).</w:t>
      </w:r>
    </w:p>
    <w:p w14:paraId="11E09549" w14:textId="77777777" w:rsidR="00411CF7" w:rsidRPr="00737A97" w:rsidRDefault="00000000" w:rsidP="00EE3BED">
      <w:pPr>
        <w:jc w:val="both"/>
        <w:rPr>
          <w:rFonts w:ascii="Century Gothic" w:hAnsi="Century Gothic"/>
        </w:rPr>
      </w:pPr>
      <m:oMath>
        <m:sSub>
          <m:sSubPr>
            <m:ctrlPr>
              <w:rPr>
                <w:rFonts w:ascii="Cambria Math" w:hAnsi="Cambria Math"/>
              </w:rPr>
            </m:ctrlPr>
          </m:sSubPr>
          <m:e>
            <m:r>
              <w:rPr>
                <w:rFonts w:ascii="Cambria Math" w:hAnsi="Cambria Math"/>
              </w:rPr>
              <m:t>LDM</m:t>
            </m:r>
          </m:e>
          <m:sub>
            <m:r>
              <w:rPr>
                <w:rFonts w:ascii="Cambria Math" w:hAnsi="Cambria Math"/>
              </w:rPr>
              <m:t>j</m:t>
            </m:r>
            <m:r>
              <m:rPr>
                <m:sty m:val="p"/>
              </m:rPr>
              <w:rPr>
                <w:rFonts w:ascii="Cambria Math" w:hAnsi="Cambria Math"/>
              </w:rPr>
              <m:t>,</m:t>
            </m:r>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j</m:t>
            </m:r>
          </m:sub>
          <m:sup>
            <m:r>
              <w:rPr>
                <w:rFonts w:ascii="Cambria Math" w:hAnsi="Cambria Math"/>
              </w:rPr>
              <m:t>LDM</m:t>
            </m:r>
          </m:sup>
        </m:sSubSup>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m</m:t>
                </m:r>
              </m:sub>
              <m:sup/>
              <m:e>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m</m:t>
                    </m:r>
                    <m:r>
                      <m:rPr>
                        <m:sty m:val="p"/>
                      </m:rPr>
                      <w:rPr>
                        <w:rFonts w:ascii="Cambria Math" w:hAnsi="Cambria Math"/>
                      </w:rPr>
                      <m:t>,</m:t>
                    </m:r>
                    <m:r>
                      <w:rPr>
                        <w:rFonts w:ascii="Cambria Math" w:hAnsi="Cambria Math"/>
                      </w:rPr>
                      <m:t>j</m:t>
                    </m:r>
                  </m:sub>
                  <m:sup>
                    <m:r>
                      <w:rPr>
                        <w:rFonts w:ascii="Cambria Math" w:hAnsi="Cambria Math"/>
                      </w:rPr>
                      <m:t>LD</m:t>
                    </m:r>
                  </m:sup>
                </m:sSubSup>
                <m:sSubSup>
                  <m:sSubSupPr>
                    <m:ctrlPr>
                      <w:rPr>
                        <w:rFonts w:ascii="Cambria Math" w:hAnsi="Cambria Math"/>
                      </w:rPr>
                    </m:ctrlPr>
                  </m:sSubSupPr>
                  <m:e>
                    <m:r>
                      <w:rPr>
                        <w:rFonts w:ascii="Cambria Math" w:hAnsi="Cambria Math"/>
                      </w:rPr>
                      <m:t>LD</m:t>
                    </m:r>
                  </m:e>
                  <m:sub>
                    <m:r>
                      <w:rPr>
                        <w:rFonts w:ascii="Cambria Math" w:hAnsi="Cambria Math"/>
                      </w:rPr>
                      <m:t>m</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t</m:t>
                    </m:r>
                  </m:sub>
                  <m:sup>
                    <m:sSubSup>
                      <m:sSubSupPr>
                        <m:ctrlPr>
                          <w:rPr>
                            <w:rFonts w:ascii="Cambria Math" w:hAnsi="Cambria Math"/>
                          </w:rPr>
                        </m:ctrlPr>
                      </m:sSubSupPr>
                      <m:e>
                        <m:r>
                          <m:rPr>
                            <m:sty m:val="p"/>
                          </m:rPr>
                          <w:rPr>
                            <w:rFonts w:ascii="Cambria Math" w:hAnsi="Cambria Math"/>
                          </w:rPr>
                          <m:t>-</m:t>
                        </m:r>
                        <m:r>
                          <w:rPr>
                            <w:rFonts w:ascii="Cambria Math" w:hAnsi="Cambria Math"/>
                          </w:rPr>
                          <m:t>ρ</m:t>
                        </m:r>
                      </m:e>
                      <m:sub>
                        <m:r>
                          <w:rPr>
                            <w:rFonts w:ascii="Cambria Math" w:hAnsi="Cambria Math"/>
                          </w:rPr>
                          <m:t>j</m:t>
                        </m:r>
                      </m:sub>
                      <m:sup>
                        <m:r>
                          <w:rPr>
                            <w:rFonts w:ascii="Cambria Math" w:hAnsi="Cambria Math"/>
                          </w:rPr>
                          <m:t>LDM</m:t>
                        </m:r>
                      </m:sup>
                    </m:sSubSup>
                  </m:sup>
                </m:sSubSup>
              </m:e>
            </m:nary>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ρ</m:t>
                    </m:r>
                  </m:e>
                  <m:sub>
                    <m:r>
                      <w:rPr>
                        <w:rFonts w:ascii="Cambria Math" w:hAnsi="Cambria Math"/>
                      </w:rPr>
                      <m:t>j</m:t>
                    </m:r>
                  </m:sub>
                  <m:sup>
                    <m:r>
                      <w:rPr>
                        <w:rFonts w:ascii="Cambria Math" w:hAnsi="Cambria Math"/>
                      </w:rPr>
                      <m:t>LDM</m:t>
                    </m:r>
                  </m:sup>
                </m:sSubSup>
              </m:den>
            </m:f>
          </m:sup>
        </m:sSup>
      </m:oMath>
      <w:r w:rsidR="00411CF7" w:rsidRPr="00737A97">
        <w:rPr>
          <w:rFonts w:ascii="Century Gothic" w:hAnsi="Century Gothic"/>
        </w:rPr>
        <w:t xml:space="preserve"> </w:t>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t>(5)</w:t>
      </w:r>
    </w:p>
    <w:p w14:paraId="6FCBC0DF" w14:textId="4E7FBDE4" w:rsidR="00411CF7" w:rsidRPr="00737A97" w:rsidRDefault="00000000" w:rsidP="00EE3BED">
      <w:pPr>
        <w:jc w:val="both"/>
        <w:rPr>
          <w:rFonts w:ascii="Century Gothic" w:hAnsi="Century Gothic"/>
        </w:rPr>
      </w:pPr>
      <m:oMath>
        <m:sSub>
          <m:sSubPr>
            <m:ctrlPr>
              <w:rPr>
                <w:rFonts w:ascii="Cambria Math" w:hAnsi="Cambria Math"/>
              </w:rPr>
            </m:ctrlPr>
          </m:sSubPr>
          <m:e>
            <m:r>
              <w:rPr>
                <w:rFonts w:ascii="Cambria Math" w:hAnsi="Cambria Math"/>
              </w:rPr>
              <m:t>LDF</m:t>
            </m:r>
          </m:e>
          <m:sub>
            <m:r>
              <w:rPr>
                <w:rFonts w:ascii="Cambria Math" w:hAnsi="Cambria Math"/>
              </w:rPr>
              <m:t>j</m:t>
            </m:r>
            <m:r>
              <m:rPr>
                <m:sty m:val="p"/>
              </m:rPr>
              <w:rPr>
                <w:rFonts w:ascii="Cambria Math" w:hAnsi="Cambria Math"/>
              </w:rPr>
              <m:t>,</m:t>
            </m:r>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j</m:t>
            </m:r>
          </m:sub>
          <m:sup>
            <m:r>
              <w:rPr>
                <w:rFonts w:ascii="Cambria Math" w:hAnsi="Cambria Math"/>
              </w:rPr>
              <m:t>LDF</m:t>
            </m:r>
          </m:sup>
        </m:sSubSup>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f</m:t>
                </m:r>
              </m:sub>
              <m:sup/>
              <m:e>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f</m:t>
                    </m:r>
                    <m:r>
                      <m:rPr>
                        <m:sty m:val="p"/>
                      </m:rPr>
                      <w:rPr>
                        <w:rFonts w:ascii="Cambria Math" w:hAnsi="Cambria Math"/>
                      </w:rPr>
                      <m:t>,</m:t>
                    </m:r>
                    <m:r>
                      <w:rPr>
                        <w:rFonts w:ascii="Cambria Math" w:hAnsi="Cambria Math"/>
                      </w:rPr>
                      <m:t>j</m:t>
                    </m:r>
                  </m:sub>
                  <m:sup>
                    <m:r>
                      <w:rPr>
                        <w:rFonts w:ascii="Cambria Math" w:hAnsi="Cambria Math"/>
                      </w:rPr>
                      <m:t>LD</m:t>
                    </m:r>
                  </m:sup>
                </m:sSubSup>
                <m:sSubSup>
                  <m:sSubSupPr>
                    <m:ctrlPr>
                      <w:rPr>
                        <w:rFonts w:ascii="Cambria Math" w:hAnsi="Cambria Math"/>
                      </w:rPr>
                    </m:ctrlPr>
                  </m:sSubSupPr>
                  <m:e>
                    <m:r>
                      <w:rPr>
                        <w:rFonts w:ascii="Cambria Math" w:hAnsi="Cambria Math"/>
                      </w:rPr>
                      <m:t>LD</m:t>
                    </m:r>
                  </m:e>
                  <m:sub>
                    <m:r>
                      <w:rPr>
                        <w:rFonts w:ascii="Cambria Math" w:hAnsi="Cambria Math"/>
                      </w:rPr>
                      <m:t>f</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t</m:t>
                    </m:r>
                  </m:sub>
                  <m:sup>
                    <m:sSubSup>
                      <m:sSubSupPr>
                        <m:ctrlPr>
                          <w:rPr>
                            <w:rFonts w:ascii="Cambria Math" w:hAnsi="Cambria Math"/>
                          </w:rPr>
                        </m:ctrlPr>
                      </m:sSubSupPr>
                      <m:e>
                        <m:r>
                          <m:rPr>
                            <m:sty m:val="p"/>
                          </m:rPr>
                          <w:rPr>
                            <w:rFonts w:ascii="Cambria Math" w:hAnsi="Cambria Math"/>
                          </w:rPr>
                          <m:t>-</m:t>
                        </m:r>
                        <m:r>
                          <w:rPr>
                            <w:rFonts w:ascii="Cambria Math" w:hAnsi="Cambria Math"/>
                          </w:rPr>
                          <m:t>ρ</m:t>
                        </m:r>
                      </m:e>
                      <m:sub>
                        <m:r>
                          <w:rPr>
                            <w:rFonts w:ascii="Cambria Math" w:hAnsi="Cambria Math"/>
                          </w:rPr>
                          <m:t>j</m:t>
                        </m:r>
                      </m:sub>
                      <m:sup>
                        <m:r>
                          <w:rPr>
                            <w:rFonts w:ascii="Cambria Math" w:hAnsi="Cambria Math"/>
                          </w:rPr>
                          <m:t>LDF</m:t>
                        </m:r>
                      </m:sup>
                    </m:sSubSup>
                  </m:sup>
                </m:sSubSup>
              </m:e>
            </m:nary>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ρ</m:t>
                    </m:r>
                  </m:e>
                  <m:sub>
                    <m:r>
                      <w:rPr>
                        <w:rFonts w:ascii="Cambria Math" w:hAnsi="Cambria Math"/>
                      </w:rPr>
                      <m:t>j</m:t>
                    </m:r>
                  </m:sub>
                  <m:sup>
                    <m:r>
                      <w:rPr>
                        <w:rFonts w:ascii="Cambria Math" w:hAnsi="Cambria Math"/>
                      </w:rPr>
                      <m:t>LDF</m:t>
                    </m:r>
                  </m:sup>
                </m:sSubSup>
              </m:den>
            </m:f>
          </m:sup>
        </m:sSup>
      </m:oMath>
      <w:r w:rsidR="00411CF7" w:rsidRPr="00737A97">
        <w:rPr>
          <w:rFonts w:ascii="Century Gothic" w:hAnsi="Century Gothic"/>
        </w:rPr>
        <w:t xml:space="preserve"> </w:t>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t>(6)</w:t>
      </w:r>
    </w:p>
    <w:p w14:paraId="15A4C426" w14:textId="77777777" w:rsidR="00187410" w:rsidRPr="00737A97" w:rsidRDefault="00187410" w:rsidP="00EE3BED">
      <w:pPr>
        <w:jc w:val="both"/>
        <w:rPr>
          <w:rFonts w:ascii="Century Gothic" w:hAnsi="Century Gothic"/>
        </w:rPr>
      </w:pPr>
    </w:p>
    <w:p w14:paraId="76B3236B" w14:textId="3F7D7E56" w:rsidR="00411CF7" w:rsidRPr="00737A97" w:rsidRDefault="00744F59" w:rsidP="00EE3BED">
      <w:pPr>
        <w:jc w:val="both"/>
        <w:rPr>
          <w:rFonts w:ascii="Century Gothic" w:hAnsi="Century Gothic"/>
        </w:rPr>
      </w:pPr>
      <w:r w:rsidRPr="00D516D0">
        <w:rPr>
          <w:rFonts w:ascii="Century Gothic" w:hAnsi="Century Gothic"/>
        </w:rPr>
        <w:t>The second modification involved relaxing the full employment assumption found in the PEP CGE model.</w:t>
      </w:r>
      <w:r w:rsidR="00411CF7" w:rsidRPr="00737A97">
        <w:rPr>
          <w:rFonts w:ascii="Century Gothic" w:hAnsi="Century Gothic"/>
        </w:rPr>
        <w:t>. Although unemployment does not seem to fit a general equilibrium framework, we introduce the rate of involuntary unemployment to make the model a more realistic picture of the Tanzanian economy. We extend the model by including endogenous unemployment. Initially, we add the endogenous variable UN (number of unemployed people) to the labour-supply equation. In doing so, the equilibrium condition for the labour market (equation 7) is adjusted.</w:t>
      </w:r>
    </w:p>
    <w:p w14:paraId="05A18DED" w14:textId="77777777" w:rsidR="00187410" w:rsidRPr="00737A97" w:rsidRDefault="00187410" w:rsidP="00EE3BED">
      <w:pPr>
        <w:jc w:val="both"/>
        <w:rPr>
          <w:rFonts w:ascii="Century Gothic" w:hAnsi="Century Gothic"/>
        </w:rPr>
      </w:pPr>
    </w:p>
    <w:p w14:paraId="5162BC2D" w14:textId="6F4BB4D2" w:rsidR="00411CF7" w:rsidRPr="00737A97" w:rsidRDefault="00000000" w:rsidP="00EE3BED">
      <w:pPr>
        <w:jc w:val="both"/>
        <w:rPr>
          <w:rFonts w:ascii="Century Gothic" w:hAnsi="Century Gothic"/>
          <w:b/>
        </w:rPr>
      </w:pPr>
      <m:oMath>
        <m:sSub>
          <m:sSubPr>
            <m:ctrlPr>
              <w:rPr>
                <w:rFonts w:ascii="Cambria Math" w:hAnsi="Cambria Math"/>
              </w:rPr>
            </m:ctrlPr>
          </m:sSubPr>
          <m:e>
            <m:r>
              <w:rPr>
                <w:rFonts w:ascii="Cambria Math" w:hAnsi="Cambria Math"/>
              </w:rPr>
              <m:t>LS</m:t>
            </m:r>
          </m:e>
          <m:sub>
            <m:r>
              <w:rPr>
                <w:rFonts w:ascii="Cambria Math" w:hAnsi="Cambria Math"/>
              </w:rPr>
              <m:t>l</m:t>
            </m:r>
          </m:sub>
        </m:sSub>
        <m:r>
          <m:rPr>
            <m:sty m:val="p"/>
          </m:rPr>
          <w:rPr>
            <w:rFonts w:ascii="Cambria Math" w:hAnsi="Cambria Math"/>
          </w:rPr>
          <m:t>=</m:t>
        </m:r>
        <m:d>
          <m:dPr>
            <m:ctrlPr>
              <w:rPr>
                <w:rFonts w:ascii="Cambria Math" w:hAnsi="Cambria Math"/>
              </w:rPr>
            </m:ctrlPr>
          </m:dPr>
          <m:e>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LD</m:t>
                    </m:r>
                  </m:e>
                  <m:sub>
                    <m:r>
                      <w:rPr>
                        <w:rFonts w:ascii="Cambria Math" w:hAnsi="Cambria Math"/>
                      </w:rPr>
                      <m:t>j</m:t>
                    </m:r>
                    <m:r>
                      <m:rPr>
                        <m:sty m:val="p"/>
                      </m:rPr>
                      <w:rPr>
                        <w:rFonts w:ascii="Cambria Math" w:hAnsi="Cambria Math"/>
                      </w:rPr>
                      <m:t>,</m:t>
                    </m:r>
                    <m:r>
                      <w:rPr>
                        <w:rFonts w:ascii="Cambria Math" w:hAnsi="Cambria Math"/>
                      </w:rPr>
                      <m:t>l</m:t>
                    </m:r>
                  </m:sub>
                </m:sSub>
              </m:e>
            </m:nary>
          </m:e>
        </m:d>
        <m:r>
          <m:rPr>
            <m:sty m:val="p"/>
          </m:rPr>
          <w:rPr>
            <w:rFonts w:ascii="Cambria Math" w:hAnsi="Cambria Math"/>
          </w:rPr>
          <m:t>+</m:t>
        </m:r>
        <m:sSub>
          <m:sSubPr>
            <m:ctrlPr>
              <w:rPr>
                <w:rFonts w:ascii="Cambria Math" w:hAnsi="Cambria Math"/>
              </w:rPr>
            </m:ctrlPr>
          </m:sSubPr>
          <m:e>
            <m:r>
              <w:rPr>
                <w:rFonts w:ascii="Cambria Math" w:hAnsi="Cambria Math"/>
              </w:rPr>
              <m:t>UN</m:t>
            </m:r>
          </m:e>
          <m:sub>
            <m:r>
              <w:rPr>
                <w:rFonts w:ascii="Cambria Math" w:hAnsi="Cambria Math"/>
              </w:rPr>
              <m:t>l</m:t>
            </m:r>
          </m:sub>
        </m:sSub>
      </m:oMath>
      <w:r w:rsidR="00411CF7" w:rsidRPr="00737A97">
        <w:rPr>
          <w:rFonts w:ascii="Century Gothic" w:hAnsi="Century Gothic"/>
        </w:rPr>
        <w:t xml:space="preserve"> </w:t>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t>(7)</w:t>
      </w:r>
    </w:p>
    <w:p w14:paraId="53D9F160" w14:textId="77777777" w:rsidR="00411CF7" w:rsidRPr="00737A97" w:rsidRDefault="00411CF7" w:rsidP="00EE3BED">
      <w:pPr>
        <w:jc w:val="both"/>
        <w:rPr>
          <w:rFonts w:ascii="Century Gothic" w:hAnsi="Century Gothic"/>
        </w:rPr>
      </w:pPr>
      <w:r w:rsidRPr="00737A97">
        <w:rPr>
          <w:rFonts w:ascii="Century Gothic" w:hAnsi="Century Gothic"/>
        </w:rPr>
        <w:t>where</w:t>
      </w:r>
    </w:p>
    <w:p w14:paraId="6B0DC058"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LS</m:t>
            </m:r>
          </m:e>
          <m:sub>
            <m:r>
              <w:rPr>
                <w:rFonts w:ascii="Cambria Math" w:hAnsi="Cambria Math"/>
              </w:rPr>
              <m:t>l</m:t>
            </m:r>
          </m:sub>
        </m:sSub>
      </m:oMath>
      <w:r w:rsidR="00411CF7" w:rsidRPr="00737A97">
        <w:rPr>
          <w:rFonts w:ascii="Century Gothic" w:hAnsi="Century Gothic"/>
          <w:i/>
        </w:rPr>
        <w:t xml:space="preserve"> </w:t>
      </w:r>
      <w:r w:rsidR="00411CF7" w:rsidRPr="00737A97">
        <w:rPr>
          <w:rFonts w:ascii="Century Gothic" w:hAnsi="Century Gothic"/>
        </w:rPr>
        <w:t>is the labour supply by a specific type of worker;</w:t>
      </w:r>
    </w:p>
    <w:p w14:paraId="0998F352"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LD</m:t>
            </m:r>
          </m:e>
          <m:sub>
            <m:r>
              <w:rPr>
                <w:rFonts w:ascii="Cambria Math" w:hAnsi="Cambria Math"/>
              </w:rPr>
              <m:t>j,l</m:t>
            </m:r>
          </m:sub>
        </m:sSub>
      </m:oMath>
      <w:r w:rsidR="00411CF7" w:rsidRPr="00737A97">
        <w:rPr>
          <w:rFonts w:ascii="Century Gothic" w:hAnsi="Century Gothic"/>
          <w:i/>
        </w:rPr>
        <w:t xml:space="preserve"> </w:t>
      </w:r>
      <w:r w:rsidR="00411CF7" w:rsidRPr="00737A97">
        <w:rPr>
          <w:rFonts w:ascii="Century Gothic" w:hAnsi="Century Gothic"/>
        </w:rPr>
        <w:t>is the labour demand for a particular type of worker denoted by l within a specific sector j;</w:t>
      </w:r>
    </w:p>
    <w:p w14:paraId="4BBB544D" w14:textId="77777777" w:rsidR="00411CF7" w:rsidRPr="00737A97" w:rsidRDefault="00000000" w:rsidP="00EE3BED">
      <w:pPr>
        <w:jc w:val="both"/>
        <w:rPr>
          <w:rFonts w:ascii="Century Gothic" w:hAnsi="Century Gothic"/>
        </w:rPr>
      </w:pPr>
      <m:oMath>
        <m:sSub>
          <m:sSubPr>
            <m:ctrlPr>
              <w:rPr>
                <w:rFonts w:ascii="Cambria Math" w:hAnsi="Cambria Math"/>
                <w:i/>
              </w:rPr>
            </m:ctrlPr>
          </m:sSubPr>
          <m:e>
            <m:r>
              <w:rPr>
                <w:rFonts w:ascii="Cambria Math" w:hAnsi="Cambria Math"/>
              </w:rPr>
              <m:t>UN</m:t>
            </m:r>
          </m:e>
          <m:sub>
            <m:r>
              <w:rPr>
                <w:rFonts w:ascii="Cambria Math" w:hAnsi="Cambria Math"/>
              </w:rPr>
              <m:t>l</m:t>
            </m:r>
          </m:sub>
        </m:sSub>
      </m:oMath>
      <w:r w:rsidR="00411CF7" w:rsidRPr="00737A97">
        <w:rPr>
          <w:rFonts w:ascii="Century Gothic" w:hAnsi="Century Gothic"/>
          <w:i/>
        </w:rPr>
        <w:t xml:space="preserve"> </w:t>
      </w:r>
      <w:r w:rsidR="00411CF7" w:rsidRPr="00737A97">
        <w:rPr>
          <w:rFonts w:ascii="Century Gothic" w:hAnsi="Century Gothic"/>
        </w:rPr>
        <w:t>is the number of people in the economy who are unemployed by the type of worker.</w:t>
      </w:r>
    </w:p>
    <w:p w14:paraId="6C9DDAB2" w14:textId="3BB6DB6F" w:rsidR="00411CF7" w:rsidRPr="00737A97" w:rsidRDefault="00411CF7" w:rsidP="00EE3BED">
      <w:pPr>
        <w:jc w:val="both"/>
        <w:rPr>
          <w:rFonts w:ascii="Century Gothic" w:hAnsi="Century Gothic"/>
        </w:rPr>
      </w:pPr>
      <w:r w:rsidRPr="00737A97">
        <w:rPr>
          <w:rFonts w:ascii="Century Gothic" w:hAnsi="Century Gothic"/>
        </w:rPr>
        <w:t>Then, we replace the number of unemployed people in the economy with the unemployment rate. This is presented in equation 8.</w:t>
      </w:r>
    </w:p>
    <w:p w14:paraId="710D0564" w14:textId="77777777" w:rsidR="00187410" w:rsidRPr="00737A97" w:rsidRDefault="00187410" w:rsidP="00EE3BED">
      <w:pPr>
        <w:jc w:val="both"/>
        <w:rPr>
          <w:rFonts w:ascii="Century Gothic" w:hAnsi="Century Gothic"/>
        </w:rPr>
      </w:pPr>
    </w:p>
    <w:p w14:paraId="7EDBDEDD" w14:textId="2767DB90" w:rsidR="00411CF7" w:rsidRPr="00737A97" w:rsidRDefault="00000000" w:rsidP="00EE3BED">
      <w:pPr>
        <w:jc w:val="both"/>
        <w:rPr>
          <w:rFonts w:ascii="Century Gothic" w:hAnsi="Century Gothic"/>
        </w:rPr>
      </w:pPr>
      <m:oMath>
        <m:sSub>
          <m:sSubPr>
            <m:ctrlPr>
              <w:rPr>
                <w:rFonts w:ascii="Cambria Math" w:hAnsi="Cambria Math"/>
              </w:rPr>
            </m:ctrlPr>
          </m:sSubPr>
          <m:e>
            <m:r>
              <w:rPr>
                <w:rFonts w:ascii="Cambria Math" w:hAnsi="Cambria Math"/>
              </w:rPr>
              <m:t>LS</m:t>
            </m:r>
          </m:e>
          <m:sub>
            <m:r>
              <w:rPr>
                <w:rFonts w:ascii="Cambria Math" w:hAnsi="Cambria Math"/>
              </w:rPr>
              <m:t>l</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LD</m:t>
                    </m:r>
                  </m:e>
                  <m:sub>
                    <m:r>
                      <w:rPr>
                        <w:rFonts w:ascii="Cambria Math" w:hAnsi="Cambria Math"/>
                      </w:rPr>
                      <m:t>j</m:t>
                    </m:r>
                    <m:r>
                      <m:rPr>
                        <m:sty m:val="p"/>
                      </m:rPr>
                      <w:rPr>
                        <w:rFonts w:ascii="Cambria Math" w:hAnsi="Cambria Math"/>
                      </w:rPr>
                      <m:t>,</m:t>
                    </m:r>
                    <m:r>
                      <w:rPr>
                        <w:rFonts w:ascii="Cambria Math" w:hAnsi="Cambria Math"/>
                      </w:rPr>
                      <m:t>l</m:t>
                    </m:r>
                  </m:sub>
                </m:sSub>
                <m:r>
                  <m:rPr>
                    <m:sty m:val="p"/>
                  </m:rPr>
                  <w:rPr>
                    <w:rFonts w:ascii="Cambria Math" w:hAnsi="Cambria Math"/>
                  </w:rPr>
                  <m:t>)</m:t>
                </m:r>
              </m:e>
            </m:nary>
          </m:num>
          <m:den>
            <m:r>
              <m:rPr>
                <m:sty m:val="p"/>
              </m:rPr>
              <w:rPr>
                <w:rFonts w:ascii="Cambria Math" w:hAnsi="Cambria Math"/>
              </w:rPr>
              <m:t>1-</m:t>
            </m:r>
            <m:sSub>
              <m:sSubPr>
                <m:ctrlPr>
                  <w:rPr>
                    <w:rFonts w:ascii="Cambria Math" w:hAnsi="Cambria Math"/>
                  </w:rPr>
                </m:ctrlPr>
              </m:sSubPr>
              <m:e>
                <m:r>
                  <w:rPr>
                    <w:rFonts w:ascii="Cambria Math" w:hAnsi="Cambria Math"/>
                  </w:rPr>
                  <m:t>UNR</m:t>
                </m:r>
              </m:e>
              <m:sub>
                <m:r>
                  <w:rPr>
                    <w:rFonts w:ascii="Cambria Math" w:hAnsi="Cambria Math"/>
                  </w:rPr>
                  <m:t>l</m:t>
                </m:r>
              </m:sub>
            </m:sSub>
          </m:den>
        </m:f>
      </m:oMath>
      <w:r w:rsidR="00411CF7" w:rsidRPr="00737A97">
        <w:rPr>
          <w:rFonts w:ascii="Century Gothic" w:hAnsi="Century Gothic"/>
        </w:rPr>
        <w:t xml:space="preserve"> </w:t>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r>
      <w:r w:rsidR="00411CF7" w:rsidRPr="00737A97">
        <w:rPr>
          <w:rFonts w:ascii="Century Gothic" w:hAnsi="Century Gothic"/>
        </w:rPr>
        <w:tab/>
        <w:t>(8)</w:t>
      </w:r>
    </w:p>
    <w:p w14:paraId="565EE480" w14:textId="77777777" w:rsidR="00187410" w:rsidRPr="00737A97" w:rsidRDefault="00187410" w:rsidP="00EE3BED">
      <w:pPr>
        <w:jc w:val="both"/>
        <w:rPr>
          <w:rFonts w:ascii="Century Gothic" w:hAnsi="Century Gothic"/>
        </w:rPr>
      </w:pPr>
    </w:p>
    <w:p w14:paraId="5401BC65" w14:textId="03891AED" w:rsidR="00411CF7" w:rsidRPr="00737A97" w:rsidRDefault="00411CF7" w:rsidP="00EE3BED">
      <w:pPr>
        <w:jc w:val="both"/>
        <w:rPr>
          <w:rFonts w:ascii="Century Gothic" w:eastAsiaTheme="minorEastAsia" w:hAnsi="Century Gothic"/>
        </w:rPr>
      </w:pPr>
      <w:r w:rsidRPr="00737A97">
        <w:rPr>
          <w:rFonts w:ascii="Century Gothic" w:hAnsi="Century Gothic"/>
        </w:rPr>
        <w:t xml:space="preserve">Third, the dynamic PEP-1-t model was extended to include foreign direct investment (FDI) </w:t>
      </w:r>
      <w:r w:rsidR="006C4CC4" w:rsidRPr="00737A97">
        <w:rPr>
          <w:rFonts w:ascii="Century Gothic" w:hAnsi="Century Gothic"/>
        </w:rPr>
        <w:t>to expand irrigation</w:t>
      </w:r>
      <w:r w:rsidRPr="00737A97">
        <w:rPr>
          <w:rFonts w:ascii="Century Gothic" w:hAnsi="Century Gothic"/>
        </w:rPr>
        <w:t xml:space="preserve">. Specifically, FDI can be used to improve infrastructure and technology. In </w:t>
      </w:r>
      <w:r w:rsidR="006C4CC4" w:rsidRPr="00737A97">
        <w:rPr>
          <w:rFonts w:ascii="Century Gothic" w:hAnsi="Century Gothic"/>
        </w:rPr>
        <w:t xml:space="preserve">the </w:t>
      </w:r>
      <w:r w:rsidRPr="00737A97">
        <w:rPr>
          <w:rFonts w:ascii="Century Gothic" w:hAnsi="Century Gothic"/>
        </w:rPr>
        <w:t>model</w:t>
      </w:r>
      <w:r w:rsidR="006C4CC4" w:rsidRPr="00737A97">
        <w:rPr>
          <w:rFonts w:ascii="Century Gothic" w:hAnsi="Century Gothic"/>
        </w:rPr>
        <w:t xml:space="preserve"> </w:t>
      </w:r>
      <w:r w:rsidRPr="00737A97">
        <w:rPr>
          <w:rFonts w:ascii="Century Gothic" w:hAnsi="Century Gothic"/>
        </w:rPr>
        <w:t xml:space="preserve">FDI is an addition to private investment. The volume of the new </w:t>
      </w:r>
      <w:r w:rsidRPr="00737A97">
        <w:rPr>
          <w:rFonts w:ascii="Century Gothic" w:hAnsi="Century Gothic"/>
        </w:rPr>
        <w:lastRenderedPageBreak/>
        <w:t xml:space="preserve">capital from FDI </w:t>
      </w:r>
      <m:oMath>
        <m:sSub>
          <m:sSubPr>
            <m:ctrlPr>
              <w:rPr>
                <w:rFonts w:ascii="Cambria Math" w:eastAsia="Malgun Gothic" w:hAnsi="Cambria Math"/>
                <w:i/>
              </w:rPr>
            </m:ctrlPr>
          </m:sSubPr>
          <m:e>
            <m:r>
              <w:rPr>
                <w:rFonts w:ascii="Cambria Math" w:hAnsi="Cambria Math"/>
              </w:rPr>
              <m:t>(IND_FDI</m:t>
            </m:r>
          </m:e>
          <m:sub>
            <m:r>
              <w:rPr>
                <w:rFonts w:ascii="Cambria Math" w:hAnsi="Cambria Math"/>
              </w:rPr>
              <m:t>k,j,t</m:t>
            </m:r>
          </m:sub>
        </m:sSub>
      </m:oMath>
      <w:r w:rsidRPr="00737A97">
        <w:rPr>
          <w:rFonts w:ascii="Century Gothic" w:eastAsiaTheme="minorEastAsia" w:hAnsi="Century Gothic"/>
        </w:rPr>
        <w:t xml:space="preserve">) and the cost of capital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FDI</m:t>
                </m:r>
              </m:e>
              <m:sub>
                <m:r>
                  <w:rPr>
                    <w:rFonts w:ascii="Cambria Math" w:eastAsiaTheme="minorEastAsia" w:hAnsi="Cambria Math"/>
                  </w:rPr>
                  <m:t>j,t</m:t>
                </m:r>
              </m:sub>
            </m:sSub>
          </m:e>
        </m:d>
      </m:oMath>
      <w:r w:rsidRPr="00737A97">
        <w:rPr>
          <w:rFonts w:ascii="Century Gothic" w:eastAsiaTheme="minorEastAsia" w:hAnsi="Century Gothic"/>
        </w:rPr>
        <w:t xml:space="preserve"> in sector j is explained by equation 9. </w:t>
      </w:r>
    </w:p>
    <w:p w14:paraId="3663EBCD" w14:textId="77777777" w:rsidR="00187410" w:rsidRPr="00737A97" w:rsidRDefault="00187410" w:rsidP="00EE3BED">
      <w:pPr>
        <w:jc w:val="both"/>
        <w:rPr>
          <w:rFonts w:ascii="Century Gothic" w:eastAsiaTheme="minorEastAsia" w:hAnsi="Century Gothic"/>
        </w:rPr>
      </w:pPr>
    </w:p>
    <w:p w14:paraId="61A54F1F" w14:textId="34564666"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IND_FDI</m:t>
            </m:r>
          </m:e>
          <m:sub>
            <m:r>
              <w:rPr>
                <w:rFonts w:ascii="Cambria Math" w:eastAsiaTheme="minorEastAsia" w:hAnsi="Cambria Math"/>
              </w:rPr>
              <m:t>k,j,t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FDI</m:t>
                </m:r>
              </m:e>
              <m:sub>
                <m:r>
                  <w:rPr>
                    <w:rFonts w:ascii="Cambria Math" w:eastAsiaTheme="minorEastAsia" w:hAnsi="Cambria Math"/>
                  </w:rPr>
                  <m:t>j,t</m:t>
                </m:r>
              </m:sub>
            </m:sSub>
          </m:num>
          <m:den>
            <m:sSub>
              <m:sSubPr>
                <m:ctrlPr>
                  <w:rPr>
                    <w:rFonts w:ascii="Cambria Math" w:eastAsiaTheme="minorEastAsia" w:hAnsi="Cambria Math"/>
                    <w:i/>
                  </w:rPr>
                </m:ctrlPr>
              </m:sSubPr>
              <m:e>
                <m:r>
                  <w:rPr>
                    <w:rFonts w:ascii="Cambria Math" w:eastAsiaTheme="minorEastAsia" w:hAnsi="Cambria Math"/>
                  </w:rPr>
                  <m:t>PK_PRI</m:t>
                </m:r>
              </m:e>
              <m:sub>
                <m:r>
                  <w:rPr>
                    <w:rFonts w:ascii="Cambria Math" w:eastAsiaTheme="minorEastAsia" w:hAnsi="Cambria Math"/>
                  </w:rPr>
                  <m:t>j,t</m:t>
                </m:r>
              </m:sub>
            </m:sSub>
          </m:den>
        </m:f>
      </m:oMath>
      <w:r w:rsidR="00411CF7" w:rsidRPr="00737A97">
        <w:rPr>
          <w:rFonts w:ascii="Century Gothic" w:eastAsiaTheme="minorEastAsia" w:hAnsi="Century Gothic"/>
        </w:rPr>
        <w:tab/>
      </w:r>
      <w:r w:rsidR="00411CF7" w:rsidRPr="00737A97">
        <w:rPr>
          <w:rFonts w:ascii="Century Gothic" w:eastAsiaTheme="minorEastAsia" w:hAnsi="Century Gothic"/>
        </w:rPr>
        <w:tab/>
      </w:r>
      <w:r w:rsidR="00411CF7" w:rsidRPr="00737A97">
        <w:rPr>
          <w:rFonts w:ascii="Century Gothic" w:eastAsiaTheme="minorEastAsia" w:hAnsi="Century Gothic"/>
        </w:rPr>
        <w:tab/>
      </w:r>
      <w:r w:rsidR="00411CF7" w:rsidRPr="00737A97">
        <w:rPr>
          <w:rFonts w:ascii="Century Gothic" w:eastAsiaTheme="minorEastAsia" w:hAnsi="Century Gothic"/>
        </w:rPr>
        <w:tab/>
        <w:t xml:space="preserve">  </w:t>
      </w:r>
      <w:r w:rsidR="00187410" w:rsidRPr="00737A97">
        <w:rPr>
          <w:rFonts w:ascii="Century Gothic" w:eastAsiaTheme="minorEastAsia" w:hAnsi="Century Gothic"/>
        </w:rPr>
        <w:t xml:space="preserve">                    </w:t>
      </w:r>
      <w:r w:rsidR="00411CF7" w:rsidRPr="00737A97">
        <w:rPr>
          <w:rFonts w:ascii="Century Gothic" w:eastAsiaTheme="minorEastAsia" w:hAnsi="Century Gothic"/>
        </w:rPr>
        <w:t xml:space="preserve"> </w:t>
      </w:r>
      <w:r w:rsidR="00187410" w:rsidRPr="00737A97">
        <w:rPr>
          <w:rFonts w:ascii="Century Gothic" w:eastAsiaTheme="minorEastAsia" w:hAnsi="Century Gothic"/>
        </w:rPr>
        <w:t xml:space="preserve">      </w:t>
      </w:r>
      <w:r w:rsidR="00411CF7" w:rsidRPr="00737A97">
        <w:rPr>
          <w:rFonts w:ascii="Century Gothic" w:eastAsiaTheme="minorEastAsia" w:hAnsi="Century Gothic"/>
        </w:rPr>
        <w:t xml:space="preserve">      </w:t>
      </w:r>
      <w:r w:rsidR="00411CF7" w:rsidRPr="00737A97">
        <w:rPr>
          <w:rFonts w:ascii="Century Gothic" w:eastAsiaTheme="minorEastAsia" w:hAnsi="Century Gothic"/>
        </w:rPr>
        <w:tab/>
      </w:r>
      <w:r w:rsidR="00187410" w:rsidRPr="00737A97">
        <w:rPr>
          <w:rFonts w:ascii="Century Gothic" w:eastAsiaTheme="minorEastAsia" w:hAnsi="Century Gothic"/>
        </w:rPr>
        <w:t>(</w:t>
      </w:r>
      <w:r w:rsidR="00411CF7" w:rsidRPr="00737A97">
        <w:rPr>
          <w:rFonts w:ascii="Century Gothic" w:eastAsiaTheme="minorEastAsia" w:hAnsi="Century Gothic"/>
        </w:rPr>
        <w:t>9</w:t>
      </w:r>
      <w:r w:rsidR="00187410" w:rsidRPr="00737A97">
        <w:rPr>
          <w:rFonts w:ascii="Century Gothic" w:eastAsiaTheme="minorEastAsia" w:hAnsi="Century Gothic"/>
        </w:rPr>
        <w:t>)</w:t>
      </w:r>
    </w:p>
    <w:p w14:paraId="1DD94FB3"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Where:</w:t>
      </w:r>
    </w:p>
    <w:p w14:paraId="34D34E09"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 </w:t>
      </w:r>
      <m:oMath>
        <m:sSub>
          <m:sSubPr>
            <m:ctrlPr>
              <w:rPr>
                <w:rFonts w:ascii="Cambria Math" w:eastAsiaTheme="minorEastAsia" w:hAnsi="Cambria Math"/>
                <w:i/>
              </w:rPr>
            </m:ctrlPr>
          </m:sSubPr>
          <m:e>
            <m:r>
              <w:rPr>
                <w:rFonts w:ascii="Cambria Math" w:eastAsiaTheme="minorEastAsia" w:hAnsi="Cambria Math"/>
              </w:rPr>
              <m:t>IND_FDI</m:t>
            </m:r>
          </m:e>
          <m:sub>
            <m:r>
              <w:rPr>
                <w:rFonts w:ascii="Cambria Math" w:eastAsiaTheme="minorEastAsia" w:hAnsi="Cambria Math"/>
              </w:rPr>
              <m:t>k,j,t</m:t>
            </m:r>
          </m:sub>
        </m:sSub>
      </m:oMath>
      <w:r w:rsidRPr="00737A97">
        <w:rPr>
          <w:rFonts w:ascii="Century Gothic" w:eastAsiaTheme="minorEastAsia" w:hAnsi="Century Gothic"/>
        </w:rPr>
        <w:t xml:space="preserve"> is the additional stock of capital k, in industry j</w:t>
      </w:r>
    </w:p>
    <w:p w14:paraId="2965781A" w14:textId="3DDAA634"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FDI</m:t>
            </m:r>
          </m:e>
          <m:sub>
            <m:r>
              <w:rPr>
                <w:rFonts w:ascii="Cambria Math" w:eastAsiaTheme="minorEastAsia" w:hAnsi="Cambria Math"/>
              </w:rPr>
              <m:t>j,t</m:t>
            </m:r>
          </m:sub>
        </m:sSub>
      </m:oMath>
      <w:r w:rsidR="00411CF7" w:rsidRPr="00737A97">
        <w:rPr>
          <w:rFonts w:ascii="Century Gothic" w:eastAsiaTheme="minorEastAsia" w:hAnsi="Century Gothic"/>
        </w:rPr>
        <w:t xml:space="preserve"> is foreign direct investment in sector j</w:t>
      </w:r>
    </w:p>
    <w:p w14:paraId="34BD4634" w14:textId="5E2598B6"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PK_PRI</m:t>
            </m:r>
          </m:e>
          <m:sub>
            <m:r>
              <w:rPr>
                <w:rFonts w:ascii="Cambria Math" w:eastAsiaTheme="minorEastAsia" w:hAnsi="Cambria Math"/>
              </w:rPr>
              <m:t>j,t</m:t>
            </m:r>
          </m:sub>
        </m:sSub>
      </m:oMath>
      <w:r w:rsidR="00411CF7" w:rsidRPr="00737A97">
        <w:rPr>
          <w:rFonts w:ascii="Century Gothic" w:eastAsiaTheme="minorEastAsia" w:hAnsi="Century Gothic"/>
        </w:rPr>
        <w:t xml:space="preserve"> is an investment price index</w:t>
      </w:r>
    </w:p>
    <w:p w14:paraId="63605422" w14:textId="77777777" w:rsidR="006C4CC4" w:rsidRPr="00737A97" w:rsidRDefault="006C4CC4" w:rsidP="00EE3BED">
      <w:pPr>
        <w:jc w:val="both"/>
        <w:rPr>
          <w:rFonts w:ascii="Century Gothic" w:eastAsiaTheme="minorEastAsia" w:hAnsi="Century Gothic"/>
        </w:rPr>
      </w:pPr>
    </w:p>
    <w:p w14:paraId="5C3AFAAD" w14:textId="65AD2C72"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FDI then reduces the rest of the world savings (Equation 10).</w:t>
      </w:r>
    </w:p>
    <w:p w14:paraId="6092570E" w14:textId="77777777" w:rsidR="00187410" w:rsidRPr="00737A97" w:rsidRDefault="00187410" w:rsidP="00EE3BED">
      <w:pPr>
        <w:jc w:val="both"/>
        <w:rPr>
          <w:rFonts w:ascii="Century Gothic" w:eastAsiaTheme="minorEastAsia" w:hAnsi="Century Gothic"/>
        </w:rPr>
      </w:pPr>
    </w:p>
    <w:p w14:paraId="5DAFAB1E" w14:textId="2FF48335"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SROW</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CAB</m:t>
            </m:r>
          </m:e>
          <m:sub>
            <m:r>
              <w:rPr>
                <w:rFonts w:ascii="Cambria Math" w:eastAsiaTheme="minorEastAsia" w:hAnsi="Cambria Math"/>
              </w:rPr>
              <m:t>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FDI</m:t>
                </m:r>
              </m:e>
              <m:sub>
                <m:r>
                  <w:rPr>
                    <w:rFonts w:ascii="Cambria Math" w:eastAsiaTheme="minorEastAsia" w:hAnsi="Cambria Math"/>
                  </w:rPr>
                  <m:t>j,t</m:t>
                </m:r>
              </m:sub>
            </m:sSub>
          </m:e>
        </m:nary>
      </m:oMath>
      <w:r w:rsidR="00411CF7" w:rsidRPr="00737A97">
        <w:rPr>
          <w:rFonts w:ascii="Century Gothic" w:eastAsiaTheme="minorEastAsia" w:hAnsi="Century Gothic"/>
        </w:rPr>
        <w:tab/>
      </w:r>
      <w:r w:rsidR="00411CF7" w:rsidRPr="00737A97">
        <w:rPr>
          <w:rFonts w:ascii="Century Gothic" w:eastAsiaTheme="minorEastAsia" w:hAnsi="Century Gothic"/>
        </w:rPr>
        <w:tab/>
      </w:r>
      <w:r w:rsidR="00411CF7" w:rsidRPr="00737A97">
        <w:rPr>
          <w:rFonts w:ascii="Century Gothic" w:eastAsiaTheme="minorEastAsia" w:hAnsi="Century Gothic"/>
        </w:rPr>
        <w:tab/>
        <w:t xml:space="preserve">         </w:t>
      </w:r>
      <w:r w:rsidR="00411CF7" w:rsidRPr="00737A97">
        <w:rPr>
          <w:rFonts w:ascii="Century Gothic" w:eastAsiaTheme="minorEastAsia" w:hAnsi="Century Gothic"/>
        </w:rPr>
        <w:tab/>
      </w:r>
      <w:r w:rsidR="00187410" w:rsidRPr="00737A97">
        <w:rPr>
          <w:rFonts w:ascii="Century Gothic" w:eastAsiaTheme="minorEastAsia" w:hAnsi="Century Gothic"/>
        </w:rPr>
        <w:t xml:space="preserve">                                                (</w:t>
      </w:r>
      <w:r w:rsidR="00411CF7" w:rsidRPr="00737A97">
        <w:rPr>
          <w:rFonts w:ascii="Century Gothic" w:eastAsiaTheme="minorEastAsia" w:hAnsi="Century Gothic"/>
        </w:rPr>
        <w:t>10</w:t>
      </w:r>
      <w:r w:rsidR="00187410" w:rsidRPr="00737A97">
        <w:rPr>
          <w:rFonts w:ascii="Century Gothic" w:eastAsiaTheme="minorEastAsia" w:hAnsi="Century Gothic"/>
        </w:rPr>
        <w:t>)</w:t>
      </w:r>
    </w:p>
    <w:p w14:paraId="374489CC" w14:textId="77777777" w:rsidR="00411CF7" w:rsidRPr="00737A97" w:rsidRDefault="00411CF7" w:rsidP="00EE3BED">
      <w:pPr>
        <w:jc w:val="both"/>
        <w:rPr>
          <w:rFonts w:ascii="Century Gothic" w:eastAsia="Malgun Gothic" w:hAnsi="Century Gothic"/>
        </w:rPr>
      </w:pPr>
      <w:r w:rsidRPr="00737A97">
        <w:rPr>
          <w:rFonts w:ascii="Century Gothic" w:hAnsi="Century Gothic"/>
        </w:rPr>
        <w:t>Where:</w:t>
      </w:r>
    </w:p>
    <w:p w14:paraId="5B67202A" w14:textId="77777777" w:rsidR="00411CF7" w:rsidRPr="00737A97" w:rsidRDefault="00411CF7" w:rsidP="00EE3BED">
      <w:pPr>
        <w:jc w:val="both"/>
        <w:rPr>
          <w:rFonts w:ascii="Century Gothic" w:eastAsiaTheme="minorEastAsia" w:hAnsi="Century Gothic"/>
        </w:rPr>
      </w:pPr>
      <w:r w:rsidRPr="00737A97">
        <w:rPr>
          <w:rFonts w:ascii="Century Gothic" w:hAnsi="Century Gothic"/>
        </w:rPr>
        <w:t xml:space="preserve"> </w:t>
      </w:r>
      <m:oMath>
        <m:sSub>
          <m:sSubPr>
            <m:ctrlPr>
              <w:rPr>
                <w:rFonts w:ascii="Cambria Math" w:eastAsiaTheme="minorEastAsia" w:hAnsi="Cambria Math"/>
                <w:i/>
              </w:rPr>
            </m:ctrlPr>
          </m:sSubPr>
          <m:e>
            <m:r>
              <w:rPr>
                <w:rFonts w:ascii="Cambria Math" w:eastAsiaTheme="minorEastAsia" w:hAnsi="Cambria Math"/>
              </w:rPr>
              <m:t>SROW</m:t>
            </m:r>
          </m:e>
          <m:sub>
            <m:r>
              <w:rPr>
                <w:rFonts w:ascii="Cambria Math" w:eastAsiaTheme="minorEastAsia" w:hAnsi="Cambria Math"/>
              </w:rPr>
              <m:t>t</m:t>
            </m:r>
          </m:sub>
        </m:sSub>
      </m:oMath>
      <w:r w:rsidRPr="00737A97">
        <w:rPr>
          <w:rFonts w:ascii="Century Gothic" w:eastAsiaTheme="minorEastAsia" w:hAnsi="Century Gothic"/>
        </w:rPr>
        <w:t xml:space="preserve"> is the rest of the world savings,</w:t>
      </w:r>
    </w:p>
    <w:p w14:paraId="1E49C8EC" w14:textId="61CCCFD3"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CAB</m:t>
            </m:r>
          </m:e>
          <m:sub>
            <m:r>
              <w:rPr>
                <w:rFonts w:ascii="Cambria Math" w:eastAsiaTheme="minorEastAsia" w:hAnsi="Cambria Math"/>
              </w:rPr>
              <m:t>t</m:t>
            </m:r>
          </m:sub>
        </m:sSub>
      </m:oMath>
      <w:r w:rsidR="00411CF7" w:rsidRPr="00737A97">
        <w:rPr>
          <w:rFonts w:ascii="Century Gothic" w:eastAsiaTheme="minorEastAsia" w:hAnsi="Century Gothic"/>
        </w:rPr>
        <w:t xml:space="preserve"> is the current account balance. </w:t>
      </w:r>
    </w:p>
    <w:p w14:paraId="56D2A20A" w14:textId="77777777" w:rsidR="006C4CC4" w:rsidRPr="00737A97" w:rsidRDefault="006C4CC4" w:rsidP="00EE3BED">
      <w:pPr>
        <w:jc w:val="both"/>
        <w:rPr>
          <w:rFonts w:ascii="Century Gothic" w:eastAsiaTheme="minorEastAsia" w:hAnsi="Century Gothic"/>
        </w:rPr>
      </w:pPr>
    </w:p>
    <w:p w14:paraId="35C5A400" w14:textId="0826E3E6" w:rsidR="006C4CC4" w:rsidRPr="00737A97" w:rsidRDefault="00411CF7" w:rsidP="00EE3BED">
      <w:pPr>
        <w:jc w:val="both"/>
        <w:rPr>
          <w:rFonts w:ascii="Century Gothic" w:eastAsiaTheme="minorEastAsia" w:hAnsi="Century Gothic"/>
        </w:rPr>
      </w:pPr>
      <w:r w:rsidRPr="00737A97">
        <w:rPr>
          <w:rFonts w:ascii="Century Gothic" w:eastAsiaTheme="minorEastAsia" w:hAnsi="Century Gothic"/>
        </w:rPr>
        <w:t>Since the total investment equals total savings, this relationship is represented in equation 11.</w:t>
      </w:r>
    </w:p>
    <w:p w14:paraId="7398210A" w14:textId="77777777" w:rsidR="006C4CC4" w:rsidRPr="00737A97" w:rsidRDefault="006C4CC4" w:rsidP="00EE3BED">
      <w:pPr>
        <w:jc w:val="both"/>
        <w:rPr>
          <w:rFonts w:ascii="Century Gothic" w:eastAsiaTheme="minorEastAsia" w:hAnsi="Century Gothic"/>
        </w:rPr>
      </w:pPr>
    </w:p>
    <w:p w14:paraId="16F1DAEE" w14:textId="57019B36" w:rsidR="00411CF7" w:rsidRPr="00737A97" w:rsidRDefault="00000000" w:rsidP="00EE3BED">
      <w:pPr>
        <w:jc w:val="both"/>
        <w:rPr>
          <w:rFonts w:ascii="Century Gothic" w:eastAsiaTheme="minorEastAsia" w:hAnsi="Century Gothic"/>
        </w:rPr>
      </w:pPr>
      <m:oMath>
        <m:sSub>
          <m:sSubPr>
            <m:ctrlPr>
              <w:rPr>
                <w:rFonts w:ascii="Cambria Math" w:eastAsia="Malgun Gothic" w:hAnsi="Cambria Math"/>
                <w:i/>
              </w:rPr>
            </m:ctrlPr>
          </m:sSubPr>
          <m:e>
            <m:r>
              <w:rPr>
                <w:rFonts w:ascii="Cambria Math" w:hAnsi="Cambria Math"/>
              </w:rPr>
              <m:t>IT</m:t>
            </m:r>
          </m:e>
          <m:sub>
            <m:r>
              <w:rPr>
                <w:rFonts w:ascii="Cambria Math" w:hAnsi="Cambria Math"/>
              </w:rPr>
              <m:t>t</m:t>
            </m:r>
          </m:sub>
        </m:sSub>
        <m:r>
          <w:rPr>
            <w:rFonts w:ascii="Cambria Math" w:hAnsi="Cambria Math"/>
          </w:rPr>
          <m:t>=</m:t>
        </m:r>
        <m:nary>
          <m:naryPr>
            <m:chr m:val="∑"/>
            <m:limLoc m:val="undOvr"/>
            <m:supHide m:val="1"/>
            <m:ctrlPr>
              <w:rPr>
                <w:rFonts w:ascii="Cambria Math" w:eastAsia="Malgun Gothic" w:hAnsi="Cambria Math"/>
                <w:i/>
              </w:rPr>
            </m:ctrlPr>
          </m:naryPr>
          <m:sub>
            <m:r>
              <w:rPr>
                <w:rFonts w:ascii="Cambria Math" w:hAnsi="Cambria Math"/>
              </w:rPr>
              <m:t>h</m:t>
            </m:r>
          </m:sub>
          <m:sup/>
          <m:e>
            <m:sSub>
              <m:sSubPr>
                <m:ctrlPr>
                  <w:rPr>
                    <w:rFonts w:ascii="Cambria Math" w:eastAsia="Malgun Gothic" w:hAnsi="Cambria Math"/>
                    <w:i/>
                  </w:rPr>
                </m:ctrlPr>
              </m:sSubPr>
              <m:e>
                <m:r>
                  <w:rPr>
                    <w:rFonts w:ascii="Cambria Math" w:hAnsi="Cambria Math"/>
                  </w:rPr>
                  <m:t>SH</m:t>
                </m:r>
              </m:e>
              <m:sub>
                <m:r>
                  <w:rPr>
                    <w:rFonts w:ascii="Cambria Math" w:hAnsi="Cambria Math"/>
                  </w:rPr>
                  <m:t>h,t</m:t>
                </m:r>
              </m:sub>
            </m:sSub>
          </m:e>
        </m:nary>
        <m:r>
          <w:rPr>
            <w:rFonts w:ascii="Cambria Math" w:hAnsi="Cambria Math"/>
          </w:rPr>
          <m:t>+</m:t>
        </m:r>
        <m:nary>
          <m:naryPr>
            <m:chr m:val="∑"/>
            <m:limLoc m:val="undOvr"/>
            <m:supHide m:val="1"/>
            <m:ctrlPr>
              <w:rPr>
                <w:rFonts w:ascii="Cambria Math" w:eastAsia="Malgun Gothic" w:hAnsi="Cambria Math"/>
                <w:i/>
              </w:rPr>
            </m:ctrlPr>
          </m:naryPr>
          <m:sub>
            <m:r>
              <w:rPr>
                <w:rFonts w:ascii="Cambria Math" w:hAnsi="Cambria Math"/>
              </w:rPr>
              <m:t>f</m:t>
            </m:r>
          </m:sub>
          <m:sup/>
          <m:e>
            <m:sSub>
              <m:sSubPr>
                <m:ctrlPr>
                  <w:rPr>
                    <w:rFonts w:ascii="Cambria Math" w:eastAsia="Malgun Gothic" w:hAnsi="Cambria Math"/>
                    <w:i/>
                  </w:rPr>
                </m:ctrlPr>
              </m:sSubPr>
              <m:e>
                <m:r>
                  <w:rPr>
                    <w:rFonts w:ascii="Cambria Math" w:hAnsi="Cambria Math"/>
                  </w:rPr>
                  <m:t>SF</m:t>
                </m:r>
              </m:e>
              <m:sub>
                <m:r>
                  <w:rPr>
                    <w:rFonts w:ascii="Cambria Math" w:hAnsi="Cambria Math"/>
                  </w:rPr>
                  <m:t>f,t</m:t>
                </m:r>
              </m:sub>
            </m:sSub>
          </m:e>
        </m:nary>
        <m:r>
          <w:rPr>
            <w:rFonts w:ascii="Cambria Math" w:hAnsi="Cambria Math"/>
          </w:rPr>
          <m:t>+</m:t>
        </m:r>
        <m:sSub>
          <m:sSubPr>
            <m:ctrlPr>
              <w:rPr>
                <w:rFonts w:ascii="Cambria Math" w:eastAsia="Malgun Gothic" w:hAnsi="Cambria Math"/>
                <w:i/>
              </w:rPr>
            </m:ctrlPr>
          </m:sSubPr>
          <m:e>
            <m:r>
              <w:rPr>
                <w:rFonts w:ascii="Cambria Math" w:hAnsi="Cambria Math"/>
              </w:rPr>
              <m:t>SG</m:t>
            </m:r>
          </m:e>
          <m:sub>
            <m:r>
              <w:rPr>
                <w:rFonts w:ascii="Cambria Math" w:hAnsi="Cambria Math"/>
              </w:rPr>
              <m:t>t</m:t>
            </m:r>
          </m:sub>
        </m:sSub>
        <m:r>
          <w:rPr>
            <w:rFonts w:ascii="Cambria Math" w:hAnsi="Cambria Math"/>
          </w:rPr>
          <m:t>+</m:t>
        </m:r>
        <m:sSub>
          <m:sSubPr>
            <m:ctrlPr>
              <w:rPr>
                <w:rFonts w:ascii="Cambria Math" w:eastAsia="Malgun Gothic" w:hAnsi="Cambria Math"/>
                <w:i/>
              </w:rPr>
            </m:ctrlPr>
          </m:sSubPr>
          <m:e>
            <m:r>
              <w:rPr>
                <w:rFonts w:ascii="Cambria Math" w:hAnsi="Cambria Math"/>
              </w:rPr>
              <m:t>SROW</m:t>
            </m:r>
          </m:e>
          <m:sub>
            <m:r>
              <w:rPr>
                <w:rFonts w:ascii="Cambria Math" w:hAnsi="Cambria Math"/>
              </w:rPr>
              <m:t>t</m:t>
            </m:r>
          </m:sub>
        </m:sSub>
        <m:r>
          <w:rPr>
            <w:rFonts w:ascii="Cambria Math" w:hAnsi="Cambria Math"/>
          </w:rPr>
          <m:t>+</m:t>
        </m:r>
        <m:nary>
          <m:naryPr>
            <m:chr m:val="∑"/>
            <m:limLoc m:val="undOvr"/>
            <m:supHide m:val="1"/>
            <m:ctrlPr>
              <w:rPr>
                <w:rFonts w:ascii="Cambria Math" w:eastAsia="Malgun Gothic" w:hAnsi="Cambria Math"/>
                <w:i/>
              </w:rPr>
            </m:ctrlPr>
          </m:naryPr>
          <m:sub>
            <m:r>
              <w:rPr>
                <w:rFonts w:ascii="Cambria Math" w:hAnsi="Cambria Math"/>
              </w:rPr>
              <m:t>j</m:t>
            </m:r>
          </m:sub>
          <m:sup/>
          <m:e>
            <m:sSub>
              <m:sSubPr>
                <m:ctrlPr>
                  <w:rPr>
                    <w:rFonts w:ascii="Cambria Math" w:eastAsia="Malgun Gothic" w:hAnsi="Cambria Math"/>
                    <w:i/>
                  </w:rPr>
                </m:ctrlPr>
              </m:sSubPr>
              <m:e>
                <m:r>
                  <w:rPr>
                    <w:rFonts w:ascii="Cambria Math" w:hAnsi="Cambria Math"/>
                  </w:rPr>
                  <m:t>FDI</m:t>
                </m:r>
              </m:e>
              <m:sub>
                <m:r>
                  <w:rPr>
                    <w:rFonts w:ascii="Cambria Math" w:hAnsi="Cambria Math"/>
                  </w:rPr>
                  <m:t>j,t</m:t>
                </m:r>
              </m:sub>
            </m:sSub>
          </m:e>
        </m:nary>
      </m:oMath>
      <w:r w:rsidR="00411CF7" w:rsidRPr="00737A97">
        <w:rPr>
          <w:rFonts w:ascii="Century Gothic" w:eastAsiaTheme="minorEastAsia" w:hAnsi="Century Gothic"/>
        </w:rPr>
        <w:t xml:space="preserve">   </w:t>
      </w:r>
      <w:r w:rsidR="006C4CC4" w:rsidRPr="00737A97">
        <w:rPr>
          <w:rFonts w:ascii="Century Gothic" w:eastAsiaTheme="minorEastAsia" w:hAnsi="Century Gothic"/>
        </w:rPr>
        <w:t xml:space="preserve">                                      </w:t>
      </w:r>
      <w:r w:rsidR="00411CF7" w:rsidRPr="00737A97">
        <w:rPr>
          <w:rFonts w:ascii="Century Gothic" w:eastAsiaTheme="minorEastAsia" w:hAnsi="Century Gothic"/>
        </w:rPr>
        <w:t xml:space="preserve">       </w:t>
      </w:r>
      <w:r w:rsidR="006C4CC4" w:rsidRPr="00737A97">
        <w:rPr>
          <w:rFonts w:ascii="Century Gothic" w:eastAsiaTheme="minorEastAsia" w:hAnsi="Century Gothic"/>
        </w:rPr>
        <w:t>(</w:t>
      </w:r>
      <w:r w:rsidR="00411CF7" w:rsidRPr="00737A97">
        <w:rPr>
          <w:rFonts w:ascii="Century Gothic" w:eastAsiaTheme="minorEastAsia" w:hAnsi="Century Gothic"/>
        </w:rPr>
        <w:t>11</w:t>
      </w:r>
      <w:r w:rsidR="006C4CC4" w:rsidRPr="00737A97">
        <w:rPr>
          <w:rFonts w:ascii="Century Gothic" w:eastAsiaTheme="minorEastAsia" w:hAnsi="Century Gothic"/>
        </w:rPr>
        <w:t>)</w:t>
      </w:r>
    </w:p>
    <w:p w14:paraId="5768976E"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Where:</w:t>
      </w:r>
    </w:p>
    <w:p w14:paraId="62862EED" w14:textId="33AD091B"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 </w:t>
      </w:r>
      <m:oMath>
        <m:sSub>
          <m:sSubPr>
            <m:ctrlPr>
              <w:rPr>
                <w:rFonts w:ascii="Cambria Math" w:eastAsia="Malgun Gothic" w:hAnsi="Cambria Math"/>
                <w:i/>
              </w:rPr>
            </m:ctrlPr>
          </m:sSubPr>
          <m:e>
            <m:r>
              <w:rPr>
                <w:rFonts w:ascii="Cambria Math" w:hAnsi="Cambria Math"/>
              </w:rPr>
              <m:t>IT</m:t>
            </m:r>
          </m:e>
          <m:sub>
            <m:r>
              <w:rPr>
                <w:rFonts w:ascii="Cambria Math" w:hAnsi="Cambria Math"/>
              </w:rPr>
              <m:t>t</m:t>
            </m:r>
          </m:sub>
        </m:sSub>
      </m:oMath>
      <w:r w:rsidRPr="00737A97">
        <w:rPr>
          <w:rFonts w:ascii="Century Gothic" w:eastAsiaTheme="minorEastAsia" w:hAnsi="Century Gothic"/>
        </w:rPr>
        <w:t xml:space="preserve"> is </w:t>
      </w:r>
      <w:r w:rsidR="00E91538" w:rsidRPr="00737A97">
        <w:rPr>
          <w:rFonts w:ascii="Century Gothic" w:eastAsiaTheme="minorEastAsia" w:hAnsi="Century Gothic"/>
        </w:rPr>
        <w:t>t</w:t>
      </w:r>
      <w:r w:rsidRPr="00737A97">
        <w:rPr>
          <w:rFonts w:ascii="Century Gothic" w:eastAsiaTheme="minorEastAsia" w:hAnsi="Century Gothic"/>
        </w:rPr>
        <w:t>otal investment,</w:t>
      </w:r>
    </w:p>
    <w:p w14:paraId="50C31D60"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 </w:t>
      </w:r>
      <m:oMath>
        <m:sSub>
          <m:sSubPr>
            <m:ctrlPr>
              <w:rPr>
                <w:rFonts w:ascii="Cambria Math" w:eastAsia="Malgun Gothic" w:hAnsi="Cambria Math"/>
                <w:i/>
              </w:rPr>
            </m:ctrlPr>
          </m:sSubPr>
          <m:e>
            <m:r>
              <w:rPr>
                <w:rFonts w:ascii="Cambria Math" w:hAnsi="Cambria Math"/>
              </w:rPr>
              <m:t>SH</m:t>
            </m:r>
          </m:e>
          <m:sub>
            <m:r>
              <w:rPr>
                <w:rFonts w:ascii="Cambria Math" w:hAnsi="Cambria Math"/>
              </w:rPr>
              <m:t>h,t</m:t>
            </m:r>
          </m:sub>
        </m:sSub>
      </m:oMath>
      <w:r w:rsidRPr="00737A97">
        <w:rPr>
          <w:rFonts w:ascii="Century Gothic" w:eastAsiaTheme="minorEastAsia" w:hAnsi="Century Gothic"/>
        </w:rPr>
        <w:t xml:space="preserve"> is household savings,</w:t>
      </w:r>
    </w:p>
    <w:p w14:paraId="684ADF90"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 </w:t>
      </w:r>
      <m:oMath>
        <m:sSub>
          <m:sSubPr>
            <m:ctrlPr>
              <w:rPr>
                <w:rFonts w:ascii="Cambria Math" w:eastAsia="Malgun Gothic" w:hAnsi="Cambria Math"/>
                <w:i/>
              </w:rPr>
            </m:ctrlPr>
          </m:sSubPr>
          <m:e>
            <m:r>
              <w:rPr>
                <w:rFonts w:ascii="Cambria Math" w:hAnsi="Cambria Math"/>
              </w:rPr>
              <m:t>SF</m:t>
            </m:r>
          </m:e>
          <m:sub>
            <m:r>
              <w:rPr>
                <w:rFonts w:ascii="Cambria Math" w:hAnsi="Cambria Math"/>
              </w:rPr>
              <m:t>f,t</m:t>
            </m:r>
          </m:sub>
        </m:sSub>
      </m:oMath>
      <w:r w:rsidRPr="00737A97">
        <w:rPr>
          <w:rFonts w:ascii="Century Gothic" w:eastAsiaTheme="minorEastAsia" w:hAnsi="Century Gothic"/>
        </w:rPr>
        <w:t xml:space="preserve"> savings of the firm,</w:t>
      </w:r>
    </w:p>
    <w:p w14:paraId="1B6F828A" w14:textId="1C7D6C36"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 </w:t>
      </w:r>
      <m:oMath>
        <m:sSub>
          <m:sSubPr>
            <m:ctrlPr>
              <w:rPr>
                <w:rFonts w:ascii="Cambria Math" w:eastAsia="Malgun Gothic" w:hAnsi="Cambria Math"/>
                <w:i/>
              </w:rPr>
            </m:ctrlPr>
          </m:sSubPr>
          <m:e>
            <m:r>
              <w:rPr>
                <w:rFonts w:ascii="Cambria Math" w:hAnsi="Cambria Math"/>
              </w:rPr>
              <m:t>SG</m:t>
            </m:r>
          </m:e>
          <m:sub>
            <m:r>
              <w:rPr>
                <w:rFonts w:ascii="Cambria Math" w:hAnsi="Cambria Math"/>
              </w:rPr>
              <m:t>t</m:t>
            </m:r>
          </m:sub>
        </m:sSub>
      </m:oMath>
      <w:r w:rsidRPr="00737A97">
        <w:rPr>
          <w:rFonts w:ascii="Century Gothic" w:eastAsiaTheme="minorEastAsia" w:hAnsi="Century Gothic"/>
        </w:rPr>
        <w:t xml:space="preserve"> is government savings.</w:t>
      </w:r>
    </w:p>
    <w:p w14:paraId="12AD1449" w14:textId="77777777" w:rsidR="00E91538" w:rsidRPr="00737A97" w:rsidRDefault="00E91538" w:rsidP="00EE3BED">
      <w:pPr>
        <w:jc w:val="both"/>
        <w:rPr>
          <w:rFonts w:ascii="Century Gothic" w:eastAsiaTheme="minorEastAsia" w:hAnsi="Century Gothic"/>
        </w:rPr>
      </w:pPr>
    </w:p>
    <w:p w14:paraId="1FEF98D7" w14:textId="667FE1B4"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 xml:space="preserve">To determine equilibrium on the private investment market </w:t>
      </w:r>
      <w:r w:rsidR="00A47305" w:rsidRPr="00737A97">
        <w:rPr>
          <w:rFonts w:ascii="Century Gothic" w:eastAsiaTheme="minorEastAsia" w:hAnsi="Century Gothic"/>
        </w:rPr>
        <w:t>we use e</w:t>
      </w:r>
      <w:r w:rsidRPr="00737A97">
        <w:rPr>
          <w:rFonts w:ascii="Century Gothic" w:eastAsiaTheme="minorEastAsia" w:hAnsi="Century Gothic"/>
        </w:rPr>
        <w:t xml:space="preserve">quation 12. </w:t>
      </w:r>
    </w:p>
    <w:p w14:paraId="7DFD507B" w14:textId="77777777" w:rsidR="005E4F61" w:rsidRPr="00737A97" w:rsidRDefault="005E4F61" w:rsidP="00EE3BED">
      <w:pPr>
        <w:jc w:val="both"/>
        <w:rPr>
          <w:rFonts w:ascii="Century Gothic" w:eastAsiaTheme="minorEastAsia" w:hAnsi="Century Gothic"/>
        </w:rPr>
      </w:pPr>
    </w:p>
    <w:p w14:paraId="45C72621" w14:textId="070FA36D"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IT_PRI</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PK_PRI</m:t>
            </m:r>
          </m:e>
          <m:sub>
            <m:r>
              <w:rPr>
                <w:rFonts w:ascii="Cambria Math" w:eastAsiaTheme="minorEastAsia" w:hAnsi="Cambria Math"/>
              </w:rPr>
              <m:t>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k,bus</m:t>
            </m:r>
          </m:sub>
          <m:sup/>
          <m:e>
            <m:sSub>
              <m:sSubPr>
                <m:ctrlPr>
                  <w:rPr>
                    <w:rFonts w:ascii="Cambria Math" w:eastAsiaTheme="minorEastAsia" w:hAnsi="Cambria Math"/>
                    <w:i/>
                  </w:rPr>
                </m:ctrlPr>
              </m:sSubPr>
              <m:e>
                <m:r>
                  <w:rPr>
                    <w:rFonts w:ascii="Cambria Math" w:eastAsiaTheme="minorEastAsia" w:hAnsi="Cambria Math"/>
                  </w:rPr>
                  <m:t>IND</m:t>
                </m:r>
              </m:e>
              <m:sub>
                <m:r>
                  <w:rPr>
                    <w:rFonts w:ascii="Cambria Math" w:eastAsiaTheme="minorEastAsia" w:hAnsi="Cambria Math"/>
                  </w:rPr>
                  <m:t>k,bus,t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FDI</m:t>
                    </m:r>
                  </m:e>
                  <m:sub>
                    <m:r>
                      <w:rPr>
                        <w:rFonts w:ascii="Cambria Math" w:eastAsiaTheme="minorEastAsia" w:hAnsi="Cambria Math"/>
                      </w:rPr>
                      <m:t>j,t</m:t>
                    </m:r>
                  </m:sub>
                </m:sSub>
              </m:e>
            </m:nary>
          </m:e>
        </m:nary>
      </m:oMath>
      <w:r w:rsidR="00411CF7" w:rsidRPr="00737A97">
        <w:rPr>
          <w:rFonts w:ascii="Century Gothic" w:eastAsiaTheme="minorEastAsia" w:hAnsi="Century Gothic"/>
        </w:rPr>
        <w:tab/>
        <w:t xml:space="preserve"> </w:t>
      </w:r>
      <w:r w:rsidR="00E91538" w:rsidRPr="00737A97">
        <w:rPr>
          <w:rFonts w:ascii="Century Gothic" w:eastAsiaTheme="minorEastAsia" w:hAnsi="Century Gothic"/>
        </w:rPr>
        <w:t xml:space="preserve">                                       </w:t>
      </w:r>
      <w:r w:rsidR="00411CF7" w:rsidRPr="00737A97">
        <w:rPr>
          <w:rFonts w:ascii="Century Gothic" w:eastAsiaTheme="minorEastAsia" w:hAnsi="Century Gothic"/>
        </w:rPr>
        <w:t xml:space="preserve">      </w:t>
      </w:r>
      <w:r w:rsidR="00411CF7" w:rsidRPr="00737A97">
        <w:rPr>
          <w:rFonts w:ascii="Century Gothic" w:eastAsiaTheme="minorEastAsia" w:hAnsi="Century Gothic"/>
        </w:rPr>
        <w:tab/>
      </w:r>
      <w:r w:rsidR="00E91538" w:rsidRPr="00737A97">
        <w:rPr>
          <w:rFonts w:ascii="Century Gothic" w:eastAsiaTheme="minorEastAsia" w:hAnsi="Century Gothic"/>
        </w:rPr>
        <w:t>(</w:t>
      </w:r>
      <w:r w:rsidR="00411CF7" w:rsidRPr="00737A97">
        <w:rPr>
          <w:rFonts w:ascii="Century Gothic" w:eastAsiaTheme="minorEastAsia" w:hAnsi="Century Gothic"/>
        </w:rPr>
        <w:t>12</w:t>
      </w:r>
      <w:r w:rsidR="00E91538" w:rsidRPr="00737A97">
        <w:rPr>
          <w:rFonts w:ascii="Century Gothic" w:eastAsiaTheme="minorEastAsia" w:hAnsi="Century Gothic"/>
        </w:rPr>
        <w:t>)</w:t>
      </w:r>
    </w:p>
    <w:p w14:paraId="040E9868"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Where:</w:t>
      </w:r>
    </w:p>
    <w:p w14:paraId="3EF98E25" w14:textId="5302AD73"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IT_PRI</m:t>
            </m:r>
          </m:e>
          <m:sub>
            <m:r>
              <w:rPr>
                <w:rFonts w:ascii="Cambria Math" w:eastAsiaTheme="minorEastAsia" w:hAnsi="Cambria Math"/>
              </w:rPr>
              <m:t>t</m:t>
            </m:r>
          </m:sub>
        </m:sSub>
      </m:oMath>
      <w:r w:rsidR="00411CF7" w:rsidRPr="00737A97">
        <w:rPr>
          <w:rFonts w:ascii="Century Gothic" w:eastAsiaTheme="minorEastAsia" w:hAnsi="Century Gothic"/>
        </w:rPr>
        <w:t xml:space="preserve"> is total private investment</w:t>
      </w:r>
      <w:r w:rsidR="00A47305" w:rsidRPr="00737A97">
        <w:rPr>
          <w:rFonts w:ascii="Century Gothic" w:eastAsiaTheme="minorEastAsia" w:hAnsi="Century Gothic"/>
        </w:rPr>
        <w:t>;</w:t>
      </w:r>
    </w:p>
    <w:p w14:paraId="06CEFC68" w14:textId="54B08404" w:rsidR="00411CF7" w:rsidRPr="00737A97" w:rsidRDefault="00000000" w:rsidP="00EE3BED">
      <w:pPr>
        <w:jc w:val="both"/>
        <w:rPr>
          <w:rFonts w:ascii="Century Gothic" w:eastAsiaTheme="minorEastAsia" w:hAnsi="Century Gothic"/>
        </w:rPr>
      </w:pPr>
      <m:oMath>
        <m:sSub>
          <m:sSubPr>
            <m:ctrlPr>
              <w:rPr>
                <w:rFonts w:ascii="Cambria Math" w:eastAsiaTheme="minorEastAsia" w:hAnsi="Cambria Math"/>
                <w:i/>
              </w:rPr>
            </m:ctrlPr>
          </m:sSubPr>
          <m:e>
            <m:r>
              <w:rPr>
                <w:rFonts w:ascii="Cambria Math" w:eastAsiaTheme="minorEastAsia" w:hAnsi="Cambria Math"/>
              </w:rPr>
              <m:t>IND</m:t>
            </m:r>
          </m:e>
          <m:sub>
            <m:r>
              <w:rPr>
                <w:rFonts w:ascii="Cambria Math" w:eastAsiaTheme="minorEastAsia" w:hAnsi="Cambria Math"/>
              </w:rPr>
              <m:t>k,bus,t</m:t>
            </m:r>
          </m:sub>
        </m:sSub>
      </m:oMath>
      <w:r w:rsidR="00411CF7" w:rsidRPr="00737A97">
        <w:rPr>
          <w:rFonts w:ascii="Century Gothic" w:eastAsiaTheme="minorEastAsia" w:hAnsi="Century Gothic"/>
        </w:rPr>
        <w:t xml:space="preserve"> is investment in capital k for the private industry.</w:t>
      </w:r>
    </w:p>
    <w:p w14:paraId="12C56A24" w14:textId="77777777" w:rsidR="00A47305" w:rsidRPr="00737A97" w:rsidRDefault="00A47305" w:rsidP="00EE3BED">
      <w:pPr>
        <w:jc w:val="both"/>
        <w:rPr>
          <w:rFonts w:ascii="Century Gothic" w:eastAsiaTheme="minorEastAsia" w:hAnsi="Century Gothic"/>
        </w:rPr>
      </w:pPr>
    </w:p>
    <w:p w14:paraId="4DB5E8E3" w14:textId="299DAB8F" w:rsidR="00411CF7" w:rsidRPr="00737A97" w:rsidRDefault="00411CF7" w:rsidP="00EE3BED">
      <w:pPr>
        <w:jc w:val="both"/>
        <w:rPr>
          <w:rFonts w:ascii="Century Gothic" w:eastAsia="Malgun Gothic" w:hAnsi="Century Gothic"/>
        </w:rPr>
      </w:pPr>
      <w:r w:rsidRPr="00737A97">
        <w:rPr>
          <w:rFonts w:ascii="Century Gothic" w:eastAsiaTheme="minorEastAsia" w:hAnsi="Century Gothic"/>
        </w:rPr>
        <w:t xml:space="preserve">Finally, </w:t>
      </w:r>
      <w:r w:rsidRPr="00737A97">
        <w:rPr>
          <w:rFonts w:ascii="Century Gothic" w:hAnsi="Century Gothic"/>
        </w:rPr>
        <w:t xml:space="preserve">we modified value added </w:t>
      </w:r>
      <w:r w:rsidR="00A47305" w:rsidRPr="00737A97">
        <w:rPr>
          <w:rFonts w:ascii="Century Gothic" w:hAnsi="Century Gothic"/>
        </w:rPr>
        <w:t xml:space="preserve">equation </w:t>
      </w:r>
      <w:r w:rsidRPr="00737A97">
        <w:rPr>
          <w:rFonts w:ascii="Century Gothic" w:hAnsi="Century Gothic"/>
        </w:rPr>
        <w:t xml:space="preserve">to include </w:t>
      </w:r>
      <w:r w:rsidR="00A47305" w:rsidRPr="00737A97">
        <w:rPr>
          <w:rFonts w:ascii="Century Gothic" w:hAnsi="Century Gothic"/>
        </w:rPr>
        <w:t>t</w:t>
      </w:r>
      <w:r w:rsidRPr="00737A97">
        <w:rPr>
          <w:rFonts w:ascii="Century Gothic" w:hAnsi="Century Gothic"/>
        </w:rPr>
        <w:t xml:space="preserve">otal factor productivity for industry j. </w:t>
      </w:r>
    </w:p>
    <w:p w14:paraId="56B434C4" w14:textId="5D9CA5F2" w:rsidR="00411CF7" w:rsidRPr="00737A97" w:rsidRDefault="00000000" w:rsidP="00EE3BED">
      <w:pPr>
        <w:jc w:val="both"/>
        <w:rPr>
          <w:rFonts w:ascii="Century Gothic" w:eastAsiaTheme="minorEastAsia" w:hAnsi="Century Gothic"/>
        </w:rPr>
      </w:pPr>
      <m:oMath>
        <m:sSub>
          <m:sSubPr>
            <m:ctrlPr>
              <w:rPr>
                <w:rFonts w:ascii="Cambria Math" w:eastAsia="Malgun Gothic" w:hAnsi="Cambria Math"/>
                <w:i/>
              </w:rPr>
            </m:ctrlPr>
          </m:sSubPr>
          <m:e>
            <m:r>
              <w:rPr>
                <w:rFonts w:ascii="Cambria Math" w:hAnsi="Cambria Math"/>
              </w:rPr>
              <m:t>VA</m:t>
            </m:r>
          </m:e>
          <m:sub>
            <m:r>
              <w:rPr>
                <w:rFonts w:ascii="Cambria Math" w:hAnsi="Cambria Math"/>
              </w:rPr>
              <m:t>j,t</m:t>
            </m:r>
          </m:sub>
        </m:sSub>
        <m:r>
          <w:rPr>
            <w:rFonts w:ascii="Cambria Math" w:hAnsi="Cambria Math"/>
          </w:rPr>
          <m:t>=</m:t>
        </m:r>
        <m:sSub>
          <m:sSubPr>
            <m:ctrlPr>
              <w:rPr>
                <w:rFonts w:ascii="Cambria Math" w:eastAsia="Malgun Gothic" w:hAnsi="Cambria Math"/>
                <w:i/>
              </w:rPr>
            </m:ctrlPr>
          </m:sSubPr>
          <m:e>
            <m:r>
              <w:rPr>
                <w:rFonts w:ascii="Cambria Math" w:hAnsi="Cambria Math"/>
              </w:rPr>
              <m:t>TFPA</m:t>
            </m:r>
          </m:e>
          <m:sub>
            <m:r>
              <w:rPr>
                <w:rFonts w:ascii="Cambria Math" w:hAnsi="Cambria Math"/>
              </w:rPr>
              <m:t>j,t</m:t>
            </m:r>
          </m:sub>
        </m:sSub>
        <m:sSubSup>
          <m:sSubSupPr>
            <m:ctrlPr>
              <w:rPr>
                <w:rFonts w:ascii="Cambria Math" w:eastAsia="Malgun Gothic" w:hAnsi="Cambria Math"/>
                <w:i/>
              </w:rPr>
            </m:ctrlPr>
          </m:sSubSupPr>
          <m:e>
            <m:r>
              <w:rPr>
                <w:rFonts w:ascii="Cambria Math" w:hAnsi="Cambria Math"/>
              </w:rPr>
              <m:t>B</m:t>
            </m:r>
          </m:e>
          <m:sub>
            <m:r>
              <w:rPr>
                <w:rFonts w:ascii="Cambria Math" w:hAnsi="Cambria Math"/>
              </w:rPr>
              <m:t>j</m:t>
            </m:r>
          </m:sub>
          <m:sup>
            <m:r>
              <w:rPr>
                <w:rFonts w:ascii="Cambria Math" w:hAnsi="Cambria Math"/>
              </w:rPr>
              <m:t>VA</m:t>
            </m:r>
          </m:sup>
        </m:sSubSup>
        <m:sSup>
          <m:sSupPr>
            <m:ctrlPr>
              <w:rPr>
                <w:rFonts w:ascii="Cambria Math" w:eastAsia="Malgun Gothic" w:hAnsi="Cambria Math"/>
                <w:i/>
              </w:rPr>
            </m:ctrlPr>
          </m:sSupPr>
          <m:e>
            <m:r>
              <w:rPr>
                <w:rFonts w:ascii="Cambria Math" w:hAnsi="Cambria Math"/>
              </w:rPr>
              <m:t>[</m:t>
            </m:r>
            <m:sSubSup>
              <m:sSubSupPr>
                <m:ctrlPr>
                  <w:rPr>
                    <w:rFonts w:ascii="Cambria Math" w:eastAsia="Malgun Gothic" w:hAnsi="Cambria Math"/>
                    <w:i/>
                  </w:rPr>
                </m:ctrlPr>
              </m:sSubSupPr>
              <m:e>
                <m:r>
                  <w:rPr>
                    <w:rFonts w:ascii="Cambria Math" w:hAnsi="Cambria Math"/>
                  </w:rPr>
                  <m:t>β</m:t>
                </m:r>
              </m:e>
              <m:sub>
                <m:r>
                  <w:rPr>
                    <w:rFonts w:ascii="Cambria Math" w:hAnsi="Cambria Math"/>
                  </w:rPr>
                  <m:t>j</m:t>
                </m:r>
              </m:sub>
              <m:sup>
                <m:r>
                  <w:rPr>
                    <w:rFonts w:ascii="Cambria Math" w:hAnsi="Cambria Math"/>
                  </w:rPr>
                  <m:t>VA</m:t>
                </m:r>
              </m:sup>
            </m:sSubSup>
            <m:sSubSup>
              <m:sSubSupPr>
                <m:ctrlPr>
                  <w:rPr>
                    <w:rFonts w:ascii="Cambria Math" w:eastAsia="Malgun Gothic" w:hAnsi="Cambria Math"/>
                    <w:i/>
                  </w:rPr>
                </m:ctrlPr>
              </m:sSubSupPr>
              <m:e>
                <m:r>
                  <w:rPr>
                    <w:rFonts w:ascii="Cambria Math" w:hAnsi="Cambria Math"/>
                  </w:rPr>
                  <m:t>LDC</m:t>
                </m:r>
              </m:e>
              <m:sub>
                <m:r>
                  <w:rPr>
                    <w:rFonts w:ascii="Cambria Math" w:hAnsi="Cambria Math"/>
                  </w:rPr>
                  <m:t>j,t</m:t>
                </m:r>
              </m:sub>
              <m:sup>
                <m:sSubSup>
                  <m:sSubSupPr>
                    <m:ctrlPr>
                      <w:rPr>
                        <w:rFonts w:ascii="Cambria Math" w:eastAsia="Malgun Gothic" w:hAnsi="Cambria Math"/>
                        <w:i/>
                      </w:rPr>
                    </m:ctrlPr>
                  </m:sSubSupPr>
                  <m:e>
                    <m:r>
                      <w:rPr>
                        <w:rFonts w:ascii="Cambria Math" w:hAnsi="Cambria Math"/>
                      </w:rPr>
                      <m:t>-ρ</m:t>
                    </m:r>
                  </m:e>
                  <m:sub>
                    <m:r>
                      <w:rPr>
                        <w:rFonts w:ascii="Cambria Math" w:hAnsi="Cambria Math"/>
                      </w:rPr>
                      <m:t>j</m:t>
                    </m:r>
                  </m:sub>
                  <m:sup>
                    <m:r>
                      <w:rPr>
                        <w:rFonts w:ascii="Cambria Math" w:hAnsi="Cambria Math"/>
                      </w:rPr>
                      <m:t>VA</m:t>
                    </m:r>
                  </m:sup>
                </m:sSubSup>
              </m:sup>
            </m:sSubSup>
            <m:r>
              <w:rPr>
                <w:rFonts w:ascii="Cambria Math" w:hAnsi="Cambria Math"/>
              </w:rPr>
              <m:t>+</m:t>
            </m:r>
            <m:sSubSup>
              <m:sSubSupPr>
                <m:ctrlPr>
                  <w:rPr>
                    <w:rFonts w:ascii="Cambria Math" w:eastAsia="Malgun Gothic" w:hAnsi="Cambria Math"/>
                    <w:i/>
                  </w:rPr>
                </m:ctrlPr>
              </m:sSubSupPr>
              <m:e>
                <m:r>
                  <w:rPr>
                    <w:rFonts w:ascii="Cambria Math" w:hAnsi="Cambria Math"/>
                  </w:rPr>
                  <m:t>(1-β</m:t>
                </m:r>
              </m:e>
              <m:sub>
                <m:r>
                  <w:rPr>
                    <w:rFonts w:ascii="Cambria Math" w:hAnsi="Cambria Math"/>
                  </w:rPr>
                  <m:t>j</m:t>
                </m:r>
              </m:sub>
              <m:sup>
                <m:r>
                  <w:rPr>
                    <w:rFonts w:ascii="Cambria Math" w:hAnsi="Cambria Math"/>
                  </w:rPr>
                  <m:t>VA</m:t>
                </m:r>
              </m:sup>
            </m:sSubSup>
            <m:r>
              <w:rPr>
                <w:rFonts w:ascii="Cambria Math" w:hAnsi="Cambria Math"/>
              </w:rPr>
              <m:t>)</m:t>
            </m:r>
            <m:sSubSup>
              <m:sSubSupPr>
                <m:ctrlPr>
                  <w:rPr>
                    <w:rFonts w:ascii="Cambria Math" w:eastAsia="Malgun Gothic" w:hAnsi="Cambria Math"/>
                    <w:i/>
                  </w:rPr>
                </m:ctrlPr>
              </m:sSubSupPr>
              <m:e>
                <m:r>
                  <w:rPr>
                    <w:rFonts w:ascii="Cambria Math" w:hAnsi="Cambria Math"/>
                  </w:rPr>
                  <m:t>KDC</m:t>
                </m:r>
              </m:e>
              <m:sub>
                <m:r>
                  <w:rPr>
                    <w:rFonts w:ascii="Cambria Math" w:hAnsi="Cambria Math"/>
                  </w:rPr>
                  <m:t>j,t</m:t>
                </m:r>
              </m:sub>
              <m:sup>
                <m:sSubSup>
                  <m:sSubSupPr>
                    <m:ctrlPr>
                      <w:rPr>
                        <w:rFonts w:ascii="Cambria Math" w:eastAsia="Malgun Gothic" w:hAnsi="Cambria Math"/>
                        <w:i/>
                      </w:rPr>
                    </m:ctrlPr>
                  </m:sSubSupPr>
                  <m:e>
                    <m:r>
                      <w:rPr>
                        <w:rFonts w:ascii="Cambria Math" w:hAnsi="Cambria Math"/>
                      </w:rPr>
                      <m:t>-ρ</m:t>
                    </m:r>
                  </m:e>
                  <m:sub>
                    <m:r>
                      <w:rPr>
                        <w:rFonts w:ascii="Cambria Math" w:hAnsi="Cambria Math"/>
                      </w:rPr>
                      <m:t>j</m:t>
                    </m:r>
                  </m:sub>
                  <m:sup>
                    <m:r>
                      <w:rPr>
                        <w:rFonts w:ascii="Cambria Math" w:hAnsi="Cambria Math"/>
                      </w:rPr>
                      <m:t>VA</m:t>
                    </m:r>
                  </m:sup>
                </m:sSubSup>
              </m:sup>
            </m:sSubSup>
            <m:r>
              <w:rPr>
                <w:rFonts w:ascii="Cambria Math" w:hAnsi="Cambria Math"/>
              </w:rPr>
              <m:t>]</m:t>
            </m:r>
          </m:e>
          <m:sup>
            <m:f>
              <m:fPr>
                <m:ctrlPr>
                  <w:rPr>
                    <w:rFonts w:ascii="Cambria Math" w:eastAsia="Malgun Gothic" w:hAnsi="Cambria Math"/>
                    <w:i/>
                  </w:rPr>
                </m:ctrlPr>
              </m:fPr>
              <m:num>
                <m:r>
                  <w:rPr>
                    <w:rFonts w:ascii="Cambria Math" w:hAnsi="Cambria Math"/>
                  </w:rPr>
                  <m:t>-1</m:t>
                </m:r>
              </m:num>
              <m:den>
                <m:sSubSup>
                  <m:sSubSupPr>
                    <m:ctrlPr>
                      <w:rPr>
                        <w:rFonts w:ascii="Cambria Math" w:eastAsia="Malgun Gothic" w:hAnsi="Cambria Math"/>
                        <w:i/>
                      </w:rPr>
                    </m:ctrlPr>
                  </m:sSubSupPr>
                  <m:e>
                    <m:r>
                      <w:rPr>
                        <w:rFonts w:ascii="Cambria Math" w:hAnsi="Cambria Math"/>
                      </w:rPr>
                      <m:t>ρ</m:t>
                    </m:r>
                  </m:e>
                  <m:sub>
                    <m:r>
                      <w:rPr>
                        <w:rFonts w:ascii="Cambria Math" w:hAnsi="Cambria Math"/>
                      </w:rPr>
                      <m:t>j</m:t>
                    </m:r>
                  </m:sub>
                  <m:sup>
                    <m:r>
                      <w:rPr>
                        <w:rFonts w:ascii="Cambria Math" w:hAnsi="Cambria Math"/>
                      </w:rPr>
                      <m:t>VA</m:t>
                    </m:r>
                  </m:sup>
                </m:sSubSup>
              </m:den>
            </m:f>
          </m:sup>
        </m:sSup>
      </m:oMath>
      <w:r w:rsidR="00411CF7" w:rsidRPr="00737A97">
        <w:rPr>
          <w:rFonts w:ascii="Century Gothic" w:eastAsiaTheme="minorEastAsia" w:hAnsi="Century Gothic"/>
        </w:rPr>
        <w:t xml:space="preserve">     </w:t>
      </w:r>
      <w:r w:rsidR="00A47305" w:rsidRPr="00737A97">
        <w:rPr>
          <w:rFonts w:ascii="Century Gothic" w:eastAsiaTheme="minorEastAsia" w:hAnsi="Century Gothic"/>
        </w:rPr>
        <w:t xml:space="preserve">                              </w:t>
      </w:r>
      <w:r w:rsidR="00411CF7" w:rsidRPr="00737A97">
        <w:rPr>
          <w:rFonts w:ascii="Century Gothic" w:eastAsiaTheme="minorEastAsia" w:hAnsi="Century Gothic"/>
        </w:rPr>
        <w:t xml:space="preserve">   </w:t>
      </w:r>
      <w:r w:rsidR="00A47305" w:rsidRPr="00737A97">
        <w:rPr>
          <w:rFonts w:ascii="Century Gothic" w:eastAsiaTheme="minorEastAsia" w:hAnsi="Century Gothic"/>
        </w:rPr>
        <w:t>(</w:t>
      </w:r>
      <w:r w:rsidR="00411CF7" w:rsidRPr="00737A97">
        <w:rPr>
          <w:rFonts w:ascii="Century Gothic" w:eastAsiaTheme="minorEastAsia" w:hAnsi="Century Gothic"/>
        </w:rPr>
        <w:t>13</w:t>
      </w:r>
      <w:r w:rsidR="00A47305" w:rsidRPr="00737A97">
        <w:rPr>
          <w:rFonts w:ascii="Century Gothic" w:eastAsiaTheme="minorEastAsia" w:hAnsi="Century Gothic"/>
        </w:rPr>
        <w:t>)</w:t>
      </w:r>
    </w:p>
    <w:p w14:paraId="5A59170C" w14:textId="77777777" w:rsidR="00411CF7" w:rsidRPr="00737A97" w:rsidRDefault="00411CF7" w:rsidP="00EE3BED">
      <w:pPr>
        <w:jc w:val="both"/>
        <w:rPr>
          <w:rFonts w:ascii="Century Gothic" w:eastAsiaTheme="minorEastAsia" w:hAnsi="Century Gothic"/>
        </w:rPr>
      </w:pPr>
      <w:r w:rsidRPr="00737A97">
        <w:rPr>
          <w:rFonts w:ascii="Century Gothic" w:eastAsiaTheme="minorEastAsia" w:hAnsi="Century Gothic"/>
        </w:rPr>
        <w:t>Where:</w:t>
      </w:r>
    </w:p>
    <w:p w14:paraId="26D60B04" w14:textId="20CB53D5" w:rsidR="00411CF7" w:rsidRPr="00737A97" w:rsidRDefault="00000000" w:rsidP="00EE3BED">
      <w:pPr>
        <w:jc w:val="both"/>
        <w:rPr>
          <w:rFonts w:ascii="Century Gothic" w:eastAsiaTheme="minorEastAsia" w:hAnsi="Century Gothic"/>
        </w:rPr>
      </w:pPr>
      <m:oMath>
        <m:sSub>
          <m:sSubPr>
            <m:ctrlPr>
              <w:rPr>
                <w:rFonts w:ascii="Cambria Math" w:eastAsia="Malgun Gothic" w:hAnsi="Cambria Math"/>
                <w:i/>
              </w:rPr>
            </m:ctrlPr>
          </m:sSubPr>
          <m:e>
            <m:r>
              <w:rPr>
                <w:rFonts w:ascii="Cambria Math" w:hAnsi="Cambria Math"/>
              </w:rPr>
              <m:t>VA</m:t>
            </m:r>
          </m:e>
          <m:sub>
            <m:r>
              <w:rPr>
                <w:rFonts w:ascii="Cambria Math" w:hAnsi="Cambria Math"/>
              </w:rPr>
              <m:t>j,t</m:t>
            </m:r>
          </m:sub>
        </m:sSub>
      </m:oMath>
      <w:r w:rsidR="00411CF7" w:rsidRPr="00737A97">
        <w:rPr>
          <w:rFonts w:ascii="Century Gothic" w:eastAsiaTheme="minorEastAsia" w:hAnsi="Century Gothic"/>
        </w:rPr>
        <w:t xml:space="preserve"> is </w:t>
      </w:r>
      <w:r w:rsidR="00A47305" w:rsidRPr="00737A97">
        <w:rPr>
          <w:rFonts w:ascii="Century Gothic" w:eastAsiaTheme="minorEastAsia" w:hAnsi="Century Gothic"/>
        </w:rPr>
        <w:t>v</w:t>
      </w:r>
      <w:r w:rsidR="00411CF7" w:rsidRPr="00737A97">
        <w:rPr>
          <w:rFonts w:ascii="Century Gothic" w:eastAsiaTheme="minorEastAsia" w:hAnsi="Century Gothic"/>
        </w:rPr>
        <w:t>alue added of industry j;</w:t>
      </w:r>
    </w:p>
    <w:p w14:paraId="7C716241" w14:textId="335BE5C6" w:rsidR="00411CF7" w:rsidRPr="00737A97" w:rsidRDefault="00000000" w:rsidP="00EE3BED">
      <w:pPr>
        <w:jc w:val="both"/>
        <w:rPr>
          <w:rFonts w:ascii="Century Gothic" w:eastAsiaTheme="minorEastAsia" w:hAnsi="Century Gothic"/>
        </w:rPr>
      </w:pPr>
      <m:oMath>
        <m:sSub>
          <m:sSubPr>
            <m:ctrlPr>
              <w:rPr>
                <w:rFonts w:ascii="Cambria Math" w:eastAsia="Malgun Gothic" w:hAnsi="Cambria Math"/>
                <w:i/>
              </w:rPr>
            </m:ctrlPr>
          </m:sSubPr>
          <m:e>
            <m:r>
              <w:rPr>
                <w:rFonts w:ascii="Cambria Math" w:hAnsi="Cambria Math"/>
              </w:rPr>
              <m:t>TFPA</m:t>
            </m:r>
          </m:e>
          <m:sub>
            <m:r>
              <w:rPr>
                <w:rFonts w:ascii="Cambria Math" w:hAnsi="Cambria Math"/>
              </w:rPr>
              <m:t>j,t</m:t>
            </m:r>
          </m:sub>
        </m:sSub>
      </m:oMath>
      <w:r w:rsidR="00411CF7" w:rsidRPr="00737A97">
        <w:rPr>
          <w:rFonts w:ascii="Century Gothic" w:eastAsiaTheme="minorEastAsia" w:hAnsi="Century Gothic"/>
        </w:rPr>
        <w:t xml:space="preserve"> is </w:t>
      </w:r>
      <w:r w:rsidR="00A47305" w:rsidRPr="00737A97">
        <w:rPr>
          <w:rFonts w:ascii="Century Gothic" w:eastAsiaTheme="minorEastAsia" w:hAnsi="Century Gothic"/>
        </w:rPr>
        <w:t>t</w:t>
      </w:r>
      <w:r w:rsidR="00411CF7" w:rsidRPr="00737A97">
        <w:rPr>
          <w:rFonts w:ascii="Century Gothic" w:eastAsiaTheme="minorEastAsia" w:hAnsi="Century Gothic"/>
        </w:rPr>
        <w:t>otal Factor Productivity of industry j;</w:t>
      </w:r>
    </w:p>
    <w:p w14:paraId="24D35498" w14:textId="678ABD23" w:rsidR="00411CF7" w:rsidRPr="00737A97" w:rsidRDefault="00000000" w:rsidP="00EE3BED">
      <w:pPr>
        <w:jc w:val="both"/>
        <w:rPr>
          <w:rFonts w:ascii="Century Gothic" w:eastAsiaTheme="minorEastAsia" w:hAnsi="Century Gothic"/>
        </w:rPr>
      </w:pPr>
      <m:oMath>
        <m:sSubSup>
          <m:sSubSupPr>
            <m:ctrlPr>
              <w:rPr>
                <w:rFonts w:ascii="Cambria Math" w:eastAsia="Malgun Gothic" w:hAnsi="Cambria Math"/>
                <w:i/>
              </w:rPr>
            </m:ctrlPr>
          </m:sSubSupPr>
          <m:e>
            <m:r>
              <w:rPr>
                <w:rFonts w:ascii="Cambria Math" w:hAnsi="Cambria Math"/>
              </w:rPr>
              <m:t>LDC</m:t>
            </m:r>
          </m:e>
          <m:sub>
            <m:r>
              <w:rPr>
                <w:rFonts w:ascii="Cambria Math" w:hAnsi="Cambria Math"/>
              </w:rPr>
              <m:t>j,t</m:t>
            </m:r>
          </m:sub>
          <m:sup/>
        </m:sSubSup>
      </m:oMath>
      <w:r w:rsidR="00411CF7" w:rsidRPr="00737A97">
        <w:rPr>
          <w:rFonts w:ascii="Century Gothic" w:eastAsiaTheme="minorEastAsia" w:hAnsi="Century Gothic"/>
        </w:rPr>
        <w:t xml:space="preserve"> </w:t>
      </w:r>
      <w:r w:rsidR="00A47305" w:rsidRPr="00737A97">
        <w:rPr>
          <w:rFonts w:ascii="Century Gothic" w:eastAsiaTheme="minorEastAsia" w:hAnsi="Century Gothic"/>
        </w:rPr>
        <w:t>c</w:t>
      </w:r>
      <w:r w:rsidR="00411CF7" w:rsidRPr="00737A97">
        <w:rPr>
          <w:rFonts w:ascii="Century Gothic" w:eastAsiaTheme="minorEastAsia" w:hAnsi="Century Gothic"/>
        </w:rPr>
        <w:t>omposite demand for labour of industry j;</w:t>
      </w:r>
    </w:p>
    <w:p w14:paraId="5A612428" w14:textId="5086CA3F" w:rsidR="00411CF7" w:rsidRPr="00737A97" w:rsidRDefault="00000000" w:rsidP="00EE3BED">
      <w:pPr>
        <w:jc w:val="both"/>
        <w:rPr>
          <w:rFonts w:ascii="Century Gothic" w:eastAsiaTheme="minorEastAsia" w:hAnsi="Century Gothic"/>
        </w:rPr>
      </w:pPr>
      <m:oMath>
        <m:sSubSup>
          <m:sSubSupPr>
            <m:ctrlPr>
              <w:rPr>
                <w:rFonts w:ascii="Cambria Math" w:eastAsia="Malgun Gothic" w:hAnsi="Cambria Math"/>
                <w:i/>
              </w:rPr>
            </m:ctrlPr>
          </m:sSubSupPr>
          <m:e>
            <m:r>
              <w:rPr>
                <w:rFonts w:ascii="Cambria Math" w:hAnsi="Cambria Math"/>
              </w:rPr>
              <m:t>KDC</m:t>
            </m:r>
          </m:e>
          <m:sub>
            <m:r>
              <w:rPr>
                <w:rFonts w:ascii="Cambria Math" w:hAnsi="Cambria Math"/>
              </w:rPr>
              <m:t>j,t</m:t>
            </m:r>
          </m:sub>
          <m:sup/>
        </m:sSubSup>
      </m:oMath>
      <w:r w:rsidR="00411CF7" w:rsidRPr="00737A97">
        <w:rPr>
          <w:rFonts w:ascii="Century Gothic" w:eastAsiaTheme="minorEastAsia" w:hAnsi="Century Gothic"/>
        </w:rPr>
        <w:t xml:space="preserve"> </w:t>
      </w:r>
      <w:r w:rsidR="00A47305" w:rsidRPr="00737A97">
        <w:rPr>
          <w:rFonts w:ascii="Century Gothic" w:eastAsiaTheme="minorEastAsia" w:hAnsi="Century Gothic"/>
        </w:rPr>
        <w:t>c</w:t>
      </w:r>
      <w:r w:rsidR="00411CF7" w:rsidRPr="00737A97">
        <w:rPr>
          <w:rFonts w:ascii="Century Gothic" w:eastAsiaTheme="minorEastAsia" w:hAnsi="Century Gothic"/>
        </w:rPr>
        <w:t>omposite demand for capital of industry j.</w:t>
      </w:r>
    </w:p>
    <w:p w14:paraId="75BCF48E" w14:textId="77777777" w:rsidR="00A47305" w:rsidRPr="00737A97" w:rsidRDefault="00A47305" w:rsidP="00EE3BED">
      <w:pPr>
        <w:jc w:val="both"/>
        <w:rPr>
          <w:rFonts w:ascii="Century Gothic" w:eastAsiaTheme="minorEastAsia" w:hAnsi="Century Gothic"/>
        </w:rPr>
      </w:pPr>
    </w:p>
    <w:p w14:paraId="3BFAA51C" w14:textId="2850A068" w:rsidR="00A47305"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 xml:space="preserve">In terms of closure rules, we assume that Tanzania is a small country, therefore world prices are exogenous. The real exchange rate </w:t>
      </w:r>
      <w:r w:rsidR="00A47305" w:rsidRPr="00737A97">
        <w:rPr>
          <w:rFonts w:ascii="Century Gothic" w:hAnsi="Century Gothic"/>
          <w:color w:val="000000" w:themeColor="text1"/>
        </w:rPr>
        <w:t>i</w:t>
      </w:r>
      <w:r w:rsidRPr="00737A97">
        <w:rPr>
          <w:rFonts w:ascii="Century Gothic" w:hAnsi="Century Gothic"/>
          <w:color w:val="000000" w:themeColor="text1"/>
        </w:rPr>
        <w:t xml:space="preserve">s assumed to be flexible </w:t>
      </w:r>
      <w:r w:rsidR="00A47305" w:rsidRPr="00737A97">
        <w:rPr>
          <w:rFonts w:ascii="Century Gothic" w:hAnsi="Century Gothic"/>
          <w:color w:val="000000" w:themeColor="text1"/>
        </w:rPr>
        <w:t xml:space="preserve">i.e., determined by market forces </w:t>
      </w:r>
      <w:r w:rsidRPr="00737A97">
        <w:rPr>
          <w:rFonts w:ascii="Century Gothic" w:hAnsi="Century Gothic"/>
          <w:color w:val="000000" w:themeColor="text1"/>
        </w:rPr>
        <w:t xml:space="preserve">and the current account balance </w:t>
      </w:r>
      <w:r w:rsidR="00A47305" w:rsidRPr="00737A97">
        <w:rPr>
          <w:rFonts w:ascii="Century Gothic" w:hAnsi="Century Gothic"/>
          <w:color w:val="000000" w:themeColor="text1"/>
        </w:rPr>
        <w:t>i</w:t>
      </w:r>
      <w:r w:rsidRPr="00737A97">
        <w:rPr>
          <w:rFonts w:ascii="Century Gothic" w:hAnsi="Century Gothic"/>
          <w:color w:val="000000" w:themeColor="text1"/>
        </w:rPr>
        <w:t>s exogenous. The distribution of factor income between domestic and foreign institutions was maintained at base-year levels. For the PEP-1t CGE model (dynamic), capital was assumed to be fully employed and mobile across sectors implying that it can be employed in different activities. Potential labour supply grows with the growth of the population rate. Stock variation for each commodity increase</w:t>
      </w:r>
      <w:r w:rsidR="00A47305" w:rsidRPr="00737A97">
        <w:rPr>
          <w:rFonts w:ascii="Century Gothic" w:hAnsi="Century Gothic"/>
          <w:color w:val="000000" w:themeColor="text1"/>
        </w:rPr>
        <w:t>s</w:t>
      </w:r>
      <w:r w:rsidRPr="00737A97">
        <w:rPr>
          <w:rFonts w:ascii="Century Gothic" w:hAnsi="Century Gothic"/>
          <w:color w:val="000000" w:themeColor="text1"/>
        </w:rPr>
        <w:t xml:space="preserve"> at the growth rate of the total demand for the corresponding commodity. The current public expenditure in nominal terms g</w:t>
      </w:r>
      <w:r w:rsidR="00F4635D">
        <w:rPr>
          <w:rFonts w:ascii="Century Gothic" w:hAnsi="Century Gothic"/>
          <w:color w:val="000000" w:themeColor="text1"/>
        </w:rPr>
        <w:t xml:space="preserve">rew up at the GDP growth rate. </w:t>
      </w:r>
    </w:p>
    <w:p w14:paraId="6BA73E25" w14:textId="7917F7D5" w:rsidR="00A47305"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Unemployment is split by gender-</w:t>
      </w:r>
      <w:r w:rsidR="00A47305" w:rsidRPr="00737A97">
        <w:rPr>
          <w:rFonts w:ascii="Century Gothic" w:hAnsi="Century Gothic"/>
          <w:color w:val="000000" w:themeColor="text1"/>
        </w:rPr>
        <w:t>disaggregated</w:t>
      </w:r>
      <w:r w:rsidRPr="00737A97">
        <w:rPr>
          <w:rFonts w:ascii="Century Gothic" w:hAnsi="Century Gothic"/>
          <w:color w:val="000000" w:themeColor="text1"/>
        </w:rPr>
        <w:t xml:space="preserve"> groups and exists in each segment of the labour market. Labour demand and employment varied after the </w:t>
      </w:r>
      <w:r w:rsidR="00A47305" w:rsidRPr="00737A97">
        <w:rPr>
          <w:rFonts w:ascii="Century Gothic" w:hAnsi="Century Gothic"/>
          <w:color w:val="000000" w:themeColor="text1"/>
        </w:rPr>
        <w:t>introduction of the reform</w:t>
      </w:r>
      <w:r w:rsidRPr="00737A97">
        <w:rPr>
          <w:rFonts w:ascii="Century Gothic" w:hAnsi="Century Gothic"/>
          <w:color w:val="000000" w:themeColor="text1"/>
        </w:rPr>
        <w:t>. We assumed further that there is a</w:t>
      </w:r>
      <w:r w:rsidR="00A47305" w:rsidRPr="00737A97">
        <w:rPr>
          <w:rFonts w:ascii="Century Gothic" w:hAnsi="Century Gothic"/>
          <w:color w:val="000000" w:themeColor="text1"/>
        </w:rPr>
        <w:t xml:space="preserve">n inverse relationship between </w:t>
      </w:r>
      <w:r w:rsidRPr="00737A97">
        <w:rPr>
          <w:rFonts w:ascii="Century Gothic" w:hAnsi="Century Gothic"/>
          <w:color w:val="000000" w:themeColor="text1"/>
        </w:rPr>
        <w:t xml:space="preserve"> wage rates and the unemployment. In other words, an increase in the unemployment rate leads to a decrease in the</w:t>
      </w:r>
      <w:r w:rsidR="00EE3BED">
        <w:rPr>
          <w:rFonts w:ascii="Century Gothic" w:hAnsi="Century Gothic"/>
          <w:color w:val="000000" w:themeColor="text1"/>
        </w:rPr>
        <w:t xml:space="preserve"> wage rates. </w:t>
      </w:r>
    </w:p>
    <w:p w14:paraId="16CFEA76" w14:textId="4C648794" w:rsidR="00411CF7" w:rsidRPr="00737A97" w:rsidRDefault="00411CF7" w:rsidP="00EE3BED">
      <w:pPr>
        <w:jc w:val="both"/>
        <w:rPr>
          <w:rFonts w:ascii="Century Gothic" w:hAnsi="Century Gothic"/>
          <w:color w:val="000000" w:themeColor="text1"/>
        </w:rPr>
      </w:pPr>
      <w:r w:rsidRPr="00737A97">
        <w:rPr>
          <w:rFonts w:ascii="Century Gothic" w:hAnsi="Century Gothic"/>
          <w:color w:val="000000" w:themeColor="text1"/>
        </w:rPr>
        <w:t>For PEP 1-1 CGE model (static), land was sector-specific and labour supply was exogenous. Elasticity values relating to gender disaggregation were obtained from Fontana (2001)</w:t>
      </w:r>
      <w:r w:rsidR="00744F59" w:rsidRPr="00737A97">
        <w:rPr>
          <w:rFonts w:ascii="Century Gothic" w:hAnsi="Century Gothic"/>
          <w:color w:val="000000" w:themeColor="text1"/>
        </w:rPr>
        <w:t>.</w:t>
      </w:r>
    </w:p>
    <w:p w14:paraId="41628084" w14:textId="77777777" w:rsidR="00411CF7" w:rsidRPr="00737A97" w:rsidRDefault="00411CF7" w:rsidP="00EE3BED">
      <w:pPr>
        <w:rPr>
          <w:rFonts w:ascii="Century Gothic" w:hAnsi="Century Gothic"/>
          <w:color w:val="000000" w:themeColor="text1"/>
        </w:rPr>
      </w:pPr>
      <w:r w:rsidRPr="00737A97">
        <w:rPr>
          <w:rFonts w:ascii="Century Gothic" w:hAnsi="Century Gothic"/>
          <w:color w:val="000000" w:themeColor="text1"/>
        </w:rPr>
        <w:br w:type="page"/>
      </w:r>
    </w:p>
    <w:p w14:paraId="7AE92503" w14:textId="77777777" w:rsidR="00411CF7" w:rsidRPr="00737A97" w:rsidRDefault="00411CF7" w:rsidP="00EE3BED">
      <w:pPr>
        <w:jc w:val="both"/>
        <w:rPr>
          <w:rFonts w:ascii="Century Gothic" w:hAnsi="Century Gothic"/>
          <w:color w:val="000000" w:themeColor="text1"/>
        </w:rPr>
      </w:pPr>
    </w:p>
    <w:p w14:paraId="5D3DD4DB" w14:textId="355856B4" w:rsidR="00411CF7" w:rsidRPr="00EE3BED" w:rsidRDefault="00737A97" w:rsidP="00EE3BED">
      <w:pPr>
        <w:pStyle w:val="Heading1"/>
        <w:spacing w:before="0" w:after="160"/>
        <w:rPr>
          <w:rFonts w:ascii="Century Gothic" w:hAnsi="Century Gothic"/>
          <w:b/>
          <w:color w:val="0070C0"/>
          <w:sz w:val="28"/>
          <w:szCs w:val="28"/>
        </w:rPr>
      </w:pPr>
      <w:bookmarkStart w:id="22" w:name="_Toc131079441"/>
      <w:r w:rsidRPr="00EE3BED">
        <w:rPr>
          <w:rFonts w:ascii="Century Gothic" w:hAnsi="Century Gothic"/>
          <w:b/>
          <w:color w:val="0070C0"/>
          <w:sz w:val="28"/>
          <w:szCs w:val="28"/>
        </w:rPr>
        <w:t>SECTION V:</w:t>
      </w:r>
      <w:r w:rsidR="00411CF7" w:rsidRPr="00EE3BED">
        <w:rPr>
          <w:rFonts w:ascii="Century Gothic" w:hAnsi="Century Gothic"/>
          <w:b/>
          <w:color w:val="0070C0"/>
          <w:sz w:val="28"/>
          <w:szCs w:val="28"/>
        </w:rPr>
        <w:t xml:space="preserve"> Application and Results</w:t>
      </w:r>
      <w:bookmarkEnd w:id="22"/>
    </w:p>
    <w:p w14:paraId="281BBDA3" w14:textId="26E98866" w:rsidR="00411CF7" w:rsidRPr="00EE3BED" w:rsidRDefault="00737A97" w:rsidP="00EE3BED">
      <w:pPr>
        <w:pStyle w:val="Heading2"/>
        <w:spacing w:before="0" w:after="160" w:line="259" w:lineRule="auto"/>
        <w:rPr>
          <w:rFonts w:ascii="Century Gothic" w:hAnsi="Century Gothic"/>
          <w:color w:val="0070C0"/>
          <w:sz w:val="22"/>
          <w:szCs w:val="22"/>
        </w:rPr>
      </w:pPr>
      <w:bookmarkStart w:id="23" w:name="_Toc131079442"/>
      <w:r w:rsidRPr="00EE3BED">
        <w:rPr>
          <w:rFonts w:ascii="Century Gothic" w:hAnsi="Century Gothic"/>
          <w:color w:val="0070C0"/>
          <w:sz w:val="22"/>
          <w:szCs w:val="22"/>
        </w:rPr>
        <w:t>5</w:t>
      </w:r>
      <w:r w:rsidR="00411CF7" w:rsidRPr="00EE3BED">
        <w:rPr>
          <w:rFonts w:ascii="Century Gothic" w:hAnsi="Century Gothic"/>
          <w:color w:val="0070C0"/>
          <w:sz w:val="22"/>
          <w:szCs w:val="22"/>
        </w:rPr>
        <w:t>.1 Simulated policy scenarios</w:t>
      </w:r>
      <w:bookmarkEnd w:id="23"/>
    </w:p>
    <w:p w14:paraId="4B46D527" w14:textId="77777777" w:rsidR="00411CF7" w:rsidRPr="00737A97" w:rsidRDefault="00411CF7" w:rsidP="00EE3BED">
      <w:pPr>
        <w:jc w:val="both"/>
        <w:rPr>
          <w:rFonts w:ascii="Century Gothic" w:hAnsi="Century Gothic"/>
        </w:rPr>
      </w:pPr>
      <w:r w:rsidRPr="00737A97">
        <w:rPr>
          <w:rFonts w:ascii="Century Gothic" w:hAnsi="Century Gothic"/>
        </w:rPr>
        <w:t>We model four observed scenarios. Simulating the observed scenario has the following advantages:</w:t>
      </w:r>
    </w:p>
    <w:p w14:paraId="776C292F" w14:textId="127DF256" w:rsidR="00411CF7" w:rsidRPr="00737A97" w:rsidRDefault="00411CF7" w:rsidP="00EE3BED">
      <w:pPr>
        <w:ind w:left="284" w:hanging="284"/>
        <w:jc w:val="both"/>
        <w:rPr>
          <w:rFonts w:ascii="Century Gothic" w:hAnsi="Century Gothic"/>
        </w:rPr>
      </w:pPr>
      <w:r w:rsidRPr="00737A97">
        <w:rPr>
          <w:rFonts w:ascii="Century Gothic" w:hAnsi="Century Gothic"/>
        </w:rPr>
        <w:t>1. Scenarios</w:t>
      </w:r>
      <w:r w:rsidR="00756D81" w:rsidRPr="00737A97">
        <w:rPr>
          <w:rFonts w:ascii="Century Gothic" w:hAnsi="Century Gothic"/>
        </w:rPr>
        <w:t xml:space="preserve"> are</w:t>
      </w:r>
      <w:r w:rsidRPr="00737A97">
        <w:rPr>
          <w:rFonts w:ascii="Century Gothic" w:hAnsi="Century Gothic"/>
        </w:rPr>
        <w:t xml:space="preserve"> based on official data, so we are not exposing our assumptions to guestimates.</w:t>
      </w:r>
    </w:p>
    <w:p w14:paraId="0B74DF1F" w14:textId="64AF6B10" w:rsidR="00411CF7" w:rsidRPr="00737A97" w:rsidRDefault="00411CF7" w:rsidP="00EE3BED">
      <w:pPr>
        <w:ind w:left="284" w:hanging="284"/>
        <w:jc w:val="both"/>
        <w:rPr>
          <w:rFonts w:ascii="Century Gothic" w:hAnsi="Century Gothic"/>
        </w:rPr>
      </w:pPr>
      <w:r w:rsidRPr="00737A97">
        <w:rPr>
          <w:rFonts w:ascii="Century Gothic" w:hAnsi="Century Gothic"/>
        </w:rPr>
        <w:t>2. We can compare the results which we observe (</w:t>
      </w:r>
      <w:r w:rsidR="00756D81" w:rsidRPr="00737A97">
        <w:rPr>
          <w:rFonts w:ascii="Century Gothic" w:hAnsi="Century Gothic"/>
        </w:rPr>
        <w:t>e.g.,</w:t>
      </w:r>
      <w:r w:rsidRPr="00737A97">
        <w:rPr>
          <w:rFonts w:ascii="Century Gothic" w:hAnsi="Century Gothic"/>
        </w:rPr>
        <w:t xml:space="preserve"> the change in GDP, and demand for female labour in the agricultural sector with the observed data), this scenario offers a kind of validation.</w:t>
      </w:r>
    </w:p>
    <w:p w14:paraId="2D0BA667" w14:textId="37303D2A" w:rsidR="00411CF7" w:rsidRPr="00370E0B" w:rsidRDefault="00370E0B" w:rsidP="00370E0B">
      <w:pPr>
        <w:jc w:val="both"/>
        <w:rPr>
          <w:rStyle w:val="fontstyle21"/>
          <w:rFonts w:ascii="Century Gothic" w:hAnsi="Century Gothic"/>
          <w:color w:val="auto"/>
        </w:rPr>
      </w:pPr>
      <w:r>
        <w:rPr>
          <w:rFonts w:ascii="Century Gothic" w:hAnsi="Century Gothic"/>
        </w:rPr>
        <w:t xml:space="preserve">Table </w:t>
      </w:r>
      <w:r w:rsidR="00F4635D">
        <w:rPr>
          <w:rFonts w:ascii="Century Gothic" w:hAnsi="Century Gothic"/>
        </w:rPr>
        <w:t>3</w:t>
      </w:r>
      <w:r>
        <w:rPr>
          <w:rFonts w:ascii="Century Gothic" w:hAnsi="Century Gothic"/>
        </w:rPr>
        <w:t>. S</w:t>
      </w:r>
      <w:r w:rsidR="00411CF7" w:rsidRPr="00737A97">
        <w:rPr>
          <w:rFonts w:ascii="Century Gothic" w:hAnsi="Century Gothic"/>
        </w:rPr>
        <w:t>ummarizes the gender policies in the agricultural sectors sim</w:t>
      </w:r>
      <w:r>
        <w:rPr>
          <w:rFonts w:ascii="Century Gothic" w:hAnsi="Century Gothic"/>
        </w:rPr>
        <w:t>ulated under the four scenarios</w:t>
      </w:r>
    </w:p>
    <w:tbl>
      <w:tblPr>
        <w:tblStyle w:val="TableGrid"/>
        <w:tblW w:w="0" w:type="auto"/>
        <w:tblLook w:val="04A0" w:firstRow="1" w:lastRow="0" w:firstColumn="1" w:lastColumn="0" w:noHBand="0" w:noVBand="1"/>
      </w:tblPr>
      <w:tblGrid>
        <w:gridCol w:w="1810"/>
        <w:gridCol w:w="4092"/>
        <w:gridCol w:w="3540"/>
      </w:tblGrid>
      <w:tr w:rsidR="00411CF7" w:rsidRPr="00737A97" w14:paraId="2D97D1B3" w14:textId="77777777" w:rsidTr="00932236">
        <w:tc>
          <w:tcPr>
            <w:tcW w:w="1843" w:type="dxa"/>
          </w:tcPr>
          <w:p w14:paraId="32FB7A56"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Scenarios</w:t>
            </w:r>
          </w:p>
        </w:tc>
        <w:tc>
          <w:tcPr>
            <w:tcW w:w="4253" w:type="dxa"/>
          </w:tcPr>
          <w:p w14:paraId="74910291"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Description</w:t>
            </w:r>
          </w:p>
        </w:tc>
        <w:tc>
          <w:tcPr>
            <w:tcW w:w="3645" w:type="dxa"/>
          </w:tcPr>
          <w:p w14:paraId="7A1C5FE5"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Design</w:t>
            </w:r>
          </w:p>
        </w:tc>
      </w:tr>
      <w:tr w:rsidR="00411CF7" w:rsidRPr="00737A97" w14:paraId="4A2D1374" w14:textId="77777777" w:rsidTr="00932236">
        <w:tc>
          <w:tcPr>
            <w:tcW w:w="1843" w:type="dxa"/>
          </w:tcPr>
          <w:p w14:paraId="34547D18"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Simulation scenario 1</w:t>
            </w:r>
          </w:p>
        </w:tc>
        <w:tc>
          <w:tcPr>
            <w:tcW w:w="4253" w:type="dxa"/>
          </w:tcPr>
          <w:p w14:paraId="284FDCFC"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Increase in female employment in the agricultural sector under ‘business-as-usual’ conditions.</w:t>
            </w:r>
          </w:p>
          <w:p w14:paraId="1ADD6C2B"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p>
        </w:tc>
        <w:tc>
          <w:tcPr>
            <w:tcW w:w="3645" w:type="dxa"/>
          </w:tcPr>
          <w:p w14:paraId="3B8B5F13" w14:textId="3ABD6C4F" w:rsidR="00411CF7" w:rsidRPr="00737A97" w:rsidRDefault="00411CF7" w:rsidP="00EE3BED">
            <w:pPr>
              <w:pStyle w:val="ListParagraph"/>
              <w:numPr>
                <w:ilvl w:val="0"/>
                <w:numId w:val="15"/>
              </w:numPr>
              <w:spacing w:after="160" w:line="259" w:lineRule="auto"/>
              <w:ind w:left="186" w:hanging="270"/>
              <w:jc w:val="both"/>
              <w:rPr>
                <w:rStyle w:val="fontstyle21"/>
                <w:rFonts w:ascii="Century Gothic" w:hAnsi="Century Gothic"/>
                <w:lang w:val="en-US"/>
              </w:rPr>
            </w:pPr>
            <w:r w:rsidRPr="00737A97">
              <w:rPr>
                <w:rStyle w:val="fontstyle21"/>
                <w:rFonts w:ascii="Century Gothic" w:hAnsi="Century Gothic"/>
                <w:lang w:val="en-US"/>
              </w:rPr>
              <w:t xml:space="preserve">Increase </w:t>
            </w:r>
            <w:r w:rsidR="00756D81" w:rsidRPr="00737A97">
              <w:rPr>
                <w:rStyle w:val="fontstyle21"/>
                <w:rFonts w:ascii="Century Gothic" w:hAnsi="Century Gothic"/>
                <w:lang w:val="en-US"/>
              </w:rPr>
              <w:t>i</w:t>
            </w:r>
            <w:r w:rsidR="00756D81" w:rsidRPr="00737A97">
              <w:rPr>
                <w:rStyle w:val="fontstyle21"/>
                <w:lang w:val="en-US"/>
              </w:rPr>
              <w:t xml:space="preserve">n </w:t>
            </w:r>
            <w:r w:rsidRPr="00737A97">
              <w:rPr>
                <w:rStyle w:val="fontstyle21"/>
                <w:rFonts w:ascii="Century Gothic" w:hAnsi="Century Gothic"/>
                <w:lang w:val="en-US"/>
              </w:rPr>
              <w:t>women's labour supply by 12.6% annually for the period from 2023 to 2025.</w:t>
            </w:r>
          </w:p>
          <w:p w14:paraId="6CCB313E" w14:textId="5E2F3BF1" w:rsidR="00411CF7" w:rsidRPr="00737A97" w:rsidRDefault="00411CF7" w:rsidP="00EE3BED">
            <w:pPr>
              <w:pStyle w:val="ListParagraph"/>
              <w:numPr>
                <w:ilvl w:val="0"/>
                <w:numId w:val="15"/>
              </w:numPr>
              <w:spacing w:after="160" w:line="259" w:lineRule="auto"/>
              <w:ind w:left="186" w:hanging="270"/>
              <w:jc w:val="both"/>
              <w:rPr>
                <w:rStyle w:val="fontstyle21"/>
                <w:rFonts w:ascii="Century Gothic" w:hAnsi="Century Gothic"/>
                <w:strike/>
                <w:lang w:val="en-US"/>
              </w:rPr>
            </w:pPr>
            <w:r w:rsidRPr="00737A97">
              <w:rPr>
                <w:rStyle w:val="fontstyle21"/>
                <w:rFonts w:ascii="Century Gothic" w:hAnsi="Century Gothic"/>
                <w:lang w:val="en-US"/>
              </w:rPr>
              <w:t xml:space="preserve">Increase </w:t>
            </w:r>
            <w:r w:rsidR="00756D81" w:rsidRPr="00737A97">
              <w:rPr>
                <w:rStyle w:val="fontstyle21"/>
                <w:rFonts w:ascii="Century Gothic" w:hAnsi="Century Gothic"/>
                <w:lang w:val="en-US"/>
              </w:rPr>
              <w:t>i</w:t>
            </w:r>
            <w:r w:rsidR="00756D81" w:rsidRPr="00737A97">
              <w:rPr>
                <w:rStyle w:val="fontstyle21"/>
                <w:lang w:val="en-US"/>
              </w:rPr>
              <w:t xml:space="preserve">n </w:t>
            </w:r>
            <w:r w:rsidRPr="00737A97">
              <w:rPr>
                <w:rStyle w:val="fontstyle21"/>
                <w:rFonts w:ascii="Century Gothic" w:hAnsi="Century Gothic"/>
                <w:lang w:val="en-US"/>
              </w:rPr>
              <w:t>domestic transportation costs by 2% to reflect the real economy.</w:t>
            </w:r>
          </w:p>
        </w:tc>
      </w:tr>
      <w:tr w:rsidR="00411CF7" w:rsidRPr="00737A97" w14:paraId="24B92FED" w14:textId="77777777" w:rsidTr="00932236">
        <w:tc>
          <w:tcPr>
            <w:tcW w:w="1843" w:type="dxa"/>
          </w:tcPr>
          <w:p w14:paraId="3E5033C4"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Simulation scenario 2</w:t>
            </w:r>
          </w:p>
        </w:tc>
        <w:tc>
          <w:tcPr>
            <w:tcW w:w="4253" w:type="dxa"/>
          </w:tcPr>
          <w:p w14:paraId="25DEABE3"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color w:val="auto"/>
                <w:lang w:val="en-US"/>
              </w:rPr>
              <w:t>The effects of land reforms aimed at increasing land ownership among women farmers</w:t>
            </w:r>
          </w:p>
        </w:tc>
        <w:tc>
          <w:tcPr>
            <w:tcW w:w="3645" w:type="dxa"/>
          </w:tcPr>
          <w:p w14:paraId="6A74FA74" w14:textId="4DC74EFE" w:rsidR="00411CF7" w:rsidRPr="00737A97" w:rsidRDefault="00411CF7" w:rsidP="00EE3BED">
            <w:pPr>
              <w:pStyle w:val="ListParagraph"/>
              <w:numPr>
                <w:ilvl w:val="0"/>
                <w:numId w:val="16"/>
              </w:numPr>
              <w:spacing w:after="160" w:line="259" w:lineRule="auto"/>
              <w:ind w:left="276"/>
              <w:jc w:val="both"/>
              <w:rPr>
                <w:rStyle w:val="fontstyle21"/>
                <w:rFonts w:ascii="Century Gothic" w:hAnsi="Century Gothic"/>
                <w:lang w:val="en-US"/>
              </w:rPr>
            </w:pPr>
            <w:r w:rsidRPr="00737A97">
              <w:rPr>
                <w:rStyle w:val="fontstyle21"/>
                <w:rFonts w:ascii="Century Gothic" w:hAnsi="Century Gothic"/>
                <w:lang w:val="en-US"/>
              </w:rPr>
              <w:t>14% increase in the amount of land allocated to women in order to close the gender gap</w:t>
            </w:r>
            <w:r w:rsidR="00FE3AA4" w:rsidRPr="00737A97">
              <w:rPr>
                <w:rStyle w:val="fontstyle21"/>
                <w:rFonts w:ascii="Century Gothic" w:hAnsi="Century Gothic"/>
                <w:lang w:val="en-US"/>
              </w:rPr>
              <w:t>.</w:t>
            </w:r>
          </w:p>
        </w:tc>
      </w:tr>
      <w:tr w:rsidR="00411CF7" w:rsidRPr="00737A97" w14:paraId="0F8B8F84" w14:textId="77777777" w:rsidTr="00932236">
        <w:tc>
          <w:tcPr>
            <w:tcW w:w="1843" w:type="dxa"/>
          </w:tcPr>
          <w:p w14:paraId="6F704D45"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Simulation scenario 3</w:t>
            </w:r>
          </w:p>
        </w:tc>
        <w:tc>
          <w:tcPr>
            <w:tcW w:w="4253" w:type="dxa"/>
          </w:tcPr>
          <w:p w14:paraId="4251366B"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color w:val="auto"/>
                <w:lang w:val="en-US"/>
              </w:rPr>
              <w:t>The productivity and welfare impacts of ensuring equal access to productive inputs (i.e. fertilizers) for all farmers and especially for women</w:t>
            </w:r>
          </w:p>
        </w:tc>
        <w:tc>
          <w:tcPr>
            <w:tcW w:w="3645" w:type="dxa"/>
            <w:shd w:val="clear" w:color="auto" w:fill="auto"/>
          </w:tcPr>
          <w:p w14:paraId="40A18581" w14:textId="2ABB5662" w:rsidR="00411CF7" w:rsidRPr="00737A97" w:rsidRDefault="00411CF7" w:rsidP="00EE3BED">
            <w:pPr>
              <w:pStyle w:val="ListParagraph"/>
              <w:numPr>
                <w:ilvl w:val="0"/>
                <w:numId w:val="16"/>
              </w:numPr>
              <w:spacing w:after="160" w:line="259" w:lineRule="auto"/>
              <w:ind w:left="276"/>
              <w:jc w:val="both"/>
              <w:rPr>
                <w:rStyle w:val="fontstyle21"/>
                <w:rFonts w:ascii="Century Gothic" w:hAnsi="Century Gothic"/>
                <w:lang w:val="en-US"/>
              </w:rPr>
            </w:pPr>
            <w:r w:rsidRPr="00737A97">
              <w:rPr>
                <w:rStyle w:val="fontstyle21"/>
                <w:rFonts w:ascii="Century Gothic" w:hAnsi="Century Gothic"/>
                <w:lang w:val="en-US"/>
              </w:rPr>
              <w:t xml:space="preserve">Abolish VAT on locally </w:t>
            </w:r>
            <w:r w:rsidR="00FE3AA4" w:rsidRPr="00737A97">
              <w:rPr>
                <w:rStyle w:val="fontstyle21"/>
                <w:rFonts w:ascii="Century Gothic" w:hAnsi="Century Gothic"/>
                <w:lang w:val="en-US"/>
              </w:rPr>
              <w:t>produced fertilizers</w:t>
            </w:r>
            <w:r w:rsidRPr="00737A97">
              <w:rPr>
                <w:rStyle w:val="fontstyle21"/>
                <w:rFonts w:ascii="Century Gothic" w:hAnsi="Century Gothic"/>
                <w:lang w:val="en-US"/>
              </w:rPr>
              <w:t>.</w:t>
            </w:r>
          </w:p>
        </w:tc>
      </w:tr>
      <w:tr w:rsidR="00411CF7" w:rsidRPr="00737A97" w14:paraId="18AA7F83" w14:textId="77777777" w:rsidTr="00932236">
        <w:tc>
          <w:tcPr>
            <w:tcW w:w="1843" w:type="dxa"/>
          </w:tcPr>
          <w:p w14:paraId="780D72C6"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lang w:val="en-US"/>
              </w:rPr>
              <w:t>Simulation scenario 4</w:t>
            </w:r>
          </w:p>
        </w:tc>
        <w:tc>
          <w:tcPr>
            <w:tcW w:w="4253" w:type="dxa"/>
          </w:tcPr>
          <w:p w14:paraId="36F8FC22" w14:textId="77777777" w:rsidR="00411CF7" w:rsidRPr="00737A97" w:rsidRDefault="00411CF7" w:rsidP="00EE3BED">
            <w:pPr>
              <w:pStyle w:val="ListParagraph"/>
              <w:spacing w:after="160" w:line="259" w:lineRule="auto"/>
              <w:ind w:left="0"/>
              <w:jc w:val="both"/>
              <w:rPr>
                <w:rStyle w:val="fontstyle21"/>
                <w:rFonts w:ascii="Century Gothic" w:hAnsi="Century Gothic"/>
                <w:lang w:val="en-US"/>
              </w:rPr>
            </w:pPr>
            <w:r w:rsidRPr="00737A97">
              <w:rPr>
                <w:rStyle w:val="fontstyle21"/>
                <w:rFonts w:ascii="Century Gothic" w:hAnsi="Century Gothic"/>
                <w:color w:val="auto"/>
                <w:lang w:val="en-US"/>
              </w:rPr>
              <w:t>The impact of investments on agricultural land irrigation and productivity</w:t>
            </w:r>
          </w:p>
        </w:tc>
        <w:tc>
          <w:tcPr>
            <w:tcW w:w="3645" w:type="dxa"/>
          </w:tcPr>
          <w:p w14:paraId="08ED74E7" w14:textId="40544D45" w:rsidR="00411CF7" w:rsidRPr="00737A97" w:rsidRDefault="00411CF7" w:rsidP="00EE3BED">
            <w:pPr>
              <w:pStyle w:val="ListParagraph"/>
              <w:numPr>
                <w:ilvl w:val="0"/>
                <w:numId w:val="16"/>
              </w:numPr>
              <w:spacing w:after="160" w:line="259" w:lineRule="auto"/>
              <w:ind w:left="276"/>
              <w:jc w:val="both"/>
              <w:rPr>
                <w:rStyle w:val="fontstyle21"/>
                <w:rFonts w:ascii="Century Gothic" w:hAnsi="Century Gothic"/>
                <w:lang w:val="en-US"/>
              </w:rPr>
            </w:pPr>
            <w:r w:rsidRPr="00737A97">
              <w:rPr>
                <w:rStyle w:val="fontstyle21"/>
                <w:rFonts w:ascii="Century Gothic" w:hAnsi="Century Gothic"/>
                <w:lang w:val="en-US"/>
              </w:rPr>
              <w:t xml:space="preserve">6% increase in </w:t>
            </w:r>
            <w:r w:rsidR="00FE3AA4" w:rsidRPr="00737A97">
              <w:rPr>
                <w:rStyle w:val="fontstyle21"/>
                <w:rFonts w:ascii="Century Gothic" w:hAnsi="Century Gothic"/>
                <w:lang w:val="en-US"/>
              </w:rPr>
              <w:t>p</w:t>
            </w:r>
            <w:r w:rsidRPr="00737A97">
              <w:rPr>
                <w:rStyle w:val="fontstyle21"/>
                <w:rFonts w:ascii="Century Gothic" w:hAnsi="Century Gothic"/>
                <w:lang w:val="en-US"/>
              </w:rPr>
              <w:t xml:space="preserve">ublic </w:t>
            </w:r>
            <w:r w:rsidR="00FE3AA4" w:rsidRPr="00737A97">
              <w:rPr>
                <w:rStyle w:val="fontstyle21"/>
                <w:rFonts w:ascii="Century Gothic" w:hAnsi="Century Gothic"/>
                <w:lang w:val="en-US"/>
              </w:rPr>
              <w:t xml:space="preserve">investment </w:t>
            </w:r>
            <w:r w:rsidRPr="00737A97">
              <w:rPr>
                <w:rStyle w:val="fontstyle21"/>
                <w:rFonts w:ascii="Century Gothic" w:hAnsi="Century Gothic"/>
                <w:lang w:val="en-US"/>
              </w:rPr>
              <w:t>and 14% increase</w:t>
            </w:r>
            <w:r w:rsidR="0039081C" w:rsidRPr="00737A97">
              <w:rPr>
                <w:rStyle w:val="fontstyle21"/>
                <w:rFonts w:ascii="Century Gothic" w:hAnsi="Century Gothic"/>
                <w:lang w:val="en-US"/>
              </w:rPr>
              <w:t xml:space="preserve"> in</w:t>
            </w:r>
            <w:r w:rsidRPr="00737A97">
              <w:rPr>
                <w:rStyle w:val="fontstyle21"/>
                <w:rFonts w:ascii="Century Gothic" w:hAnsi="Century Gothic"/>
                <w:lang w:val="en-US"/>
              </w:rPr>
              <w:t xml:space="preserve"> FDI</w:t>
            </w:r>
            <w:r w:rsidR="00FE3AA4" w:rsidRPr="00737A97">
              <w:rPr>
                <w:rStyle w:val="fontstyle21"/>
                <w:rFonts w:ascii="Century Gothic" w:hAnsi="Century Gothic"/>
                <w:lang w:val="en-US"/>
              </w:rPr>
              <w:t>.</w:t>
            </w:r>
          </w:p>
        </w:tc>
      </w:tr>
    </w:tbl>
    <w:p w14:paraId="09F504CB" w14:textId="77777777" w:rsidR="00EE3BED" w:rsidRDefault="00EE3BED" w:rsidP="00EE3BED">
      <w:pPr>
        <w:pStyle w:val="Heading2"/>
        <w:spacing w:before="0" w:after="160" w:line="259" w:lineRule="auto"/>
        <w:rPr>
          <w:rFonts w:ascii="Century Gothic" w:hAnsi="Century Gothic"/>
          <w:color w:val="0070C0"/>
          <w:sz w:val="22"/>
          <w:szCs w:val="22"/>
        </w:rPr>
      </w:pPr>
    </w:p>
    <w:p w14:paraId="5FEA83E7" w14:textId="0DECDF40" w:rsidR="00411CF7" w:rsidRPr="00EE3BED" w:rsidRDefault="00737A97" w:rsidP="00EE3BED">
      <w:pPr>
        <w:pStyle w:val="Heading2"/>
        <w:spacing w:before="0" w:after="160" w:line="259" w:lineRule="auto"/>
        <w:rPr>
          <w:rStyle w:val="fontstyle21"/>
          <w:rFonts w:ascii="Century Gothic" w:hAnsi="Century Gothic"/>
          <w:color w:val="0070C0"/>
        </w:rPr>
      </w:pPr>
      <w:bookmarkStart w:id="24" w:name="_Toc131079443"/>
      <w:r w:rsidRPr="00EE3BED">
        <w:rPr>
          <w:rFonts w:ascii="Century Gothic" w:hAnsi="Century Gothic"/>
          <w:color w:val="0070C0"/>
          <w:sz w:val="22"/>
          <w:szCs w:val="22"/>
        </w:rPr>
        <w:t>5</w:t>
      </w:r>
      <w:r w:rsidR="00411CF7" w:rsidRPr="00EE3BED">
        <w:rPr>
          <w:rFonts w:ascii="Century Gothic" w:hAnsi="Century Gothic"/>
          <w:color w:val="0070C0"/>
          <w:sz w:val="22"/>
          <w:szCs w:val="22"/>
        </w:rPr>
        <w:t>.2 Description scenarios</w:t>
      </w:r>
      <w:bookmarkEnd w:id="24"/>
    </w:p>
    <w:p w14:paraId="42D3216A" w14:textId="77777777" w:rsidR="00411CF7" w:rsidRPr="00737A97" w:rsidRDefault="00411CF7" w:rsidP="00EE3BED">
      <w:pPr>
        <w:jc w:val="both"/>
        <w:rPr>
          <w:rStyle w:val="fontstyle21"/>
          <w:rFonts w:ascii="Century Gothic" w:hAnsi="Century Gothic"/>
          <w:lang w:val="en-US"/>
        </w:rPr>
      </w:pPr>
      <w:r w:rsidRPr="00737A97">
        <w:rPr>
          <w:rStyle w:val="fontstyle21"/>
          <w:rFonts w:ascii="Century Gothic" w:hAnsi="Century Gothic"/>
          <w:b/>
          <w:lang w:val="en-US"/>
        </w:rPr>
        <w:t>Simulation scenario 1.</w:t>
      </w:r>
      <w:r w:rsidRPr="00737A97">
        <w:rPr>
          <w:rStyle w:val="fontstyle21"/>
          <w:rFonts w:ascii="Century Gothic" w:hAnsi="Century Gothic"/>
          <w:lang w:val="en-US"/>
        </w:rPr>
        <w:t xml:space="preserve"> Increase in female employment in the agricultural sector under ‘business-as-usual’ conditions. </w:t>
      </w:r>
    </w:p>
    <w:p w14:paraId="109A473D" w14:textId="3B476EA4" w:rsidR="0039081C" w:rsidRPr="00737A97" w:rsidRDefault="00411CF7" w:rsidP="00EE3BED">
      <w:pPr>
        <w:jc w:val="both"/>
        <w:rPr>
          <w:rFonts w:ascii="Century Gothic" w:hAnsi="Century Gothic"/>
        </w:rPr>
      </w:pPr>
      <w:r w:rsidRPr="00737A97">
        <w:rPr>
          <w:rFonts w:ascii="Century Gothic" w:hAnsi="Century Gothic"/>
        </w:rPr>
        <w:t xml:space="preserve">We consider this scenario as </w:t>
      </w:r>
      <w:r w:rsidR="0039081C" w:rsidRPr="00737A97">
        <w:rPr>
          <w:rFonts w:ascii="Century Gothic" w:hAnsi="Century Gothic"/>
        </w:rPr>
        <w:t xml:space="preserve">our baseline, </w:t>
      </w:r>
      <w:r w:rsidRPr="00737A97">
        <w:rPr>
          <w:rFonts w:ascii="Century Gothic" w:hAnsi="Century Gothic"/>
        </w:rPr>
        <w:t>Business-As-Usual (BAU) Scenario</w:t>
      </w:r>
      <w:r w:rsidR="0039081C" w:rsidRPr="00737A97">
        <w:rPr>
          <w:rFonts w:ascii="Century Gothic" w:hAnsi="Century Gothic"/>
        </w:rPr>
        <w:t xml:space="preserve">, i.e. a simple increase in the number of female workers in the agriculture sector without </w:t>
      </w:r>
      <w:r w:rsidR="00736117" w:rsidRPr="00737A97">
        <w:rPr>
          <w:rFonts w:ascii="Century Gothic" w:hAnsi="Century Gothic"/>
        </w:rPr>
        <w:t>any other policy measures</w:t>
      </w:r>
      <w:r w:rsidRPr="00737A97">
        <w:rPr>
          <w:rFonts w:ascii="Century Gothic" w:hAnsi="Century Gothic"/>
        </w:rPr>
        <w:t xml:space="preserve">. This scenario is in line with the </w:t>
      </w:r>
      <w:r w:rsidR="0039081C" w:rsidRPr="00737A97">
        <w:rPr>
          <w:rFonts w:ascii="Century Gothic" w:hAnsi="Century Gothic"/>
        </w:rPr>
        <w:t>g</w:t>
      </w:r>
      <w:r w:rsidRPr="00737A97">
        <w:rPr>
          <w:rFonts w:ascii="Century Gothic" w:hAnsi="Century Gothic"/>
        </w:rPr>
        <w:t xml:space="preserve">overnment's policy of creating more than 3 million jobs for </w:t>
      </w:r>
      <w:r w:rsidR="0039081C" w:rsidRPr="00737A97">
        <w:rPr>
          <w:rFonts w:ascii="Century Gothic" w:hAnsi="Century Gothic"/>
        </w:rPr>
        <w:t xml:space="preserve">women and </w:t>
      </w:r>
      <w:r w:rsidRPr="00737A97">
        <w:rPr>
          <w:rFonts w:ascii="Century Gothic" w:hAnsi="Century Gothic"/>
        </w:rPr>
        <w:t xml:space="preserve">youth in the agricultural sector by 2025 </w:t>
      </w:r>
      <w:r w:rsidR="0039081C" w:rsidRPr="00737A97">
        <w:rPr>
          <w:rFonts w:ascii="Century Gothic" w:hAnsi="Century Gothic"/>
        </w:rPr>
        <w:t>to</w:t>
      </w:r>
      <w:r w:rsidRPr="00737A97">
        <w:rPr>
          <w:rFonts w:ascii="Century Gothic" w:hAnsi="Century Gothic"/>
        </w:rPr>
        <w:t xml:space="preserve"> reduce </w:t>
      </w:r>
      <w:r w:rsidRPr="00737A97">
        <w:rPr>
          <w:rFonts w:ascii="Century Gothic" w:hAnsi="Century Gothic"/>
        </w:rPr>
        <w:lastRenderedPageBreak/>
        <w:t>unemployment and achieve more than 10 percent growth for the agricultural sector by 2030</w:t>
      </w:r>
      <w:r w:rsidRPr="00737A97">
        <w:rPr>
          <w:rStyle w:val="FootnoteReference"/>
          <w:rFonts w:ascii="Century Gothic" w:hAnsi="Century Gothic"/>
        </w:rPr>
        <w:footnoteReference w:id="38"/>
      </w:r>
      <w:r w:rsidRPr="00737A97">
        <w:rPr>
          <w:rFonts w:ascii="Century Gothic" w:hAnsi="Century Gothic"/>
        </w:rPr>
        <w:t>. The simulation of the policy o</w:t>
      </w:r>
      <w:r w:rsidR="0039081C" w:rsidRPr="00737A97">
        <w:rPr>
          <w:rFonts w:ascii="Century Gothic" w:hAnsi="Century Gothic"/>
        </w:rPr>
        <w:t>n</w:t>
      </w:r>
      <w:r w:rsidRPr="00737A97">
        <w:rPr>
          <w:rFonts w:ascii="Century Gothic" w:hAnsi="Century Gothic"/>
        </w:rPr>
        <w:t xml:space="preserve"> unskilled </w:t>
      </w:r>
      <w:r w:rsidR="0039081C" w:rsidRPr="00737A97">
        <w:rPr>
          <w:rFonts w:ascii="Century Gothic" w:hAnsi="Century Gothic"/>
        </w:rPr>
        <w:t xml:space="preserve">women </w:t>
      </w:r>
      <w:r w:rsidRPr="00737A97">
        <w:rPr>
          <w:rFonts w:ascii="Century Gothic" w:hAnsi="Century Gothic"/>
        </w:rPr>
        <w:t xml:space="preserve">workers </w:t>
      </w:r>
      <w:r w:rsidR="0039081C" w:rsidRPr="00737A97">
        <w:rPr>
          <w:rFonts w:ascii="Century Gothic" w:hAnsi="Century Gothic"/>
        </w:rPr>
        <w:t>is</w:t>
      </w:r>
      <w:r w:rsidRPr="00737A97">
        <w:rPr>
          <w:rFonts w:ascii="Century Gothic" w:hAnsi="Century Gothic"/>
        </w:rPr>
        <w:t xml:space="preserve"> implemented in three-year </w:t>
      </w:r>
      <w:r w:rsidR="00736117" w:rsidRPr="00737A97">
        <w:rPr>
          <w:rFonts w:ascii="Century Gothic" w:hAnsi="Century Gothic"/>
        </w:rPr>
        <w:t xml:space="preserve">intervals </w:t>
      </w:r>
      <w:r w:rsidRPr="00737A97">
        <w:rPr>
          <w:rFonts w:ascii="Century Gothic" w:hAnsi="Century Gothic"/>
        </w:rPr>
        <w:t>starting in 2023. To reflect the real economy due to current global economic crises</w:t>
      </w:r>
      <w:r w:rsidRPr="00737A97">
        <w:rPr>
          <w:rStyle w:val="FootnoteReference"/>
          <w:rFonts w:ascii="Century Gothic" w:hAnsi="Century Gothic"/>
        </w:rPr>
        <w:footnoteReference w:id="39"/>
      </w:r>
      <w:r w:rsidRPr="00737A97">
        <w:rPr>
          <w:rFonts w:ascii="Century Gothic" w:hAnsi="Century Gothic"/>
        </w:rPr>
        <w:t>, trade and transport margins also increase for the period from 2022-2023.</w:t>
      </w:r>
    </w:p>
    <w:p w14:paraId="2EAB5BF8" w14:textId="77777777" w:rsidR="00411CF7" w:rsidRPr="00737A97" w:rsidRDefault="00411CF7" w:rsidP="00EE3BED">
      <w:pPr>
        <w:jc w:val="both"/>
        <w:rPr>
          <w:rStyle w:val="fontstyle21"/>
          <w:rFonts w:ascii="Century Gothic" w:hAnsi="Century Gothic"/>
          <w:color w:val="auto"/>
          <w:lang w:val="en-US"/>
        </w:rPr>
      </w:pPr>
      <w:r w:rsidRPr="00737A97">
        <w:rPr>
          <w:rFonts w:ascii="Century Gothic" w:hAnsi="Century Gothic" w:cs="Times New Roman"/>
          <w:b/>
        </w:rPr>
        <w:t>Simulation scenario 2.</w:t>
      </w:r>
      <w:r w:rsidRPr="00737A97">
        <w:rPr>
          <w:rFonts w:ascii="Century Gothic" w:hAnsi="Century Gothic" w:cs="Times New Roman"/>
        </w:rPr>
        <w:t xml:space="preserve"> </w:t>
      </w:r>
      <w:r w:rsidRPr="00737A97">
        <w:rPr>
          <w:rStyle w:val="fontstyle21"/>
          <w:rFonts w:ascii="Century Gothic" w:hAnsi="Century Gothic"/>
          <w:color w:val="auto"/>
          <w:lang w:val="en-US"/>
        </w:rPr>
        <w:t xml:space="preserve">The effects of land reforms aimed at increasing land ownership among women farmers. </w:t>
      </w:r>
    </w:p>
    <w:p w14:paraId="7EF417E0" w14:textId="13B1CACE" w:rsidR="00411CF7" w:rsidRPr="00737A97" w:rsidRDefault="00411CF7" w:rsidP="00EE3BED">
      <w:pPr>
        <w:jc w:val="both"/>
        <w:rPr>
          <w:rStyle w:val="fontstyle21"/>
          <w:rFonts w:ascii="Century Gothic" w:hAnsi="Century Gothic"/>
          <w:color w:val="auto"/>
          <w:lang w:val="en-US"/>
        </w:rPr>
      </w:pPr>
      <w:r w:rsidRPr="00737A97">
        <w:rPr>
          <w:rStyle w:val="fontstyle21"/>
          <w:rFonts w:ascii="Century Gothic" w:hAnsi="Century Gothic"/>
          <w:color w:val="auto"/>
          <w:lang w:val="en-US"/>
        </w:rPr>
        <w:t>To select the magnitude of the shock for this simulation scenario, we considered the arable land potential of Tanzania. Tanzania's arable land</w:t>
      </w:r>
      <w:r w:rsidR="007E5B00" w:rsidRPr="00737A97">
        <w:rPr>
          <w:rStyle w:val="fontstyle21"/>
          <w:rFonts w:ascii="Century Gothic" w:hAnsi="Century Gothic"/>
          <w:color w:val="auto"/>
          <w:lang w:val="en-US"/>
        </w:rPr>
        <w:t xml:space="preserve"> in</w:t>
      </w:r>
      <w:r w:rsidRPr="00737A97">
        <w:rPr>
          <w:rStyle w:val="fontstyle21"/>
          <w:rFonts w:ascii="Century Gothic" w:hAnsi="Century Gothic"/>
          <w:color w:val="auto"/>
          <w:lang w:val="en-US"/>
        </w:rPr>
        <w:t xml:space="preserve"> 2020 amount</w:t>
      </w:r>
      <w:r w:rsidR="007E5B00" w:rsidRPr="00737A97">
        <w:rPr>
          <w:rStyle w:val="fontstyle21"/>
          <w:rFonts w:ascii="Century Gothic" w:hAnsi="Century Gothic"/>
          <w:color w:val="auto"/>
          <w:lang w:val="en-US"/>
        </w:rPr>
        <w:t>ed</w:t>
      </w:r>
      <w:r w:rsidRPr="00737A97">
        <w:rPr>
          <w:rStyle w:val="fontstyle21"/>
          <w:rFonts w:ascii="Century Gothic" w:hAnsi="Century Gothic"/>
          <w:color w:val="auto"/>
          <w:lang w:val="en-US"/>
        </w:rPr>
        <w:t xml:space="preserve"> to 13</w:t>
      </w:r>
      <w:r w:rsidR="007E5B00" w:rsidRPr="00737A97">
        <w:rPr>
          <w:rStyle w:val="fontstyle21"/>
          <w:rFonts w:ascii="Century Gothic" w:hAnsi="Century Gothic"/>
          <w:color w:val="auto"/>
          <w:lang w:val="en-US"/>
        </w:rPr>
        <w:t>.</w:t>
      </w:r>
      <w:r w:rsidRPr="00737A97">
        <w:rPr>
          <w:rStyle w:val="fontstyle21"/>
          <w:rFonts w:ascii="Century Gothic" w:hAnsi="Century Gothic"/>
          <w:color w:val="auto"/>
          <w:lang w:val="en-US"/>
        </w:rPr>
        <w:t>5 million hectares, a 1.36</w:t>
      </w:r>
      <w:r w:rsidR="007E5B00"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increase from 2019</w:t>
      </w:r>
      <w:r w:rsidR="007E5B00" w:rsidRPr="00737A97">
        <w:rPr>
          <w:rStyle w:val="fontstyle21"/>
          <w:rFonts w:ascii="Century Gothic" w:hAnsi="Century Gothic"/>
          <w:color w:val="auto"/>
          <w:lang w:val="en-US"/>
        </w:rPr>
        <w:t>,</w:t>
      </w:r>
      <w:r w:rsidRPr="00737A97">
        <w:rPr>
          <w:rStyle w:val="FootnoteReference"/>
          <w:rFonts w:ascii="Century Gothic" w:hAnsi="Century Gothic"/>
          <w:lang w:val="en-US"/>
        </w:rPr>
        <w:footnoteReference w:id="40"/>
      </w:r>
      <w:r w:rsidRPr="00737A97">
        <w:rPr>
          <w:rStyle w:val="fontstyle21"/>
          <w:rFonts w:ascii="Century Gothic" w:hAnsi="Century Gothic"/>
          <w:color w:val="auto"/>
          <w:lang w:val="en-US"/>
        </w:rPr>
        <w:t xml:space="preserve"> of which only 15</w:t>
      </w:r>
      <w:r w:rsidR="007E5B00"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is exploited</w:t>
      </w:r>
      <w:r w:rsidR="007E5B00" w:rsidRPr="00737A97">
        <w:rPr>
          <w:rStyle w:val="fontstyle21"/>
          <w:rFonts w:ascii="Century Gothic" w:hAnsi="Century Gothic"/>
          <w:color w:val="auto"/>
          <w:lang w:val="en-US"/>
        </w:rPr>
        <w:t>.</w:t>
      </w:r>
      <w:r w:rsidRPr="00737A97">
        <w:rPr>
          <w:rStyle w:val="FootnoteReference"/>
          <w:rFonts w:ascii="Century Gothic" w:hAnsi="Century Gothic"/>
          <w:lang w:val="en-US"/>
        </w:rPr>
        <w:footnoteReference w:id="41"/>
      </w:r>
      <w:r w:rsidRPr="00737A97">
        <w:rPr>
          <w:rStyle w:val="fontstyle21"/>
          <w:rFonts w:ascii="Century Gothic" w:hAnsi="Century Gothic"/>
          <w:color w:val="auto"/>
          <w:lang w:val="en-US"/>
        </w:rPr>
        <w:t xml:space="preserve"> The gender gap in agricultural productivity, which did account for gender-based differences in the quality and quantity of land is equal to about </w:t>
      </w:r>
      <w:r w:rsidR="0072228E" w:rsidRPr="00737A97">
        <w:rPr>
          <w:rStyle w:val="fontstyle21"/>
          <w:rFonts w:ascii="Century Gothic" w:hAnsi="Century Gothic"/>
          <w:color w:val="auto"/>
          <w:lang w:val="en-US"/>
        </w:rPr>
        <w:t xml:space="preserve">23 </w:t>
      </w:r>
      <w:r w:rsidR="007E5B00" w:rsidRPr="00737A97">
        <w:rPr>
          <w:rStyle w:val="fontstyle21"/>
          <w:rFonts w:ascii="Century Gothic" w:hAnsi="Century Gothic"/>
          <w:color w:val="auto"/>
          <w:lang w:val="en-US"/>
        </w:rPr>
        <w:t>percent</w:t>
      </w:r>
      <w:r w:rsidRPr="00737A97">
        <w:rPr>
          <w:rStyle w:val="fontstyle21"/>
          <w:rFonts w:ascii="Century Gothic" w:hAnsi="Century Gothic"/>
          <w:color w:val="auto"/>
          <w:lang w:val="en-US"/>
        </w:rPr>
        <w:t xml:space="preserve">. The </w:t>
      </w:r>
      <w:r w:rsidR="007E5B00" w:rsidRPr="00737A97">
        <w:rPr>
          <w:rStyle w:val="fontstyle21"/>
          <w:rFonts w:ascii="Century Gothic" w:hAnsi="Century Gothic"/>
          <w:color w:val="auto"/>
          <w:lang w:val="en-US"/>
        </w:rPr>
        <w:t xml:space="preserve">cost of this </w:t>
      </w:r>
      <w:r w:rsidRPr="00737A97">
        <w:rPr>
          <w:rStyle w:val="fontstyle21"/>
          <w:rFonts w:ascii="Century Gothic" w:hAnsi="Century Gothic"/>
          <w:color w:val="auto"/>
          <w:lang w:val="en-US"/>
        </w:rPr>
        <w:t>gap are:</w:t>
      </w:r>
    </w:p>
    <w:p w14:paraId="7544E3F5" w14:textId="74A2A60D" w:rsidR="00411CF7" w:rsidRPr="00737A97" w:rsidRDefault="00411CF7" w:rsidP="00EE3BED">
      <w:pPr>
        <w:pStyle w:val="ListParagraph"/>
        <w:numPr>
          <w:ilvl w:val="0"/>
          <w:numId w:val="18"/>
        </w:numPr>
        <w:spacing w:line="259" w:lineRule="auto"/>
        <w:jc w:val="both"/>
        <w:rPr>
          <w:rStyle w:val="fontstyle21"/>
          <w:rFonts w:ascii="Century Gothic" w:hAnsi="Century Gothic"/>
          <w:color w:val="auto"/>
          <w:lang w:val="en-US"/>
        </w:rPr>
      </w:pPr>
      <w:r w:rsidRPr="00737A97">
        <w:rPr>
          <w:rStyle w:val="fontstyle21"/>
          <w:rFonts w:ascii="Century Gothic" w:hAnsi="Century Gothic"/>
          <w:color w:val="auto"/>
          <w:lang w:val="en-US"/>
        </w:rPr>
        <w:t>3.9</w:t>
      </w:r>
      <w:r w:rsidR="007E5B00"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w:t>
      </w:r>
      <w:r w:rsidR="007E5B00" w:rsidRPr="00737A97">
        <w:rPr>
          <w:rStyle w:val="fontstyle21"/>
          <w:rFonts w:ascii="Century Gothic" w:hAnsi="Century Gothic"/>
          <w:color w:val="auto"/>
          <w:lang w:val="en-US"/>
        </w:rPr>
        <w:t>in forgone</w:t>
      </w:r>
      <w:r w:rsidRPr="00737A97">
        <w:rPr>
          <w:rStyle w:val="fontstyle21"/>
          <w:rFonts w:ascii="Century Gothic" w:hAnsi="Century Gothic"/>
          <w:color w:val="auto"/>
          <w:lang w:val="en-US"/>
        </w:rPr>
        <w:t xml:space="preserve"> crop production;</w:t>
      </w:r>
    </w:p>
    <w:p w14:paraId="6EEA2A4F" w14:textId="1EC9486C" w:rsidR="00411CF7" w:rsidRPr="00737A97" w:rsidRDefault="00411CF7" w:rsidP="00EE3BED">
      <w:pPr>
        <w:pStyle w:val="ListParagraph"/>
        <w:numPr>
          <w:ilvl w:val="0"/>
          <w:numId w:val="18"/>
        </w:numPr>
        <w:spacing w:line="259" w:lineRule="auto"/>
        <w:jc w:val="both"/>
        <w:rPr>
          <w:rFonts w:ascii="Century Gothic" w:hAnsi="Century Gothic"/>
        </w:rPr>
      </w:pPr>
      <w:r w:rsidRPr="00737A97">
        <w:rPr>
          <w:rStyle w:val="fontstyle21"/>
          <w:rFonts w:ascii="Century Gothic" w:hAnsi="Century Gothic"/>
          <w:color w:val="auto"/>
          <w:lang w:val="en-US"/>
        </w:rPr>
        <w:t>0.86</w:t>
      </w:r>
      <w:r w:rsidR="007E5B00" w:rsidRPr="00737A97">
        <w:rPr>
          <w:rStyle w:val="fontstyle21"/>
          <w:rFonts w:ascii="Century Gothic" w:hAnsi="Century Gothic"/>
          <w:color w:val="auto"/>
          <w:lang w:val="en-US"/>
        </w:rPr>
        <w:t xml:space="preserve"> percent in lost</w:t>
      </w:r>
      <w:r w:rsidRPr="00737A97">
        <w:rPr>
          <w:rStyle w:val="fontstyle21"/>
          <w:rFonts w:ascii="Century Gothic" w:hAnsi="Century Gothic"/>
          <w:color w:val="auto"/>
          <w:lang w:val="en-US"/>
        </w:rPr>
        <w:t xml:space="preserve"> GDP.</w:t>
      </w:r>
      <w:r w:rsidRPr="00737A97">
        <w:rPr>
          <w:rStyle w:val="FootnoteReference"/>
          <w:rFonts w:ascii="Century Gothic" w:hAnsi="Century Gothic"/>
        </w:rPr>
        <w:footnoteReference w:id="42"/>
      </w:r>
    </w:p>
    <w:p w14:paraId="2865FFBA" w14:textId="77777777" w:rsidR="00411CF7" w:rsidRPr="00737A97" w:rsidRDefault="00411CF7" w:rsidP="00EE3BED">
      <w:pPr>
        <w:jc w:val="both"/>
        <w:rPr>
          <w:rFonts w:ascii="Century Gothic" w:hAnsi="Century Gothic" w:cs="Arial"/>
          <w:color w:val="333333"/>
          <w:shd w:val="clear" w:color="auto" w:fill="FFFFFF"/>
        </w:rPr>
      </w:pPr>
      <w:r w:rsidRPr="00737A97">
        <w:rPr>
          <w:rFonts w:ascii="Century Gothic" w:hAnsi="Century Gothic"/>
        </w:rPr>
        <w:t>Women’s ownership of agricultural land is lower than that of men. According to the World Bank (2020), 33% of women own agricultural land compared to 47% of men. This disparity translates into a gender gap of 14 percentage points</w:t>
      </w:r>
      <w:r w:rsidRPr="00737A97">
        <w:rPr>
          <w:rStyle w:val="FootnoteReference"/>
          <w:rFonts w:ascii="Century Gothic" w:hAnsi="Century Gothic" w:cs="Arial"/>
          <w:color w:val="333333"/>
          <w:shd w:val="clear" w:color="auto" w:fill="FFFFFF"/>
        </w:rPr>
        <w:footnoteReference w:id="43"/>
      </w:r>
      <w:r w:rsidRPr="00737A97">
        <w:rPr>
          <w:rFonts w:ascii="Century Gothic" w:hAnsi="Century Gothic" w:cs="Arial"/>
          <w:color w:val="333333"/>
          <w:shd w:val="clear" w:color="auto" w:fill="FFFFFF"/>
        </w:rPr>
        <w:t>. Given this fact, we simulated a 14% increase in the amount of land allocated to women in order to close the gender gap.</w:t>
      </w:r>
    </w:p>
    <w:p w14:paraId="6C10531E" w14:textId="77777777" w:rsidR="00411CF7" w:rsidRPr="00737A97" w:rsidRDefault="00411CF7" w:rsidP="00EE3BED">
      <w:pPr>
        <w:pStyle w:val="ListParagraph"/>
        <w:spacing w:line="259" w:lineRule="auto"/>
        <w:ind w:left="0"/>
        <w:jc w:val="both"/>
        <w:rPr>
          <w:rStyle w:val="fontstyle21"/>
          <w:rFonts w:ascii="Century Gothic" w:hAnsi="Century Gothic"/>
          <w:color w:val="auto"/>
          <w:lang w:val="en-US"/>
        </w:rPr>
      </w:pPr>
      <w:r w:rsidRPr="00737A97">
        <w:rPr>
          <w:rStyle w:val="fontstyle21"/>
          <w:rFonts w:ascii="Century Gothic" w:hAnsi="Century Gothic"/>
          <w:b/>
          <w:color w:val="auto"/>
          <w:lang w:val="en-US"/>
        </w:rPr>
        <w:t>Simulation Scenario 3.</w:t>
      </w:r>
      <w:r w:rsidRPr="00737A97">
        <w:rPr>
          <w:rStyle w:val="fontstyle21"/>
          <w:rFonts w:ascii="Century Gothic" w:hAnsi="Century Gothic"/>
          <w:color w:val="auto"/>
          <w:lang w:val="en-US"/>
        </w:rPr>
        <w:t xml:space="preserve"> The productivity and welfare impacts of ensuring equal access to productive inputs (i.e. fertilizers) for all farmers and especially for women. </w:t>
      </w:r>
    </w:p>
    <w:p w14:paraId="495189DA" w14:textId="77777777" w:rsidR="00411CF7" w:rsidRPr="00737A97" w:rsidRDefault="00411CF7" w:rsidP="00EE3BED">
      <w:pPr>
        <w:jc w:val="both"/>
        <w:rPr>
          <w:rFonts w:ascii="Century Gothic" w:hAnsi="Century Gothic"/>
        </w:rPr>
      </w:pPr>
      <w:r w:rsidRPr="00737A97">
        <w:rPr>
          <w:rFonts w:ascii="Century Gothic" w:eastAsia="Calibri" w:hAnsi="Century Gothic" w:cs="Times New Roman"/>
        </w:rPr>
        <w:t xml:space="preserve">In this simulation scenario, we abolish the VAT rate on locally produced fertilizers in order to improve the productivity of crop sectors. </w:t>
      </w:r>
    </w:p>
    <w:p w14:paraId="58225606" w14:textId="22021C4A" w:rsidR="00411CF7" w:rsidRPr="00737A97" w:rsidRDefault="00411CF7" w:rsidP="00EE3BED">
      <w:pPr>
        <w:jc w:val="both"/>
        <w:rPr>
          <w:rStyle w:val="fontstyle21"/>
          <w:rFonts w:ascii="Century Gothic" w:hAnsi="Century Gothic"/>
          <w:color w:val="auto"/>
          <w:lang w:val="en-US"/>
        </w:rPr>
      </w:pPr>
      <w:r w:rsidRPr="00737A97">
        <w:rPr>
          <w:rStyle w:val="fontstyle21"/>
          <w:rFonts w:ascii="Century Gothic" w:hAnsi="Century Gothic"/>
          <w:b/>
          <w:color w:val="auto"/>
          <w:lang w:val="en-US"/>
        </w:rPr>
        <w:t>Simulation scenario 3.</w:t>
      </w:r>
      <w:r w:rsidRPr="00737A97">
        <w:rPr>
          <w:rStyle w:val="fontstyle21"/>
          <w:rFonts w:ascii="Century Gothic" w:hAnsi="Century Gothic"/>
          <w:color w:val="auto"/>
          <w:lang w:val="en-US"/>
        </w:rPr>
        <w:t xml:space="preserve"> The impact of investments on agricultural land irrigation and productivity. This scenario is in line with the </w:t>
      </w:r>
      <w:r w:rsidR="00987836" w:rsidRPr="00737A97">
        <w:rPr>
          <w:rStyle w:val="fontstyle21"/>
          <w:rFonts w:ascii="Century Gothic" w:hAnsi="Century Gothic"/>
          <w:color w:val="auto"/>
          <w:lang w:val="en-US"/>
        </w:rPr>
        <w:t>g</w:t>
      </w:r>
      <w:r w:rsidRPr="00737A97">
        <w:rPr>
          <w:rStyle w:val="fontstyle21"/>
          <w:rFonts w:ascii="Century Gothic" w:hAnsi="Century Gothic"/>
          <w:color w:val="auto"/>
          <w:lang w:val="en-US"/>
        </w:rPr>
        <w:t xml:space="preserve">overnment's policy of modernizing agricultural farmland by </w:t>
      </w:r>
      <w:r w:rsidR="00987836" w:rsidRPr="00737A97">
        <w:rPr>
          <w:rStyle w:val="fontstyle21"/>
          <w:rFonts w:ascii="Century Gothic" w:hAnsi="Century Gothic"/>
          <w:color w:val="auto"/>
          <w:lang w:val="en-US"/>
        </w:rPr>
        <w:t xml:space="preserve">expanding irrigation for </w:t>
      </w:r>
      <w:r w:rsidRPr="00737A97">
        <w:rPr>
          <w:rStyle w:val="fontstyle21"/>
          <w:rFonts w:ascii="Century Gothic" w:hAnsi="Century Gothic"/>
          <w:color w:val="auto"/>
          <w:lang w:val="en-US"/>
        </w:rPr>
        <w:t>crop production to improve productivity.</w:t>
      </w:r>
    </w:p>
    <w:p w14:paraId="7E80EC5D" w14:textId="2D1138D7" w:rsidR="005B1827" w:rsidRDefault="00411CF7" w:rsidP="00EE3BED">
      <w:pPr>
        <w:jc w:val="both"/>
        <w:rPr>
          <w:rStyle w:val="fontstyle21"/>
          <w:rFonts w:ascii="Century Gothic" w:hAnsi="Century Gothic"/>
          <w:color w:val="auto"/>
          <w:lang w:val="en-US"/>
        </w:rPr>
      </w:pPr>
      <w:r w:rsidRPr="00737A97">
        <w:rPr>
          <w:rStyle w:val="fontstyle21"/>
          <w:rFonts w:ascii="Century Gothic" w:hAnsi="Century Gothic"/>
          <w:color w:val="auto"/>
          <w:lang w:val="en-US"/>
        </w:rPr>
        <w:t>The increase in investment is initially captured in the model as an increase in the demand for goods and services, such as machinery and equipment and construction. We assessed the level of investment that is proposed in the 2022</w:t>
      </w:r>
      <w:r w:rsidR="00987836" w:rsidRPr="00737A97">
        <w:rPr>
          <w:rStyle w:val="fontstyle21"/>
          <w:rFonts w:ascii="Century Gothic" w:hAnsi="Century Gothic"/>
          <w:color w:val="auto"/>
          <w:lang w:val="en-US"/>
        </w:rPr>
        <w:t>/</w:t>
      </w:r>
      <w:r w:rsidRPr="00737A97">
        <w:rPr>
          <w:rStyle w:val="fontstyle21"/>
          <w:rFonts w:ascii="Century Gothic" w:hAnsi="Century Gothic"/>
          <w:color w:val="auto"/>
          <w:lang w:val="en-US"/>
        </w:rPr>
        <w:t xml:space="preserve">23 FY </w:t>
      </w:r>
      <w:r w:rsidR="00987836" w:rsidRPr="00737A97">
        <w:rPr>
          <w:rStyle w:val="fontstyle21"/>
          <w:rFonts w:ascii="Century Gothic" w:hAnsi="Century Gothic"/>
          <w:color w:val="auto"/>
          <w:lang w:val="en-US"/>
        </w:rPr>
        <w:t>b</w:t>
      </w:r>
      <w:r w:rsidRPr="00737A97">
        <w:rPr>
          <w:rStyle w:val="fontstyle21"/>
          <w:rFonts w:ascii="Century Gothic" w:hAnsi="Century Gothic"/>
          <w:color w:val="auto"/>
          <w:lang w:val="en-US"/>
        </w:rPr>
        <w:t>udget to expand irrigat</w:t>
      </w:r>
      <w:r w:rsidR="00987836" w:rsidRPr="00737A97">
        <w:rPr>
          <w:rStyle w:val="fontstyle21"/>
          <w:rFonts w:ascii="Century Gothic" w:hAnsi="Century Gothic"/>
          <w:color w:val="auto"/>
          <w:lang w:val="en-US"/>
        </w:rPr>
        <w:t>ed</w:t>
      </w:r>
      <w:r w:rsidRPr="00737A97">
        <w:rPr>
          <w:rStyle w:val="fontstyle21"/>
          <w:rFonts w:ascii="Century Gothic" w:hAnsi="Century Gothic"/>
          <w:color w:val="auto"/>
          <w:lang w:val="en-US"/>
        </w:rPr>
        <w:t xml:space="preserve"> </w:t>
      </w:r>
      <w:r w:rsidR="00987836" w:rsidRPr="00737A97">
        <w:rPr>
          <w:rStyle w:val="fontstyle21"/>
          <w:rFonts w:ascii="Century Gothic" w:hAnsi="Century Gothic"/>
          <w:color w:val="auto"/>
          <w:lang w:val="en-US"/>
        </w:rPr>
        <w:t>agricultural landto</w:t>
      </w:r>
      <w:r w:rsidRPr="00737A97">
        <w:rPr>
          <w:rStyle w:val="fontstyle21"/>
          <w:rFonts w:ascii="Century Gothic" w:hAnsi="Century Gothic"/>
          <w:color w:val="auto"/>
          <w:lang w:val="en-US"/>
        </w:rPr>
        <w:t xml:space="preserve"> 8,500,000 hectares which corresponds to 50</w:t>
      </w:r>
      <w:r w:rsidR="00987836"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of the total area cultivated in the country by 2030</w:t>
      </w:r>
      <w:r w:rsidR="00987836" w:rsidRPr="00737A97">
        <w:rPr>
          <w:rStyle w:val="fontstyle21"/>
          <w:rFonts w:ascii="Century Gothic" w:hAnsi="Century Gothic"/>
          <w:color w:val="auto"/>
          <w:lang w:val="en-US"/>
        </w:rPr>
        <w:t>.</w:t>
      </w:r>
      <w:r w:rsidRPr="00737A97">
        <w:rPr>
          <w:rStyle w:val="FootnoteReference"/>
          <w:rFonts w:ascii="Century Gothic" w:hAnsi="Century Gothic"/>
          <w:lang w:val="en-US"/>
        </w:rPr>
        <w:footnoteReference w:id="44"/>
      </w:r>
      <w:r w:rsidRPr="00737A97">
        <w:rPr>
          <w:rStyle w:val="fontstyle21"/>
          <w:rFonts w:ascii="Century Gothic" w:hAnsi="Century Gothic"/>
          <w:color w:val="auto"/>
          <w:lang w:val="en-US"/>
        </w:rPr>
        <w:t xml:space="preserve"> We allocate to agriculture sectors public investment infrastructure equivalent to 6</w:t>
      </w:r>
      <w:r w:rsidR="001B73D8"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of annual government investment and 14</w:t>
      </w:r>
      <w:r w:rsidR="001B73D8"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of private investment from foreign donors, during seven years and analyze effects up to </w:t>
      </w:r>
      <w:r w:rsidRPr="00737A97">
        <w:rPr>
          <w:rStyle w:val="fontstyle21"/>
          <w:rFonts w:ascii="Century Gothic" w:hAnsi="Century Gothic"/>
          <w:color w:val="auto"/>
          <w:lang w:val="en-US"/>
        </w:rPr>
        <w:lastRenderedPageBreak/>
        <w:t>2030</w:t>
      </w:r>
      <w:r w:rsidR="00987836" w:rsidRPr="00737A97">
        <w:rPr>
          <w:rStyle w:val="fontstyle21"/>
          <w:rFonts w:ascii="Century Gothic" w:hAnsi="Century Gothic"/>
          <w:color w:val="auto"/>
          <w:lang w:val="en-US"/>
        </w:rPr>
        <w:t>.</w:t>
      </w:r>
      <w:r w:rsidRPr="00737A97">
        <w:rPr>
          <w:rStyle w:val="FootnoteReference"/>
          <w:rFonts w:ascii="Century Gothic" w:hAnsi="Century Gothic"/>
          <w:lang w:val="en-US"/>
        </w:rPr>
        <w:footnoteReference w:id="45"/>
      </w:r>
      <w:r w:rsidRPr="00737A97">
        <w:rPr>
          <w:rStyle w:val="fontstyle21"/>
          <w:rFonts w:ascii="Century Gothic" w:hAnsi="Century Gothic"/>
          <w:color w:val="auto"/>
          <w:lang w:val="en-US"/>
        </w:rPr>
        <w:t xml:space="preserve"> Investment in irrigation coupled with a 12.6</w:t>
      </w:r>
      <w:r w:rsidR="001B73D8" w:rsidRPr="00737A97">
        <w:rPr>
          <w:rStyle w:val="fontstyle21"/>
          <w:rFonts w:ascii="Century Gothic" w:hAnsi="Century Gothic"/>
          <w:color w:val="auto"/>
          <w:lang w:val="en-US"/>
        </w:rPr>
        <w:t xml:space="preserve"> percent</w:t>
      </w:r>
      <w:r w:rsidRPr="00737A97">
        <w:rPr>
          <w:rStyle w:val="fontstyle21"/>
          <w:rFonts w:ascii="Century Gothic" w:hAnsi="Century Gothic"/>
          <w:color w:val="auto"/>
          <w:lang w:val="en-US"/>
        </w:rPr>
        <w:t xml:space="preserve"> annual increase in women's labour supply in the agricultural sector from 2023 to 2025 as was mentioned in the 2022</w:t>
      </w:r>
      <w:r w:rsidR="00AB3C94" w:rsidRPr="00737A97">
        <w:rPr>
          <w:rStyle w:val="fontstyle21"/>
          <w:rFonts w:ascii="Century Gothic" w:hAnsi="Century Gothic"/>
          <w:color w:val="auto"/>
          <w:lang w:val="en-US"/>
        </w:rPr>
        <w:t>/23</w:t>
      </w:r>
      <w:r w:rsidRPr="00737A97">
        <w:rPr>
          <w:rStyle w:val="fontstyle21"/>
          <w:rFonts w:ascii="Century Gothic" w:hAnsi="Century Gothic"/>
          <w:color w:val="auto"/>
          <w:lang w:val="en-US"/>
        </w:rPr>
        <w:t xml:space="preserve"> FY </w:t>
      </w:r>
      <w:r w:rsidR="00AB3C94" w:rsidRPr="00737A97">
        <w:rPr>
          <w:rStyle w:val="fontstyle21"/>
          <w:rFonts w:ascii="Century Gothic" w:hAnsi="Century Gothic"/>
          <w:color w:val="auto"/>
          <w:lang w:val="en-US"/>
        </w:rPr>
        <w:t>b</w:t>
      </w:r>
      <w:r w:rsidRPr="00737A97">
        <w:rPr>
          <w:rStyle w:val="fontstyle21"/>
          <w:rFonts w:ascii="Century Gothic" w:hAnsi="Century Gothic"/>
          <w:color w:val="auto"/>
          <w:lang w:val="en-US"/>
        </w:rPr>
        <w:t>udget.</w:t>
      </w:r>
    </w:p>
    <w:p w14:paraId="11E740CC" w14:textId="77777777" w:rsidR="00EE3BED" w:rsidRPr="00737A97" w:rsidRDefault="00EE3BED" w:rsidP="00EE3BED">
      <w:pPr>
        <w:jc w:val="both"/>
        <w:rPr>
          <w:rFonts w:ascii="Century Gothic" w:hAnsi="Century Gothic"/>
          <w:color w:val="000000" w:themeColor="text1"/>
        </w:rPr>
      </w:pPr>
    </w:p>
    <w:p w14:paraId="3DE60D38" w14:textId="17C594B9" w:rsidR="005B1827" w:rsidRPr="00EE3BED" w:rsidRDefault="00737A97" w:rsidP="00EE3BED">
      <w:pPr>
        <w:pStyle w:val="Heading2"/>
        <w:spacing w:before="0" w:after="160" w:line="259" w:lineRule="auto"/>
        <w:rPr>
          <w:rFonts w:ascii="Century Gothic" w:hAnsi="Century Gothic"/>
          <w:color w:val="0070C0"/>
          <w:sz w:val="22"/>
          <w:szCs w:val="22"/>
        </w:rPr>
      </w:pPr>
      <w:bookmarkStart w:id="25" w:name="_Toc129400811"/>
      <w:bookmarkStart w:id="26" w:name="_Toc131079444"/>
      <w:r w:rsidRPr="00EE3BED">
        <w:rPr>
          <w:rFonts w:ascii="Century Gothic" w:hAnsi="Century Gothic"/>
          <w:color w:val="0070C0"/>
          <w:sz w:val="22"/>
          <w:szCs w:val="22"/>
        </w:rPr>
        <w:t>5</w:t>
      </w:r>
      <w:r w:rsidR="002D2335" w:rsidRPr="00EE3BED">
        <w:rPr>
          <w:rFonts w:ascii="Century Gothic" w:hAnsi="Century Gothic"/>
          <w:color w:val="0070C0"/>
          <w:sz w:val="22"/>
          <w:szCs w:val="22"/>
        </w:rPr>
        <w:t>.</w:t>
      </w:r>
      <w:r w:rsidR="00A04D73" w:rsidRPr="00EE3BED">
        <w:rPr>
          <w:rFonts w:ascii="Century Gothic" w:hAnsi="Century Gothic"/>
          <w:color w:val="0070C0"/>
          <w:sz w:val="22"/>
          <w:szCs w:val="22"/>
        </w:rPr>
        <w:t>3</w:t>
      </w:r>
      <w:r w:rsidR="002D2335" w:rsidRPr="00EE3BED">
        <w:rPr>
          <w:rFonts w:ascii="Century Gothic" w:hAnsi="Century Gothic"/>
          <w:color w:val="0070C0"/>
          <w:sz w:val="22"/>
          <w:szCs w:val="22"/>
        </w:rPr>
        <w:t xml:space="preserve"> </w:t>
      </w:r>
      <w:r w:rsidR="005B1827" w:rsidRPr="00EE3BED">
        <w:rPr>
          <w:rFonts w:ascii="Century Gothic" w:hAnsi="Century Gothic"/>
          <w:color w:val="0070C0"/>
          <w:sz w:val="22"/>
          <w:szCs w:val="22"/>
        </w:rPr>
        <w:t>Analysis of simulation results</w:t>
      </w:r>
      <w:bookmarkEnd w:id="25"/>
      <w:bookmarkEnd w:id="26"/>
    </w:p>
    <w:p w14:paraId="3D95F9CE" w14:textId="26B678BC" w:rsidR="00276276" w:rsidRPr="00737A97" w:rsidRDefault="005B1827" w:rsidP="00EE3BED">
      <w:pPr>
        <w:jc w:val="both"/>
        <w:rPr>
          <w:rFonts w:ascii="Century Gothic" w:hAnsi="Century Gothic"/>
        </w:rPr>
      </w:pPr>
      <w:r w:rsidRPr="00737A97">
        <w:rPr>
          <w:rStyle w:val="fontstyle21"/>
          <w:rFonts w:ascii="Century Gothic" w:hAnsi="Century Gothic"/>
          <w:b/>
          <w:color w:val="auto"/>
          <w:lang w:val="en-US"/>
        </w:rPr>
        <w:t>Scenario 1:</w:t>
      </w:r>
      <w:r w:rsidRPr="00737A97">
        <w:rPr>
          <w:rStyle w:val="fontstyle21"/>
          <w:rFonts w:ascii="Century Gothic" w:hAnsi="Century Gothic"/>
          <w:color w:val="auto"/>
          <w:lang w:val="en-US"/>
        </w:rPr>
        <w:t xml:space="preserve"> Welfare implications of proposed increase in </w:t>
      </w:r>
      <w:r w:rsidR="00051A6E" w:rsidRPr="00737A97">
        <w:rPr>
          <w:rStyle w:val="fontstyle21"/>
          <w:rFonts w:ascii="Century Gothic" w:hAnsi="Century Gothic"/>
          <w:color w:val="auto"/>
          <w:lang w:val="en-US"/>
        </w:rPr>
        <w:t>women</w:t>
      </w:r>
      <w:r w:rsidR="0007118F" w:rsidRPr="00737A97">
        <w:rPr>
          <w:rStyle w:val="fontstyle21"/>
          <w:rFonts w:ascii="Century Gothic" w:hAnsi="Century Gothic"/>
          <w:color w:val="auto"/>
          <w:lang w:val="en-US"/>
        </w:rPr>
        <w:t>’s</w:t>
      </w:r>
      <w:r w:rsidRPr="00737A97">
        <w:rPr>
          <w:rStyle w:val="fontstyle21"/>
          <w:rFonts w:ascii="Century Gothic" w:hAnsi="Century Gothic"/>
          <w:color w:val="auto"/>
          <w:lang w:val="en-US"/>
        </w:rPr>
        <w:t xml:space="preserve"> employment in the agricultural sector under </w:t>
      </w:r>
      <w:r w:rsidR="0007118F" w:rsidRPr="00737A97">
        <w:rPr>
          <w:rStyle w:val="fontstyle21"/>
          <w:rFonts w:ascii="Century Gothic" w:hAnsi="Century Gothic"/>
          <w:color w:val="auto"/>
          <w:lang w:val="en-US"/>
        </w:rPr>
        <w:t>BAU</w:t>
      </w:r>
      <w:r w:rsidRPr="00737A97">
        <w:rPr>
          <w:rStyle w:val="fontstyle21"/>
          <w:rFonts w:ascii="Century Gothic" w:hAnsi="Century Gothic"/>
          <w:color w:val="auto"/>
          <w:lang w:val="en-US"/>
        </w:rPr>
        <w:t xml:space="preserve"> conditions.</w:t>
      </w:r>
      <w:bookmarkStart w:id="27" w:name="_Toc93491317"/>
      <w:r w:rsidR="001C1CFB" w:rsidRPr="00737A97">
        <w:rPr>
          <w:rFonts w:ascii="Century Gothic" w:hAnsi="Century Gothic"/>
        </w:rPr>
        <w:t xml:space="preserve"> </w:t>
      </w:r>
    </w:p>
    <w:p w14:paraId="52C2CDF3" w14:textId="6FAD7F70" w:rsidR="00423393" w:rsidRPr="00EE3BED" w:rsidRDefault="00882FD9" w:rsidP="00EE3BED">
      <w:pPr>
        <w:jc w:val="both"/>
        <w:rPr>
          <w:rFonts w:ascii="Century Gothic" w:hAnsi="Century Gothic" w:cs="Times New Roman"/>
        </w:rPr>
      </w:pPr>
      <w:r w:rsidRPr="00737A97">
        <w:rPr>
          <w:rFonts w:ascii="Century Gothic" w:hAnsi="Century Gothic" w:cs="Times New Roman"/>
          <w:lang w:val="en-US"/>
        </w:rPr>
        <w:t xml:space="preserve">This section presents the results of increased women's employment in the agricultural sector without improved agriculture productivity from inputs (such as increasing women’s access to land, education, financial services, and technology) </w:t>
      </w:r>
      <w:r w:rsidR="0060559F" w:rsidRPr="00737A97">
        <w:rPr>
          <w:rFonts w:ascii="Century Gothic" w:hAnsi="Century Gothic" w:cs="Times New Roman"/>
          <w:lang w:val="en-US"/>
        </w:rPr>
        <w:t xml:space="preserve">from 2023 to </w:t>
      </w:r>
      <w:r w:rsidRPr="00737A97">
        <w:rPr>
          <w:rFonts w:ascii="Century Gothic" w:hAnsi="Century Gothic" w:cs="Times New Roman"/>
          <w:lang w:val="en-US"/>
        </w:rPr>
        <w:t>2025.</w:t>
      </w:r>
      <w:r w:rsidR="00423393" w:rsidRPr="00737A97">
        <w:rPr>
          <w:rFonts w:ascii="Century Gothic" w:hAnsi="Century Gothic" w:cs="Times New Roman"/>
          <w:lang w:val="en-US"/>
        </w:rPr>
        <w:t xml:space="preserve"> </w:t>
      </w:r>
      <w:r w:rsidR="001711E2" w:rsidRPr="00737A97">
        <w:rPr>
          <w:rFonts w:ascii="Century Gothic" w:hAnsi="Century Gothic" w:cs="Times New Roman"/>
        </w:rPr>
        <w:t xml:space="preserve">We discuss the macroeconomic impact and then turn to the sectoral and household-level productivity impacts in particular focusing on welfare implications. </w:t>
      </w:r>
    </w:p>
    <w:p w14:paraId="1663BE9E" w14:textId="77777777" w:rsidR="00423393" w:rsidRPr="00737A97" w:rsidRDefault="00423393" w:rsidP="00EE3BED">
      <w:pPr>
        <w:jc w:val="both"/>
        <w:rPr>
          <w:rFonts w:ascii="Century Gothic" w:hAnsi="Century Gothic" w:cs="Times New Roman"/>
          <w:i/>
        </w:rPr>
      </w:pPr>
      <w:r w:rsidRPr="00737A97">
        <w:rPr>
          <w:rFonts w:ascii="Century Gothic" w:hAnsi="Century Gothic" w:cs="Times New Roman"/>
          <w:i/>
        </w:rPr>
        <w:t>Macroeconomic effects</w:t>
      </w:r>
    </w:p>
    <w:p w14:paraId="0B9476FD" w14:textId="562775C6" w:rsidR="00B5597C" w:rsidRPr="00737A97" w:rsidRDefault="001711E2" w:rsidP="00EE3BED">
      <w:pPr>
        <w:jc w:val="both"/>
        <w:rPr>
          <w:rFonts w:ascii="Century Gothic" w:hAnsi="Century Gothic" w:cs="Times New Roman"/>
          <w:lang w:val="en-US"/>
        </w:rPr>
      </w:pPr>
      <w:r w:rsidRPr="00737A97">
        <w:rPr>
          <w:rFonts w:ascii="Century Gothic" w:hAnsi="Century Gothic" w:cs="Times New Roman"/>
        </w:rPr>
        <w:t xml:space="preserve">The overall observation of the simulation results is that there is a </w:t>
      </w:r>
      <w:r w:rsidR="00497309" w:rsidRPr="00737A97">
        <w:rPr>
          <w:rFonts w:ascii="Century Gothic" w:hAnsi="Century Gothic" w:cs="Times New Roman"/>
        </w:rPr>
        <w:t xml:space="preserve">negative </w:t>
      </w:r>
      <w:r w:rsidRPr="00737A97">
        <w:rPr>
          <w:rFonts w:ascii="Century Gothic" w:hAnsi="Century Gothic" w:cs="Times New Roman"/>
        </w:rPr>
        <w:t xml:space="preserve">effect </w:t>
      </w:r>
      <w:r w:rsidR="005731CE" w:rsidRPr="00737A97">
        <w:rPr>
          <w:rFonts w:ascii="Century Gothic" w:hAnsi="Century Gothic" w:cs="Times New Roman"/>
        </w:rPr>
        <w:t>from the planned increases in the number of women employed in the agricultural sector</w:t>
      </w:r>
      <w:r w:rsidRPr="00737A97">
        <w:rPr>
          <w:rFonts w:ascii="Century Gothic" w:hAnsi="Century Gothic" w:cs="Times New Roman"/>
        </w:rPr>
        <w:t xml:space="preserve"> on macroeconomic </w:t>
      </w:r>
      <w:r w:rsidR="005731CE" w:rsidRPr="00737A97">
        <w:rPr>
          <w:rFonts w:ascii="Century Gothic" w:hAnsi="Century Gothic" w:cs="Times New Roman"/>
        </w:rPr>
        <w:t>indicator</w:t>
      </w:r>
      <w:r w:rsidR="0007118F" w:rsidRPr="00737A97">
        <w:rPr>
          <w:rFonts w:ascii="Century Gothic" w:hAnsi="Century Gothic" w:cs="Times New Roman"/>
        </w:rPr>
        <w:t>s</w:t>
      </w:r>
      <w:r w:rsidRPr="00737A97">
        <w:rPr>
          <w:rFonts w:ascii="Century Gothic" w:hAnsi="Century Gothic" w:cs="Times New Roman"/>
        </w:rPr>
        <w:t xml:space="preserve">, such as real GDP, total </w:t>
      </w:r>
      <w:r w:rsidR="00497309" w:rsidRPr="00737A97">
        <w:rPr>
          <w:rFonts w:ascii="Century Gothic" w:hAnsi="Century Gothic" w:cs="Times New Roman"/>
        </w:rPr>
        <w:t xml:space="preserve">agricultural </w:t>
      </w:r>
      <w:r w:rsidRPr="00737A97">
        <w:rPr>
          <w:rFonts w:ascii="Century Gothic" w:hAnsi="Century Gothic" w:cs="Times New Roman"/>
        </w:rPr>
        <w:t xml:space="preserve">production, real household consumption, and </w:t>
      </w:r>
      <w:r w:rsidR="00464F70" w:rsidRPr="00737A97">
        <w:rPr>
          <w:rFonts w:ascii="Century Gothic" w:hAnsi="Century Gothic" w:cs="Times New Roman"/>
        </w:rPr>
        <w:t>inflation</w:t>
      </w:r>
      <w:r w:rsidRPr="00737A97">
        <w:rPr>
          <w:rFonts w:ascii="Century Gothic" w:hAnsi="Century Gothic" w:cs="Times New Roman"/>
        </w:rPr>
        <w:t xml:space="preserve"> (</w:t>
      </w:r>
      <w:r w:rsidR="0007118F" w:rsidRPr="00737A97">
        <w:rPr>
          <w:rFonts w:ascii="Century Gothic" w:hAnsi="Century Gothic" w:cs="Times New Roman"/>
        </w:rPr>
        <w:t>t</w:t>
      </w:r>
      <w:r w:rsidRPr="00737A97">
        <w:rPr>
          <w:rFonts w:ascii="Century Gothic" w:hAnsi="Century Gothic" w:cs="Times New Roman"/>
        </w:rPr>
        <w:t xml:space="preserve">able </w:t>
      </w:r>
      <w:r w:rsidR="00F4635D">
        <w:rPr>
          <w:rFonts w:ascii="Century Gothic" w:hAnsi="Century Gothic" w:cs="Times New Roman"/>
        </w:rPr>
        <w:t>4</w:t>
      </w:r>
      <w:r w:rsidRPr="00737A97">
        <w:rPr>
          <w:rFonts w:ascii="Century Gothic" w:hAnsi="Century Gothic" w:cs="Times New Roman"/>
        </w:rPr>
        <w:t>).</w:t>
      </w:r>
    </w:p>
    <w:p w14:paraId="59A5753E" w14:textId="3A86481F" w:rsidR="006F5FD6" w:rsidRPr="00737A97" w:rsidRDefault="00B5597C" w:rsidP="00EE3BED">
      <w:pPr>
        <w:jc w:val="both"/>
        <w:rPr>
          <w:rFonts w:ascii="Century Gothic" w:hAnsi="Century Gothic"/>
        </w:rPr>
      </w:pPr>
      <w:r w:rsidRPr="00737A97">
        <w:rPr>
          <w:rFonts w:ascii="Century Gothic" w:hAnsi="Century Gothic" w:cs="Times New Roman"/>
        </w:rPr>
        <w:t>Tab</w:t>
      </w:r>
      <w:r w:rsidR="00AE7ED2" w:rsidRPr="00737A97">
        <w:rPr>
          <w:rFonts w:ascii="Century Gothic" w:hAnsi="Century Gothic" w:cs="Times New Roman"/>
        </w:rPr>
        <w:t xml:space="preserve">le </w:t>
      </w:r>
      <w:r w:rsidR="00F4635D">
        <w:rPr>
          <w:rFonts w:ascii="Century Gothic" w:hAnsi="Century Gothic" w:cs="Times New Roman"/>
        </w:rPr>
        <w:t>4</w:t>
      </w:r>
      <w:r w:rsidR="00370E0B">
        <w:rPr>
          <w:rFonts w:ascii="Century Gothic" w:hAnsi="Century Gothic" w:cs="Times New Roman"/>
        </w:rPr>
        <w:t>.</w:t>
      </w:r>
      <w:r w:rsidR="005731CE" w:rsidRPr="00737A97">
        <w:rPr>
          <w:rFonts w:ascii="Century Gothic" w:hAnsi="Century Gothic" w:cs="Times New Roman"/>
        </w:rPr>
        <w:t xml:space="preserve"> Macroeconomic impacts of increasing the number of women employed in agriculture</w:t>
      </w:r>
      <w:r w:rsidR="00AE7ED2" w:rsidRPr="00737A97">
        <w:rPr>
          <w:rFonts w:ascii="Century Gothic" w:hAnsi="Century Gothic" w:cs="Times New Roman"/>
        </w:rPr>
        <w:t xml:space="preserve"> </w:t>
      </w:r>
      <w:r w:rsidR="006F5FD6" w:rsidRPr="00737A97">
        <w:rPr>
          <w:rFonts w:ascii="Century Gothic" w:hAnsi="Century Gothic"/>
        </w:rPr>
        <w:t xml:space="preserve">(% </w:t>
      </w:r>
      <w:r w:rsidR="00AE7ED2" w:rsidRPr="00737A97">
        <w:rPr>
          <w:rFonts w:ascii="Century Gothic" w:hAnsi="Century Gothic"/>
        </w:rPr>
        <w:t xml:space="preserve">annual </w:t>
      </w:r>
      <w:r w:rsidR="006F5FD6" w:rsidRPr="00737A97">
        <w:rPr>
          <w:rFonts w:ascii="Century Gothic" w:hAnsi="Century Gothic"/>
        </w:rPr>
        <w:t>average change from</w:t>
      </w:r>
      <w:r w:rsidR="000515A2" w:rsidRPr="00737A97">
        <w:rPr>
          <w:rFonts w:ascii="Century Gothic" w:hAnsi="Century Gothic"/>
        </w:rPr>
        <w:t xml:space="preserve"> the</w:t>
      </w:r>
      <w:r w:rsidR="006F5FD6" w:rsidRPr="00737A97">
        <w:rPr>
          <w:rFonts w:ascii="Century Gothic" w:hAnsi="Century Gothic"/>
        </w:rPr>
        <w:t xml:space="preserve"> base</w:t>
      </w:r>
      <w:r w:rsidR="000515A2" w:rsidRPr="00737A97">
        <w:rPr>
          <w:rFonts w:ascii="Century Gothic" w:hAnsi="Century Gothic"/>
        </w:rPr>
        <w:t xml:space="preserve"> year</w:t>
      </w:r>
      <w:r w:rsidR="006F5FD6" w:rsidRPr="00737A97">
        <w:rPr>
          <w:rFonts w:ascii="Century Gothic" w:hAnsi="Century Gothic"/>
        </w:rPr>
        <w:t>)</w:t>
      </w:r>
    </w:p>
    <w:tbl>
      <w:tblPr>
        <w:tblStyle w:val="TableGrid"/>
        <w:tblW w:w="0" w:type="auto"/>
        <w:tblLook w:val="04A0" w:firstRow="1" w:lastRow="0" w:firstColumn="1" w:lastColumn="0" w:noHBand="0" w:noVBand="1"/>
      </w:tblPr>
      <w:tblGrid>
        <w:gridCol w:w="3054"/>
        <w:gridCol w:w="2273"/>
        <w:gridCol w:w="1227"/>
        <w:gridCol w:w="1227"/>
        <w:gridCol w:w="1661"/>
      </w:tblGrid>
      <w:tr w:rsidR="00A04D73" w:rsidRPr="00737A97" w14:paraId="26F54BE9" w14:textId="77777777" w:rsidTr="000C5002">
        <w:tc>
          <w:tcPr>
            <w:tcW w:w="3129" w:type="dxa"/>
            <w:vMerge w:val="restart"/>
            <w:shd w:val="clear" w:color="auto" w:fill="D5DCE4" w:themeFill="text2" w:themeFillTint="33"/>
          </w:tcPr>
          <w:p w14:paraId="3B8FA13E" w14:textId="77777777" w:rsidR="000C5002" w:rsidRPr="00737A97" w:rsidRDefault="000C5002" w:rsidP="00EE3BED">
            <w:pPr>
              <w:jc w:val="both"/>
              <w:rPr>
                <w:rFonts w:ascii="Century Gothic" w:hAnsi="Century Gothic" w:cs="Times New Roman"/>
              </w:rPr>
            </w:pPr>
            <w:r w:rsidRPr="00737A97">
              <w:rPr>
                <w:rFonts w:ascii="Century Gothic" w:hAnsi="Century Gothic" w:cs="Times New Roman"/>
              </w:rPr>
              <w:t>Macroeconomic aggregates</w:t>
            </w:r>
          </w:p>
        </w:tc>
        <w:tc>
          <w:tcPr>
            <w:tcW w:w="6607" w:type="dxa"/>
            <w:gridSpan w:val="4"/>
            <w:shd w:val="clear" w:color="auto" w:fill="D5DCE4" w:themeFill="text2" w:themeFillTint="33"/>
          </w:tcPr>
          <w:p w14:paraId="10299993"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Simulation results</w:t>
            </w:r>
          </w:p>
        </w:tc>
      </w:tr>
      <w:tr w:rsidR="00A04D73" w:rsidRPr="00737A97" w14:paraId="0B8430B9" w14:textId="77777777" w:rsidTr="000C5002">
        <w:tc>
          <w:tcPr>
            <w:tcW w:w="3129" w:type="dxa"/>
            <w:vMerge/>
            <w:shd w:val="clear" w:color="auto" w:fill="D5DCE4" w:themeFill="text2" w:themeFillTint="33"/>
          </w:tcPr>
          <w:p w14:paraId="2B6DE344" w14:textId="77777777" w:rsidR="000C5002" w:rsidRPr="00737A97" w:rsidRDefault="000C5002" w:rsidP="00EE3BED">
            <w:pPr>
              <w:jc w:val="both"/>
              <w:rPr>
                <w:rFonts w:ascii="Century Gothic" w:hAnsi="Century Gothic" w:cs="Times New Roman"/>
              </w:rPr>
            </w:pPr>
          </w:p>
        </w:tc>
        <w:tc>
          <w:tcPr>
            <w:tcW w:w="2356" w:type="dxa"/>
            <w:shd w:val="clear" w:color="auto" w:fill="D5DCE4" w:themeFill="text2" w:themeFillTint="33"/>
          </w:tcPr>
          <w:p w14:paraId="31B47554"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 xml:space="preserve">2019 </w:t>
            </w:r>
          </w:p>
          <w:p w14:paraId="7305F83F"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(base year), ml. TZS</w:t>
            </w:r>
          </w:p>
        </w:tc>
        <w:tc>
          <w:tcPr>
            <w:tcW w:w="1260" w:type="dxa"/>
            <w:shd w:val="clear" w:color="auto" w:fill="D5DCE4" w:themeFill="text2" w:themeFillTint="33"/>
          </w:tcPr>
          <w:p w14:paraId="471175D5"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202</w:t>
            </w:r>
            <w:r w:rsidR="00C623EE" w:rsidRPr="00737A97">
              <w:rPr>
                <w:rFonts w:ascii="Century Gothic" w:hAnsi="Century Gothic" w:cs="Times New Roman"/>
              </w:rPr>
              <w:t>3</w:t>
            </w:r>
          </w:p>
        </w:tc>
        <w:tc>
          <w:tcPr>
            <w:tcW w:w="1260" w:type="dxa"/>
            <w:shd w:val="clear" w:color="auto" w:fill="D5DCE4" w:themeFill="text2" w:themeFillTint="33"/>
          </w:tcPr>
          <w:p w14:paraId="03E24A6B"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2025</w:t>
            </w:r>
          </w:p>
        </w:tc>
        <w:tc>
          <w:tcPr>
            <w:tcW w:w="1731" w:type="dxa"/>
            <w:shd w:val="clear" w:color="auto" w:fill="D5DCE4" w:themeFill="text2" w:themeFillTint="33"/>
          </w:tcPr>
          <w:p w14:paraId="1B4D9CC7"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2030</w:t>
            </w:r>
          </w:p>
        </w:tc>
      </w:tr>
      <w:tr w:rsidR="00A04D73" w:rsidRPr="00737A97" w14:paraId="2CEF4641" w14:textId="77777777" w:rsidTr="000C5002">
        <w:tc>
          <w:tcPr>
            <w:tcW w:w="3129" w:type="dxa"/>
          </w:tcPr>
          <w:p w14:paraId="694DE60C" w14:textId="77777777" w:rsidR="000C5002" w:rsidRPr="00737A97" w:rsidRDefault="000C5002" w:rsidP="00EE3BED">
            <w:pPr>
              <w:jc w:val="both"/>
              <w:rPr>
                <w:rFonts w:ascii="Century Gothic" w:hAnsi="Century Gothic" w:cs="Times New Roman"/>
              </w:rPr>
            </w:pPr>
            <w:r w:rsidRPr="00737A97">
              <w:rPr>
                <w:rFonts w:ascii="Century Gothic" w:hAnsi="Century Gothic" w:cs="Times New Roman"/>
              </w:rPr>
              <w:t xml:space="preserve">Real GDP </w:t>
            </w:r>
          </w:p>
        </w:tc>
        <w:tc>
          <w:tcPr>
            <w:tcW w:w="2356" w:type="dxa"/>
          </w:tcPr>
          <w:p w14:paraId="6C7F4714"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103029.1</w:t>
            </w:r>
          </w:p>
        </w:tc>
        <w:tc>
          <w:tcPr>
            <w:tcW w:w="1260" w:type="dxa"/>
          </w:tcPr>
          <w:p w14:paraId="69D6B99B" w14:textId="77777777" w:rsidR="000C5002" w:rsidRPr="00737A97" w:rsidRDefault="00C623EE" w:rsidP="00EE3BED">
            <w:pPr>
              <w:jc w:val="center"/>
              <w:rPr>
                <w:rFonts w:ascii="Century Gothic" w:hAnsi="Century Gothic" w:cs="Times New Roman"/>
              </w:rPr>
            </w:pPr>
            <w:r w:rsidRPr="00737A97">
              <w:rPr>
                <w:rFonts w:ascii="Century Gothic" w:hAnsi="Century Gothic" w:cs="Times New Roman"/>
              </w:rPr>
              <w:t>-0.45</w:t>
            </w:r>
          </w:p>
        </w:tc>
        <w:tc>
          <w:tcPr>
            <w:tcW w:w="1260" w:type="dxa"/>
          </w:tcPr>
          <w:p w14:paraId="6D9B6C83"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62</w:t>
            </w:r>
          </w:p>
        </w:tc>
        <w:tc>
          <w:tcPr>
            <w:tcW w:w="1731" w:type="dxa"/>
          </w:tcPr>
          <w:p w14:paraId="7E9ECB6E"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93</w:t>
            </w:r>
          </w:p>
        </w:tc>
      </w:tr>
      <w:tr w:rsidR="00A04D73" w:rsidRPr="00737A97" w14:paraId="0958536A" w14:textId="77777777" w:rsidTr="000C5002">
        <w:tc>
          <w:tcPr>
            <w:tcW w:w="3129" w:type="dxa"/>
          </w:tcPr>
          <w:p w14:paraId="7266F8DD" w14:textId="77777777" w:rsidR="000C5002" w:rsidRPr="00737A97" w:rsidRDefault="000C5002" w:rsidP="00EE3BED">
            <w:pPr>
              <w:jc w:val="both"/>
              <w:rPr>
                <w:rFonts w:ascii="Century Gothic" w:hAnsi="Century Gothic" w:cs="Times New Roman"/>
              </w:rPr>
            </w:pPr>
            <w:r w:rsidRPr="00737A97">
              <w:rPr>
                <w:rFonts w:ascii="Century Gothic" w:hAnsi="Century Gothic" w:cs="Times New Roman"/>
              </w:rPr>
              <w:t>Total agricultural production</w:t>
            </w:r>
          </w:p>
        </w:tc>
        <w:tc>
          <w:tcPr>
            <w:tcW w:w="2356" w:type="dxa"/>
          </w:tcPr>
          <w:p w14:paraId="73661A89" w14:textId="77777777" w:rsidR="000C5002" w:rsidRPr="00737A97" w:rsidRDefault="000C5002" w:rsidP="00EE3BED">
            <w:pPr>
              <w:jc w:val="center"/>
              <w:rPr>
                <w:rFonts w:ascii="Century Gothic" w:hAnsi="Century Gothic" w:cs="Times New Roman"/>
              </w:rPr>
            </w:pPr>
            <w:r w:rsidRPr="00737A97">
              <w:rPr>
                <w:rFonts w:ascii="Century Gothic" w:hAnsi="Century Gothic" w:cs="Times New Roman"/>
              </w:rPr>
              <w:t>33338.15</w:t>
            </w:r>
          </w:p>
        </w:tc>
        <w:tc>
          <w:tcPr>
            <w:tcW w:w="1260" w:type="dxa"/>
          </w:tcPr>
          <w:p w14:paraId="2F14FB79"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w:t>
            </w:r>
            <w:r w:rsidR="00C623EE" w:rsidRPr="00737A97">
              <w:rPr>
                <w:rFonts w:ascii="Century Gothic" w:hAnsi="Century Gothic" w:cs="Times New Roman"/>
              </w:rPr>
              <w:t>0.46</w:t>
            </w:r>
          </w:p>
        </w:tc>
        <w:tc>
          <w:tcPr>
            <w:tcW w:w="1260" w:type="dxa"/>
          </w:tcPr>
          <w:p w14:paraId="5300149E"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w:t>
            </w:r>
            <w:r w:rsidR="00C623EE" w:rsidRPr="00737A97">
              <w:rPr>
                <w:rFonts w:ascii="Century Gothic" w:hAnsi="Century Gothic" w:cs="Times New Roman"/>
              </w:rPr>
              <w:t>0.58</w:t>
            </w:r>
          </w:p>
        </w:tc>
        <w:tc>
          <w:tcPr>
            <w:tcW w:w="1731" w:type="dxa"/>
          </w:tcPr>
          <w:p w14:paraId="4523CC10"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w:t>
            </w:r>
            <w:r w:rsidR="00C623EE" w:rsidRPr="00737A97">
              <w:rPr>
                <w:rFonts w:ascii="Century Gothic" w:hAnsi="Century Gothic" w:cs="Times New Roman"/>
              </w:rPr>
              <w:t>0.08</w:t>
            </w:r>
          </w:p>
        </w:tc>
      </w:tr>
      <w:tr w:rsidR="00A04D73" w:rsidRPr="00737A97" w14:paraId="2EC428F4" w14:textId="77777777" w:rsidTr="000C5002">
        <w:tc>
          <w:tcPr>
            <w:tcW w:w="3129" w:type="dxa"/>
          </w:tcPr>
          <w:p w14:paraId="1C84B591" w14:textId="77777777" w:rsidR="000C5002" w:rsidRPr="00737A97" w:rsidRDefault="000C5002" w:rsidP="00EE3BED">
            <w:pPr>
              <w:jc w:val="both"/>
              <w:rPr>
                <w:rFonts w:ascii="Century Gothic" w:hAnsi="Century Gothic" w:cs="Times New Roman"/>
              </w:rPr>
            </w:pPr>
            <w:r w:rsidRPr="00737A97">
              <w:rPr>
                <w:rFonts w:ascii="Century Gothic" w:hAnsi="Century Gothic" w:cs="Times New Roman"/>
              </w:rPr>
              <w:t>Aggregate exports of agricultural commodities</w:t>
            </w:r>
          </w:p>
        </w:tc>
        <w:tc>
          <w:tcPr>
            <w:tcW w:w="2356" w:type="dxa"/>
          </w:tcPr>
          <w:p w14:paraId="2A364E06"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4387.4</w:t>
            </w:r>
          </w:p>
        </w:tc>
        <w:tc>
          <w:tcPr>
            <w:tcW w:w="1260" w:type="dxa"/>
          </w:tcPr>
          <w:p w14:paraId="005C0790"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91</w:t>
            </w:r>
          </w:p>
        </w:tc>
        <w:tc>
          <w:tcPr>
            <w:tcW w:w="1260" w:type="dxa"/>
          </w:tcPr>
          <w:p w14:paraId="659AC872"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w:t>
            </w:r>
            <w:r w:rsidR="00C623EE" w:rsidRPr="00737A97">
              <w:rPr>
                <w:rFonts w:ascii="Century Gothic" w:hAnsi="Century Gothic" w:cs="Times New Roman"/>
              </w:rPr>
              <w:t>0.95</w:t>
            </w:r>
          </w:p>
        </w:tc>
        <w:tc>
          <w:tcPr>
            <w:tcW w:w="1731" w:type="dxa"/>
          </w:tcPr>
          <w:p w14:paraId="7E08B2E6"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w:t>
            </w:r>
            <w:r w:rsidR="00C623EE" w:rsidRPr="00737A97">
              <w:rPr>
                <w:rFonts w:ascii="Century Gothic" w:hAnsi="Century Gothic" w:cs="Times New Roman"/>
              </w:rPr>
              <w:t>1.14</w:t>
            </w:r>
          </w:p>
        </w:tc>
      </w:tr>
      <w:tr w:rsidR="00C623EE" w:rsidRPr="00737A97" w14:paraId="2A6045EE" w14:textId="77777777" w:rsidTr="000C5002">
        <w:tc>
          <w:tcPr>
            <w:tcW w:w="3129" w:type="dxa"/>
          </w:tcPr>
          <w:p w14:paraId="3663D4CF" w14:textId="6BA10AA0" w:rsidR="00C623EE" w:rsidRPr="00737A97" w:rsidRDefault="00C623EE" w:rsidP="00EE3BED">
            <w:pPr>
              <w:jc w:val="both"/>
              <w:rPr>
                <w:rFonts w:ascii="Century Gothic" w:hAnsi="Century Gothic" w:cs="Times New Roman"/>
              </w:rPr>
            </w:pPr>
            <w:r w:rsidRPr="00737A97">
              <w:rPr>
                <w:rFonts w:ascii="Century Gothic" w:hAnsi="Century Gothic" w:cs="Times New Roman"/>
              </w:rPr>
              <w:t xml:space="preserve">Aggregated imports </w:t>
            </w:r>
            <w:r w:rsidR="00464F70" w:rsidRPr="00737A97">
              <w:rPr>
                <w:rFonts w:ascii="Century Gothic" w:hAnsi="Century Gothic" w:cs="Times New Roman"/>
              </w:rPr>
              <w:t>of</w:t>
            </w:r>
            <w:r w:rsidRPr="00737A97">
              <w:rPr>
                <w:rFonts w:ascii="Century Gothic" w:hAnsi="Century Gothic" w:cs="Times New Roman"/>
              </w:rPr>
              <w:t xml:space="preserve"> agricultural commodities</w:t>
            </w:r>
          </w:p>
        </w:tc>
        <w:tc>
          <w:tcPr>
            <w:tcW w:w="2356" w:type="dxa"/>
          </w:tcPr>
          <w:p w14:paraId="2EE7DD92" w14:textId="77777777" w:rsidR="00C623EE" w:rsidRPr="00737A97" w:rsidRDefault="00C623EE" w:rsidP="00EE3BED">
            <w:pPr>
              <w:jc w:val="center"/>
              <w:rPr>
                <w:rFonts w:ascii="Century Gothic" w:hAnsi="Century Gothic" w:cs="Times New Roman"/>
              </w:rPr>
            </w:pPr>
            <w:r w:rsidRPr="00737A97">
              <w:rPr>
                <w:rFonts w:ascii="Century Gothic" w:hAnsi="Century Gothic" w:cs="Times New Roman"/>
              </w:rPr>
              <w:t>1505.3</w:t>
            </w:r>
          </w:p>
        </w:tc>
        <w:tc>
          <w:tcPr>
            <w:tcW w:w="1260" w:type="dxa"/>
          </w:tcPr>
          <w:p w14:paraId="102BF1C0" w14:textId="77777777" w:rsidR="00C623EE" w:rsidRPr="00737A97" w:rsidRDefault="00C623EE" w:rsidP="00EE3BED">
            <w:pPr>
              <w:jc w:val="center"/>
              <w:rPr>
                <w:rFonts w:ascii="Century Gothic" w:hAnsi="Century Gothic" w:cs="Times New Roman"/>
              </w:rPr>
            </w:pPr>
            <w:r w:rsidRPr="00737A97">
              <w:rPr>
                <w:rFonts w:ascii="Century Gothic" w:hAnsi="Century Gothic" w:cs="Times New Roman"/>
              </w:rPr>
              <w:t>+0.38</w:t>
            </w:r>
          </w:p>
        </w:tc>
        <w:tc>
          <w:tcPr>
            <w:tcW w:w="1260" w:type="dxa"/>
          </w:tcPr>
          <w:p w14:paraId="00E5FFB6" w14:textId="77777777" w:rsidR="00C623EE" w:rsidRPr="00737A97" w:rsidRDefault="00C623EE" w:rsidP="00EE3BED">
            <w:pPr>
              <w:jc w:val="center"/>
              <w:rPr>
                <w:rFonts w:ascii="Century Gothic" w:hAnsi="Century Gothic" w:cs="Times New Roman"/>
              </w:rPr>
            </w:pPr>
            <w:r w:rsidRPr="00737A97">
              <w:rPr>
                <w:rFonts w:ascii="Century Gothic" w:hAnsi="Century Gothic" w:cs="Times New Roman"/>
              </w:rPr>
              <w:t>+0.06</w:t>
            </w:r>
          </w:p>
        </w:tc>
        <w:tc>
          <w:tcPr>
            <w:tcW w:w="1731" w:type="dxa"/>
          </w:tcPr>
          <w:p w14:paraId="128F9BFF" w14:textId="77777777" w:rsidR="00C623EE" w:rsidRPr="00737A97" w:rsidRDefault="00C623EE" w:rsidP="00EE3BED">
            <w:pPr>
              <w:jc w:val="center"/>
              <w:rPr>
                <w:rFonts w:ascii="Century Gothic" w:hAnsi="Century Gothic" w:cs="Times New Roman"/>
              </w:rPr>
            </w:pPr>
            <w:r w:rsidRPr="00737A97">
              <w:rPr>
                <w:rFonts w:ascii="Century Gothic" w:hAnsi="Century Gothic" w:cs="Times New Roman"/>
              </w:rPr>
              <w:t>-0.37</w:t>
            </w:r>
          </w:p>
        </w:tc>
      </w:tr>
      <w:tr w:rsidR="00A04D73" w:rsidRPr="00737A97" w14:paraId="24387C88" w14:textId="77777777" w:rsidTr="000C5002">
        <w:tc>
          <w:tcPr>
            <w:tcW w:w="3129" w:type="dxa"/>
          </w:tcPr>
          <w:p w14:paraId="4A677498" w14:textId="77777777" w:rsidR="000C5002" w:rsidRPr="00737A97" w:rsidRDefault="000C5002" w:rsidP="00EE3BED">
            <w:pPr>
              <w:jc w:val="both"/>
              <w:rPr>
                <w:rFonts w:ascii="Century Gothic" w:hAnsi="Century Gothic" w:cs="Times New Roman"/>
              </w:rPr>
            </w:pPr>
            <w:r w:rsidRPr="00737A97">
              <w:rPr>
                <w:rFonts w:ascii="Century Gothic" w:hAnsi="Century Gothic" w:cs="Times New Roman"/>
              </w:rPr>
              <w:t>Aggregate real consumption of households</w:t>
            </w:r>
          </w:p>
        </w:tc>
        <w:tc>
          <w:tcPr>
            <w:tcW w:w="2356" w:type="dxa"/>
          </w:tcPr>
          <w:p w14:paraId="7DF0C517"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78733.6</w:t>
            </w:r>
          </w:p>
        </w:tc>
        <w:tc>
          <w:tcPr>
            <w:tcW w:w="1260" w:type="dxa"/>
          </w:tcPr>
          <w:p w14:paraId="18C61206"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14</w:t>
            </w:r>
          </w:p>
        </w:tc>
        <w:tc>
          <w:tcPr>
            <w:tcW w:w="1260" w:type="dxa"/>
          </w:tcPr>
          <w:p w14:paraId="01AE1DAA"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31</w:t>
            </w:r>
          </w:p>
        </w:tc>
        <w:tc>
          <w:tcPr>
            <w:tcW w:w="1731" w:type="dxa"/>
          </w:tcPr>
          <w:p w14:paraId="0FB4C00D" w14:textId="77777777" w:rsidR="000C5002" w:rsidRPr="00737A97" w:rsidRDefault="00497309" w:rsidP="00EE3BED">
            <w:pPr>
              <w:jc w:val="center"/>
              <w:rPr>
                <w:rFonts w:ascii="Century Gothic" w:hAnsi="Century Gothic" w:cs="Times New Roman"/>
              </w:rPr>
            </w:pPr>
            <w:r w:rsidRPr="00737A97">
              <w:rPr>
                <w:rFonts w:ascii="Century Gothic" w:hAnsi="Century Gothic" w:cs="Times New Roman"/>
              </w:rPr>
              <w:t>-0.</w:t>
            </w:r>
            <w:r w:rsidR="00C623EE" w:rsidRPr="00737A97">
              <w:rPr>
                <w:rFonts w:ascii="Century Gothic" w:hAnsi="Century Gothic" w:cs="Times New Roman"/>
              </w:rPr>
              <w:t>57</w:t>
            </w:r>
          </w:p>
        </w:tc>
      </w:tr>
      <w:tr w:rsidR="00FF499B" w:rsidRPr="00737A97" w14:paraId="673DAD2A" w14:textId="77777777" w:rsidTr="000C5002">
        <w:tc>
          <w:tcPr>
            <w:tcW w:w="3129" w:type="dxa"/>
          </w:tcPr>
          <w:p w14:paraId="48215F6E" w14:textId="61F33FFB" w:rsidR="00FF499B" w:rsidRPr="00370E0B" w:rsidRDefault="004B5E73" w:rsidP="00EE3BED">
            <w:pPr>
              <w:jc w:val="both"/>
              <w:rPr>
                <w:rFonts w:ascii="Century Gothic" w:hAnsi="Century Gothic" w:cs="Times New Roman"/>
              </w:rPr>
            </w:pPr>
            <w:r w:rsidRPr="00370E0B">
              <w:rPr>
                <w:rFonts w:ascii="Century Gothic" w:hAnsi="Century Gothic" w:cs="Times New Roman"/>
              </w:rPr>
              <w:t>Consumer Price Index (CPI)</w:t>
            </w:r>
          </w:p>
        </w:tc>
        <w:tc>
          <w:tcPr>
            <w:tcW w:w="2356" w:type="dxa"/>
          </w:tcPr>
          <w:p w14:paraId="4356DC19" w14:textId="77777777" w:rsidR="00FF499B" w:rsidRPr="00370E0B" w:rsidRDefault="00FF499B" w:rsidP="00EE3BED">
            <w:pPr>
              <w:jc w:val="center"/>
              <w:rPr>
                <w:rFonts w:ascii="Century Gothic" w:hAnsi="Century Gothic" w:cs="Times New Roman"/>
              </w:rPr>
            </w:pPr>
          </w:p>
        </w:tc>
        <w:tc>
          <w:tcPr>
            <w:tcW w:w="1260" w:type="dxa"/>
          </w:tcPr>
          <w:p w14:paraId="76467C73" w14:textId="20454E55" w:rsidR="00FF499B" w:rsidRPr="00370E0B" w:rsidRDefault="004B5E73" w:rsidP="00EE3BED">
            <w:pPr>
              <w:jc w:val="center"/>
              <w:rPr>
                <w:rFonts w:ascii="Century Gothic" w:hAnsi="Century Gothic" w:cs="Times New Roman"/>
              </w:rPr>
            </w:pPr>
            <w:r w:rsidRPr="00370E0B">
              <w:rPr>
                <w:rFonts w:ascii="Century Gothic" w:hAnsi="Century Gothic" w:cs="Times New Roman"/>
              </w:rPr>
              <w:t>+3.03</w:t>
            </w:r>
          </w:p>
        </w:tc>
        <w:tc>
          <w:tcPr>
            <w:tcW w:w="1260" w:type="dxa"/>
          </w:tcPr>
          <w:p w14:paraId="09215206" w14:textId="1DDACA7A" w:rsidR="00FF499B" w:rsidRPr="00370E0B" w:rsidRDefault="004B5E73" w:rsidP="00EE3BED">
            <w:pPr>
              <w:jc w:val="center"/>
              <w:rPr>
                <w:rFonts w:ascii="Century Gothic" w:hAnsi="Century Gothic" w:cs="Times New Roman"/>
              </w:rPr>
            </w:pPr>
            <w:r w:rsidRPr="00370E0B">
              <w:rPr>
                <w:rFonts w:ascii="Century Gothic" w:hAnsi="Century Gothic" w:cs="Times New Roman"/>
              </w:rPr>
              <w:t>3.04</w:t>
            </w:r>
          </w:p>
        </w:tc>
        <w:tc>
          <w:tcPr>
            <w:tcW w:w="1731" w:type="dxa"/>
          </w:tcPr>
          <w:p w14:paraId="5E546899" w14:textId="6D967B9D" w:rsidR="00FF499B" w:rsidRPr="00370E0B" w:rsidRDefault="004B5E73" w:rsidP="00EE3BED">
            <w:pPr>
              <w:jc w:val="center"/>
              <w:rPr>
                <w:rFonts w:ascii="Century Gothic" w:hAnsi="Century Gothic" w:cs="Times New Roman"/>
              </w:rPr>
            </w:pPr>
            <w:r w:rsidRPr="00370E0B">
              <w:rPr>
                <w:rFonts w:ascii="Century Gothic" w:hAnsi="Century Gothic" w:cs="Times New Roman"/>
              </w:rPr>
              <w:t>3.07</w:t>
            </w:r>
          </w:p>
        </w:tc>
      </w:tr>
    </w:tbl>
    <w:p w14:paraId="260E34AA" w14:textId="77777777" w:rsidR="00B5597C" w:rsidRPr="00737A97" w:rsidRDefault="00CA676A" w:rsidP="00EE3BED">
      <w:pPr>
        <w:jc w:val="both"/>
        <w:rPr>
          <w:rFonts w:ascii="Century Gothic" w:hAnsi="Century Gothic" w:cs="Times New Roman"/>
        </w:rPr>
      </w:pPr>
      <w:r w:rsidRPr="00737A97">
        <w:rPr>
          <w:rFonts w:ascii="Century Gothic" w:hAnsi="Century Gothic" w:cs="Times New Roman"/>
        </w:rPr>
        <w:t>Source: Author</w:t>
      </w:r>
      <w:r w:rsidR="00533840" w:rsidRPr="00737A97">
        <w:rPr>
          <w:rFonts w:ascii="Century Gothic" w:hAnsi="Century Gothic" w:cs="Times New Roman"/>
        </w:rPr>
        <w:t>s</w:t>
      </w:r>
      <w:r w:rsidRPr="00737A97">
        <w:rPr>
          <w:rFonts w:ascii="Century Gothic" w:hAnsi="Century Gothic" w:cs="Times New Roman"/>
        </w:rPr>
        <w:t>’</w:t>
      </w:r>
      <w:r w:rsidR="00533840" w:rsidRPr="00737A97">
        <w:rPr>
          <w:rFonts w:ascii="Century Gothic" w:hAnsi="Century Gothic" w:cs="Times New Roman"/>
        </w:rPr>
        <w:t xml:space="preserve"> calculation</w:t>
      </w:r>
    </w:p>
    <w:p w14:paraId="0A072DA3" w14:textId="21CEF084" w:rsidR="00337926" w:rsidRPr="00737A97" w:rsidRDefault="00337926" w:rsidP="00EE3BED">
      <w:pPr>
        <w:jc w:val="both"/>
        <w:rPr>
          <w:rFonts w:ascii="Century Gothic" w:hAnsi="Century Gothic" w:cs="Times New Roman"/>
        </w:rPr>
      </w:pPr>
      <w:r w:rsidRPr="00737A97">
        <w:rPr>
          <w:rFonts w:ascii="Century Gothic" w:hAnsi="Century Gothic"/>
          <w:noProof/>
          <w:lang w:val="ru-RU" w:eastAsia="zh-CN"/>
        </w:rPr>
        <w:lastRenderedPageBreak/>
        <w:drawing>
          <wp:anchor distT="0" distB="0" distL="114300" distR="114300" simplePos="0" relativeHeight="251708416" behindDoc="0" locked="0" layoutInCell="1" allowOverlap="1" wp14:anchorId="6B10D722" wp14:editId="001A1463">
            <wp:simplePos x="0" y="0"/>
            <wp:positionH relativeFrom="column">
              <wp:posOffset>2820670</wp:posOffset>
            </wp:positionH>
            <wp:positionV relativeFrom="paragraph">
              <wp:posOffset>872490</wp:posOffset>
            </wp:positionV>
            <wp:extent cx="3364865" cy="2383155"/>
            <wp:effectExtent l="0" t="0" r="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37617" w:rsidRPr="00737A97">
        <w:rPr>
          <w:rFonts w:ascii="Century Gothic" w:hAnsi="Century Gothic" w:cs="Times New Roman"/>
        </w:rPr>
        <w:t xml:space="preserve">The real GDP at market prices reflects the actual trend of the Tanzanian economy's performance after </w:t>
      </w:r>
      <w:r w:rsidR="00764DE3" w:rsidRPr="00737A97">
        <w:rPr>
          <w:rFonts w:ascii="Century Gothic" w:hAnsi="Century Gothic" w:cs="Times New Roman"/>
        </w:rPr>
        <w:t>the reform measure is implemented</w:t>
      </w:r>
      <w:r w:rsidR="00937617" w:rsidRPr="00737A97">
        <w:rPr>
          <w:rFonts w:ascii="Century Gothic" w:hAnsi="Century Gothic" w:cs="Times New Roman"/>
        </w:rPr>
        <w:t xml:space="preserve">.  Particularly, increased </w:t>
      </w:r>
      <w:r w:rsidR="00F532C5" w:rsidRPr="00737A97">
        <w:rPr>
          <w:rFonts w:ascii="Century Gothic" w:hAnsi="Century Gothic" w:cs="Times New Roman"/>
        </w:rPr>
        <w:t>un</w:t>
      </w:r>
      <w:r w:rsidR="00CA676A" w:rsidRPr="00737A97">
        <w:rPr>
          <w:rFonts w:ascii="Century Gothic" w:hAnsi="Century Gothic" w:cs="Times New Roman"/>
        </w:rPr>
        <w:t>s</w:t>
      </w:r>
      <w:r w:rsidR="00F532C5" w:rsidRPr="00737A97">
        <w:rPr>
          <w:rFonts w:ascii="Century Gothic" w:hAnsi="Century Gothic" w:cs="Times New Roman"/>
        </w:rPr>
        <w:t>killed women</w:t>
      </w:r>
      <w:r w:rsidR="00937617" w:rsidRPr="00737A97">
        <w:rPr>
          <w:rFonts w:ascii="Century Gothic" w:hAnsi="Century Gothic" w:cs="Times New Roman"/>
        </w:rPr>
        <w:t xml:space="preserve"> in the agricultural sector reduces </w:t>
      </w:r>
      <w:r w:rsidR="00764DE3" w:rsidRPr="00737A97">
        <w:rPr>
          <w:rFonts w:ascii="Century Gothic" w:hAnsi="Century Gothic" w:cs="Times New Roman"/>
        </w:rPr>
        <w:t xml:space="preserve">GDP by </w:t>
      </w:r>
      <w:r w:rsidR="00937617" w:rsidRPr="00737A97">
        <w:rPr>
          <w:rFonts w:ascii="Century Gothic" w:hAnsi="Century Gothic" w:cs="Times New Roman"/>
        </w:rPr>
        <w:t>0.4</w:t>
      </w:r>
      <w:r w:rsidRPr="00737A97">
        <w:rPr>
          <w:rFonts w:ascii="Century Gothic" w:hAnsi="Century Gothic" w:cs="Times New Roman"/>
        </w:rPr>
        <w:t>5</w:t>
      </w:r>
      <w:r w:rsidR="00764DE3" w:rsidRPr="00737A97">
        <w:rPr>
          <w:rFonts w:ascii="Century Gothic" w:hAnsi="Century Gothic" w:cs="Times New Roman"/>
        </w:rPr>
        <w:t xml:space="preserve"> percent</w:t>
      </w:r>
      <w:r w:rsidR="00937617" w:rsidRPr="00737A97">
        <w:rPr>
          <w:rFonts w:ascii="Century Gothic" w:hAnsi="Century Gothic" w:cs="Times New Roman"/>
        </w:rPr>
        <w:t xml:space="preserve"> in </w:t>
      </w:r>
      <w:r w:rsidR="00E766AC" w:rsidRPr="00737A97">
        <w:rPr>
          <w:rFonts w:ascii="Century Gothic" w:hAnsi="Century Gothic" w:cs="Times New Roman"/>
        </w:rPr>
        <w:t>2023</w:t>
      </w:r>
      <w:r w:rsidR="00937617" w:rsidRPr="00737A97">
        <w:rPr>
          <w:rFonts w:ascii="Century Gothic" w:hAnsi="Century Gothic" w:cs="Times New Roman"/>
        </w:rPr>
        <w:t>and 0.</w:t>
      </w:r>
      <w:r w:rsidRPr="00737A97">
        <w:rPr>
          <w:rFonts w:ascii="Century Gothic" w:hAnsi="Century Gothic" w:cs="Times New Roman"/>
        </w:rPr>
        <w:t>93</w:t>
      </w:r>
      <w:r w:rsidR="00764DE3" w:rsidRPr="00737A97">
        <w:rPr>
          <w:rFonts w:ascii="Century Gothic" w:hAnsi="Century Gothic" w:cs="Times New Roman"/>
        </w:rPr>
        <w:t xml:space="preserve"> percent</w:t>
      </w:r>
      <w:r w:rsidRPr="00737A97">
        <w:rPr>
          <w:rFonts w:ascii="Century Gothic" w:hAnsi="Century Gothic" w:cs="Times New Roman"/>
        </w:rPr>
        <w:t xml:space="preserve"> in 2030. </w:t>
      </w:r>
    </w:p>
    <w:p w14:paraId="506E6B74" w14:textId="4AB53870" w:rsidR="006257DE" w:rsidRPr="00737A97" w:rsidRDefault="00EE3BED" w:rsidP="00EE3BED">
      <w:pPr>
        <w:jc w:val="both"/>
        <w:rPr>
          <w:rFonts w:ascii="Century Gothic" w:hAnsi="Century Gothic" w:cs="Times New Roman"/>
        </w:rPr>
      </w:pPr>
      <w:r w:rsidRPr="00737A97">
        <w:rPr>
          <w:rFonts w:ascii="Century Gothic" w:hAnsi="Century Gothic"/>
          <w:noProof/>
          <w:lang w:val="ru-RU" w:eastAsia="zh-CN"/>
        </w:rPr>
        <mc:AlternateContent>
          <mc:Choice Requires="wps">
            <w:drawing>
              <wp:anchor distT="0" distB="0" distL="114300" distR="114300" simplePos="0" relativeHeight="251709440" behindDoc="1" locked="0" layoutInCell="1" allowOverlap="1" wp14:anchorId="038CD623" wp14:editId="7D6B45CA">
                <wp:simplePos x="0" y="0"/>
                <wp:positionH relativeFrom="column">
                  <wp:posOffset>2924164</wp:posOffset>
                </wp:positionH>
                <wp:positionV relativeFrom="paragraph">
                  <wp:posOffset>2414399</wp:posOffset>
                </wp:positionV>
                <wp:extent cx="3151505" cy="42545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425450"/>
                        </a:xfrm>
                        <a:prstGeom prst="rect">
                          <a:avLst/>
                        </a:prstGeom>
                        <a:noFill/>
                        <a:ln w="9525">
                          <a:noFill/>
                          <a:miter lim="800000"/>
                          <a:headEnd/>
                          <a:tailEnd/>
                        </a:ln>
                      </wps:spPr>
                      <wps:txbx>
                        <w:txbxContent>
                          <w:p w14:paraId="74EB9FF0" w14:textId="074E3567" w:rsidR="00592E0C" w:rsidRPr="00932236" w:rsidRDefault="00592E0C" w:rsidP="00337926">
                            <w:pPr>
                              <w:spacing w:after="0" w:line="240" w:lineRule="auto"/>
                              <w:jc w:val="both"/>
                              <w:rPr>
                                <w:rFonts w:ascii="Century Gothic" w:hAnsi="Century Gothic" w:cs="Times New Roman"/>
                                <w:sz w:val="16"/>
                                <w:szCs w:val="16"/>
                              </w:rPr>
                            </w:pPr>
                            <w:r>
                              <w:rPr>
                                <w:rFonts w:ascii="Century Gothic" w:hAnsi="Century Gothic" w:cs="Times New Roman"/>
                                <w:sz w:val="16"/>
                                <w:szCs w:val="16"/>
                              </w:rPr>
                              <w:t>Figure 4.</w:t>
                            </w:r>
                            <w:r w:rsidRPr="00932236">
                              <w:rPr>
                                <w:rFonts w:ascii="Century Gothic" w:hAnsi="Century Gothic" w:cs="Times New Roman"/>
                                <w:sz w:val="16"/>
                                <w:szCs w:val="16"/>
                              </w:rPr>
                              <w:t xml:space="preserve"> Evaluation of variation of the consumer price index</w:t>
                            </w:r>
                          </w:p>
                          <w:p w14:paraId="0E63B96B" w14:textId="77777777" w:rsidR="00592E0C" w:rsidRPr="00932236" w:rsidRDefault="00592E0C" w:rsidP="00337926">
                            <w:pPr>
                              <w:spacing w:after="0" w:line="240" w:lineRule="auto"/>
                              <w:jc w:val="both"/>
                              <w:rPr>
                                <w:sz w:val="16"/>
                                <w:szCs w:val="16"/>
                                <w:lang w:val="en-US"/>
                              </w:rPr>
                            </w:pPr>
                            <w:r w:rsidRPr="00932236">
                              <w:rPr>
                                <w:rFonts w:ascii="Century Gothic" w:hAnsi="Century Gothic" w:cs="Times New Roman"/>
                                <w:sz w:val="16"/>
                                <w:szCs w:val="16"/>
                              </w:rPr>
                              <w:t>Source: Authors’ calculation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38CD623" id="_x0000_t202" coordsize="21600,21600" o:spt="202" path="m,l,21600r21600,l21600,xe">
                <v:stroke joinstyle="miter"/>
                <v:path gradientshapeok="t" o:connecttype="rect"/>
              </v:shapetype>
              <v:shape id="Надпись 2" o:spid="_x0000_s1026" type="#_x0000_t202" style="position:absolute;left:0;text-align:left;margin-left:230.25pt;margin-top:190.1pt;width:248.15pt;height:33.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" filled="f" stroked="f">
                <v:textbox>
                  <w:txbxContent>
                    <w:p w14:paraId="74EB9FF0" w14:textId="074E3567" w:rsidR="00592E0C" w:rsidRPr="00932236" w:rsidRDefault="00592E0C" w:rsidP="00337926">
                      <w:pPr>
                        <w:spacing w:after="0" w:line="240" w:lineRule="auto"/>
                        <w:jc w:val="both"/>
                        <w:rPr>
                          <w:rFonts w:ascii="Century Gothic" w:hAnsi="Century Gothic" w:cs="Times New Roman"/>
                          <w:sz w:val="16"/>
                          <w:szCs w:val="16"/>
                        </w:rPr>
                      </w:pPr>
                      <w:r>
                        <w:rPr>
                          <w:rFonts w:ascii="Century Gothic" w:hAnsi="Century Gothic" w:cs="Times New Roman"/>
                          <w:sz w:val="16"/>
                          <w:szCs w:val="16"/>
                        </w:rPr>
                        <w:t>Figure 4.</w:t>
                      </w:r>
                      <w:r w:rsidRPr="00932236">
                        <w:rPr>
                          <w:rFonts w:ascii="Century Gothic" w:hAnsi="Century Gothic" w:cs="Times New Roman"/>
                          <w:sz w:val="16"/>
                          <w:szCs w:val="16"/>
                        </w:rPr>
                        <w:t xml:space="preserve"> Evaluation of variation of the consumer price index</w:t>
                      </w:r>
                    </w:p>
                    <w:p w14:paraId="0E63B96B" w14:textId="77777777" w:rsidR="00592E0C" w:rsidRPr="00932236" w:rsidRDefault="00592E0C" w:rsidP="00337926">
                      <w:pPr>
                        <w:spacing w:after="0" w:line="240" w:lineRule="auto"/>
                        <w:jc w:val="both"/>
                        <w:rPr>
                          <w:sz w:val="16"/>
                          <w:szCs w:val="16"/>
                          <w:lang w:val="en-US"/>
                        </w:rPr>
                      </w:pPr>
                      <w:r w:rsidRPr="00932236">
                        <w:rPr>
                          <w:rFonts w:ascii="Century Gothic" w:hAnsi="Century Gothic" w:cs="Times New Roman"/>
                          <w:sz w:val="16"/>
                          <w:szCs w:val="16"/>
                        </w:rPr>
                        <w:t>Source: Authors’ calculation</w:t>
                      </w:r>
                    </w:p>
                  </w:txbxContent>
                </v:textbox>
                <w10:wrap type="square"/>
              </v:shape>
            </w:pict>
          </mc:Fallback>
        </mc:AlternateContent>
      </w:r>
      <w:r w:rsidR="00337926" w:rsidRPr="00737A97">
        <w:rPr>
          <w:rFonts w:ascii="Century Gothic" w:hAnsi="Century Gothic"/>
          <w:noProof/>
          <w:lang w:val="ru-RU" w:eastAsia="zh-CN"/>
        </w:rPr>
        <mc:AlternateContent>
          <mc:Choice Requires="wps">
            <w:drawing>
              <wp:anchor distT="0" distB="0" distL="114300" distR="114300" simplePos="0" relativeHeight="251707392" behindDoc="0" locked="0" layoutInCell="1" allowOverlap="1" wp14:anchorId="0745514A" wp14:editId="595D915D">
                <wp:simplePos x="0" y="0"/>
                <wp:positionH relativeFrom="column">
                  <wp:posOffset>2626211</wp:posOffset>
                </wp:positionH>
                <wp:positionV relativeFrom="paragraph">
                  <wp:posOffset>643890</wp:posOffset>
                </wp:positionV>
                <wp:extent cx="339171" cy="964673"/>
                <wp:effectExtent l="0" t="0" r="0" b="0"/>
                <wp:wrapThrough wrapText="bothSides">
                  <wp:wrapPolygon edited="0">
                    <wp:start x="3640" y="0"/>
                    <wp:lineTo x="3640" y="20903"/>
                    <wp:lineTo x="16989" y="20903"/>
                    <wp:lineTo x="16989" y="0"/>
                    <wp:lineTo x="3640" y="0"/>
                  </wp:wrapPolygon>
                </wp:wrapThrough>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71" cy="964673"/>
                        </a:xfrm>
                        <a:prstGeom prst="rect">
                          <a:avLst/>
                        </a:prstGeom>
                        <a:noFill/>
                        <a:ln w="9525">
                          <a:noFill/>
                          <a:miter lim="800000"/>
                          <a:headEnd/>
                          <a:tailEnd/>
                        </a:ln>
                      </wps:spPr>
                      <wps:txbx>
                        <w:txbxContent>
                          <w:p w14:paraId="2DCC188E" w14:textId="77777777" w:rsidR="00592E0C" w:rsidRPr="00F875C1" w:rsidRDefault="00592E0C" w:rsidP="00337926">
                            <w:pPr>
                              <w:jc w:val="center"/>
                              <w:rPr>
                                <w:rFonts w:asciiTheme="majorHAnsi" w:hAnsiTheme="majorHAnsi" w:cstheme="majorHAnsi"/>
                                <w:sz w:val="16"/>
                                <w:szCs w:val="16"/>
                                <w:lang w:val="ru-RU"/>
                              </w:rPr>
                            </w:pPr>
                            <w:r>
                              <w:rPr>
                                <w:rFonts w:asciiTheme="majorHAnsi" w:hAnsiTheme="majorHAnsi" w:cstheme="majorHAnsi"/>
                                <w:sz w:val="16"/>
                                <w:szCs w:val="16"/>
                              </w:rPr>
                              <w:t>% change in CPI</w:t>
                            </w:r>
                          </w:p>
                        </w:txbxContent>
                      </wps:txbx>
                      <wps:bodyPr rot="0" vert="vert270" wrap="square" lIns="91440" tIns="45720" rIns="91440" bIns="45720" anchor="t" anchorCtr="0">
                        <a:noAutofit/>
                      </wps:bodyPr>
                    </wps:wsp>
                  </a:graphicData>
                </a:graphic>
                <wp14:sizeRelH relativeFrom="margin">
                  <wp14:pctWidth>0</wp14:pctWidth>
                </wp14:sizeRelH>
              </wp:anchor>
            </w:drawing>
          </mc:Choice>
          <mc:Fallback>
            <w:pict>
              <v:shape w14:anchorId="0745514A" id="_x0000_s1027" type="#_x0000_t202" style="position:absolute;left:0;text-align:left;margin-left:206.8pt;margin-top:50.7pt;width:26.7pt;height:75.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" filled="f" stroked="f">
                <v:textbox style="layout-flow:vertical;mso-layout-flow-alt:bottom-to-top">
                  <w:txbxContent>
                    <w:p w14:paraId="2DCC188E" w14:textId="77777777" w:rsidR="00592E0C" w:rsidRPr="00F875C1" w:rsidRDefault="00592E0C" w:rsidP="00337926">
                      <w:pPr>
                        <w:jc w:val="center"/>
                        <w:rPr>
                          <w:rFonts w:asciiTheme="majorHAnsi" w:hAnsiTheme="majorHAnsi" w:cstheme="majorHAnsi"/>
                          <w:sz w:val="16"/>
                          <w:szCs w:val="16"/>
                          <w:lang w:val="ru-RU"/>
                        </w:rPr>
                      </w:pPr>
                      <w:r>
                        <w:rPr>
                          <w:rFonts w:asciiTheme="majorHAnsi" w:hAnsiTheme="majorHAnsi" w:cstheme="majorHAnsi"/>
                          <w:sz w:val="16"/>
                          <w:szCs w:val="16"/>
                        </w:rPr>
                        <w:t>% change in CPI</w:t>
                      </w:r>
                    </w:p>
                  </w:txbxContent>
                </v:textbox>
                <w10:wrap type="through"/>
              </v:shape>
            </w:pict>
          </mc:Fallback>
        </mc:AlternateContent>
      </w:r>
      <w:r w:rsidR="00937617" w:rsidRPr="00737A97">
        <w:rPr>
          <w:rFonts w:ascii="Century Gothic" w:hAnsi="Century Gothic" w:cs="Times New Roman"/>
        </w:rPr>
        <w:t>The main reason for the decline in the real GDP is associated with the annual increa</w:t>
      </w:r>
      <w:r w:rsidR="006257DE" w:rsidRPr="00737A97">
        <w:rPr>
          <w:rFonts w:ascii="Century Gothic" w:hAnsi="Century Gothic" w:cs="Times New Roman"/>
        </w:rPr>
        <w:t xml:space="preserve">se in the consumer price index </w:t>
      </w:r>
      <w:r w:rsidR="00937617" w:rsidRPr="00737A97">
        <w:rPr>
          <w:rFonts w:ascii="Century Gothic" w:hAnsi="Century Gothic" w:cs="Times New Roman"/>
        </w:rPr>
        <w:t xml:space="preserve">by </w:t>
      </w:r>
      <w:r w:rsidR="00337926" w:rsidRPr="00737A97">
        <w:rPr>
          <w:rFonts w:ascii="Century Gothic" w:hAnsi="Century Gothic" w:cs="Times New Roman"/>
        </w:rPr>
        <w:t>3.1</w:t>
      </w:r>
      <w:r w:rsidR="00764DE3" w:rsidRPr="00737A97">
        <w:rPr>
          <w:rFonts w:ascii="Century Gothic" w:hAnsi="Century Gothic" w:cs="Times New Roman"/>
        </w:rPr>
        <w:t xml:space="preserve"> </w:t>
      </w:r>
      <w:r w:rsidR="00764DE3" w:rsidRPr="00370E0B">
        <w:rPr>
          <w:rFonts w:ascii="Century Gothic" w:hAnsi="Century Gothic" w:cs="Times New Roman"/>
        </w:rPr>
        <w:t>percent</w:t>
      </w:r>
      <w:r w:rsidR="006257DE" w:rsidRPr="00370E0B">
        <w:rPr>
          <w:rFonts w:ascii="Century Gothic" w:hAnsi="Century Gothic" w:cs="Times New Roman"/>
        </w:rPr>
        <w:t xml:space="preserve"> (Figure </w:t>
      </w:r>
      <w:r w:rsidR="00370E0B" w:rsidRPr="00370E0B">
        <w:rPr>
          <w:rFonts w:ascii="Century Gothic" w:hAnsi="Century Gothic" w:cs="Times New Roman"/>
        </w:rPr>
        <w:t>4</w:t>
      </w:r>
      <w:r w:rsidR="006257DE" w:rsidRPr="00370E0B">
        <w:rPr>
          <w:rFonts w:ascii="Century Gothic" w:hAnsi="Century Gothic" w:cs="Times New Roman"/>
        </w:rPr>
        <w:t>)</w:t>
      </w:r>
      <w:r w:rsidR="00270CF9" w:rsidRPr="00370E0B">
        <w:rPr>
          <w:rFonts w:ascii="Century Gothic" w:hAnsi="Century Gothic" w:cs="Times New Roman"/>
        </w:rPr>
        <w:t xml:space="preserve"> and </w:t>
      </w:r>
      <w:r w:rsidR="009E4013" w:rsidRPr="00370E0B">
        <w:rPr>
          <w:rFonts w:ascii="Century Gothic" w:hAnsi="Century Gothic" w:cs="Times New Roman"/>
        </w:rPr>
        <w:t xml:space="preserve">in </w:t>
      </w:r>
      <w:r w:rsidR="00270CF9" w:rsidRPr="00370E0B">
        <w:rPr>
          <w:rFonts w:ascii="Century Gothic" w:hAnsi="Century Gothic" w:cs="Times New Roman"/>
        </w:rPr>
        <w:t>decline exports of agricultural</w:t>
      </w:r>
      <w:r w:rsidR="00270CF9" w:rsidRPr="00737A97">
        <w:rPr>
          <w:rFonts w:ascii="Century Gothic" w:hAnsi="Century Gothic" w:cs="Times New Roman"/>
        </w:rPr>
        <w:t xml:space="preserve"> commodities</w:t>
      </w:r>
      <w:r w:rsidR="00337926" w:rsidRPr="00737A97">
        <w:rPr>
          <w:rFonts w:ascii="Century Gothic" w:hAnsi="Century Gothic" w:cs="Times New Roman"/>
        </w:rPr>
        <w:t xml:space="preserve"> by 0.9</w:t>
      </w:r>
      <w:r w:rsidR="009E4013" w:rsidRPr="00737A97">
        <w:rPr>
          <w:rFonts w:ascii="Century Gothic" w:hAnsi="Century Gothic" w:cs="Times New Roman"/>
        </w:rPr>
        <w:t xml:space="preserve"> percent</w:t>
      </w:r>
      <w:r w:rsidR="008711FC" w:rsidRPr="00737A97">
        <w:rPr>
          <w:rFonts w:ascii="Century Gothic" w:hAnsi="Century Gothic" w:cs="Times New Roman"/>
        </w:rPr>
        <w:t xml:space="preserve"> annually</w:t>
      </w:r>
      <w:r w:rsidR="00337926" w:rsidRPr="00737A97">
        <w:rPr>
          <w:rFonts w:ascii="Century Gothic" w:hAnsi="Century Gothic" w:cs="Times New Roman"/>
        </w:rPr>
        <w:t xml:space="preserve"> for </w:t>
      </w:r>
      <w:r w:rsidR="008711FC" w:rsidRPr="00737A97">
        <w:rPr>
          <w:rFonts w:ascii="Century Gothic" w:hAnsi="Century Gothic" w:cs="Times New Roman"/>
        </w:rPr>
        <w:t xml:space="preserve">the </w:t>
      </w:r>
      <w:r w:rsidR="00337926" w:rsidRPr="00737A97">
        <w:rPr>
          <w:rFonts w:ascii="Century Gothic" w:hAnsi="Century Gothic" w:cs="Times New Roman"/>
        </w:rPr>
        <w:t>estimated period</w:t>
      </w:r>
      <w:r w:rsidR="00937617" w:rsidRPr="00737A97">
        <w:rPr>
          <w:rFonts w:ascii="Century Gothic" w:hAnsi="Century Gothic" w:cs="Times New Roman"/>
        </w:rPr>
        <w:t xml:space="preserve">. It can be assumed that </w:t>
      </w:r>
      <w:r w:rsidR="00507B3D" w:rsidRPr="00737A97">
        <w:rPr>
          <w:rFonts w:ascii="Century Gothic" w:hAnsi="Century Gothic" w:cs="Times New Roman"/>
        </w:rPr>
        <w:t>the performance of real GDP</w:t>
      </w:r>
      <w:r w:rsidR="00937617" w:rsidRPr="00737A97">
        <w:rPr>
          <w:rFonts w:ascii="Century Gothic" w:hAnsi="Century Gothic" w:cs="Times New Roman"/>
        </w:rPr>
        <w:t xml:space="preserve"> is accompanied by inflation which </w:t>
      </w:r>
      <w:r w:rsidR="005D10DB" w:rsidRPr="00737A97">
        <w:rPr>
          <w:rFonts w:ascii="Century Gothic" w:hAnsi="Century Gothic" w:cs="Times New Roman"/>
        </w:rPr>
        <w:t>decrease</w:t>
      </w:r>
      <w:r w:rsidR="00523A48" w:rsidRPr="00737A97">
        <w:rPr>
          <w:rFonts w:ascii="Century Gothic" w:hAnsi="Century Gothic" w:cs="Times New Roman"/>
        </w:rPr>
        <w:t>s</w:t>
      </w:r>
      <w:r w:rsidR="00937617" w:rsidRPr="00737A97">
        <w:rPr>
          <w:rFonts w:ascii="Century Gothic" w:hAnsi="Century Gothic" w:cs="Times New Roman"/>
        </w:rPr>
        <w:t xml:space="preserve"> real household consumption</w:t>
      </w:r>
      <w:r w:rsidR="00270CF9" w:rsidRPr="00737A97">
        <w:rPr>
          <w:rFonts w:ascii="Century Gothic" w:hAnsi="Century Gothic" w:cs="Times New Roman"/>
        </w:rPr>
        <w:t xml:space="preserve"> </w:t>
      </w:r>
      <w:r w:rsidR="00523A48" w:rsidRPr="00737A97">
        <w:rPr>
          <w:rFonts w:ascii="Century Gothic" w:hAnsi="Century Gothic" w:cs="Times New Roman"/>
        </w:rPr>
        <w:t xml:space="preserve">by </w:t>
      </w:r>
      <w:r w:rsidR="00E766AC" w:rsidRPr="00737A97">
        <w:rPr>
          <w:rFonts w:ascii="Century Gothic" w:hAnsi="Century Gothic" w:cs="Times New Roman"/>
        </w:rPr>
        <w:t xml:space="preserve">0.14 percent in 2023, </w:t>
      </w:r>
      <w:r w:rsidR="00270CF9" w:rsidRPr="00737A97">
        <w:rPr>
          <w:rFonts w:ascii="Century Gothic" w:hAnsi="Century Gothic" w:cs="Times New Roman"/>
        </w:rPr>
        <w:t>0.</w:t>
      </w:r>
      <w:r w:rsidR="008711FC" w:rsidRPr="00737A97">
        <w:rPr>
          <w:rFonts w:ascii="Century Gothic" w:hAnsi="Century Gothic" w:cs="Times New Roman"/>
        </w:rPr>
        <w:t>31</w:t>
      </w:r>
      <w:r w:rsidR="00523A48" w:rsidRPr="00737A97">
        <w:rPr>
          <w:rFonts w:ascii="Century Gothic" w:hAnsi="Century Gothic" w:cs="Times New Roman"/>
        </w:rPr>
        <w:t xml:space="preserve"> percent </w:t>
      </w:r>
      <w:r w:rsidR="00270CF9" w:rsidRPr="00737A97">
        <w:rPr>
          <w:rFonts w:ascii="Century Gothic" w:hAnsi="Century Gothic" w:cs="Times New Roman"/>
        </w:rPr>
        <w:t>in 2025 and 0.</w:t>
      </w:r>
      <w:r w:rsidR="008711FC" w:rsidRPr="00737A97">
        <w:rPr>
          <w:rFonts w:ascii="Century Gothic" w:hAnsi="Century Gothic" w:cs="Times New Roman"/>
        </w:rPr>
        <w:t>57</w:t>
      </w:r>
      <w:r w:rsidR="00523A48" w:rsidRPr="00737A97">
        <w:rPr>
          <w:rFonts w:ascii="Century Gothic" w:hAnsi="Century Gothic" w:cs="Times New Roman"/>
        </w:rPr>
        <w:t xml:space="preserve"> percent</w:t>
      </w:r>
      <w:r w:rsidR="00270CF9" w:rsidRPr="00737A97">
        <w:rPr>
          <w:rFonts w:ascii="Century Gothic" w:hAnsi="Century Gothic" w:cs="Times New Roman"/>
        </w:rPr>
        <w:t xml:space="preserve"> in 2030, respectively. </w:t>
      </w:r>
    </w:p>
    <w:p w14:paraId="371D258C" w14:textId="2F8E08A6" w:rsidR="0038631D" w:rsidRPr="00737A97" w:rsidRDefault="00D02903" w:rsidP="00EE3BED">
      <w:pPr>
        <w:jc w:val="both"/>
        <w:rPr>
          <w:rFonts w:ascii="Century Gothic" w:hAnsi="Century Gothic" w:cs="Times New Roman"/>
        </w:rPr>
      </w:pPr>
      <w:r w:rsidRPr="00737A97">
        <w:rPr>
          <w:rFonts w:ascii="Century Gothic" w:hAnsi="Century Gothic" w:cs="Times New Roman"/>
        </w:rPr>
        <w:t xml:space="preserve">According to our results, the total agricultural production is </w:t>
      </w:r>
      <w:r w:rsidR="008711FC" w:rsidRPr="00737A97">
        <w:rPr>
          <w:rFonts w:ascii="Century Gothic" w:hAnsi="Century Gothic" w:cs="Times New Roman"/>
        </w:rPr>
        <w:t>0.46</w:t>
      </w:r>
      <w:r w:rsidR="00E32777" w:rsidRPr="00737A97">
        <w:rPr>
          <w:rFonts w:ascii="Century Gothic" w:hAnsi="Century Gothic" w:cs="Times New Roman"/>
        </w:rPr>
        <w:t xml:space="preserve"> percent</w:t>
      </w:r>
      <w:r w:rsidRPr="00737A97">
        <w:rPr>
          <w:rFonts w:ascii="Century Gothic" w:hAnsi="Century Gothic" w:cs="Times New Roman"/>
        </w:rPr>
        <w:t xml:space="preserve">, </w:t>
      </w:r>
      <w:r w:rsidR="008711FC" w:rsidRPr="00737A97">
        <w:rPr>
          <w:rFonts w:ascii="Century Gothic" w:hAnsi="Century Gothic" w:cs="Times New Roman"/>
        </w:rPr>
        <w:t>0.58</w:t>
      </w:r>
      <w:r w:rsidR="00E32777" w:rsidRPr="00737A97">
        <w:rPr>
          <w:rFonts w:ascii="Century Gothic" w:hAnsi="Century Gothic" w:cs="Times New Roman"/>
        </w:rPr>
        <w:t xml:space="preserve"> percent</w:t>
      </w:r>
      <w:r w:rsidRPr="00737A97">
        <w:rPr>
          <w:rFonts w:ascii="Century Gothic" w:hAnsi="Century Gothic" w:cs="Times New Roman"/>
        </w:rPr>
        <w:t xml:space="preserve">, and </w:t>
      </w:r>
      <w:r w:rsidR="008711FC" w:rsidRPr="00737A97">
        <w:rPr>
          <w:rFonts w:ascii="Century Gothic" w:hAnsi="Century Gothic" w:cs="Times New Roman"/>
        </w:rPr>
        <w:t>0.08</w:t>
      </w:r>
      <w:r w:rsidR="00E32777" w:rsidRPr="00737A97">
        <w:rPr>
          <w:rFonts w:ascii="Century Gothic" w:hAnsi="Century Gothic" w:cs="Times New Roman"/>
        </w:rPr>
        <w:t xml:space="preserve"> percent</w:t>
      </w:r>
      <w:r w:rsidRPr="00737A97">
        <w:rPr>
          <w:rFonts w:ascii="Century Gothic" w:hAnsi="Century Gothic" w:cs="Times New Roman"/>
        </w:rPr>
        <w:t xml:space="preserve"> lower relative to the base year in 202</w:t>
      </w:r>
      <w:r w:rsidR="00E32777" w:rsidRPr="00737A97">
        <w:rPr>
          <w:rFonts w:ascii="Century Gothic" w:hAnsi="Century Gothic" w:cs="Times New Roman"/>
        </w:rPr>
        <w:t>3</w:t>
      </w:r>
      <w:r w:rsidRPr="00737A97">
        <w:rPr>
          <w:rFonts w:ascii="Century Gothic" w:hAnsi="Century Gothic" w:cs="Times New Roman"/>
        </w:rPr>
        <w:t>, 2025, and 2030 respectively. These results suggest that attracting additional unskilled workers to labour-intensive industries, such as the agricultural sector, leads to lower productivity and, as a result, a reduction in overall output. A detailed analysis is provided in section 4.2.2.</w:t>
      </w:r>
    </w:p>
    <w:p w14:paraId="74362E9E" w14:textId="77777777" w:rsidR="00D02903" w:rsidRPr="00737A97" w:rsidRDefault="00D02903" w:rsidP="00EE3BED">
      <w:pPr>
        <w:jc w:val="both"/>
        <w:rPr>
          <w:rFonts w:ascii="Century Gothic" w:hAnsi="Century Gothic" w:cs="Times New Roman"/>
        </w:rPr>
      </w:pPr>
    </w:p>
    <w:p w14:paraId="5DA75D88" w14:textId="575E92D2" w:rsidR="008711FC" w:rsidRPr="00737A97" w:rsidRDefault="0038631D" w:rsidP="00EE3BED">
      <w:pPr>
        <w:jc w:val="both"/>
        <w:rPr>
          <w:rFonts w:ascii="Century Gothic" w:hAnsi="Century Gothic" w:cs="Times New Roman"/>
          <w:i/>
        </w:rPr>
      </w:pPr>
      <w:r w:rsidRPr="00737A97">
        <w:rPr>
          <w:rFonts w:ascii="Century Gothic" w:hAnsi="Century Gothic" w:cs="Times New Roman"/>
          <w:i/>
        </w:rPr>
        <w:t>E</w:t>
      </w:r>
      <w:r w:rsidR="00730DA6" w:rsidRPr="00737A97">
        <w:rPr>
          <w:rFonts w:ascii="Century Gothic" w:hAnsi="Century Gothic" w:cs="Times New Roman"/>
          <w:i/>
        </w:rPr>
        <w:t>ffects on</w:t>
      </w:r>
      <w:r w:rsidRPr="00737A97">
        <w:rPr>
          <w:rFonts w:ascii="Century Gothic" w:hAnsi="Century Gothic" w:cs="Times New Roman"/>
          <w:i/>
        </w:rPr>
        <w:t xml:space="preserve"> sectoral level</w:t>
      </w:r>
      <w:r w:rsidR="003F7B77" w:rsidRPr="00737A97">
        <w:rPr>
          <w:rFonts w:ascii="Century Gothic" w:hAnsi="Century Gothic" w:cs="Times New Roman"/>
          <w:i/>
        </w:rPr>
        <w:t xml:space="preserve"> and factor market</w:t>
      </w:r>
      <w:r w:rsidR="00E32777" w:rsidRPr="00737A97">
        <w:rPr>
          <w:rFonts w:ascii="Century Gothic" w:hAnsi="Century Gothic" w:cs="Times New Roman"/>
          <w:i/>
        </w:rPr>
        <w:t>s</w:t>
      </w:r>
    </w:p>
    <w:p w14:paraId="78BC073D" w14:textId="2D49ECD3" w:rsidR="004F722E" w:rsidRPr="00737A97" w:rsidRDefault="004F722E" w:rsidP="00EE3BED">
      <w:pPr>
        <w:jc w:val="both"/>
        <w:rPr>
          <w:rFonts w:ascii="Century Gothic" w:hAnsi="Century Gothic" w:cs="Times New Roman"/>
        </w:rPr>
      </w:pPr>
      <w:r w:rsidRPr="00737A97">
        <w:rPr>
          <w:rFonts w:ascii="Century Gothic" w:hAnsi="Century Gothic" w:cs="Times New Roman"/>
        </w:rPr>
        <w:t xml:space="preserve">Indeed, this policy leads to a decrease in value-added in the agricultural sector, mostly in </w:t>
      </w:r>
      <w:r w:rsidR="00E32777" w:rsidRPr="00737A97">
        <w:rPr>
          <w:rFonts w:ascii="Century Gothic" w:hAnsi="Century Gothic" w:cs="Times New Roman"/>
        </w:rPr>
        <w:t xml:space="preserve">the </w:t>
      </w:r>
      <w:r w:rsidRPr="00737A97">
        <w:rPr>
          <w:rFonts w:ascii="Century Gothic" w:hAnsi="Century Gothic" w:cs="Times New Roman"/>
        </w:rPr>
        <w:t xml:space="preserve">crops sectors, which contributes to a reduction in production in manufacturing sectors that use crops as intermediate </w:t>
      </w:r>
      <w:r w:rsidR="00E32777" w:rsidRPr="00737A97">
        <w:rPr>
          <w:rFonts w:ascii="Century Gothic" w:hAnsi="Century Gothic" w:cs="Times New Roman"/>
        </w:rPr>
        <w:t xml:space="preserve">inputs </w:t>
      </w:r>
      <w:r w:rsidRPr="00737A97">
        <w:rPr>
          <w:rFonts w:ascii="Century Gothic" w:hAnsi="Century Gothic" w:cs="Times New Roman"/>
        </w:rPr>
        <w:t xml:space="preserve">(e.g., meat processing, fish and seafood processing, fats and vegetable </w:t>
      </w:r>
      <w:r w:rsidR="00E32777" w:rsidRPr="00737A97">
        <w:rPr>
          <w:rFonts w:ascii="Century Gothic" w:hAnsi="Century Gothic" w:cs="Times New Roman"/>
        </w:rPr>
        <w:t xml:space="preserve">oil </w:t>
      </w:r>
      <w:r w:rsidRPr="00737A97">
        <w:rPr>
          <w:rFonts w:ascii="Century Gothic" w:hAnsi="Century Gothic" w:cs="Times New Roman"/>
        </w:rPr>
        <w:t>processing, grain milling, sugar refining, other foods, animal feed, luxury foodstuff, paper, fiber, and leather products, and chemicals</w:t>
      </w:r>
      <w:r w:rsidR="00E32777" w:rsidRPr="00737A97">
        <w:rPr>
          <w:rFonts w:ascii="Century Gothic" w:hAnsi="Century Gothic" w:cs="Times New Roman"/>
        </w:rPr>
        <w:t xml:space="preserve"> – </w:t>
      </w:r>
      <w:r w:rsidRPr="00737A97">
        <w:rPr>
          <w:rFonts w:ascii="Century Gothic" w:hAnsi="Century Gothic" w:cs="Times New Roman"/>
        </w:rPr>
        <w:t>figure</w:t>
      </w:r>
      <w:r w:rsidR="00E32777" w:rsidRPr="00737A97">
        <w:rPr>
          <w:rFonts w:ascii="Century Gothic" w:hAnsi="Century Gothic" w:cs="Times New Roman"/>
        </w:rPr>
        <w:t>s</w:t>
      </w:r>
      <w:r w:rsidRPr="00737A97">
        <w:rPr>
          <w:rFonts w:ascii="Century Gothic" w:hAnsi="Century Gothic" w:cs="Times New Roman"/>
        </w:rPr>
        <w:t xml:space="preserve"> </w:t>
      </w:r>
      <w:r w:rsidR="00370E0B">
        <w:rPr>
          <w:rFonts w:ascii="Century Gothic" w:hAnsi="Century Gothic" w:cs="Times New Roman"/>
        </w:rPr>
        <w:t>5</w:t>
      </w:r>
      <w:r w:rsidRPr="00737A97">
        <w:rPr>
          <w:rFonts w:ascii="Century Gothic" w:hAnsi="Century Gothic" w:cs="Times New Roman"/>
        </w:rPr>
        <w:t xml:space="preserve"> and </w:t>
      </w:r>
      <w:r w:rsidR="00370E0B">
        <w:rPr>
          <w:rFonts w:ascii="Century Gothic" w:hAnsi="Century Gothic" w:cs="Times New Roman"/>
        </w:rPr>
        <w:t>6</w:t>
      </w:r>
      <w:r w:rsidRPr="00737A97">
        <w:rPr>
          <w:rFonts w:ascii="Century Gothic" w:hAnsi="Century Gothic" w:cs="Times New Roman"/>
        </w:rPr>
        <w:t>).</w:t>
      </w:r>
      <w:r w:rsidR="006D347B" w:rsidRPr="00737A97">
        <w:rPr>
          <w:rFonts w:ascii="Century Gothic" w:hAnsi="Century Gothic" w:cs="Times New Roman"/>
        </w:rPr>
        <w:t xml:space="preserve"> </w:t>
      </w:r>
    </w:p>
    <w:p w14:paraId="606EB162" w14:textId="77777777" w:rsidR="00147AFF" w:rsidRPr="00737A97" w:rsidRDefault="00F875C1" w:rsidP="00EE3BED">
      <w:pPr>
        <w:jc w:val="center"/>
        <w:rPr>
          <w:rFonts w:ascii="Century Gothic" w:hAnsi="Century Gothic"/>
          <w:noProof/>
          <w:lang w:val="en-US" w:eastAsia="zh-CN"/>
        </w:rPr>
      </w:pPr>
      <w:r w:rsidRPr="00737A97">
        <w:rPr>
          <w:rFonts w:ascii="Century Gothic" w:hAnsi="Century Gothic" w:cs="Arial"/>
          <w:b/>
          <w:noProof/>
          <w:lang w:val="ru-RU" w:eastAsia="zh-CN"/>
        </w:rPr>
        <w:lastRenderedPageBreak/>
        <mc:AlternateContent>
          <mc:Choice Requires="wps">
            <w:drawing>
              <wp:anchor distT="45720" distB="45720" distL="114300" distR="114300" simplePos="0" relativeHeight="251653120" behindDoc="0" locked="0" layoutInCell="1" allowOverlap="1" wp14:anchorId="4C958EDA" wp14:editId="209619FD">
                <wp:simplePos x="0" y="0"/>
                <wp:positionH relativeFrom="column">
                  <wp:posOffset>287709</wp:posOffset>
                </wp:positionH>
                <wp:positionV relativeFrom="paragraph">
                  <wp:posOffset>932451</wp:posOffset>
                </wp:positionV>
                <wp:extent cx="341630" cy="1401131"/>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1131"/>
                        </a:xfrm>
                        <a:prstGeom prst="rect">
                          <a:avLst/>
                        </a:prstGeom>
                        <a:noFill/>
                        <a:ln w="9525">
                          <a:noFill/>
                          <a:miter lim="800000"/>
                          <a:headEnd/>
                          <a:tailEnd/>
                        </a:ln>
                      </wps:spPr>
                      <wps:txbx>
                        <w:txbxContent>
                          <w:p w14:paraId="0EAB66F3" w14:textId="77777777" w:rsidR="00592E0C" w:rsidRPr="00F875C1" w:rsidRDefault="00592E0C" w:rsidP="003037C7">
                            <w:pPr>
                              <w:rPr>
                                <w:rFonts w:asciiTheme="majorHAnsi" w:hAnsiTheme="majorHAnsi" w:cstheme="majorHAnsi"/>
                                <w:sz w:val="16"/>
                                <w:szCs w:val="16"/>
                                <w:lang w:val="ru-RU"/>
                              </w:rPr>
                            </w:pPr>
                            <w:r>
                              <w:rPr>
                                <w:rFonts w:asciiTheme="majorHAnsi" w:hAnsiTheme="majorHAnsi" w:cstheme="majorHAnsi"/>
                                <w:sz w:val="16"/>
                                <w:szCs w:val="16"/>
                              </w:rPr>
                              <w:t>% change in value added</w:t>
                            </w:r>
                          </w:p>
                          <w:p w14:paraId="60993C89" w14:textId="77777777" w:rsidR="00592E0C" w:rsidRPr="00F875C1" w:rsidRDefault="00592E0C" w:rsidP="003037C7">
                            <w:pPr>
                              <w:rPr>
                                <w:rFonts w:asciiTheme="majorHAnsi" w:hAnsiTheme="majorHAnsi" w:cstheme="majorHAnsi"/>
                                <w:sz w:val="16"/>
                                <w:szCs w:val="16"/>
                                <w:lang w:val="ru-RU"/>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58EDA" id="_x0000_s1028" type="#_x0000_t202" style="position:absolute;left:0;text-align:left;margin-left:22.65pt;margin-top:73.4pt;width:26.9pt;height:110.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" filled="f" stroked="f">
                <v:textbox style="layout-flow:vertical;mso-layout-flow-alt:bottom-to-top">
                  <w:txbxContent>
                    <w:p w14:paraId="0EAB66F3" w14:textId="77777777" w:rsidR="00592E0C" w:rsidRPr="00F875C1" w:rsidRDefault="00592E0C" w:rsidP="003037C7">
                      <w:pPr>
                        <w:rPr>
                          <w:rFonts w:asciiTheme="majorHAnsi" w:hAnsiTheme="majorHAnsi" w:cstheme="majorHAnsi"/>
                          <w:sz w:val="16"/>
                          <w:szCs w:val="16"/>
                          <w:lang w:val="ru-RU"/>
                        </w:rPr>
                      </w:pPr>
                      <w:r>
                        <w:rPr>
                          <w:rFonts w:asciiTheme="majorHAnsi" w:hAnsiTheme="majorHAnsi" w:cstheme="majorHAnsi"/>
                          <w:sz w:val="16"/>
                          <w:szCs w:val="16"/>
                        </w:rPr>
                        <w:t>% change in value added</w:t>
                      </w:r>
                    </w:p>
                    <w:p w14:paraId="60993C89" w14:textId="77777777" w:rsidR="00592E0C" w:rsidRPr="00F875C1" w:rsidRDefault="00592E0C" w:rsidP="003037C7">
                      <w:pPr>
                        <w:rPr>
                          <w:rFonts w:asciiTheme="majorHAnsi" w:hAnsiTheme="majorHAnsi" w:cstheme="majorHAnsi"/>
                          <w:sz w:val="16"/>
                          <w:szCs w:val="16"/>
                          <w:lang w:val="ru-RU"/>
                        </w:rPr>
                      </w:pPr>
                    </w:p>
                  </w:txbxContent>
                </v:textbox>
              </v:shape>
            </w:pict>
          </mc:Fallback>
        </mc:AlternateContent>
      </w:r>
      <w:r w:rsidR="003A2DFD" w:rsidRPr="00737A97">
        <w:rPr>
          <w:rFonts w:ascii="Century Gothic" w:hAnsi="Century Gothic"/>
          <w:noProof/>
          <w:lang w:val="ru-RU" w:eastAsia="zh-CN"/>
        </w:rPr>
        <w:drawing>
          <wp:inline distT="0" distB="0" distL="0" distR="0" wp14:anchorId="396FBBC1" wp14:editId="693CEF27">
            <wp:extent cx="4716769" cy="2634712"/>
            <wp:effectExtent l="0" t="0" r="0" b="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09D0B0" w14:textId="25835F4C" w:rsidR="00147AFF" w:rsidRPr="00737A97" w:rsidRDefault="00147AFF" w:rsidP="00EE3BED">
      <w:pPr>
        <w:jc w:val="both"/>
        <w:rPr>
          <w:rFonts w:ascii="Century Gothic" w:hAnsi="Century Gothic" w:cs="Times New Roman"/>
        </w:rPr>
      </w:pPr>
      <w:r w:rsidRPr="00737A97">
        <w:rPr>
          <w:rFonts w:ascii="Century Gothic" w:hAnsi="Century Gothic" w:cs="Times New Roman"/>
        </w:rPr>
        <w:t xml:space="preserve">Figure </w:t>
      </w:r>
      <w:r w:rsidR="00370E0B">
        <w:rPr>
          <w:rFonts w:ascii="Century Gothic" w:hAnsi="Century Gothic" w:cs="Times New Roman"/>
        </w:rPr>
        <w:t>5</w:t>
      </w:r>
      <w:r w:rsidRPr="00737A97">
        <w:rPr>
          <w:rFonts w:ascii="Century Gothic" w:hAnsi="Century Gothic" w:cs="Times New Roman"/>
        </w:rPr>
        <w:t>. Evaluation of variation of value added in agricultural sectors</w:t>
      </w:r>
      <w:r w:rsidR="00353D9D" w:rsidRPr="00737A97">
        <w:rPr>
          <w:rFonts w:ascii="Century Gothic" w:hAnsi="Century Gothic" w:cs="Times New Roman"/>
        </w:rPr>
        <w:t xml:space="preserve"> </w:t>
      </w:r>
      <w:r w:rsidR="00353D9D" w:rsidRPr="00737A97">
        <w:rPr>
          <w:rFonts w:ascii="Century Gothic" w:hAnsi="Century Gothic"/>
        </w:rPr>
        <w:t>(% change from the base year)</w:t>
      </w:r>
    </w:p>
    <w:p w14:paraId="6EEF3BFD" w14:textId="77777777" w:rsidR="003A2DFD" w:rsidRPr="00737A97" w:rsidRDefault="004F722E" w:rsidP="00EE3BED">
      <w:pPr>
        <w:jc w:val="center"/>
        <w:rPr>
          <w:rFonts w:ascii="Century Gothic" w:hAnsi="Century Gothic"/>
          <w:noProof/>
          <w:lang w:val="ru-RU" w:eastAsia="zh-CN"/>
        </w:rPr>
      </w:pPr>
      <w:r w:rsidRPr="00737A97">
        <w:rPr>
          <w:rFonts w:ascii="Century Gothic" w:hAnsi="Century Gothic" w:cs="Arial"/>
          <w:b/>
          <w:noProof/>
          <w:lang w:val="ru-RU" w:eastAsia="zh-CN"/>
        </w:rPr>
        <mc:AlternateContent>
          <mc:Choice Requires="wps">
            <w:drawing>
              <wp:anchor distT="45720" distB="45720" distL="114300" distR="114300" simplePos="0" relativeHeight="251655168" behindDoc="0" locked="0" layoutInCell="1" allowOverlap="1" wp14:anchorId="447967F0" wp14:editId="009538E2">
                <wp:simplePos x="0" y="0"/>
                <wp:positionH relativeFrom="column">
                  <wp:posOffset>-50800</wp:posOffset>
                </wp:positionH>
                <wp:positionV relativeFrom="paragraph">
                  <wp:posOffset>841902</wp:posOffset>
                </wp:positionV>
                <wp:extent cx="683288" cy="1401131"/>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88" cy="1401131"/>
                        </a:xfrm>
                        <a:prstGeom prst="rect">
                          <a:avLst/>
                        </a:prstGeom>
                        <a:noFill/>
                        <a:ln w="9525">
                          <a:noFill/>
                          <a:miter lim="800000"/>
                          <a:headEnd/>
                          <a:tailEnd/>
                        </a:ln>
                      </wps:spPr>
                      <wps:txbx>
                        <w:txbxContent>
                          <w:p w14:paraId="2B010BEB" w14:textId="77777777" w:rsidR="00592E0C" w:rsidRPr="00F875C1" w:rsidRDefault="00592E0C" w:rsidP="003037C7">
                            <w:pPr>
                              <w:rPr>
                                <w:rFonts w:asciiTheme="majorHAnsi" w:hAnsiTheme="majorHAnsi" w:cstheme="majorHAnsi"/>
                                <w:sz w:val="16"/>
                                <w:szCs w:val="16"/>
                                <w:lang w:val="ru-RU"/>
                              </w:rPr>
                            </w:pPr>
                            <w:r>
                              <w:rPr>
                                <w:rFonts w:asciiTheme="majorHAnsi" w:hAnsiTheme="majorHAnsi" w:cstheme="majorHAnsi"/>
                                <w:sz w:val="16"/>
                                <w:szCs w:val="16"/>
                              </w:rPr>
                              <w:t>% change in value added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967F0" id="_x0000_s1029" type="#_x0000_t202" style="position:absolute;left:0;text-align:left;margin-left:-4pt;margin-top:66.3pt;width:53.8pt;height:110.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" filled="f" stroked="f">
                <v:textbox style="layout-flow:vertical;mso-layout-flow-alt:bottom-to-top">
                  <w:txbxContent>
                    <w:p w14:paraId="2B010BEB" w14:textId="77777777" w:rsidR="00592E0C" w:rsidRPr="00F875C1" w:rsidRDefault="00592E0C" w:rsidP="003037C7">
                      <w:pPr>
                        <w:rPr>
                          <w:rFonts w:asciiTheme="majorHAnsi" w:hAnsiTheme="majorHAnsi" w:cstheme="majorHAnsi"/>
                          <w:sz w:val="16"/>
                          <w:szCs w:val="16"/>
                          <w:lang w:val="ru-RU"/>
                        </w:rPr>
                      </w:pPr>
                      <w:r>
                        <w:rPr>
                          <w:rFonts w:asciiTheme="majorHAnsi" w:hAnsiTheme="majorHAnsi" w:cstheme="majorHAnsi"/>
                          <w:sz w:val="16"/>
                          <w:szCs w:val="16"/>
                        </w:rPr>
                        <w:t>% change in value added</w:t>
                      </w:r>
                    </w:p>
                  </w:txbxContent>
                </v:textbox>
              </v:shape>
            </w:pict>
          </mc:Fallback>
        </mc:AlternateContent>
      </w:r>
      <w:r w:rsidR="003A2DFD" w:rsidRPr="00737A97">
        <w:rPr>
          <w:rFonts w:ascii="Century Gothic" w:hAnsi="Century Gothic"/>
          <w:noProof/>
          <w:lang w:val="ru-RU" w:eastAsia="zh-CN"/>
        </w:rPr>
        <w:drawing>
          <wp:inline distT="0" distB="0" distL="0" distR="0" wp14:anchorId="77B3EFA5" wp14:editId="4CFD79F6">
            <wp:extent cx="6188710" cy="2990215"/>
            <wp:effectExtent l="0" t="0" r="0" b="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DD5750" w14:textId="77777777" w:rsidR="003A2DFD" w:rsidRPr="00737A97" w:rsidRDefault="003A2DFD" w:rsidP="00EE3BED">
      <w:pPr>
        <w:rPr>
          <w:rFonts w:ascii="Century Gothic" w:hAnsi="Century Gothic"/>
          <w:noProof/>
          <w:lang w:val="ru-RU" w:eastAsia="zh-CN"/>
        </w:rPr>
      </w:pPr>
    </w:p>
    <w:p w14:paraId="486B8263" w14:textId="5B62EE8E" w:rsidR="004311A4" w:rsidRPr="00737A97" w:rsidRDefault="00FA448F" w:rsidP="00EE3BED">
      <w:pPr>
        <w:jc w:val="both"/>
        <w:rPr>
          <w:rFonts w:ascii="Century Gothic" w:hAnsi="Century Gothic" w:cs="Times New Roman"/>
        </w:rPr>
      </w:pPr>
      <w:r w:rsidRPr="00737A97">
        <w:rPr>
          <w:rFonts w:ascii="Century Gothic" w:hAnsi="Century Gothic" w:cs="Times New Roman"/>
        </w:rPr>
        <w:t xml:space="preserve">Figure </w:t>
      </w:r>
      <w:r w:rsidR="00370E0B">
        <w:rPr>
          <w:rFonts w:ascii="Century Gothic" w:hAnsi="Century Gothic" w:cs="Times New Roman"/>
        </w:rPr>
        <w:t>6</w:t>
      </w:r>
      <w:r w:rsidRPr="00737A97">
        <w:rPr>
          <w:rFonts w:ascii="Century Gothic" w:hAnsi="Century Gothic" w:cs="Times New Roman"/>
        </w:rPr>
        <w:t xml:space="preserve">. Evaluation of variation of value added in </w:t>
      </w:r>
      <w:r w:rsidR="0032716F" w:rsidRPr="00737A97">
        <w:rPr>
          <w:rFonts w:ascii="Century Gothic" w:hAnsi="Century Gothic" w:cs="Times New Roman"/>
        </w:rPr>
        <w:t xml:space="preserve">crop-dependent </w:t>
      </w:r>
      <w:r w:rsidR="00147AFF" w:rsidRPr="00737A97">
        <w:rPr>
          <w:rFonts w:ascii="Century Gothic" w:hAnsi="Century Gothic" w:cs="Times New Roman"/>
        </w:rPr>
        <w:t>manufacturing</w:t>
      </w:r>
      <w:r w:rsidRPr="00737A97">
        <w:rPr>
          <w:rFonts w:ascii="Century Gothic" w:hAnsi="Century Gothic" w:cs="Times New Roman"/>
        </w:rPr>
        <w:t xml:space="preserve"> sectors</w:t>
      </w:r>
      <w:r w:rsidR="00147AFF" w:rsidRPr="00737A97">
        <w:rPr>
          <w:rFonts w:ascii="Century Gothic" w:hAnsi="Century Gothic" w:cs="Times New Roman"/>
        </w:rPr>
        <w:t xml:space="preserve"> </w:t>
      </w:r>
      <w:r w:rsidR="00353D9D" w:rsidRPr="00737A97">
        <w:rPr>
          <w:rFonts w:ascii="Century Gothic" w:hAnsi="Century Gothic"/>
        </w:rPr>
        <w:t>(% change from the base year)</w:t>
      </w:r>
    </w:p>
    <w:p w14:paraId="48276610" w14:textId="62B29E42" w:rsidR="00730DA6" w:rsidRPr="00737A97" w:rsidRDefault="006D347B" w:rsidP="00EE3BED">
      <w:pPr>
        <w:jc w:val="both"/>
        <w:rPr>
          <w:rFonts w:ascii="Century Gothic" w:hAnsi="Century Gothic" w:cs="Times New Roman"/>
        </w:rPr>
      </w:pPr>
      <w:r w:rsidRPr="00737A97">
        <w:rPr>
          <w:rFonts w:ascii="Century Gothic" w:hAnsi="Century Gothic" w:cs="Times New Roman"/>
        </w:rPr>
        <w:t xml:space="preserve">The main reason for the fall in value-added of agricultural sectors and intermediate consumption of </w:t>
      </w:r>
      <w:r w:rsidR="0032716F" w:rsidRPr="00737A97">
        <w:rPr>
          <w:rFonts w:ascii="Century Gothic" w:hAnsi="Century Gothic" w:cs="Times New Roman"/>
        </w:rPr>
        <w:t>crop-</w:t>
      </w:r>
      <w:r w:rsidRPr="00737A97">
        <w:rPr>
          <w:rFonts w:ascii="Century Gothic" w:hAnsi="Century Gothic" w:cs="Times New Roman"/>
        </w:rPr>
        <w:t xml:space="preserve">dependent manufacturing sectors lies in the significant increase in prices for value-added and intermediate </w:t>
      </w:r>
      <w:r w:rsidR="0032716F" w:rsidRPr="00737A97">
        <w:rPr>
          <w:rFonts w:ascii="Century Gothic" w:hAnsi="Century Gothic" w:cs="Times New Roman"/>
        </w:rPr>
        <w:t>goods</w:t>
      </w:r>
      <w:r w:rsidRPr="00737A97">
        <w:rPr>
          <w:rFonts w:ascii="Century Gothic" w:hAnsi="Century Gothic" w:cs="Times New Roman"/>
        </w:rPr>
        <w:t>.</w:t>
      </w:r>
    </w:p>
    <w:p w14:paraId="2A83439D" w14:textId="77777777" w:rsidR="006D347B" w:rsidRPr="00737A97" w:rsidRDefault="00604F36" w:rsidP="00EE3BED">
      <w:pPr>
        <w:jc w:val="center"/>
        <w:rPr>
          <w:rFonts w:ascii="Century Gothic" w:hAnsi="Century Gothic" w:cs="Times New Roman"/>
        </w:rPr>
      </w:pPr>
      <w:r w:rsidRPr="00737A97">
        <w:rPr>
          <w:rFonts w:ascii="Century Gothic" w:hAnsi="Century Gothic"/>
          <w:noProof/>
          <w:lang w:val="ru-RU" w:eastAsia="zh-CN"/>
        </w:rPr>
        <w:lastRenderedPageBreak/>
        <w:drawing>
          <wp:inline distT="0" distB="0" distL="0" distR="0" wp14:anchorId="333CC2D6" wp14:editId="3D0B57DF">
            <wp:extent cx="5255964" cy="3336274"/>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C5A2AC" w14:textId="4A189A8C" w:rsidR="00604F36" w:rsidRPr="00737A97" w:rsidRDefault="00604F36" w:rsidP="00EE3BED">
      <w:pPr>
        <w:jc w:val="both"/>
        <w:rPr>
          <w:rFonts w:ascii="Century Gothic" w:hAnsi="Century Gothic" w:cs="Times New Roman"/>
        </w:rPr>
      </w:pPr>
      <w:r w:rsidRPr="00737A97">
        <w:rPr>
          <w:rFonts w:ascii="Century Gothic" w:hAnsi="Century Gothic" w:cs="Times New Roman"/>
        </w:rPr>
        <w:t xml:space="preserve">Figure </w:t>
      </w:r>
      <w:r w:rsidR="00370E0B">
        <w:rPr>
          <w:rFonts w:ascii="Century Gothic" w:hAnsi="Century Gothic" w:cs="Times New Roman"/>
        </w:rPr>
        <w:t>7</w:t>
      </w:r>
      <w:r w:rsidRPr="00737A97">
        <w:rPr>
          <w:rFonts w:ascii="Century Gothic" w:hAnsi="Century Gothic" w:cs="Times New Roman"/>
        </w:rPr>
        <w:t>. Evaluation of variation of value-added prices in the agricultural sector</w:t>
      </w:r>
      <w:r w:rsidR="00353D9D" w:rsidRPr="00737A97">
        <w:rPr>
          <w:rFonts w:ascii="Century Gothic" w:hAnsi="Century Gothic" w:cs="Times New Roman"/>
        </w:rPr>
        <w:t xml:space="preserve"> </w:t>
      </w:r>
      <w:r w:rsidR="00353D9D" w:rsidRPr="00737A97">
        <w:rPr>
          <w:rFonts w:ascii="Century Gothic" w:hAnsi="Century Gothic"/>
        </w:rPr>
        <w:t>(% change from the base year)</w:t>
      </w:r>
    </w:p>
    <w:p w14:paraId="5A1B3CB1" w14:textId="76049AC9" w:rsidR="007F03BE" w:rsidRPr="00737A97" w:rsidRDefault="005A26F3" w:rsidP="00EE3BED">
      <w:pPr>
        <w:jc w:val="both"/>
        <w:rPr>
          <w:rFonts w:ascii="Century Gothic" w:hAnsi="Century Gothic" w:cs="Times New Roman"/>
        </w:rPr>
      </w:pPr>
      <w:r w:rsidRPr="00737A97">
        <w:rPr>
          <w:rFonts w:ascii="Century Gothic" w:hAnsi="Century Gothic" w:cs="Times New Roman"/>
        </w:rPr>
        <w:t>The</w:t>
      </w:r>
      <w:r w:rsidR="00602691" w:rsidRPr="00737A97">
        <w:rPr>
          <w:rFonts w:ascii="Century Gothic" w:hAnsi="Century Gothic" w:cs="Times New Roman"/>
        </w:rPr>
        <w:t xml:space="preserve"> increase in women's participation in the agricultural sector </w:t>
      </w:r>
      <w:r w:rsidR="00BD08E6" w:rsidRPr="00737A97">
        <w:rPr>
          <w:rFonts w:ascii="Century Gothic" w:hAnsi="Century Gothic" w:cs="Times New Roman"/>
        </w:rPr>
        <w:t xml:space="preserve">slightly </w:t>
      </w:r>
      <w:r w:rsidR="00602691" w:rsidRPr="00737A97">
        <w:rPr>
          <w:rFonts w:ascii="Century Gothic" w:hAnsi="Century Gothic" w:cs="Times New Roman"/>
        </w:rPr>
        <w:t xml:space="preserve">depressed wages in the main sectors of food crop production (such as maize, </w:t>
      </w:r>
      <w:r w:rsidR="00FB6C30" w:rsidRPr="00737A97">
        <w:rPr>
          <w:rFonts w:ascii="Century Gothic" w:hAnsi="Century Gothic" w:cs="Times New Roman"/>
        </w:rPr>
        <w:t xml:space="preserve">rice, oil seeds, </w:t>
      </w:r>
      <w:r w:rsidR="00602691" w:rsidRPr="00737A97">
        <w:rPr>
          <w:rFonts w:ascii="Century Gothic" w:hAnsi="Century Gothic" w:cs="Times New Roman"/>
        </w:rPr>
        <w:t>other cereals, fruit</w:t>
      </w:r>
      <w:r w:rsidR="0032716F" w:rsidRPr="00737A97">
        <w:rPr>
          <w:rFonts w:ascii="Century Gothic" w:hAnsi="Century Gothic" w:cs="Times New Roman"/>
        </w:rPr>
        <w:t xml:space="preserve"> and</w:t>
      </w:r>
      <w:r w:rsidR="00602691" w:rsidRPr="00737A97">
        <w:rPr>
          <w:rFonts w:ascii="Century Gothic" w:hAnsi="Century Gothic" w:cs="Times New Roman"/>
        </w:rPr>
        <w:t xml:space="preserve"> vegetables, roots, cotton, other crops, etc</w:t>
      </w:r>
      <w:r w:rsidR="0032716F" w:rsidRPr="00737A97">
        <w:rPr>
          <w:rFonts w:ascii="Century Gothic" w:hAnsi="Century Gothic" w:cs="Times New Roman"/>
        </w:rPr>
        <w:t>.</w:t>
      </w:r>
      <w:r w:rsidR="00602691" w:rsidRPr="00737A97">
        <w:rPr>
          <w:rFonts w:ascii="Century Gothic" w:hAnsi="Century Gothic" w:cs="Times New Roman"/>
        </w:rPr>
        <w:t xml:space="preserve">), where the share of employed women is approximately equal to that of </w:t>
      </w:r>
      <w:r w:rsidR="00602691" w:rsidRPr="00370E0B">
        <w:rPr>
          <w:rFonts w:ascii="Century Gothic" w:hAnsi="Century Gothic" w:cs="Times New Roman"/>
        </w:rPr>
        <w:t>men</w:t>
      </w:r>
      <w:r w:rsidR="007F03BE" w:rsidRPr="00370E0B">
        <w:rPr>
          <w:rFonts w:ascii="Century Gothic" w:hAnsi="Century Gothic" w:cs="Times New Roman"/>
        </w:rPr>
        <w:t xml:space="preserve"> (</w:t>
      </w:r>
      <w:r w:rsidR="00370E0B">
        <w:rPr>
          <w:rFonts w:ascii="Century Gothic" w:hAnsi="Century Gothic" w:cs="Times New Roman"/>
        </w:rPr>
        <w:t>Figure 7</w:t>
      </w:r>
      <w:r w:rsidR="007F03BE" w:rsidRPr="00370E0B">
        <w:rPr>
          <w:rFonts w:ascii="Century Gothic" w:hAnsi="Century Gothic" w:cs="Times New Roman"/>
        </w:rPr>
        <w:t>)</w:t>
      </w:r>
      <w:r w:rsidR="00456B11" w:rsidRPr="00370E0B">
        <w:rPr>
          <w:rFonts w:ascii="Century Gothic" w:hAnsi="Century Gothic" w:cs="Times New Roman"/>
        </w:rPr>
        <w:t>.</w:t>
      </w:r>
      <w:r w:rsidR="00602691" w:rsidRPr="00370E0B">
        <w:rPr>
          <w:rFonts w:ascii="Century Gothic" w:hAnsi="Century Gothic" w:cs="Times New Roman"/>
        </w:rPr>
        <w:t xml:space="preserve"> </w:t>
      </w:r>
      <w:r w:rsidR="0099241D" w:rsidRPr="00370E0B">
        <w:rPr>
          <w:rFonts w:ascii="Century Gothic" w:hAnsi="Century Gothic" w:cs="Times New Roman"/>
        </w:rPr>
        <w:t xml:space="preserve">It should be </w:t>
      </w:r>
      <w:r w:rsidR="0032716F" w:rsidRPr="00370E0B">
        <w:rPr>
          <w:rFonts w:ascii="Century Gothic" w:hAnsi="Century Gothic" w:cs="Times New Roman"/>
        </w:rPr>
        <w:t>noted</w:t>
      </w:r>
      <w:r w:rsidR="0099241D" w:rsidRPr="00370E0B">
        <w:rPr>
          <w:rFonts w:ascii="Century Gothic" w:hAnsi="Century Gothic" w:cs="Times New Roman"/>
        </w:rPr>
        <w:t xml:space="preserve"> that this policy scenario doesn't improve composite wage</w:t>
      </w:r>
      <w:r w:rsidR="0032716F" w:rsidRPr="00370E0B">
        <w:rPr>
          <w:rFonts w:ascii="Century Gothic" w:hAnsi="Century Gothic" w:cs="Times New Roman"/>
        </w:rPr>
        <w:t>s</w:t>
      </w:r>
      <w:r w:rsidR="0099241D" w:rsidRPr="00370E0B">
        <w:rPr>
          <w:rFonts w:ascii="Century Gothic" w:hAnsi="Century Gothic" w:cs="Times New Roman"/>
        </w:rPr>
        <w:t xml:space="preserve"> in agricultural sectors. As</w:t>
      </w:r>
      <w:r w:rsidR="0099241D" w:rsidRPr="00737A97">
        <w:rPr>
          <w:rFonts w:ascii="Century Gothic" w:hAnsi="Century Gothic" w:cs="Times New Roman"/>
        </w:rPr>
        <w:t xml:space="preserve"> we can see from </w:t>
      </w:r>
      <w:r w:rsidR="0032716F" w:rsidRPr="00737A97">
        <w:rPr>
          <w:rFonts w:ascii="Century Gothic" w:hAnsi="Century Gothic" w:cs="Times New Roman"/>
        </w:rPr>
        <w:t>f</w:t>
      </w:r>
      <w:r w:rsidR="0099241D" w:rsidRPr="00737A97">
        <w:rPr>
          <w:rFonts w:ascii="Century Gothic" w:hAnsi="Century Gothic" w:cs="Times New Roman"/>
        </w:rPr>
        <w:t xml:space="preserve">igure </w:t>
      </w:r>
      <w:r w:rsidR="00370E0B">
        <w:rPr>
          <w:rFonts w:ascii="Century Gothic" w:hAnsi="Century Gothic" w:cs="Times New Roman"/>
        </w:rPr>
        <w:t>8</w:t>
      </w:r>
      <w:r w:rsidR="0099241D" w:rsidRPr="00737A97">
        <w:rPr>
          <w:rFonts w:ascii="Century Gothic" w:hAnsi="Century Gothic" w:cs="Times New Roman"/>
        </w:rPr>
        <w:t>, the wage rate fluctuates during the observation period and affects the demand for both women and men linearly.</w:t>
      </w:r>
    </w:p>
    <w:p w14:paraId="61F42997" w14:textId="77777777" w:rsidR="007F03BE" w:rsidRPr="00737A97" w:rsidRDefault="00FB6C30" w:rsidP="00EE3BED">
      <w:pPr>
        <w:jc w:val="center"/>
        <w:rPr>
          <w:rFonts w:ascii="Century Gothic" w:hAnsi="Century Gothic" w:cs="Times New Roman"/>
        </w:rPr>
      </w:pPr>
      <w:r w:rsidRPr="00737A97">
        <w:rPr>
          <w:rFonts w:ascii="Century Gothic" w:hAnsi="Century Gothic"/>
          <w:noProof/>
          <w:lang w:val="ru-RU" w:eastAsia="zh-CN"/>
        </w:rPr>
        <w:drawing>
          <wp:inline distT="0" distB="0" distL="0" distR="0" wp14:anchorId="7736CE77" wp14:editId="0C9B9DE0">
            <wp:extent cx="4112964" cy="2583458"/>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EC7725" w14:textId="3C2E2D32" w:rsidR="007F03BE" w:rsidRPr="00737A97" w:rsidRDefault="007F03BE" w:rsidP="00EE3BED">
      <w:pPr>
        <w:jc w:val="both"/>
        <w:rPr>
          <w:rFonts w:ascii="Century Gothic" w:hAnsi="Century Gothic" w:cs="Times New Roman"/>
        </w:rPr>
      </w:pPr>
      <w:r w:rsidRPr="00737A97">
        <w:rPr>
          <w:rFonts w:ascii="Century Gothic" w:hAnsi="Century Gothic" w:cs="Times New Roman"/>
        </w:rPr>
        <w:t xml:space="preserve">Figure </w:t>
      </w:r>
      <w:r w:rsidR="00370E0B">
        <w:rPr>
          <w:rFonts w:ascii="Century Gothic" w:hAnsi="Century Gothic" w:cs="Times New Roman"/>
        </w:rPr>
        <w:t>8.</w:t>
      </w:r>
      <w:r w:rsidRPr="00737A97">
        <w:rPr>
          <w:rFonts w:ascii="Century Gothic" w:hAnsi="Century Gothic" w:cs="Times New Roman"/>
        </w:rPr>
        <w:t xml:space="preserve"> Evaluation of variation of wage rates in agricultural sector</w:t>
      </w:r>
      <w:r w:rsidR="00FB6C30" w:rsidRPr="00737A97">
        <w:rPr>
          <w:rFonts w:ascii="Century Gothic" w:hAnsi="Century Gothic" w:cs="Times New Roman"/>
        </w:rPr>
        <w:t>s</w:t>
      </w:r>
      <w:r w:rsidR="00353D9D" w:rsidRPr="00737A97">
        <w:rPr>
          <w:rFonts w:ascii="Century Gothic" w:hAnsi="Century Gothic" w:cs="Times New Roman"/>
        </w:rPr>
        <w:t xml:space="preserve"> </w:t>
      </w:r>
      <w:r w:rsidR="00353D9D" w:rsidRPr="00737A97">
        <w:rPr>
          <w:rFonts w:ascii="Century Gothic" w:hAnsi="Century Gothic"/>
        </w:rPr>
        <w:t>(% change from the base year)</w:t>
      </w:r>
    </w:p>
    <w:p w14:paraId="23F7917C" w14:textId="2F31BA75" w:rsidR="003F7B77" w:rsidRPr="00737A97" w:rsidRDefault="00456B11" w:rsidP="00EE3BED">
      <w:pPr>
        <w:jc w:val="both"/>
        <w:rPr>
          <w:rFonts w:ascii="Century Gothic" w:hAnsi="Century Gothic" w:cs="Times New Roman"/>
        </w:rPr>
      </w:pPr>
      <w:r w:rsidRPr="00737A97">
        <w:rPr>
          <w:rFonts w:ascii="Century Gothic" w:hAnsi="Century Gothic" w:cs="Times New Roman"/>
        </w:rPr>
        <w:lastRenderedPageBreak/>
        <w:t xml:space="preserve">Given the </w:t>
      </w:r>
      <w:r w:rsidR="0032716F" w:rsidRPr="00737A97">
        <w:rPr>
          <w:rFonts w:ascii="Century Gothic" w:hAnsi="Century Gothic" w:cs="Times New Roman"/>
        </w:rPr>
        <w:t>labour-intensive</w:t>
      </w:r>
      <w:r w:rsidRPr="00737A97">
        <w:rPr>
          <w:rFonts w:ascii="Century Gothic" w:hAnsi="Century Gothic" w:cs="Times New Roman"/>
        </w:rPr>
        <w:t xml:space="preserve"> nature of agricultural </w:t>
      </w:r>
      <w:r w:rsidR="0032716F" w:rsidRPr="00737A97">
        <w:rPr>
          <w:rFonts w:ascii="Century Gothic" w:hAnsi="Century Gothic" w:cs="Times New Roman"/>
        </w:rPr>
        <w:t>production in Tanzania</w:t>
      </w:r>
      <w:r w:rsidR="00353D9D" w:rsidRPr="00737A97">
        <w:rPr>
          <w:rFonts w:ascii="Century Gothic" w:hAnsi="Century Gothic" w:cs="Times New Roman"/>
        </w:rPr>
        <w:t>, demand for labour increases</w:t>
      </w:r>
      <w:r w:rsidRPr="00737A97">
        <w:rPr>
          <w:rFonts w:ascii="Century Gothic" w:hAnsi="Century Gothic" w:cs="Times New Roman"/>
        </w:rPr>
        <w:t xml:space="preserve"> due to a wage rate reduction</w:t>
      </w:r>
      <w:r w:rsidR="00353D9D" w:rsidRPr="00737A97">
        <w:rPr>
          <w:rFonts w:ascii="Century Gothic" w:hAnsi="Century Gothic" w:cs="Times New Roman"/>
        </w:rPr>
        <w:t xml:space="preserve"> in the following sectors: cereals, groundnuts, roots, fruit and nuts, </w:t>
      </w:r>
      <w:r w:rsidR="00353D9D" w:rsidRPr="00370E0B">
        <w:rPr>
          <w:rFonts w:ascii="Century Gothic" w:hAnsi="Century Gothic" w:cs="Times New Roman"/>
        </w:rPr>
        <w:t>and others</w:t>
      </w:r>
      <w:r w:rsidR="003F7B77" w:rsidRPr="00370E0B">
        <w:rPr>
          <w:rFonts w:ascii="Century Gothic" w:hAnsi="Century Gothic" w:cs="Times New Roman"/>
        </w:rPr>
        <w:t xml:space="preserve"> (</w:t>
      </w:r>
      <w:r w:rsidR="00E766AC" w:rsidRPr="00370E0B">
        <w:rPr>
          <w:rFonts w:ascii="Century Gothic" w:hAnsi="Century Gothic" w:cs="Times New Roman"/>
        </w:rPr>
        <w:t xml:space="preserve">Figure </w:t>
      </w:r>
      <w:r w:rsidR="00370E0B" w:rsidRPr="00370E0B">
        <w:rPr>
          <w:rFonts w:ascii="Century Gothic" w:hAnsi="Century Gothic" w:cs="Times New Roman"/>
        </w:rPr>
        <w:t>9</w:t>
      </w:r>
      <w:r w:rsidR="003F7B77" w:rsidRPr="00370E0B">
        <w:rPr>
          <w:rFonts w:ascii="Century Gothic" w:hAnsi="Century Gothic" w:cs="Times New Roman"/>
        </w:rPr>
        <w:t>)</w:t>
      </w:r>
      <w:r w:rsidRPr="00370E0B">
        <w:rPr>
          <w:rFonts w:ascii="Century Gothic" w:hAnsi="Century Gothic" w:cs="Times New Roman"/>
        </w:rPr>
        <w:t>.</w:t>
      </w:r>
      <w:r w:rsidR="00602691" w:rsidRPr="00370E0B">
        <w:rPr>
          <w:rFonts w:ascii="Century Gothic" w:hAnsi="Century Gothic" w:cs="Times New Roman"/>
        </w:rPr>
        <w:t xml:space="preserve"> </w:t>
      </w:r>
    </w:p>
    <w:p w14:paraId="6B951969" w14:textId="77777777" w:rsidR="00FB6C30" w:rsidRPr="00737A97" w:rsidRDefault="00FB6C30" w:rsidP="00EE3BED">
      <w:pPr>
        <w:jc w:val="center"/>
        <w:rPr>
          <w:rFonts w:ascii="Century Gothic" w:hAnsi="Century Gothic" w:cs="Times New Roman"/>
        </w:rPr>
      </w:pPr>
      <w:r w:rsidRPr="00737A97">
        <w:rPr>
          <w:rFonts w:ascii="Century Gothic" w:hAnsi="Century Gothic"/>
          <w:noProof/>
          <w:lang w:val="ru-RU" w:eastAsia="zh-CN"/>
        </w:rPr>
        <w:drawing>
          <wp:inline distT="0" distB="0" distL="0" distR="0" wp14:anchorId="49044A8E" wp14:editId="44ACFB8F">
            <wp:extent cx="4416357" cy="2821021"/>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FCD4E8" w14:textId="62E7AC1E" w:rsidR="007F03BE" w:rsidRPr="00737A97" w:rsidRDefault="00353D9D" w:rsidP="00EE3BED">
      <w:pPr>
        <w:jc w:val="both"/>
        <w:rPr>
          <w:rFonts w:ascii="Century Gothic" w:hAnsi="Century Gothic" w:cs="Times New Roman"/>
        </w:rPr>
      </w:pPr>
      <w:r w:rsidRPr="00737A97">
        <w:rPr>
          <w:rFonts w:ascii="Century Gothic" w:hAnsi="Century Gothic" w:cs="Times New Roman"/>
        </w:rPr>
        <w:t xml:space="preserve">Figure </w:t>
      </w:r>
      <w:r w:rsidR="00370E0B">
        <w:rPr>
          <w:rFonts w:ascii="Century Gothic" w:hAnsi="Century Gothic" w:cs="Times New Roman"/>
        </w:rPr>
        <w:t>9</w:t>
      </w:r>
      <w:r w:rsidR="007F03BE" w:rsidRPr="00737A97">
        <w:rPr>
          <w:rFonts w:ascii="Century Gothic" w:hAnsi="Century Gothic" w:cs="Times New Roman"/>
        </w:rPr>
        <w:t xml:space="preserve">. </w:t>
      </w:r>
      <w:r w:rsidRPr="00737A97">
        <w:rPr>
          <w:rFonts w:ascii="Century Gothic" w:hAnsi="Century Gothic" w:cs="Times New Roman"/>
        </w:rPr>
        <w:t xml:space="preserve">Evaluation of variation of </w:t>
      </w:r>
      <w:r w:rsidR="007F03BE" w:rsidRPr="00737A97">
        <w:rPr>
          <w:rFonts w:ascii="Century Gothic" w:hAnsi="Century Gothic" w:cs="Times New Roman"/>
        </w:rPr>
        <w:t>women demand</w:t>
      </w:r>
      <w:r w:rsidRPr="00737A97">
        <w:rPr>
          <w:rFonts w:ascii="Century Gothic" w:hAnsi="Century Gothic" w:cs="Times New Roman"/>
        </w:rPr>
        <w:t xml:space="preserve"> for labour in agricultural sector </w:t>
      </w:r>
      <w:r w:rsidRPr="00737A97">
        <w:rPr>
          <w:rFonts w:ascii="Century Gothic" w:hAnsi="Century Gothic"/>
        </w:rPr>
        <w:t>(% change from the base year)</w:t>
      </w:r>
    </w:p>
    <w:p w14:paraId="405F965E" w14:textId="77777777" w:rsidR="003F7B77" w:rsidRPr="00737A97" w:rsidRDefault="003F7B77" w:rsidP="00EE3BED">
      <w:pPr>
        <w:jc w:val="both"/>
        <w:rPr>
          <w:rFonts w:ascii="Century Gothic" w:hAnsi="Century Gothic" w:cs="Times New Roman"/>
        </w:rPr>
      </w:pPr>
    </w:p>
    <w:p w14:paraId="4A8FCD82" w14:textId="0DEE9438" w:rsidR="00602691" w:rsidRPr="00737A97" w:rsidRDefault="007255BC" w:rsidP="00EE3BED">
      <w:pPr>
        <w:jc w:val="both"/>
        <w:rPr>
          <w:rFonts w:ascii="Century Gothic" w:hAnsi="Century Gothic" w:cs="Times New Roman"/>
        </w:rPr>
      </w:pPr>
      <w:r w:rsidRPr="00737A97">
        <w:rPr>
          <w:rFonts w:ascii="Century Gothic" w:hAnsi="Century Gothic" w:cs="Times New Roman"/>
        </w:rPr>
        <w:t xml:space="preserve">As was observed, increasing </w:t>
      </w:r>
      <w:r w:rsidR="00A7365F" w:rsidRPr="00737A97">
        <w:rPr>
          <w:rFonts w:ascii="Century Gothic" w:hAnsi="Century Gothic" w:cs="Times New Roman"/>
        </w:rPr>
        <w:t>women’s employment</w:t>
      </w:r>
      <w:r w:rsidRPr="00737A97">
        <w:rPr>
          <w:rFonts w:ascii="Century Gothic" w:hAnsi="Century Gothic" w:cs="Times New Roman"/>
        </w:rPr>
        <w:t xml:space="preserve"> in the agricultural sector decreases the wage rate, thus substituting labour for capital, mostly non-physical capital. The average returns on capital increase</w:t>
      </w:r>
      <w:r w:rsidR="00A7365F" w:rsidRPr="00737A97">
        <w:rPr>
          <w:rFonts w:ascii="Century Gothic" w:hAnsi="Century Gothic" w:cs="Times New Roman"/>
        </w:rPr>
        <w:t>s</w:t>
      </w:r>
      <w:r w:rsidRPr="00737A97">
        <w:rPr>
          <w:rFonts w:ascii="Century Gothic" w:hAnsi="Century Gothic" w:cs="Times New Roman"/>
        </w:rPr>
        <w:t>, making capital relatively more expensive than labour. In a few crop sectors (such as groundnuts, roots, and fruits)</w:t>
      </w:r>
      <w:r w:rsidR="00A7365F" w:rsidRPr="00737A97">
        <w:rPr>
          <w:rFonts w:ascii="Century Gothic" w:hAnsi="Century Gothic" w:cs="Times New Roman"/>
        </w:rPr>
        <w:t>,</w:t>
      </w:r>
      <w:r w:rsidRPr="00737A97">
        <w:rPr>
          <w:rFonts w:ascii="Century Gothic" w:hAnsi="Century Gothic" w:cs="Times New Roman"/>
        </w:rPr>
        <w:t xml:space="preserve"> which increased productivity, we found increased demand for land, specifically those that are controlled by women (figure </w:t>
      </w:r>
      <w:r w:rsidR="00370E0B">
        <w:rPr>
          <w:rFonts w:ascii="Century Gothic" w:hAnsi="Century Gothic" w:cs="Times New Roman"/>
        </w:rPr>
        <w:t>10</w:t>
      </w:r>
      <w:r w:rsidRPr="00737A97">
        <w:rPr>
          <w:rFonts w:ascii="Century Gothic" w:hAnsi="Century Gothic" w:cs="Times New Roman"/>
        </w:rPr>
        <w:t>).</w:t>
      </w:r>
    </w:p>
    <w:p w14:paraId="09CBD5B6" w14:textId="77777777" w:rsidR="00B17E26" w:rsidRPr="00737A97" w:rsidRDefault="00502C01" w:rsidP="00EE3BED">
      <w:pPr>
        <w:jc w:val="center"/>
        <w:rPr>
          <w:rFonts w:ascii="Century Gothic" w:hAnsi="Century Gothic" w:cs="Times New Roman"/>
        </w:rPr>
      </w:pPr>
      <w:r w:rsidRPr="00737A97">
        <w:rPr>
          <w:rFonts w:ascii="Century Gothic" w:hAnsi="Century Gothic"/>
          <w:noProof/>
          <w:lang w:val="ru-RU" w:eastAsia="zh-CN"/>
        </w:rPr>
        <w:drawing>
          <wp:inline distT="0" distB="0" distL="0" distR="0" wp14:anchorId="3B3B6BD9" wp14:editId="3E6BDF33">
            <wp:extent cx="4122549" cy="2386739"/>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D266A7" w14:textId="14B8D049" w:rsidR="00502C01" w:rsidRPr="00737A97" w:rsidRDefault="00502C01" w:rsidP="00EE3BED">
      <w:pPr>
        <w:jc w:val="both"/>
        <w:rPr>
          <w:rFonts w:ascii="Century Gothic" w:hAnsi="Century Gothic" w:cs="Times New Roman"/>
        </w:rPr>
      </w:pPr>
      <w:r w:rsidRPr="00737A97">
        <w:rPr>
          <w:rFonts w:ascii="Century Gothic" w:hAnsi="Century Gothic" w:cs="Times New Roman"/>
        </w:rPr>
        <w:t>Figure 1</w:t>
      </w:r>
      <w:r w:rsidR="00370E0B">
        <w:rPr>
          <w:rFonts w:ascii="Century Gothic" w:hAnsi="Century Gothic" w:cs="Times New Roman"/>
        </w:rPr>
        <w:t>0</w:t>
      </w:r>
      <w:r w:rsidRPr="00737A97">
        <w:rPr>
          <w:rFonts w:ascii="Century Gothic" w:hAnsi="Century Gothic" w:cs="Times New Roman"/>
        </w:rPr>
        <w:t xml:space="preserve">. Evaluation of variation of demand for land owned by women </w:t>
      </w:r>
      <w:r w:rsidRPr="00737A97">
        <w:rPr>
          <w:rFonts w:ascii="Century Gothic" w:hAnsi="Century Gothic"/>
        </w:rPr>
        <w:t>(% change from the base year)</w:t>
      </w:r>
    </w:p>
    <w:p w14:paraId="26591117" w14:textId="77777777" w:rsidR="00456B11" w:rsidRPr="00737A97" w:rsidRDefault="001936A2" w:rsidP="00EE3BED">
      <w:pPr>
        <w:jc w:val="both"/>
        <w:rPr>
          <w:rFonts w:ascii="Century Gothic" w:hAnsi="Century Gothic" w:cs="Times New Roman"/>
          <w:i/>
        </w:rPr>
      </w:pPr>
      <w:r w:rsidRPr="00737A97">
        <w:rPr>
          <w:rFonts w:ascii="Century Gothic" w:hAnsi="Century Gothic" w:cs="Times New Roman"/>
          <w:i/>
        </w:rPr>
        <w:lastRenderedPageBreak/>
        <w:t>Effects on prices and trade</w:t>
      </w:r>
    </w:p>
    <w:p w14:paraId="15DB0BF4" w14:textId="1E66CD4E" w:rsidR="00370E0B" w:rsidRPr="00737A97" w:rsidRDefault="00A93DE5" w:rsidP="00370E0B">
      <w:pPr>
        <w:jc w:val="both"/>
        <w:rPr>
          <w:rFonts w:ascii="Century Gothic" w:hAnsi="Century Gothic" w:cs="Times New Roman"/>
        </w:rPr>
      </w:pPr>
      <w:r w:rsidRPr="00D516D0">
        <w:rPr>
          <w:rFonts w:ascii="Century Gothic" w:hAnsi="Century Gothic" w:cs="Times New Roman"/>
        </w:rPr>
        <w:t xml:space="preserve">Increasing employment of unskilled women in agricultural sector decrease wages (due to low productivity of unskilled labour), </w:t>
      </w:r>
      <w:r w:rsidR="00D516D0">
        <w:rPr>
          <w:rFonts w:ascii="Century Gothic" w:hAnsi="Century Gothic" w:cs="Times New Roman"/>
        </w:rPr>
        <w:t xml:space="preserve">and </w:t>
      </w:r>
      <w:r w:rsidRPr="00D516D0">
        <w:rPr>
          <w:rFonts w:ascii="Century Gothic" w:hAnsi="Century Gothic" w:cs="Times New Roman"/>
        </w:rPr>
        <w:t>thus rais</w:t>
      </w:r>
      <w:r w:rsidR="00D516D0">
        <w:rPr>
          <w:rFonts w:ascii="Century Gothic" w:hAnsi="Century Gothic" w:cs="Times New Roman"/>
        </w:rPr>
        <w:t>es</w:t>
      </w:r>
      <w:r w:rsidRPr="00D516D0">
        <w:rPr>
          <w:rFonts w:ascii="Century Gothic" w:hAnsi="Century Gothic" w:cs="Times New Roman"/>
        </w:rPr>
        <w:t xml:space="preserve"> the rental rate of capital and the value added price. As a result, the price of agricultural commodities sold in the local market increase, making the imports relatively cheaper and attractive. Consequently, higher domestic prices discourage export for most </w:t>
      </w:r>
      <w:r w:rsidR="00370E0B">
        <w:rPr>
          <w:rFonts w:ascii="Century Gothic" w:hAnsi="Century Gothic" w:cs="Times New Roman"/>
        </w:rPr>
        <w:t xml:space="preserve">commodities, including </w:t>
      </w:r>
      <w:r w:rsidR="00370E0B" w:rsidRPr="00737A97">
        <w:rPr>
          <w:rFonts w:ascii="Century Gothic" w:hAnsi="Century Gothic" w:cs="Times New Roman"/>
        </w:rPr>
        <w:t>agricultural products.</w:t>
      </w:r>
    </w:p>
    <w:p w14:paraId="0F6657E0" w14:textId="77777777" w:rsidR="00370E0B" w:rsidRDefault="00370E0B" w:rsidP="00EE3BED">
      <w:pPr>
        <w:jc w:val="both"/>
        <w:rPr>
          <w:rFonts w:ascii="Century Gothic" w:hAnsi="Century Gothic" w:cs="Times New Roman"/>
        </w:rPr>
      </w:pPr>
    </w:p>
    <w:p w14:paraId="62427E30" w14:textId="6000F634" w:rsidR="00956E48" w:rsidRPr="00737A97" w:rsidRDefault="001936A2" w:rsidP="00EE3BED">
      <w:pPr>
        <w:jc w:val="both"/>
        <w:rPr>
          <w:rFonts w:ascii="Century Gothic" w:hAnsi="Century Gothic" w:cs="Times New Roman"/>
          <w:i/>
        </w:rPr>
      </w:pPr>
      <w:r w:rsidRPr="00737A97">
        <w:rPr>
          <w:rFonts w:ascii="Century Gothic" w:hAnsi="Century Gothic" w:cs="Times New Roman"/>
          <w:i/>
        </w:rPr>
        <w:t>Effects on household income and consumption</w:t>
      </w:r>
    </w:p>
    <w:p w14:paraId="31ECB5A7" w14:textId="026C023B" w:rsidR="00BC6988" w:rsidRPr="00737A97" w:rsidRDefault="007C2487" w:rsidP="00EE3BED">
      <w:pPr>
        <w:jc w:val="both"/>
        <w:rPr>
          <w:rFonts w:ascii="Century Gothic" w:hAnsi="Century Gothic" w:cs="Times New Roman"/>
        </w:rPr>
      </w:pPr>
      <w:r w:rsidRPr="00737A97">
        <w:rPr>
          <w:rFonts w:ascii="Century Gothic" w:hAnsi="Century Gothic" w:cs="Times New Roman"/>
        </w:rPr>
        <w:t xml:space="preserve">It is worth noting that the wage reduction leads to a decrease in </w:t>
      </w:r>
      <w:r w:rsidR="00C326AA" w:rsidRPr="00737A97">
        <w:rPr>
          <w:rFonts w:ascii="Century Gothic" w:hAnsi="Century Gothic" w:cs="Times New Roman"/>
        </w:rPr>
        <w:t xml:space="preserve">total </w:t>
      </w:r>
      <w:r w:rsidRPr="00737A97">
        <w:rPr>
          <w:rFonts w:ascii="Century Gothic" w:hAnsi="Century Gothic" w:cs="Times New Roman"/>
        </w:rPr>
        <w:t xml:space="preserve">households' income </w:t>
      </w:r>
      <w:r w:rsidRPr="00161DCB">
        <w:rPr>
          <w:rFonts w:ascii="Century Gothic" w:hAnsi="Century Gothic" w:cs="Times New Roman"/>
        </w:rPr>
        <w:t>(</w:t>
      </w:r>
      <w:r w:rsidR="00161DCB" w:rsidRPr="00161DCB">
        <w:rPr>
          <w:rFonts w:ascii="Century Gothic" w:hAnsi="Century Gothic" w:cs="Times New Roman"/>
        </w:rPr>
        <w:t>figure 11</w:t>
      </w:r>
      <w:r w:rsidRPr="00161DCB">
        <w:rPr>
          <w:rFonts w:ascii="Century Gothic" w:hAnsi="Century Gothic" w:cs="Times New Roman"/>
        </w:rPr>
        <w:t>) and r</w:t>
      </w:r>
      <w:r w:rsidR="009621AF" w:rsidRPr="00161DCB">
        <w:rPr>
          <w:rFonts w:ascii="Century Gothic" w:hAnsi="Century Gothic" w:cs="Times New Roman"/>
        </w:rPr>
        <w:t>a</w:t>
      </w:r>
      <w:r w:rsidRPr="00161DCB">
        <w:rPr>
          <w:rFonts w:ascii="Century Gothic" w:hAnsi="Century Gothic" w:cs="Times New Roman"/>
        </w:rPr>
        <w:t>ises the risk of income inequality, especially for women that are involved</w:t>
      </w:r>
      <w:r w:rsidRPr="00737A97">
        <w:rPr>
          <w:rFonts w:ascii="Century Gothic" w:hAnsi="Century Gothic" w:cs="Times New Roman"/>
        </w:rPr>
        <w:t xml:space="preserve"> in the sector in accordance with the government’s new agricultural strategy. Wage is the main income of households. According to the 2019 SAM, the labour income of men and women account</w:t>
      </w:r>
      <w:r w:rsidR="004350E4" w:rsidRPr="00737A97">
        <w:rPr>
          <w:rFonts w:ascii="Century Gothic" w:hAnsi="Century Gothic" w:cs="Times New Roman"/>
        </w:rPr>
        <w:t>s for 50.8</w:t>
      </w:r>
      <w:r w:rsidR="009621AF" w:rsidRPr="00737A97">
        <w:rPr>
          <w:rFonts w:ascii="Century Gothic" w:hAnsi="Century Gothic" w:cs="Times New Roman"/>
        </w:rPr>
        <w:t xml:space="preserve"> percent</w:t>
      </w:r>
      <w:r w:rsidR="004350E4" w:rsidRPr="00737A97">
        <w:rPr>
          <w:rFonts w:ascii="Century Gothic" w:hAnsi="Century Gothic" w:cs="Times New Roman"/>
        </w:rPr>
        <w:t xml:space="preserve"> of the</w:t>
      </w:r>
      <w:r w:rsidR="009621AF" w:rsidRPr="00737A97">
        <w:rPr>
          <w:rFonts w:ascii="Century Gothic" w:hAnsi="Century Gothic" w:cs="Times New Roman"/>
        </w:rPr>
        <w:t>ir</w:t>
      </w:r>
      <w:r w:rsidR="004350E4" w:rsidRPr="00737A97">
        <w:rPr>
          <w:rFonts w:ascii="Century Gothic" w:hAnsi="Century Gothic" w:cs="Times New Roman"/>
        </w:rPr>
        <w:t xml:space="preserve"> total income. </w:t>
      </w:r>
    </w:p>
    <w:p w14:paraId="610189FA" w14:textId="77777777" w:rsidR="00F02B44" w:rsidRPr="00737A97" w:rsidRDefault="00F02B44" w:rsidP="00EE3BED">
      <w:pPr>
        <w:jc w:val="both"/>
        <w:rPr>
          <w:rFonts w:ascii="Century Gothic" w:hAnsi="Century Gothic"/>
          <w:noProof/>
          <w:lang w:val="en-US" w:eastAsia="zh-CN"/>
        </w:rPr>
      </w:pPr>
      <w:r w:rsidRPr="00737A97">
        <w:rPr>
          <w:rFonts w:ascii="Century Gothic" w:hAnsi="Century Gothic"/>
          <w:noProof/>
          <w:lang w:val="ru-RU" w:eastAsia="zh-CN"/>
        </w:rPr>
        <w:drawing>
          <wp:anchor distT="0" distB="0" distL="114300" distR="114300" simplePos="0" relativeHeight="251710464" behindDoc="1" locked="0" layoutInCell="1" allowOverlap="1" wp14:anchorId="6CC58F70" wp14:editId="721CA004">
            <wp:simplePos x="0" y="0"/>
            <wp:positionH relativeFrom="column">
              <wp:posOffset>3005455</wp:posOffset>
            </wp:positionH>
            <wp:positionV relativeFrom="paragraph">
              <wp:posOffset>93980</wp:posOffset>
            </wp:positionV>
            <wp:extent cx="3287395" cy="1769745"/>
            <wp:effectExtent l="0" t="0" r="0" b="0"/>
            <wp:wrapTight wrapText="bothSides">
              <wp:wrapPolygon edited="0">
                <wp:start x="501" y="698"/>
                <wp:lineTo x="376" y="7673"/>
                <wp:lineTo x="1127" y="8603"/>
                <wp:lineTo x="3129" y="8603"/>
                <wp:lineTo x="501" y="10230"/>
                <wp:lineTo x="501" y="10928"/>
                <wp:lineTo x="3129" y="12323"/>
                <wp:lineTo x="501" y="13485"/>
                <wp:lineTo x="751" y="16043"/>
                <wp:lineTo x="125" y="16508"/>
                <wp:lineTo x="250" y="19996"/>
                <wp:lineTo x="501" y="20693"/>
                <wp:lineTo x="2128" y="20693"/>
                <wp:lineTo x="21028" y="19996"/>
                <wp:lineTo x="20778" y="13485"/>
                <wp:lineTo x="14394" y="12323"/>
                <wp:lineTo x="20778" y="10695"/>
                <wp:lineTo x="20152" y="9998"/>
                <wp:lineTo x="5633" y="8603"/>
                <wp:lineTo x="20778" y="7905"/>
                <wp:lineTo x="20778" y="7440"/>
                <wp:lineTo x="4005" y="4883"/>
                <wp:lineTo x="20778" y="4883"/>
                <wp:lineTo x="20778" y="1395"/>
                <wp:lineTo x="2253" y="698"/>
                <wp:lineTo x="501" y="698"/>
              </wp:wrapPolygon>
            </wp:wrapTight>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737A97">
        <w:rPr>
          <w:rFonts w:ascii="Century Gothic" w:hAnsi="Century Gothic"/>
          <w:noProof/>
          <w:lang w:val="ru-RU" w:eastAsia="zh-CN"/>
        </w:rPr>
        <w:drawing>
          <wp:anchor distT="0" distB="0" distL="114300" distR="114300" simplePos="0" relativeHeight="251711488" behindDoc="0" locked="0" layoutInCell="1" allowOverlap="1" wp14:anchorId="4F339BAF" wp14:editId="09E86783">
            <wp:simplePos x="0" y="0"/>
            <wp:positionH relativeFrom="column">
              <wp:posOffset>-126662</wp:posOffset>
            </wp:positionH>
            <wp:positionV relativeFrom="paragraph">
              <wp:posOffset>15470</wp:posOffset>
            </wp:positionV>
            <wp:extent cx="3025302" cy="1848255"/>
            <wp:effectExtent l="0" t="0" r="0" b="0"/>
            <wp:wrapNone/>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3173283" w14:textId="77777777" w:rsidR="00F02B44" w:rsidRPr="00737A97" w:rsidRDefault="00F02B44" w:rsidP="00EE3BED">
      <w:pPr>
        <w:jc w:val="both"/>
        <w:rPr>
          <w:rFonts w:ascii="Century Gothic" w:hAnsi="Century Gothic"/>
          <w:noProof/>
          <w:lang w:val="en-US" w:eastAsia="zh-CN"/>
        </w:rPr>
      </w:pPr>
    </w:p>
    <w:p w14:paraId="7BF97446" w14:textId="77777777" w:rsidR="00F02B44" w:rsidRPr="00737A97" w:rsidRDefault="00F02B44" w:rsidP="00EE3BED">
      <w:pPr>
        <w:jc w:val="both"/>
        <w:rPr>
          <w:rFonts w:ascii="Century Gothic" w:hAnsi="Century Gothic"/>
          <w:noProof/>
          <w:lang w:val="en-US" w:eastAsia="zh-CN"/>
        </w:rPr>
      </w:pPr>
    </w:p>
    <w:p w14:paraId="2BEE9379" w14:textId="77777777" w:rsidR="00F02B44" w:rsidRPr="00737A97" w:rsidRDefault="00F02B44" w:rsidP="00EE3BED">
      <w:pPr>
        <w:jc w:val="both"/>
        <w:rPr>
          <w:rFonts w:ascii="Century Gothic" w:hAnsi="Century Gothic"/>
          <w:noProof/>
          <w:lang w:val="en-US" w:eastAsia="zh-CN"/>
        </w:rPr>
      </w:pPr>
    </w:p>
    <w:p w14:paraId="7A9C4E1D" w14:textId="77777777" w:rsidR="00F02B44" w:rsidRPr="00737A97" w:rsidRDefault="00F02B44" w:rsidP="00EE3BED">
      <w:pPr>
        <w:jc w:val="both"/>
        <w:rPr>
          <w:rFonts w:ascii="Century Gothic" w:hAnsi="Century Gothic"/>
          <w:noProof/>
          <w:lang w:val="en-US" w:eastAsia="zh-CN"/>
        </w:rPr>
      </w:pPr>
    </w:p>
    <w:p w14:paraId="596DA179" w14:textId="77777777" w:rsidR="00F02B44" w:rsidRPr="00737A97" w:rsidRDefault="00F02B44" w:rsidP="00EE3BED">
      <w:pPr>
        <w:jc w:val="both"/>
        <w:rPr>
          <w:rFonts w:ascii="Century Gothic" w:hAnsi="Century Gothic"/>
          <w:noProof/>
          <w:lang w:val="en-US" w:eastAsia="zh-CN"/>
        </w:rPr>
      </w:pPr>
    </w:p>
    <w:p w14:paraId="5DD8915F" w14:textId="77777777" w:rsidR="006C4C79" w:rsidRPr="00737A97" w:rsidRDefault="00F02B44" w:rsidP="00EE3BED">
      <w:pPr>
        <w:jc w:val="both"/>
        <w:rPr>
          <w:rFonts w:ascii="Century Gothic" w:hAnsi="Century Gothic" w:cs="Times New Roman"/>
        </w:rPr>
      </w:pPr>
      <w:r w:rsidRPr="00737A97">
        <w:rPr>
          <w:rFonts w:ascii="Century Gothic" w:hAnsi="Century Gothic"/>
          <w:noProof/>
          <w:lang w:val="en-US" w:eastAsia="zh-CN"/>
        </w:rPr>
        <w:t xml:space="preserve">  </w:t>
      </w:r>
    </w:p>
    <w:p w14:paraId="584DD15C" w14:textId="77777777" w:rsidR="00BC6988" w:rsidRPr="00737A97" w:rsidRDefault="004350E4" w:rsidP="00EE3BED">
      <w:pPr>
        <w:jc w:val="center"/>
        <w:rPr>
          <w:rFonts w:ascii="Century Gothic" w:hAnsi="Century Gothic" w:cs="Times New Roman"/>
        </w:rPr>
      </w:pPr>
      <w:r w:rsidRPr="00737A97">
        <w:rPr>
          <w:rFonts w:ascii="Century Gothic" w:hAnsi="Century Gothic" w:cs="Times New Roman"/>
          <w:i/>
          <w:noProof/>
          <w:lang w:val="ru-RU" w:eastAsia="zh-CN"/>
        </w:rPr>
        <mc:AlternateContent>
          <mc:Choice Requires="wps">
            <w:drawing>
              <wp:anchor distT="45720" distB="45720" distL="114300" distR="114300" simplePos="0" relativeHeight="251662336" behindDoc="0" locked="0" layoutInCell="1" allowOverlap="1" wp14:anchorId="33D7C563" wp14:editId="77BC34AA">
                <wp:simplePos x="0" y="0"/>
                <wp:positionH relativeFrom="column">
                  <wp:posOffset>3482975</wp:posOffset>
                </wp:positionH>
                <wp:positionV relativeFrom="paragraph">
                  <wp:posOffset>125109</wp:posOffset>
                </wp:positionV>
                <wp:extent cx="2360930" cy="290830"/>
                <wp:effectExtent l="0"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830"/>
                        </a:xfrm>
                        <a:prstGeom prst="rect">
                          <a:avLst/>
                        </a:prstGeom>
                        <a:noFill/>
                        <a:ln w="9525">
                          <a:noFill/>
                          <a:miter lim="800000"/>
                          <a:headEnd/>
                          <a:tailEnd/>
                        </a:ln>
                      </wps:spPr>
                      <wps:txbx>
                        <w:txbxContent>
                          <w:p w14:paraId="5B5B00CA" w14:textId="77777777" w:rsidR="00592E0C" w:rsidRPr="00155CD1" w:rsidRDefault="00592E0C" w:rsidP="00155CD1">
                            <w:pPr>
                              <w:rPr>
                                <w:rFonts w:asciiTheme="majorHAnsi" w:hAnsiTheme="majorHAnsi" w:cstheme="majorHAnsi"/>
                                <w:lang w:val="en-US"/>
                              </w:rPr>
                            </w:pPr>
                            <w:r>
                              <w:rPr>
                                <w:rFonts w:asciiTheme="majorHAnsi" w:hAnsiTheme="majorHAnsi" w:cstheme="majorHAnsi"/>
                                <w:lang w:val="en-US"/>
                              </w:rPr>
                              <w:t>b</w:t>
                            </w:r>
                            <w:r w:rsidRPr="00155CD1">
                              <w:rPr>
                                <w:rFonts w:asciiTheme="majorHAnsi" w:hAnsiTheme="majorHAnsi" w:cstheme="majorHAnsi"/>
                                <w:lang w:val="en-US"/>
                              </w:rPr>
                              <w:t xml:space="preserve">) </w:t>
                            </w:r>
                            <w:r>
                              <w:rPr>
                                <w:rFonts w:asciiTheme="majorHAnsi" w:hAnsiTheme="majorHAnsi" w:cstheme="majorHAnsi"/>
                                <w:lang w:val="en-US"/>
                              </w:rPr>
                              <w:t>Capital</w:t>
                            </w:r>
                            <w:r w:rsidRPr="00155CD1">
                              <w:rPr>
                                <w:rFonts w:asciiTheme="majorHAnsi" w:hAnsiTheme="majorHAnsi" w:cstheme="majorHAnsi"/>
                                <w:lang w:val="en-US"/>
                              </w:rPr>
                              <w:t xml:space="preserve"> income</w:t>
                            </w:r>
                            <w:r>
                              <w:rPr>
                                <w:rFonts w:asciiTheme="majorHAnsi" w:hAnsiTheme="majorHAnsi" w:cstheme="majorHAnsi"/>
                                <w:lang w:val="en-US"/>
                              </w:rPr>
                              <w:t xml:space="preserve"> (farm capital and land)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D7C563" id="_x0000_s1030" type="#_x0000_t202" style="position:absolute;left:0;text-align:left;margin-left:274.25pt;margin-top:9.85pt;width:185.9pt;height:22.9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" filled="f" stroked="f">
                <v:textbox>
                  <w:txbxContent>
                    <w:p w14:paraId="5B5B00CA" w14:textId="77777777" w:rsidR="00592E0C" w:rsidRPr="00155CD1" w:rsidRDefault="00592E0C" w:rsidP="00155CD1">
                      <w:pPr>
                        <w:rPr>
                          <w:rFonts w:asciiTheme="majorHAnsi" w:hAnsiTheme="majorHAnsi" w:cstheme="majorHAnsi"/>
                          <w:lang w:val="en-US"/>
                        </w:rPr>
                      </w:pPr>
                      <w:r>
                        <w:rPr>
                          <w:rFonts w:asciiTheme="majorHAnsi" w:hAnsiTheme="majorHAnsi" w:cstheme="majorHAnsi"/>
                          <w:lang w:val="en-US"/>
                        </w:rPr>
                        <w:t>b</w:t>
                      </w:r>
                      <w:r w:rsidRPr="00155CD1">
                        <w:rPr>
                          <w:rFonts w:asciiTheme="majorHAnsi" w:hAnsiTheme="majorHAnsi" w:cstheme="majorHAnsi"/>
                          <w:lang w:val="en-US"/>
                        </w:rPr>
                        <w:t xml:space="preserve">) </w:t>
                      </w:r>
                      <w:r>
                        <w:rPr>
                          <w:rFonts w:asciiTheme="majorHAnsi" w:hAnsiTheme="majorHAnsi" w:cstheme="majorHAnsi"/>
                          <w:lang w:val="en-US"/>
                        </w:rPr>
                        <w:t>Capital</w:t>
                      </w:r>
                      <w:r w:rsidRPr="00155CD1">
                        <w:rPr>
                          <w:rFonts w:asciiTheme="majorHAnsi" w:hAnsiTheme="majorHAnsi" w:cstheme="majorHAnsi"/>
                          <w:lang w:val="en-US"/>
                        </w:rPr>
                        <w:t xml:space="preserve"> income</w:t>
                      </w:r>
                      <w:r>
                        <w:rPr>
                          <w:rFonts w:asciiTheme="majorHAnsi" w:hAnsiTheme="majorHAnsi" w:cstheme="majorHAnsi"/>
                          <w:lang w:val="en-US"/>
                        </w:rPr>
                        <w:t xml:space="preserve"> (farm capital and land)</w:t>
                      </w:r>
                    </w:p>
                  </w:txbxContent>
                </v:textbox>
                <w10:wrap type="square"/>
              </v:shape>
            </w:pict>
          </mc:Fallback>
        </mc:AlternateContent>
      </w:r>
      <w:r w:rsidR="00155CD1" w:rsidRPr="00737A97">
        <w:rPr>
          <w:rFonts w:ascii="Century Gothic" w:hAnsi="Century Gothic" w:cs="Times New Roman"/>
          <w:i/>
          <w:noProof/>
          <w:lang w:val="ru-RU" w:eastAsia="zh-CN"/>
        </w:rPr>
        <mc:AlternateContent>
          <mc:Choice Requires="wps">
            <w:drawing>
              <wp:anchor distT="45720" distB="45720" distL="114300" distR="114300" simplePos="0" relativeHeight="251660288" behindDoc="0" locked="0" layoutInCell="1" allowOverlap="1" wp14:anchorId="0A3D4576" wp14:editId="6B9E8254">
                <wp:simplePos x="0" y="0"/>
                <wp:positionH relativeFrom="column">
                  <wp:posOffset>9525</wp:posOffset>
                </wp:positionH>
                <wp:positionV relativeFrom="paragraph">
                  <wp:posOffset>248920</wp:posOffset>
                </wp:positionV>
                <wp:extent cx="2360930" cy="290830"/>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830"/>
                        </a:xfrm>
                        <a:prstGeom prst="rect">
                          <a:avLst/>
                        </a:prstGeom>
                        <a:noFill/>
                        <a:ln w="9525">
                          <a:noFill/>
                          <a:miter lim="800000"/>
                          <a:headEnd/>
                          <a:tailEnd/>
                        </a:ln>
                      </wps:spPr>
                      <wps:txbx>
                        <w:txbxContent>
                          <w:p w14:paraId="4B0E90E5" w14:textId="77777777" w:rsidR="00592E0C" w:rsidRPr="00155CD1" w:rsidRDefault="00592E0C" w:rsidP="00155CD1">
                            <w:pPr>
                              <w:rPr>
                                <w:rFonts w:asciiTheme="majorHAnsi" w:hAnsiTheme="majorHAnsi" w:cstheme="majorHAnsi"/>
                                <w:lang w:val="en-US"/>
                              </w:rPr>
                            </w:pPr>
                            <w:r w:rsidRPr="00155CD1">
                              <w:rPr>
                                <w:rFonts w:asciiTheme="majorHAnsi" w:hAnsiTheme="majorHAnsi" w:cstheme="majorHAnsi"/>
                                <w:lang w:val="en-US"/>
                              </w:rPr>
                              <w:t>a) Labour income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3D4576" id="_x0000_s1031" type="#_x0000_t202" style="position:absolute;left:0;text-align:left;margin-left:.75pt;margin-top:19.6pt;width:185.9pt;height:22.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" filled="f" stroked="f">
                <v:textbox>
                  <w:txbxContent>
                    <w:p w14:paraId="4B0E90E5" w14:textId="77777777" w:rsidR="00592E0C" w:rsidRPr="00155CD1" w:rsidRDefault="00592E0C" w:rsidP="00155CD1">
                      <w:pPr>
                        <w:rPr>
                          <w:rFonts w:asciiTheme="majorHAnsi" w:hAnsiTheme="majorHAnsi" w:cstheme="majorHAnsi"/>
                          <w:lang w:val="en-US"/>
                        </w:rPr>
                      </w:pPr>
                      <w:r w:rsidRPr="00155CD1">
                        <w:rPr>
                          <w:rFonts w:asciiTheme="majorHAnsi" w:hAnsiTheme="majorHAnsi" w:cstheme="majorHAnsi"/>
                          <w:lang w:val="en-US"/>
                        </w:rPr>
                        <w:t>a) Labour income</w:t>
                      </w:r>
                    </w:p>
                  </w:txbxContent>
                </v:textbox>
                <w10:wrap type="square"/>
              </v:shape>
            </w:pict>
          </mc:Fallback>
        </mc:AlternateContent>
      </w:r>
    </w:p>
    <w:p w14:paraId="3C65AD2F" w14:textId="77777777" w:rsidR="00884CAB" w:rsidRPr="00737A97" w:rsidRDefault="00884CAB" w:rsidP="00EE3BED">
      <w:pPr>
        <w:jc w:val="center"/>
        <w:rPr>
          <w:rFonts w:ascii="Century Gothic" w:hAnsi="Century Gothic" w:cs="Times New Roman"/>
        </w:rPr>
      </w:pPr>
    </w:p>
    <w:p w14:paraId="23B1BA18" w14:textId="77777777" w:rsidR="006C4C79" w:rsidRPr="00737A97" w:rsidRDefault="004350E4" w:rsidP="00EE3BED">
      <w:pPr>
        <w:jc w:val="center"/>
        <w:rPr>
          <w:rFonts w:ascii="Century Gothic" w:hAnsi="Century Gothic" w:cs="Times New Roman"/>
        </w:rPr>
      </w:pPr>
      <w:r w:rsidRPr="00737A97">
        <w:rPr>
          <w:rFonts w:ascii="Century Gothic" w:hAnsi="Century Gothic"/>
          <w:noProof/>
          <w:lang w:val="ru-RU" w:eastAsia="zh-CN"/>
        </w:rPr>
        <w:drawing>
          <wp:inline distT="0" distB="0" distL="0" distR="0" wp14:anchorId="3AFAAEC7" wp14:editId="3E0FCF40">
            <wp:extent cx="2902490" cy="1702340"/>
            <wp:effectExtent l="0" t="0" r="0" b="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3CF246" w14:textId="77777777" w:rsidR="00155CD1" w:rsidRPr="00737A97" w:rsidRDefault="00155CD1" w:rsidP="00EE3BED">
      <w:pPr>
        <w:jc w:val="both"/>
        <w:rPr>
          <w:rFonts w:ascii="Century Gothic" w:hAnsi="Century Gothic" w:cs="Times New Roman"/>
        </w:rPr>
      </w:pPr>
      <w:r w:rsidRPr="00737A97">
        <w:rPr>
          <w:rFonts w:ascii="Century Gothic" w:hAnsi="Century Gothic" w:cs="Times New Roman"/>
          <w:i/>
          <w:noProof/>
          <w:lang w:val="ru-RU" w:eastAsia="zh-CN"/>
        </w:rPr>
        <mc:AlternateContent>
          <mc:Choice Requires="wps">
            <w:drawing>
              <wp:anchor distT="45720" distB="45720" distL="114300" distR="114300" simplePos="0" relativeHeight="251664384" behindDoc="0" locked="0" layoutInCell="1" allowOverlap="1" wp14:anchorId="7F8EA49C" wp14:editId="1E4DF720">
                <wp:simplePos x="0" y="0"/>
                <wp:positionH relativeFrom="column">
                  <wp:posOffset>2072126</wp:posOffset>
                </wp:positionH>
                <wp:positionV relativeFrom="paragraph">
                  <wp:posOffset>44436</wp:posOffset>
                </wp:positionV>
                <wp:extent cx="2360930" cy="290830"/>
                <wp:effectExtent l="0" t="0" r="0" b="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830"/>
                        </a:xfrm>
                        <a:prstGeom prst="rect">
                          <a:avLst/>
                        </a:prstGeom>
                        <a:noFill/>
                        <a:ln w="9525">
                          <a:noFill/>
                          <a:miter lim="800000"/>
                          <a:headEnd/>
                          <a:tailEnd/>
                        </a:ln>
                      </wps:spPr>
                      <wps:txbx>
                        <w:txbxContent>
                          <w:p w14:paraId="1A12766D" w14:textId="77777777" w:rsidR="00592E0C" w:rsidRPr="00155CD1" w:rsidRDefault="00592E0C" w:rsidP="00155CD1">
                            <w:pPr>
                              <w:rPr>
                                <w:rFonts w:asciiTheme="majorHAnsi" w:hAnsiTheme="majorHAnsi" w:cstheme="majorHAnsi"/>
                                <w:lang w:val="en-US"/>
                              </w:rPr>
                            </w:pPr>
                            <w:r>
                              <w:rPr>
                                <w:rFonts w:asciiTheme="majorHAnsi" w:hAnsiTheme="majorHAnsi" w:cstheme="majorHAnsi"/>
                                <w:lang w:val="en-US"/>
                              </w:rPr>
                              <w:t>c</w:t>
                            </w:r>
                            <w:r w:rsidRPr="00155CD1">
                              <w:rPr>
                                <w:rFonts w:asciiTheme="majorHAnsi" w:hAnsiTheme="majorHAnsi" w:cstheme="majorHAnsi"/>
                                <w:lang w:val="en-US"/>
                              </w:rPr>
                              <w:t xml:space="preserve">) </w:t>
                            </w:r>
                            <w:r>
                              <w:rPr>
                                <w:rFonts w:asciiTheme="majorHAnsi" w:hAnsiTheme="majorHAnsi" w:cstheme="majorHAnsi"/>
                                <w:lang w:val="en-US"/>
                              </w:rPr>
                              <w:t>Total</w:t>
                            </w:r>
                            <w:r w:rsidRPr="00155CD1">
                              <w:rPr>
                                <w:rFonts w:asciiTheme="majorHAnsi" w:hAnsiTheme="majorHAnsi" w:cstheme="majorHAnsi"/>
                                <w:lang w:val="en-US"/>
                              </w:rPr>
                              <w:t xml:space="preserve"> income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8EA49C" id="_x0000_s1032" type="#_x0000_t202" style="position:absolute;left:0;text-align:left;margin-left:163.15pt;margin-top:3.5pt;width:185.9pt;height:22.9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" filled="f" stroked="f">
                <v:textbox>
                  <w:txbxContent>
                    <w:p w14:paraId="1A12766D" w14:textId="77777777" w:rsidR="00592E0C" w:rsidRPr="00155CD1" w:rsidRDefault="00592E0C" w:rsidP="00155CD1">
                      <w:pPr>
                        <w:rPr>
                          <w:rFonts w:asciiTheme="majorHAnsi" w:hAnsiTheme="majorHAnsi" w:cstheme="majorHAnsi"/>
                          <w:lang w:val="en-US"/>
                        </w:rPr>
                      </w:pPr>
                      <w:r>
                        <w:rPr>
                          <w:rFonts w:asciiTheme="majorHAnsi" w:hAnsiTheme="majorHAnsi" w:cstheme="majorHAnsi"/>
                          <w:lang w:val="en-US"/>
                        </w:rPr>
                        <w:t>c</w:t>
                      </w:r>
                      <w:r w:rsidRPr="00155CD1">
                        <w:rPr>
                          <w:rFonts w:asciiTheme="majorHAnsi" w:hAnsiTheme="majorHAnsi" w:cstheme="majorHAnsi"/>
                          <w:lang w:val="en-US"/>
                        </w:rPr>
                        <w:t xml:space="preserve">) </w:t>
                      </w:r>
                      <w:r>
                        <w:rPr>
                          <w:rFonts w:asciiTheme="majorHAnsi" w:hAnsiTheme="majorHAnsi" w:cstheme="majorHAnsi"/>
                          <w:lang w:val="en-US"/>
                        </w:rPr>
                        <w:t>Total</w:t>
                      </w:r>
                      <w:r w:rsidRPr="00155CD1">
                        <w:rPr>
                          <w:rFonts w:asciiTheme="majorHAnsi" w:hAnsiTheme="majorHAnsi" w:cstheme="majorHAnsi"/>
                          <w:lang w:val="en-US"/>
                        </w:rPr>
                        <w:t xml:space="preserve"> income</w:t>
                      </w:r>
                    </w:p>
                  </w:txbxContent>
                </v:textbox>
                <w10:wrap type="square"/>
              </v:shape>
            </w:pict>
          </mc:Fallback>
        </mc:AlternateContent>
      </w:r>
    </w:p>
    <w:p w14:paraId="6127532D" w14:textId="77777777" w:rsidR="00155CD1" w:rsidRPr="00737A97" w:rsidRDefault="00155CD1" w:rsidP="00EE3BED">
      <w:pPr>
        <w:jc w:val="both"/>
        <w:rPr>
          <w:rFonts w:ascii="Century Gothic" w:hAnsi="Century Gothic" w:cs="Times New Roman"/>
        </w:rPr>
      </w:pPr>
    </w:p>
    <w:p w14:paraId="3CAEC6FB" w14:textId="48FCB6D7" w:rsidR="00BC6988" w:rsidRPr="00737A97" w:rsidRDefault="001F1988" w:rsidP="00A57B86">
      <w:pPr>
        <w:jc w:val="center"/>
        <w:rPr>
          <w:rFonts w:ascii="Century Gothic" w:hAnsi="Century Gothic" w:cs="Times New Roman"/>
        </w:rPr>
      </w:pPr>
      <w:r w:rsidRPr="00737A97">
        <w:rPr>
          <w:rFonts w:ascii="Century Gothic" w:hAnsi="Century Gothic" w:cs="Times New Roman"/>
        </w:rPr>
        <w:t xml:space="preserve">Figure </w:t>
      </w:r>
      <w:r w:rsidR="00161DCB">
        <w:rPr>
          <w:rFonts w:ascii="Century Gothic" w:hAnsi="Century Gothic" w:cs="Times New Roman"/>
        </w:rPr>
        <w:t>11</w:t>
      </w:r>
      <w:r w:rsidRPr="00737A97">
        <w:rPr>
          <w:rFonts w:ascii="Century Gothic" w:hAnsi="Century Gothic" w:cs="Times New Roman"/>
        </w:rPr>
        <w:t>. Evaluation of the variance in composition of household income</w:t>
      </w:r>
    </w:p>
    <w:p w14:paraId="181458AA" w14:textId="58517061" w:rsidR="009B4BC9" w:rsidRPr="00737A97" w:rsidRDefault="002B559F" w:rsidP="00EE3BED">
      <w:pPr>
        <w:jc w:val="both"/>
        <w:rPr>
          <w:rFonts w:ascii="Century Gothic" w:hAnsi="Century Gothic" w:cs="Times New Roman"/>
        </w:rPr>
      </w:pPr>
      <w:r w:rsidRPr="00737A97">
        <w:rPr>
          <w:rFonts w:ascii="Century Gothic" w:hAnsi="Century Gothic" w:cs="Times New Roman"/>
        </w:rPr>
        <w:t xml:space="preserve">However, given the </w:t>
      </w:r>
      <w:r w:rsidR="00590087" w:rsidRPr="00737A97">
        <w:rPr>
          <w:rFonts w:ascii="Century Gothic" w:hAnsi="Century Gothic" w:cs="Times New Roman"/>
        </w:rPr>
        <w:t xml:space="preserve">fact that </w:t>
      </w:r>
      <w:r w:rsidR="009621AF" w:rsidRPr="00737A97">
        <w:rPr>
          <w:rFonts w:ascii="Century Gothic" w:hAnsi="Century Gothic" w:cs="Times New Roman"/>
        </w:rPr>
        <w:t xml:space="preserve">the </w:t>
      </w:r>
      <w:r w:rsidR="00B00E66" w:rsidRPr="00737A97">
        <w:rPr>
          <w:rFonts w:ascii="Century Gothic" w:hAnsi="Century Gothic" w:cs="Times New Roman"/>
        </w:rPr>
        <w:t xml:space="preserve">consumer price index </w:t>
      </w:r>
      <w:r w:rsidR="004256D5" w:rsidRPr="00737A97">
        <w:rPr>
          <w:rFonts w:ascii="Century Gothic" w:hAnsi="Century Gothic" w:cs="Times New Roman"/>
        </w:rPr>
        <w:t>ri</w:t>
      </w:r>
      <w:r w:rsidR="000A3CB9" w:rsidRPr="00737A97">
        <w:rPr>
          <w:rFonts w:ascii="Century Gothic" w:hAnsi="Century Gothic" w:cs="Times New Roman"/>
        </w:rPr>
        <w:t>s</w:t>
      </w:r>
      <w:r w:rsidR="004256D5" w:rsidRPr="00737A97">
        <w:rPr>
          <w:rFonts w:ascii="Century Gothic" w:hAnsi="Century Gothic" w:cs="Times New Roman"/>
        </w:rPr>
        <w:t>es</w:t>
      </w:r>
      <w:r w:rsidR="00B00E66" w:rsidRPr="00737A97">
        <w:rPr>
          <w:rFonts w:ascii="Century Gothic" w:hAnsi="Century Gothic" w:cs="Times New Roman"/>
        </w:rPr>
        <w:t xml:space="preserve"> by </w:t>
      </w:r>
      <w:r w:rsidR="004256D5" w:rsidRPr="00737A97">
        <w:rPr>
          <w:rFonts w:ascii="Century Gothic" w:hAnsi="Century Gothic" w:cs="Times New Roman"/>
        </w:rPr>
        <w:t>3.01</w:t>
      </w:r>
      <w:r w:rsidR="009621AF" w:rsidRPr="00737A97">
        <w:rPr>
          <w:rFonts w:ascii="Century Gothic" w:hAnsi="Century Gothic" w:cs="Times New Roman"/>
        </w:rPr>
        <w:t xml:space="preserve"> percent</w:t>
      </w:r>
      <w:r w:rsidR="00590087" w:rsidRPr="00737A97">
        <w:rPr>
          <w:rFonts w:ascii="Century Gothic" w:hAnsi="Century Gothic" w:cs="Times New Roman"/>
        </w:rPr>
        <w:t xml:space="preserve"> </w:t>
      </w:r>
      <w:r w:rsidR="009621AF" w:rsidRPr="00737A97">
        <w:rPr>
          <w:rFonts w:ascii="Century Gothic" w:hAnsi="Century Gothic" w:cs="Times New Roman"/>
        </w:rPr>
        <w:t>from</w:t>
      </w:r>
      <w:r w:rsidR="00590087" w:rsidRPr="00737A97">
        <w:rPr>
          <w:rFonts w:ascii="Century Gothic" w:hAnsi="Century Gothic" w:cs="Times New Roman"/>
        </w:rPr>
        <w:t xml:space="preserve"> </w:t>
      </w:r>
      <w:r w:rsidRPr="00737A97">
        <w:rPr>
          <w:rFonts w:ascii="Century Gothic" w:hAnsi="Century Gothic" w:cs="Times New Roman"/>
        </w:rPr>
        <w:t>increase</w:t>
      </w:r>
      <w:r w:rsidR="009621AF" w:rsidRPr="00737A97">
        <w:rPr>
          <w:rFonts w:ascii="Century Gothic" w:hAnsi="Century Gothic" w:cs="Times New Roman"/>
        </w:rPr>
        <w:t>s</w:t>
      </w:r>
      <w:r w:rsidRPr="00737A97">
        <w:rPr>
          <w:rFonts w:ascii="Century Gothic" w:hAnsi="Century Gothic" w:cs="Times New Roman"/>
        </w:rPr>
        <w:t xml:space="preserve"> in domestic prices of agricultural commodities (e.g., maize, rice, etc.) which constitute the </w:t>
      </w:r>
      <w:r w:rsidRPr="00737A97">
        <w:rPr>
          <w:rFonts w:ascii="Century Gothic" w:hAnsi="Century Gothic" w:cs="Times New Roman"/>
        </w:rPr>
        <w:lastRenderedPageBreak/>
        <w:t xml:space="preserve">main food basket of households, </w:t>
      </w:r>
      <w:r w:rsidR="00B00E66" w:rsidRPr="00737A97">
        <w:rPr>
          <w:rFonts w:ascii="Century Gothic" w:hAnsi="Century Gothic" w:cs="Times New Roman"/>
        </w:rPr>
        <w:t xml:space="preserve">real </w:t>
      </w:r>
      <w:r w:rsidRPr="00737A97">
        <w:rPr>
          <w:rFonts w:ascii="Century Gothic" w:hAnsi="Century Gothic" w:cs="Times New Roman"/>
        </w:rPr>
        <w:t>consumption</w:t>
      </w:r>
      <w:r w:rsidR="009B4BC9" w:rsidRPr="00737A97">
        <w:rPr>
          <w:rFonts w:ascii="Century Gothic" w:hAnsi="Century Gothic" w:cs="Times New Roman"/>
        </w:rPr>
        <w:t xml:space="preserve"> budget</w:t>
      </w:r>
      <w:r w:rsidR="009621AF" w:rsidRPr="00737A97">
        <w:rPr>
          <w:rFonts w:ascii="Century Gothic" w:hAnsi="Century Gothic" w:cs="Times New Roman"/>
        </w:rPr>
        <w:t>s</w:t>
      </w:r>
      <w:r w:rsidR="009B4BC9" w:rsidRPr="00737A97">
        <w:rPr>
          <w:rFonts w:ascii="Century Gothic" w:hAnsi="Century Gothic" w:cs="Times New Roman"/>
        </w:rPr>
        <w:t xml:space="preserve"> of household</w:t>
      </w:r>
      <w:r w:rsidR="009621AF" w:rsidRPr="00737A97">
        <w:rPr>
          <w:rFonts w:ascii="Century Gothic" w:hAnsi="Century Gothic" w:cs="Times New Roman"/>
        </w:rPr>
        <w:t>s</w:t>
      </w:r>
      <w:r w:rsidRPr="00737A97">
        <w:rPr>
          <w:rFonts w:ascii="Century Gothic" w:hAnsi="Century Gothic" w:cs="Times New Roman"/>
        </w:rPr>
        <w:t xml:space="preserve"> </w:t>
      </w:r>
      <w:r w:rsidR="009621AF" w:rsidRPr="00737A97">
        <w:rPr>
          <w:rFonts w:ascii="Century Gothic" w:hAnsi="Century Gothic" w:cs="Times New Roman"/>
        </w:rPr>
        <w:t>also</w:t>
      </w:r>
      <w:r w:rsidRPr="00737A97">
        <w:rPr>
          <w:rFonts w:ascii="Century Gothic" w:hAnsi="Century Gothic" w:cs="Times New Roman"/>
        </w:rPr>
        <w:t xml:space="preserve"> </w:t>
      </w:r>
      <w:r w:rsidR="009B4BC9" w:rsidRPr="00737A97">
        <w:rPr>
          <w:rFonts w:ascii="Century Gothic" w:hAnsi="Century Gothic" w:cs="Times New Roman"/>
        </w:rPr>
        <w:t>decline</w:t>
      </w:r>
      <w:r w:rsidR="009621AF" w:rsidRPr="00737A97">
        <w:rPr>
          <w:rFonts w:ascii="Century Gothic" w:hAnsi="Century Gothic" w:cs="Times New Roman"/>
        </w:rPr>
        <w:t>s</w:t>
      </w:r>
      <w:r w:rsidR="00590087" w:rsidRPr="00737A97">
        <w:rPr>
          <w:rFonts w:ascii="Century Gothic" w:hAnsi="Century Gothic" w:cs="Times New Roman"/>
        </w:rPr>
        <w:t xml:space="preserve"> (</w:t>
      </w:r>
      <w:r w:rsidR="009621AF" w:rsidRPr="00737A97">
        <w:rPr>
          <w:rFonts w:ascii="Century Gothic" w:hAnsi="Century Gothic" w:cs="Times New Roman"/>
        </w:rPr>
        <w:t>f</w:t>
      </w:r>
      <w:r w:rsidR="00590087" w:rsidRPr="00737A97">
        <w:rPr>
          <w:rFonts w:ascii="Century Gothic" w:hAnsi="Century Gothic" w:cs="Times New Roman"/>
        </w:rPr>
        <w:t xml:space="preserve">igure </w:t>
      </w:r>
      <w:r w:rsidR="00161DCB">
        <w:rPr>
          <w:rFonts w:ascii="Century Gothic" w:hAnsi="Century Gothic" w:cs="Times New Roman"/>
        </w:rPr>
        <w:t>12</w:t>
      </w:r>
      <w:r w:rsidR="00590087" w:rsidRPr="00737A97">
        <w:rPr>
          <w:rFonts w:ascii="Century Gothic" w:hAnsi="Century Gothic" w:cs="Times New Roman"/>
        </w:rPr>
        <w:t>)</w:t>
      </w:r>
      <w:r w:rsidRPr="00737A97">
        <w:rPr>
          <w:rFonts w:ascii="Century Gothic" w:hAnsi="Century Gothic" w:cs="Times New Roman"/>
        </w:rPr>
        <w:t>.</w:t>
      </w:r>
      <w:r w:rsidR="00EB43C6" w:rsidRPr="00737A97">
        <w:rPr>
          <w:rFonts w:ascii="Century Gothic" w:hAnsi="Century Gothic" w:cs="Times New Roman"/>
        </w:rPr>
        <w:t xml:space="preserve"> </w:t>
      </w:r>
    </w:p>
    <w:p w14:paraId="5F9A1E30" w14:textId="77777777" w:rsidR="009B4BC9" w:rsidRPr="00737A97" w:rsidRDefault="004256D5" w:rsidP="00EE3BED">
      <w:pPr>
        <w:jc w:val="center"/>
        <w:rPr>
          <w:rFonts w:ascii="Century Gothic" w:hAnsi="Century Gothic" w:cs="Times New Roman"/>
        </w:rPr>
      </w:pPr>
      <w:r w:rsidRPr="00737A97">
        <w:rPr>
          <w:rFonts w:ascii="Century Gothic" w:hAnsi="Century Gothic"/>
          <w:noProof/>
          <w:lang w:val="ru-RU" w:eastAsia="zh-CN"/>
        </w:rPr>
        <w:drawing>
          <wp:inline distT="0" distB="0" distL="0" distR="0" wp14:anchorId="300E433E" wp14:editId="2E367957">
            <wp:extent cx="5093649" cy="2754217"/>
            <wp:effectExtent l="0" t="0" r="0"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850CA0" w14:textId="0F4C95CC" w:rsidR="00590087" w:rsidRPr="00737A97" w:rsidRDefault="00590087" w:rsidP="00A57B86">
      <w:pPr>
        <w:jc w:val="center"/>
        <w:rPr>
          <w:rFonts w:ascii="Century Gothic" w:hAnsi="Century Gothic" w:cs="Times New Roman"/>
        </w:rPr>
      </w:pPr>
      <w:r w:rsidRPr="00737A97">
        <w:rPr>
          <w:rFonts w:ascii="Century Gothic" w:hAnsi="Century Gothic" w:cs="Times New Roman"/>
        </w:rPr>
        <w:t xml:space="preserve">Figure </w:t>
      </w:r>
      <w:r w:rsidR="00161DCB">
        <w:rPr>
          <w:rFonts w:ascii="Century Gothic" w:hAnsi="Century Gothic" w:cs="Times New Roman"/>
        </w:rPr>
        <w:t>12</w:t>
      </w:r>
      <w:r w:rsidRPr="00737A97">
        <w:rPr>
          <w:rFonts w:ascii="Century Gothic" w:hAnsi="Century Gothic" w:cs="Times New Roman"/>
        </w:rPr>
        <w:t>. Evaluation of the variance in consumption budget</w:t>
      </w:r>
      <w:r w:rsidR="00954806" w:rsidRPr="00737A97">
        <w:rPr>
          <w:rFonts w:ascii="Century Gothic" w:hAnsi="Century Gothic" w:cs="Times New Roman"/>
        </w:rPr>
        <w:t>s</w:t>
      </w:r>
      <w:r w:rsidRPr="00737A97">
        <w:rPr>
          <w:rFonts w:ascii="Century Gothic" w:hAnsi="Century Gothic" w:cs="Times New Roman"/>
        </w:rPr>
        <w:t xml:space="preserve"> of households</w:t>
      </w:r>
    </w:p>
    <w:p w14:paraId="29423343" w14:textId="77777777" w:rsidR="00593CF7" w:rsidRPr="00737A97" w:rsidRDefault="00593CF7" w:rsidP="00EE3BED">
      <w:pPr>
        <w:jc w:val="both"/>
        <w:rPr>
          <w:rFonts w:ascii="Century Gothic" w:hAnsi="Century Gothic"/>
          <w:b/>
        </w:rPr>
      </w:pPr>
    </w:p>
    <w:p w14:paraId="6BB562B6" w14:textId="77777777" w:rsidR="006D37BF" w:rsidRPr="00737A97" w:rsidRDefault="006D37BF" w:rsidP="00EE3BED">
      <w:pPr>
        <w:jc w:val="both"/>
        <w:rPr>
          <w:rFonts w:ascii="Century Gothic" w:hAnsi="Century Gothic" w:cs="Times New Roman"/>
          <w:color w:val="323E4F" w:themeColor="text2" w:themeShade="BF"/>
        </w:rPr>
      </w:pPr>
      <w:r w:rsidRPr="00737A97">
        <w:rPr>
          <w:rFonts w:ascii="Century Gothic" w:hAnsi="Century Gothic"/>
          <w:b/>
        </w:rPr>
        <w:t>Simulation Scenario 2: Increase in the su</w:t>
      </w:r>
      <w:r w:rsidR="00A04D73" w:rsidRPr="00737A97">
        <w:rPr>
          <w:rFonts w:ascii="Century Gothic" w:hAnsi="Century Gothic"/>
          <w:b/>
        </w:rPr>
        <w:t>pply of land allocated to women.</w:t>
      </w:r>
    </w:p>
    <w:p w14:paraId="2898C400" w14:textId="77777777" w:rsidR="00FE3615" w:rsidRPr="00737A97" w:rsidRDefault="002708C6" w:rsidP="00EE3BED">
      <w:pPr>
        <w:jc w:val="both"/>
        <w:rPr>
          <w:rFonts w:ascii="Century Gothic" w:hAnsi="Century Gothic" w:cs="Times New Roman"/>
          <w:i/>
          <w:color w:val="323E4F" w:themeColor="text2" w:themeShade="BF"/>
        </w:rPr>
      </w:pPr>
      <w:r w:rsidRPr="00737A97">
        <w:rPr>
          <w:rFonts w:ascii="Century Gothic" w:hAnsi="Century Gothic"/>
        </w:rPr>
        <w:t>Macroeconomic effects</w:t>
      </w:r>
    </w:p>
    <w:p w14:paraId="07A3EC6D" w14:textId="0077064D" w:rsidR="002708C6" w:rsidRPr="00737A97" w:rsidRDefault="00870605" w:rsidP="00EE3BED">
      <w:pPr>
        <w:jc w:val="both"/>
        <w:rPr>
          <w:rFonts w:ascii="Century Gothic" w:hAnsi="Century Gothic"/>
        </w:rPr>
      </w:pPr>
      <w:r w:rsidRPr="00737A97">
        <w:rPr>
          <w:rFonts w:ascii="Century Gothic" w:hAnsi="Century Gothic"/>
        </w:rPr>
        <w:t xml:space="preserve">The effect of </w:t>
      </w:r>
      <w:r w:rsidR="00954806" w:rsidRPr="00737A97">
        <w:rPr>
          <w:rFonts w:ascii="Century Gothic" w:hAnsi="Century Gothic"/>
        </w:rPr>
        <w:t xml:space="preserve">ensuring </w:t>
      </w:r>
      <w:r w:rsidRPr="00737A97">
        <w:rPr>
          <w:rFonts w:ascii="Century Gothic" w:hAnsi="Century Gothic"/>
        </w:rPr>
        <w:t xml:space="preserve">equal access to land </w:t>
      </w:r>
      <w:r w:rsidR="00954806" w:rsidRPr="00737A97">
        <w:rPr>
          <w:rFonts w:ascii="Century Gothic" w:hAnsi="Century Gothic"/>
        </w:rPr>
        <w:t>for women increases</w:t>
      </w:r>
      <w:r w:rsidRPr="00737A97">
        <w:rPr>
          <w:rFonts w:ascii="Century Gothic" w:hAnsi="Century Gothic"/>
        </w:rPr>
        <w:t xml:space="preserve"> agricultural production by 0.66</w:t>
      </w:r>
      <w:r w:rsidR="00954806" w:rsidRPr="00737A97">
        <w:rPr>
          <w:rFonts w:ascii="Century Gothic" w:hAnsi="Century Gothic"/>
        </w:rPr>
        <w:t xml:space="preserve"> percent</w:t>
      </w:r>
      <w:r w:rsidRPr="00737A97">
        <w:rPr>
          <w:rFonts w:ascii="Century Gothic" w:hAnsi="Century Gothic"/>
        </w:rPr>
        <w:t xml:space="preserve">. </w:t>
      </w:r>
      <w:r w:rsidR="00B2702F" w:rsidRPr="00737A97">
        <w:rPr>
          <w:rFonts w:ascii="Century Gothic" w:hAnsi="Century Gothic"/>
        </w:rPr>
        <w:t>This increase leads to</w:t>
      </w:r>
      <w:r w:rsidR="00397847" w:rsidRPr="00737A97">
        <w:rPr>
          <w:rFonts w:ascii="Century Gothic" w:hAnsi="Century Gothic"/>
        </w:rPr>
        <w:t xml:space="preserve"> </w:t>
      </w:r>
      <w:r w:rsidR="00625271" w:rsidRPr="00737A97">
        <w:rPr>
          <w:rFonts w:ascii="Century Gothic" w:hAnsi="Century Gothic"/>
        </w:rPr>
        <w:t>in</w:t>
      </w:r>
      <w:r w:rsidR="00B2702F" w:rsidRPr="00737A97">
        <w:rPr>
          <w:rFonts w:ascii="Century Gothic" w:hAnsi="Century Gothic"/>
        </w:rPr>
        <w:t xml:space="preserve"> </w:t>
      </w:r>
      <w:r w:rsidR="00625271" w:rsidRPr="00737A97">
        <w:rPr>
          <w:rFonts w:ascii="Century Gothic" w:hAnsi="Century Gothic"/>
        </w:rPr>
        <w:t>real GDP (</w:t>
      </w:r>
      <w:r w:rsidR="00B2702F" w:rsidRPr="00737A97">
        <w:rPr>
          <w:rFonts w:ascii="Century Gothic" w:hAnsi="Century Gothic"/>
        </w:rPr>
        <w:t xml:space="preserve">by </w:t>
      </w:r>
      <w:r w:rsidR="00625271" w:rsidRPr="00737A97">
        <w:rPr>
          <w:rFonts w:ascii="Century Gothic" w:hAnsi="Century Gothic"/>
        </w:rPr>
        <w:t>0.2</w:t>
      </w:r>
      <w:r w:rsidR="00B2702F" w:rsidRPr="00737A97">
        <w:rPr>
          <w:rFonts w:ascii="Century Gothic" w:hAnsi="Century Gothic"/>
        </w:rPr>
        <w:t xml:space="preserve"> percent</w:t>
      </w:r>
      <w:r w:rsidR="00625271" w:rsidRPr="00737A97">
        <w:rPr>
          <w:rFonts w:ascii="Century Gothic" w:hAnsi="Century Gothic"/>
        </w:rPr>
        <w:t>)</w:t>
      </w:r>
      <w:r w:rsidR="001725B7" w:rsidRPr="00737A97">
        <w:rPr>
          <w:rFonts w:ascii="Century Gothic" w:hAnsi="Century Gothic"/>
        </w:rPr>
        <w:t xml:space="preserve">, </w:t>
      </w:r>
      <w:r w:rsidR="00397847" w:rsidRPr="00737A97">
        <w:rPr>
          <w:rFonts w:ascii="Century Gothic" w:hAnsi="Century Gothic"/>
        </w:rPr>
        <w:t>an increase in total investment (0.6</w:t>
      </w:r>
      <w:r w:rsidR="001725B7" w:rsidRPr="00737A97">
        <w:rPr>
          <w:rFonts w:ascii="Century Gothic" w:hAnsi="Century Gothic"/>
        </w:rPr>
        <w:t xml:space="preserve"> percent</w:t>
      </w:r>
      <w:r w:rsidR="00397847" w:rsidRPr="00737A97">
        <w:rPr>
          <w:rFonts w:ascii="Century Gothic" w:hAnsi="Century Gothic"/>
        </w:rPr>
        <w:t>) and exports o</w:t>
      </w:r>
      <w:r w:rsidR="004233CF" w:rsidRPr="00737A97">
        <w:rPr>
          <w:rFonts w:ascii="Century Gothic" w:hAnsi="Century Gothic"/>
        </w:rPr>
        <w:t>f agricultural produc</w:t>
      </w:r>
      <w:r w:rsidR="001725B7" w:rsidRPr="00737A97">
        <w:rPr>
          <w:rFonts w:ascii="Century Gothic" w:hAnsi="Century Gothic"/>
        </w:rPr>
        <w:t>e</w:t>
      </w:r>
      <w:r w:rsidR="004233CF" w:rsidRPr="00737A97">
        <w:rPr>
          <w:rFonts w:ascii="Century Gothic" w:hAnsi="Century Gothic"/>
        </w:rPr>
        <w:t xml:space="preserve"> (1.29</w:t>
      </w:r>
      <w:r w:rsidR="001725B7" w:rsidRPr="00737A97">
        <w:rPr>
          <w:rFonts w:ascii="Century Gothic" w:hAnsi="Century Gothic"/>
        </w:rPr>
        <w:t xml:space="preserve"> percent – t</w:t>
      </w:r>
      <w:r w:rsidR="000A60EB" w:rsidRPr="00737A97">
        <w:rPr>
          <w:rFonts w:ascii="Century Gothic" w:hAnsi="Century Gothic"/>
        </w:rPr>
        <w:t xml:space="preserve">able </w:t>
      </w:r>
      <w:r w:rsidR="00F4635D">
        <w:rPr>
          <w:rFonts w:ascii="Century Gothic" w:hAnsi="Century Gothic"/>
        </w:rPr>
        <w:t>5</w:t>
      </w:r>
      <w:r w:rsidR="000A60EB" w:rsidRPr="00737A97">
        <w:rPr>
          <w:rFonts w:ascii="Century Gothic" w:hAnsi="Century Gothic"/>
        </w:rPr>
        <w:t>).</w:t>
      </w:r>
    </w:p>
    <w:p w14:paraId="36B1BC75" w14:textId="5C883049" w:rsidR="000A60EB" w:rsidRPr="00737A97" w:rsidRDefault="000A60EB" w:rsidP="00EE3BED">
      <w:pPr>
        <w:jc w:val="both"/>
        <w:rPr>
          <w:rFonts w:ascii="Century Gothic" w:hAnsi="Century Gothic"/>
        </w:rPr>
      </w:pPr>
      <w:r w:rsidRPr="00737A97">
        <w:rPr>
          <w:rFonts w:ascii="Century Gothic" w:hAnsi="Century Gothic"/>
        </w:rPr>
        <w:t xml:space="preserve">Table </w:t>
      </w:r>
      <w:r w:rsidR="00F4635D">
        <w:rPr>
          <w:rFonts w:ascii="Century Gothic" w:hAnsi="Century Gothic"/>
        </w:rPr>
        <w:t>5</w:t>
      </w:r>
      <w:r w:rsidR="001343B0" w:rsidRPr="00737A97">
        <w:rPr>
          <w:rFonts w:ascii="Century Gothic" w:hAnsi="Century Gothic"/>
        </w:rPr>
        <w:t>.</w:t>
      </w:r>
      <w:r w:rsidRPr="00737A97">
        <w:rPr>
          <w:rFonts w:ascii="Century Gothic" w:hAnsi="Century Gothic"/>
        </w:rPr>
        <w:t xml:space="preserve"> Impacts </w:t>
      </w:r>
      <w:r w:rsidR="001725B7" w:rsidRPr="00737A97">
        <w:rPr>
          <w:rFonts w:ascii="Century Gothic" w:hAnsi="Century Gothic"/>
        </w:rPr>
        <w:t xml:space="preserve">of increases in female-owned land </w:t>
      </w:r>
      <w:r w:rsidRPr="00737A97">
        <w:rPr>
          <w:rFonts w:ascii="Century Gothic" w:hAnsi="Century Gothic"/>
        </w:rPr>
        <w:t xml:space="preserve">on macroeconomic variables </w:t>
      </w:r>
      <w:r w:rsidR="001343B0" w:rsidRPr="00737A97">
        <w:rPr>
          <w:rFonts w:ascii="Century Gothic" w:hAnsi="Century Gothic"/>
        </w:rPr>
        <w:t>(% annual average change from the base year</w:t>
      </w:r>
      <w:r w:rsidRPr="00737A97">
        <w:rPr>
          <w:rFonts w:ascii="Century Gothic" w:hAnsi="Century Gothic"/>
        </w:rPr>
        <w:t>)</w:t>
      </w:r>
    </w:p>
    <w:tbl>
      <w:tblPr>
        <w:tblStyle w:val="TableGrid"/>
        <w:tblW w:w="9535" w:type="dxa"/>
        <w:tblLook w:val="04A0" w:firstRow="1" w:lastRow="0" w:firstColumn="1" w:lastColumn="0" w:noHBand="0" w:noVBand="1"/>
      </w:tblPr>
      <w:tblGrid>
        <w:gridCol w:w="7285"/>
        <w:gridCol w:w="2250"/>
      </w:tblGrid>
      <w:tr w:rsidR="002708C6" w:rsidRPr="00737A97" w14:paraId="20FDE5A8" w14:textId="77777777" w:rsidTr="00EE01E2">
        <w:tc>
          <w:tcPr>
            <w:tcW w:w="7285" w:type="dxa"/>
            <w:shd w:val="clear" w:color="auto" w:fill="E7E6E6" w:themeFill="background2"/>
          </w:tcPr>
          <w:p w14:paraId="5B97AA72" w14:textId="77777777" w:rsidR="002708C6" w:rsidRPr="00737A97" w:rsidRDefault="002708C6" w:rsidP="00161DCB">
            <w:pPr>
              <w:jc w:val="center"/>
              <w:rPr>
                <w:rFonts w:ascii="Century Gothic" w:hAnsi="Century Gothic"/>
              </w:rPr>
            </w:pPr>
            <w:r w:rsidRPr="00737A97">
              <w:rPr>
                <w:rFonts w:ascii="Century Gothic" w:hAnsi="Century Gothic"/>
              </w:rPr>
              <w:t xml:space="preserve">Macroeconomic </w:t>
            </w:r>
            <w:r w:rsidR="001343B0" w:rsidRPr="00737A97">
              <w:rPr>
                <w:rFonts w:ascii="Century Gothic" w:hAnsi="Century Gothic"/>
              </w:rPr>
              <w:t>aggregates</w:t>
            </w:r>
          </w:p>
        </w:tc>
        <w:tc>
          <w:tcPr>
            <w:tcW w:w="2250" w:type="dxa"/>
            <w:shd w:val="clear" w:color="auto" w:fill="E7E6E6" w:themeFill="background2"/>
          </w:tcPr>
          <w:p w14:paraId="6472BE5D" w14:textId="77777777" w:rsidR="002708C6" w:rsidRPr="00737A97" w:rsidRDefault="00EE01E2" w:rsidP="00161DCB">
            <w:pPr>
              <w:jc w:val="center"/>
              <w:rPr>
                <w:rFonts w:ascii="Century Gothic" w:hAnsi="Century Gothic"/>
              </w:rPr>
            </w:pPr>
            <w:r w:rsidRPr="00737A97">
              <w:rPr>
                <w:rFonts w:ascii="Century Gothic" w:hAnsi="Century Gothic"/>
              </w:rPr>
              <w:t>Short-run</w:t>
            </w:r>
          </w:p>
        </w:tc>
      </w:tr>
      <w:tr w:rsidR="002708C6" w:rsidRPr="00737A97" w14:paraId="2FDB6557" w14:textId="77777777" w:rsidTr="002708C6">
        <w:tc>
          <w:tcPr>
            <w:tcW w:w="7285" w:type="dxa"/>
          </w:tcPr>
          <w:p w14:paraId="476018C6" w14:textId="77777777" w:rsidR="002708C6" w:rsidRPr="00737A97" w:rsidRDefault="002708C6" w:rsidP="00161DCB">
            <w:pPr>
              <w:rPr>
                <w:rFonts w:ascii="Century Gothic" w:hAnsi="Century Gothic"/>
              </w:rPr>
            </w:pPr>
            <w:r w:rsidRPr="00737A97">
              <w:rPr>
                <w:rFonts w:ascii="Century Gothic" w:hAnsi="Century Gothic"/>
              </w:rPr>
              <w:t>Total production of agricultural commodities</w:t>
            </w:r>
            <w:r w:rsidR="001343B0" w:rsidRPr="00737A97">
              <w:rPr>
                <w:rFonts w:ascii="Century Gothic" w:hAnsi="Century Gothic"/>
              </w:rPr>
              <w:t xml:space="preserve"> (average)</w:t>
            </w:r>
          </w:p>
        </w:tc>
        <w:tc>
          <w:tcPr>
            <w:tcW w:w="2250" w:type="dxa"/>
          </w:tcPr>
          <w:p w14:paraId="4CA34D5A" w14:textId="77777777" w:rsidR="002708C6" w:rsidRPr="00737A97" w:rsidRDefault="002708C6" w:rsidP="00161DCB">
            <w:pPr>
              <w:jc w:val="center"/>
              <w:rPr>
                <w:rFonts w:ascii="Century Gothic" w:hAnsi="Century Gothic"/>
              </w:rPr>
            </w:pPr>
            <w:r w:rsidRPr="00737A97">
              <w:rPr>
                <w:rFonts w:ascii="Century Gothic" w:hAnsi="Century Gothic"/>
              </w:rPr>
              <w:t>+</w:t>
            </w:r>
            <w:r w:rsidR="001343B0" w:rsidRPr="00737A97">
              <w:rPr>
                <w:rFonts w:ascii="Century Gothic" w:hAnsi="Century Gothic"/>
              </w:rPr>
              <w:t>0.66</w:t>
            </w:r>
          </w:p>
        </w:tc>
      </w:tr>
      <w:tr w:rsidR="002708C6" w:rsidRPr="00737A97" w14:paraId="5542FC48" w14:textId="77777777" w:rsidTr="002708C6">
        <w:tc>
          <w:tcPr>
            <w:tcW w:w="7285" w:type="dxa"/>
          </w:tcPr>
          <w:p w14:paraId="0ECB86D0" w14:textId="77777777" w:rsidR="002708C6" w:rsidRPr="00737A97" w:rsidRDefault="002708C6" w:rsidP="00161DCB">
            <w:pPr>
              <w:rPr>
                <w:rFonts w:ascii="Century Gothic" w:hAnsi="Century Gothic"/>
              </w:rPr>
            </w:pPr>
            <w:r w:rsidRPr="00737A97">
              <w:rPr>
                <w:rFonts w:ascii="Century Gothic" w:hAnsi="Century Gothic"/>
              </w:rPr>
              <w:t>Exports of agricultural commodities</w:t>
            </w:r>
          </w:p>
        </w:tc>
        <w:tc>
          <w:tcPr>
            <w:tcW w:w="2250" w:type="dxa"/>
          </w:tcPr>
          <w:p w14:paraId="30FF82A0" w14:textId="77777777" w:rsidR="002708C6" w:rsidRPr="00737A97" w:rsidRDefault="002708C6" w:rsidP="00161DCB">
            <w:pPr>
              <w:jc w:val="center"/>
              <w:rPr>
                <w:rFonts w:ascii="Century Gothic" w:hAnsi="Century Gothic"/>
              </w:rPr>
            </w:pPr>
            <w:r w:rsidRPr="00737A97">
              <w:rPr>
                <w:rFonts w:ascii="Century Gothic" w:hAnsi="Century Gothic"/>
              </w:rPr>
              <w:t>+</w:t>
            </w:r>
            <w:r w:rsidR="001343B0" w:rsidRPr="00737A97">
              <w:rPr>
                <w:rFonts w:ascii="Century Gothic" w:hAnsi="Century Gothic"/>
              </w:rPr>
              <w:t>1.29</w:t>
            </w:r>
          </w:p>
        </w:tc>
      </w:tr>
      <w:tr w:rsidR="002708C6" w:rsidRPr="00737A97" w14:paraId="6FA08992" w14:textId="77777777" w:rsidTr="002708C6">
        <w:tc>
          <w:tcPr>
            <w:tcW w:w="7285" w:type="dxa"/>
          </w:tcPr>
          <w:p w14:paraId="05D52CED" w14:textId="77777777" w:rsidR="002708C6" w:rsidRPr="00737A97" w:rsidRDefault="002708C6" w:rsidP="00161DCB">
            <w:pPr>
              <w:rPr>
                <w:rFonts w:ascii="Century Gothic" w:hAnsi="Century Gothic"/>
              </w:rPr>
            </w:pPr>
            <w:r w:rsidRPr="00737A97">
              <w:rPr>
                <w:rFonts w:ascii="Century Gothic" w:hAnsi="Century Gothic"/>
              </w:rPr>
              <w:t>Imports of agricultural commodities</w:t>
            </w:r>
          </w:p>
        </w:tc>
        <w:tc>
          <w:tcPr>
            <w:tcW w:w="2250" w:type="dxa"/>
          </w:tcPr>
          <w:p w14:paraId="5E29409C" w14:textId="77777777" w:rsidR="002708C6" w:rsidRPr="00737A97" w:rsidRDefault="002708C6" w:rsidP="00161DCB">
            <w:pPr>
              <w:jc w:val="center"/>
              <w:rPr>
                <w:rFonts w:ascii="Century Gothic" w:hAnsi="Century Gothic"/>
              </w:rPr>
            </w:pPr>
            <w:r w:rsidRPr="00737A97">
              <w:rPr>
                <w:rFonts w:ascii="Century Gothic" w:hAnsi="Century Gothic"/>
              </w:rPr>
              <w:t>-</w:t>
            </w:r>
            <w:r w:rsidR="001343B0" w:rsidRPr="00737A97">
              <w:rPr>
                <w:rFonts w:ascii="Century Gothic" w:hAnsi="Century Gothic"/>
              </w:rPr>
              <w:t>0.94</w:t>
            </w:r>
          </w:p>
        </w:tc>
      </w:tr>
      <w:tr w:rsidR="002708C6" w:rsidRPr="00737A97" w14:paraId="18ECD0DD" w14:textId="77777777" w:rsidTr="002708C6">
        <w:tc>
          <w:tcPr>
            <w:tcW w:w="7285" w:type="dxa"/>
          </w:tcPr>
          <w:p w14:paraId="7CCA8B44" w14:textId="77777777" w:rsidR="002708C6" w:rsidRPr="00737A97" w:rsidRDefault="002708C6" w:rsidP="00161DCB">
            <w:pPr>
              <w:rPr>
                <w:rFonts w:ascii="Century Gothic" w:hAnsi="Century Gothic"/>
              </w:rPr>
            </w:pPr>
            <w:r w:rsidRPr="00737A97">
              <w:rPr>
                <w:rFonts w:ascii="Century Gothic" w:hAnsi="Century Gothic"/>
              </w:rPr>
              <w:t xml:space="preserve">Real household </w:t>
            </w:r>
            <w:r w:rsidR="00870605" w:rsidRPr="00737A97">
              <w:rPr>
                <w:rFonts w:ascii="Century Gothic" w:hAnsi="Century Gothic"/>
              </w:rPr>
              <w:t>consumption</w:t>
            </w:r>
          </w:p>
        </w:tc>
        <w:tc>
          <w:tcPr>
            <w:tcW w:w="2250" w:type="dxa"/>
          </w:tcPr>
          <w:p w14:paraId="014D98D5" w14:textId="77777777" w:rsidR="002708C6" w:rsidRPr="00737A97" w:rsidRDefault="001343B0" w:rsidP="00161DCB">
            <w:pPr>
              <w:jc w:val="center"/>
              <w:rPr>
                <w:rFonts w:ascii="Century Gothic" w:hAnsi="Century Gothic"/>
              </w:rPr>
            </w:pPr>
            <w:r w:rsidRPr="00737A97">
              <w:rPr>
                <w:rFonts w:ascii="Century Gothic" w:hAnsi="Century Gothic"/>
              </w:rPr>
              <w:t>+</w:t>
            </w:r>
            <w:r w:rsidR="00870605" w:rsidRPr="00737A97">
              <w:rPr>
                <w:rFonts w:ascii="Century Gothic" w:hAnsi="Century Gothic"/>
              </w:rPr>
              <w:t>0.15</w:t>
            </w:r>
          </w:p>
        </w:tc>
      </w:tr>
      <w:tr w:rsidR="002708C6" w:rsidRPr="00737A97" w14:paraId="2F09B1D8" w14:textId="77777777" w:rsidTr="002708C6">
        <w:tc>
          <w:tcPr>
            <w:tcW w:w="7285" w:type="dxa"/>
          </w:tcPr>
          <w:p w14:paraId="50156B94" w14:textId="77777777" w:rsidR="002708C6" w:rsidRPr="00737A97" w:rsidRDefault="002708C6" w:rsidP="00161DCB">
            <w:pPr>
              <w:rPr>
                <w:rFonts w:ascii="Century Gothic" w:hAnsi="Century Gothic"/>
              </w:rPr>
            </w:pPr>
            <w:r w:rsidRPr="00737A97">
              <w:rPr>
                <w:rFonts w:ascii="Century Gothic" w:hAnsi="Century Gothic"/>
              </w:rPr>
              <w:t xml:space="preserve">Real GDP </w:t>
            </w:r>
          </w:p>
        </w:tc>
        <w:tc>
          <w:tcPr>
            <w:tcW w:w="2250" w:type="dxa"/>
          </w:tcPr>
          <w:p w14:paraId="60CCE212" w14:textId="77777777" w:rsidR="002708C6" w:rsidRPr="00737A97" w:rsidRDefault="002708C6" w:rsidP="00161DCB">
            <w:pPr>
              <w:jc w:val="center"/>
              <w:rPr>
                <w:rFonts w:ascii="Century Gothic" w:hAnsi="Century Gothic"/>
              </w:rPr>
            </w:pPr>
            <w:r w:rsidRPr="00737A97">
              <w:rPr>
                <w:rFonts w:ascii="Century Gothic" w:hAnsi="Century Gothic"/>
              </w:rPr>
              <w:t>+</w:t>
            </w:r>
            <w:r w:rsidR="001343B0" w:rsidRPr="00737A97">
              <w:rPr>
                <w:rFonts w:ascii="Century Gothic" w:hAnsi="Century Gothic"/>
              </w:rPr>
              <w:t>0.2</w:t>
            </w:r>
          </w:p>
        </w:tc>
      </w:tr>
      <w:tr w:rsidR="002708C6" w:rsidRPr="00737A97" w14:paraId="71E83284" w14:textId="77777777" w:rsidTr="002708C6">
        <w:tc>
          <w:tcPr>
            <w:tcW w:w="7285" w:type="dxa"/>
          </w:tcPr>
          <w:p w14:paraId="21F87520" w14:textId="77777777" w:rsidR="002708C6" w:rsidRPr="00737A97" w:rsidRDefault="002708C6" w:rsidP="00161DCB">
            <w:pPr>
              <w:jc w:val="both"/>
              <w:rPr>
                <w:rFonts w:ascii="Century Gothic" w:hAnsi="Century Gothic" w:cs="Times New Roman"/>
              </w:rPr>
            </w:pPr>
            <w:r w:rsidRPr="00737A97">
              <w:rPr>
                <w:rFonts w:ascii="Century Gothic" w:hAnsi="Century Gothic" w:cs="Times New Roman"/>
              </w:rPr>
              <w:t>Consumer Price Index</w:t>
            </w:r>
          </w:p>
        </w:tc>
        <w:tc>
          <w:tcPr>
            <w:tcW w:w="2250" w:type="dxa"/>
          </w:tcPr>
          <w:p w14:paraId="53B2154E" w14:textId="77777777" w:rsidR="002708C6" w:rsidRPr="00737A97" w:rsidRDefault="002708C6" w:rsidP="00161DCB">
            <w:pPr>
              <w:jc w:val="center"/>
              <w:rPr>
                <w:rFonts w:ascii="Century Gothic" w:hAnsi="Century Gothic"/>
              </w:rPr>
            </w:pPr>
            <w:r w:rsidRPr="00737A97">
              <w:rPr>
                <w:rFonts w:ascii="Century Gothic" w:hAnsi="Century Gothic"/>
              </w:rPr>
              <w:t>-</w:t>
            </w:r>
            <w:r w:rsidR="00BA717F" w:rsidRPr="00737A97">
              <w:rPr>
                <w:rFonts w:ascii="Century Gothic" w:hAnsi="Century Gothic"/>
              </w:rPr>
              <w:t>0.33</w:t>
            </w:r>
          </w:p>
        </w:tc>
      </w:tr>
      <w:tr w:rsidR="002708C6" w:rsidRPr="00737A97" w14:paraId="66BEEF6C" w14:textId="77777777" w:rsidTr="002708C6">
        <w:tc>
          <w:tcPr>
            <w:tcW w:w="7285" w:type="dxa"/>
          </w:tcPr>
          <w:p w14:paraId="73E6E258" w14:textId="77777777" w:rsidR="002708C6" w:rsidRPr="00737A97" w:rsidRDefault="002708C6" w:rsidP="00161DCB">
            <w:pPr>
              <w:jc w:val="both"/>
              <w:rPr>
                <w:rFonts w:ascii="Century Gothic" w:hAnsi="Century Gothic" w:cs="Times New Roman"/>
              </w:rPr>
            </w:pPr>
            <w:r w:rsidRPr="00737A97">
              <w:rPr>
                <w:rFonts w:ascii="Century Gothic" w:hAnsi="Century Gothic" w:cs="Times New Roman"/>
              </w:rPr>
              <w:t>Total investment</w:t>
            </w:r>
          </w:p>
        </w:tc>
        <w:tc>
          <w:tcPr>
            <w:tcW w:w="2250" w:type="dxa"/>
          </w:tcPr>
          <w:p w14:paraId="7B86357D" w14:textId="77777777" w:rsidR="002708C6" w:rsidRPr="00737A97" w:rsidRDefault="002708C6" w:rsidP="00161DCB">
            <w:pPr>
              <w:jc w:val="center"/>
              <w:rPr>
                <w:rFonts w:ascii="Century Gothic" w:hAnsi="Century Gothic"/>
              </w:rPr>
            </w:pPr>
            <w:r w:rsidRPr="00737A97">
              <w:rPr>
                <w:rFonts w:ascii="Century Gothic" w:hAnsi="Century Gothic"/>
              </w:rPr>
              <w:t>+0.</w:t>
            </w:r>
            <w:r w:rsidR="001343B0" w:rsidRPr="00737A97">
              <w:rPr>
                <w:rFonts w:ascii="Century Gothic" w:hAnsi="Century Gothic"/>
              </w:rPr>
              <w:t>15</w:t>
            </w:r>
          </w:p>
        </w:tc>
      </w:tr>
    </w:tbl>
    <w:p w14:paraId="278ACDF8" w14:textId="77777777" w:rsidR="001725B7" w:rsidRPr="00737A97" w:rsidRDefault="001725B7" w:rsidP="00EE3BED">
      <w:pPr>
        <w:rPr>
          <w:rFonts w:ascii="Century Gothic" w:hAnsi="Century Gothic"/>
        </w:rPr>
      </w:pPr>
    </w:p>
    <w:p w14:paraId="3C05E042" w14:textId="4182FBF8" w:rsidR="005B1827" w:rsidRPr="00592E0C" w:rsidRDefault="00EF5335" w:rsidP="00EE3BED">
      <w:pPr>
        <w:jc w:val="both"/>
        <w:rPr>
          <w:rFonts w:ascii="Century Gothic" w:hAnsi="Century Gothic" w:cs="Times New Roman"/>
        </w:rPr>
      </w:pPr>
      <w:r w:rsidRPr="00592E0C">
        <w:rPr>
          <w:rFonts w:ascii="Century Gothic" w:hAnsi="Century Gothic" w:cs="Times New Roman"/>
        </w:rPr>
        <w:t xml:space="preserve">From Table </w:t>
      </w:r>
      <w:r w:rsidR="00F4635D">
        <w:rPr>
          <w:rFonts w:ascii="Century Gothic" w:hAnsi="Century Gothic" w:cs="Times New Roman"/>
        </w:rPr>
        <w:t>5</w:t>
      </w:r>
      <w:r w:rsidRPr="00592E0C">
        <w:rPr>
          <w:rFonts w:ascii="Century Gothic" w:hAnsi="Century Gothic" w:cs="Times New Roman"/>
        </w:rPr>
        <w:t>, we can see that households benefit from the policy reform. Given the increase in their real consumption (</w:t>
      </w:r>
      <w:r w:rsidR="000517BD" w:rsidRPr="00592E0C">
        <w:rPr>
          <w:rFonts w:ascii="Century Gothic" w:hAnsi="Century Gothic" w:cs="Times New Roman"/>
        </w:rPr>
        <w:t xml:space="preserve">by </w:t>
      </w:r>
      <w:r w:rsidRPr="00592E0C">
        <w:rPr>
          <w:rFonts w:ascii="Century Gothic" w:hAnsi="Century Gothic" w:cs="Times New Roman"/>
        </w:rPr>
        <w:t>0.</w:t>
      </w:r>
      <w:r w:rsidR="00870605" w:rsidRPr="00592E0C">
        <w:rPr>
          <w:rFonts w:ascii="Century Gothic" w:hAnsi="Century Gothic" w:cs="Times New Roman"/>
        </w:rPr>
        <w:t>15</w:t>
      </w:r>
      <w:r w:rsidR="000517BD" w:rsidRPr="00592E0C">
        <w:rPr>
          <w:rFonts w:ascii="Century Gothic" w:hAnsi="Century Gothic" w:cs="Times New Roman"/>
        </w:rPr>
        <w:t xml:space="preserve"> percent</w:t>
      </w:r>
      <w:r w:rsidRPr="00592E0C">
        <w:rPr>
          <w:rFonts w:ascii="Century Gothic" w:hAnsi="Century Gothic" w:cs="Times New Roman"/>
        </w:rPr>
        <w:t>), households increase their demand for food commodities</w:t>
      </w:r>
      <w:r w:rsidR="00870605" w:rsidRPr="00592E0C">
        <w:rPr>
          <w:rFonts w:ascii="Century Gothic" w:hAnsi="Century Gothic" w:cs="Times New Roman"/>
        </w:rPr>
        <w:t xml:space="preserve">, specifically maize, fruits, </w:t>
      </w:r>
      <w:r w:rsidR="000517BD" w:rsidRPr="00592E0C">
        <w:rPr>
          <w:rFonts w:ascii="Century Gothic" w:hAnsi="Century Gothic" w:cs="Times New Roman"/>
        </w:rPr>
        <w:t xml:space="preserve">and </w:t>
      </w:r>
      <w:r w:rsidR="00870605" w:rsidRPr="00592E0C">
        <w:rPr>
          <w:rFonts w:ascii="Century Gothic" w:hAnsi="Century Gothic" w:cs="Times New Roman"/>
        </w:rPr>
        <w:t>cash crops</w:t>
      </w:r>
      <w:r w:rsidR="000517BD" w:rsidRPr="00592E0C">
        <w:rPr>
          <w:rFonts w:ascii="Century Gothic" w:hAnsi="Century Gothic" w:cs="Times New Roman"/>
        </w:rPr>
        <w:t xml:space="preserve"> </w:t>
      </w:r>
      <w:r w:rsidRPr="00592E0C">
        <w:rPr>
          <w:rFonts w:ascii="Century Gothic" w:hAnsi="Century Gothic" w:cs="Times New Roman"/>
        </w:rPr>
        <w:t xml:space="preserve">(see </w:t>
      </w:r>
      <w:r w:rsidR="000517BD" w:rsidRPr="00592E0C">
        <w:rPr>
          <w:rFonts w:ascii="Century Gothic" w:hAnsi="Century Gothic" w:cs="Times New Roman"/>
        </w:rPr>
        <w:t>f</w:t>
      </w:r>
      <w:r w:rsidRPr="00592E0C">
        <w:rPr>
          <w:rFonts w:ascii="Century Gothic" w:hAnsi="Century Gothic" w:cs="Times New Roman"/>
        </w:rPr>
        <w:t>igure 1</w:t>
      </w:r>
      <w:r w:rsidR="00161DCB" w:rsidRPr="00592E0C">
        <w:rPr>
          <w:rFonts w:ascii="Century Gothic" w:hAnsi="Century Gothic" w:cs="Times New Roman"/>
        </w:rPr>
        <w:t>3</w:t>
      </w:r>
      <w:r w:rsidRPr="00592E0C">
        <w:rPr>
          <w:rFonts w:ascii="Century Gothic" w:hAnsi="Century Gothic" w:cs="Times New Roman"/>
        </w:rPr>
        <w:t xml:space="preserve">). </w:t>
      </w:r>
    </w:p>
    <w:p w14:paraId="487918DF" w14:textId="77777777" w:rsidR="00C848A7" w:rsidRPr="00592E0C" w:rsidRDefault="00186054" w:rsidP="00EE3BED">
      <w:pPr>
        <w:jc w:val="center"/>
        <w:rPr>
          <w:rFonts w:ascii="Century Gothic" w:hAnsi="Century Gothic" w:cs="Times New Roman"/>
        </w:rPr>
      </w:pPr>
      <w:r w:rsidRPr="00592E0C">
        <w:rPr>
          <w:noProof/>
          <w:lang w:val="ru-RU" w:eastAsia="zh-CN"/>
        </w:rPr>
        <w:lastRenderedPageBreak/>
        <w:drawing>
          <wp:inline distT="0" distB="0" distL="0" distR="0" wp14:anchorId="7AD9D3F2" wp14:editId="13284535">
            <wp:extent cx="4967207" cy="211518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BBF522" w14:textId="3491A49B" w:rsidR="00C848A7" w:rsidRPr="00592E0C" w:rsidRDefault="00C848A7" w:rsidP="00161DCB">
      <w:pPr>
        <w:jc w:val="both"/>
        <w:rPr>
          <w:rFonts w:ascii="Century Gothic" w:hAnsi="Century Gothic" w:cs="Times New Roman"/>
        </w:rPr>
      </w:pPr>
      <w:r w:rsidRPr="00592E0C">
        <w:rPr>
          <w:rFonts w:ascii="Century Gothic" w:hAnsi="Century Gothic" w:cs="Times New Roman"/>
        </w:rPr>
        <w:t xml:space="preserve">Figure </w:t>
      </w:r>
      <w:r w:rsidR="00161DCB" w:rsidRPr="00592E0C">
        <w:rPr>
          <w:rFonts w:ascii="Century Gothic" w:hAnsi="Century Gothic" w:cs="Times New Roman"/>
        </w:rPr>
        <w:t>13</w:t>
      </w:r>
      <w:r w:rsidRPr="00592E0C">
        <w:rPr>
          <w:rFonts w:ascii="Century Gothic" w:hAnsi="Century Gothic" w:cs="Times New Roman"/>
        </w:rPr>
        <w:t xml:space="preserve">. Evaluation of the variance in consumption </w:t>
      </w:r>
      <w:r w:rsidR="00114AB6" w:rsidRPr="00592E0C">
        <w:rPr>
          <w:rFonts w:ascii="Century Gothic" w:hAnsi="Century Gothic" w:cs="Times New Roman"/>
        </w:rPr>
        <w:t xml:space="preserve">of </w:t>
      </w:r>
      <w:r w:rsidR="000517BD" w:rsidRPr="00592E0C">
        <w:rPr>
          <w:rFonts w:ascii="Century Gothic" w:hAnsi="Century Gothic" w:cs="Times New Roman"/>
        </w:rPr>
        <w:t>goods and services</w:t>
      </w:r>
      <w:r w:rsidR="00114AB6" w:rsidRPr="00592E0C">
        <w:rPr>
          <w:rFonts w:ascii="Century Gothic" w:hAnsi="Century Gothic" w:cs="Times New Roman"/>
        </w:rPr>
        <w:t xml:space="preserve"> by</w:t>
      </w:r>
      <w:r w:rsidRPr="00592E0C">
        <w:rPr>
          <w:rFonts w:ascii="Century Gothic" w:hAnsi="Century Gothic" w:cs="Times New Roman"/>
        </w:rPr>
        <w:t xml:space="preserve"> households</w:t>
      </w:r>
    </w:p>
    <w:p w14:paraId="0DB7F631" w14:textId="40E21F64" w:rsidR="00846E10" w:rsidRPr="00592E0C" w:rsidRDefault="00846E10" w:rsidP="00EE3BED">
      <w:pPr>
        <w:jc w:val="both"/>
        <w:rPr>
          <w:rFonts w:ascii="Century Gothic" w:hAnsi="Century Gothic" w:cs="Times New Roman"/>
        </w:rPr>
      </w:pPr>
      <w:r w:rsidRPr="00592E0C">
        <w:rPr>
          <w:rFonts w:ascii="Century Gothic" w:hAnsi="Century Gothic" w:cs="Times New Roman"/>
        </w:rPr>
        <w:t xml:space="preserve">Increasing women’s access to land and other agricultural inputs could increase their productivity and benefit social welfare. Our observation of </w:t>
      </w:r>
      <w:r w:rsidR="000517BD" w:rsidRPr="00592E0C">
        <w:rPr>
          <w:rFonts w:ascii="Century Gothic" w:hAnsi="Century Gothic" w:cs="Times New Roman"/>
        </w:rPr>
        <w:t>increased household food consumption</w:t>
      </w:r>
      <w:r w:rsidRPr="00592E0C">
        <w:rPr>
          <w:rFonts w:ascii="Century Gothic" w:hAnsi="Century Gothic" w:cs="Times New Roman"/>
        </w:rPr>
        <w:t xml:space="preserve"> is in line with the findings of FAO (2011)</w:t>
      </w:r>
      <w:r w:rsidR="000517BD" w:rsidRPr="00592E0C">
        <w:rPr>
          <w:rFonts w:ascii="Century Gothic" w:hAnsi="Century Gothic" w:cs="Times New Roman"/>
        </w:rPr>
        <w:t>,</w:t>
      </w:r>
      <w:r w:rsidRPr="00592E0C">
        <w:rPr>
          <w:rStyle w:val="FootnoteReference"/>
          <w:rFonts w:ascii="Century Gothic" w:hAnsi="Century Gothic" w:cs="Times New Roman"/>
        </w:rPr>
        <w:t xml:space="preserve"> </w:t>
      </w:r>
      <w:r w:rsidRPr="00592E0C">
        <w:rPr>
          <w:rStyle w:val="FootnoteReference"/>
          <w:rFonts w:ascii="Century Gothic" w:hAnsi="Century Gothic" w:cs="Times New Roman"/>
        </w:rPr>
        <w:footnoteReference w:id="46"/>
      </w:r>
      <w:r w:rsidRPr="00592E0C">
        <w:rPr>
          <w:rFonts w:ascii="Century Gothic" w:hAnsi="Century Gothic" w:cs="Times New Roman"/>
        </w:rPr>
        <w:t xml:space="preserve"> which </w:t>
      </w:r>
      <w:r w:rsidR="000517BD" w:rsidRPr="00592E0C">
        <w:rPr>
          <w:rFonts w:ascii="Century Gothic" w:hAnsi="Century Gothic" w:cs="Times New Roman"/>
        </w:rPr>
        <w:t>show</w:t>
      </w:r>
      <w:r w:rsidRPr="00592E0C">
        <w:rPr>
          <w:rFonts w:ascii="Century Gothic" w:hAnsi="Century Gothic" w:cs="Times New Roman"/>
        </w:rPr>
        <w:t xml:space="preserve"> that reducing the gender gap in agricultural inputs alone could save more than 100 million people from hunger.</w:t>
      </w:r>
    </w:p>
    <w:p w14:paraId="656C6B4C" w14:textId="77777777" w:rsidR="00846E10" w:rsidRPr="00592E0C" w:rsidRDefault="00846E10" w:rsidP="00EE3BED">
      <w:pPr>
        <w:rPr>
          <w:rFonts w:ascii="Century Gothic" w:hAnsi="Century Gothic" w:cstheme="majorHAnsi"/>
        </w:rPr>
      </w:pPr>
    </w:p>
    <w:p w14:paraId="36A22733" w14:textId="5264A42E" w:rsidR="000517BD" w:rsidRPr="00592E0C" w:rsidRDefault="006D53DA" w:rsidP="00EE3BED">
      <w:pPr>
        <w:jc w:val="both"/>
        <w:rPr>
          <w:rFonts w:ascii="Century Gothic" w:hAnsi="Century Gothic" w:cstheme="majorHAnsi"/>
          <w:i/>
        </w:rPr>
      </w:pPr>
      <w:r w:rsidRPr="00592E0C">
        <w:rPr>
          <w:rFonts w:ascii="Century Gothic" w:hAnsi="Century Gothic" w:cstheme="majorHAnsi"/>
          <w:i/>
        </w:rPr>
        <w:t xml:space="preserve">Effects on sectoral production and </w:t>
      </w:r>
      <w:r w:rsidR="00CB2EBB" w:rsidRPr="00592E0C">
        <w:rPr>
          <w:rFonts w:ascii="Century Gothic" w:hAnsi="Century Gothic" w:cstheme="majorHAnsi"/>
          <w:i/>
        </w:rPr>
        <w:t>factor market</w:t>
      </w:r>
      <w:r w:rsidR="000517BD" w:rsidRPr="00592E0C">
        <w:rPr>
          <w:rFonts w:ascii="Century Gothic" w:hAnsi="Century Gothic" w:cstheme="majorHAnsi"/>
          <w:i/>
        </w:rPr>
        <w:t>s</w:t>
      </w:r>
    </w:p>
    <w:p w14:paraId="1212CBAC" w14:textId="38392CCD" w:rsidR="00963DFA" w:rsidRPr="00592E0C" w:rsidRDefault="0066175E" w:rsidP="00EE3BED">
      <w:pPr>
        <w:jc w:val="both"/>
        <w:rPr>
          <w:rFonts w:ascii="Century Gothic" w:hAnsi="Century Gothic" w:cstheme="majorHAnsi"/>
        </w:rPr>
      </w:pPr>
      <w:r w:rsidRPr="00592E0C">
        <w:rPr>
          <w:rFonts w:ascii="Century Gothic" w:hAnsi="Century Gothic" w:cstheme="majorHAnsi"/>
        </w:rPr>
        <w:t xml:space="preserve">Figure </w:t>
      </w:r>
      <w:r w:rsidR="00161DCB" w:rsidRPr="00592E0C">
        <w:rPr>
          <w:rFonts w:ascii="Century Gothic" w:hAnsi="Century Gothic" w:cstheme="majorHAnsi"/>
        </w:rPr>
        <w:t>14</w:t>
      </w:r>
      <w:r w:rsidRPr="00592E0C">
        <w:rPr>
          <w:rFonts w:ascii="Century Gothic" w:hAnsi="Century Gothic" w:cstheme="majorHAnsi"/>
        </w:rPr>
        <w:t xml:space="preserve"> presents the impact of the simulated policies on the production of agricultural commodities. According to our results, closing the gender gap in land access would generate significant benefits </w:t>
      </w:r>
      <w:r w:rsidR="000517BD" w:rsidRPr="00592E0C">
        <w:rPr>
          <w:rFonts w:ascii="Century Gothic" w:hAnsi="Century Gothic" w:cstheme="majorHAnsi"/>
        </w:rPr>
        <w:t>for</w:t>
      </w:r>
      <w:r w:rsidRPr="00592E0C">
        <w:rPr>
          <w:rFonts w:ascii="Century Gothic" w:hAnsi="Century Gothic" w:cstheme="majorHAnsi"/>
        </w:rPr>
        <w:t xml:space="preserve"> the agriculture sector, in particular the cultivation of maize</w:t>
      </w:r>
      <w:r w:rsidR="000517BD" w:rsidRPr="00592E0C">
        <w:rPr>
          <w:rFonts w:ascii="Century Gothic" w:hAnsi="Century Gothic" w:cstheme="majorHAnsi"/>
        </w:rPr>
        <w:t>, which increases by 2.4 percent</w:t>
      </w:r>
      <w:r w:rsidRPr="00592E0C">
        <w:rPr>
          <w:rFonts w:ascii="Century Gothic" w:hAnsi="Century Gothic" w:cstheme="majorHAnsi"/>
        </w:rPr>
        <w:t xml:space="preserve"> and other crops (5.5</w:t>
      </w:r>
      <w:r w:rsidR="000517BD" w:rsidRPr="00592E0C">
        <w:rPr>
          <w:rFonts w:ascii="Century Gothic" w:hAnsi="Century Gothic" w:cstheme="majorHAnsi"/>
        </w:rPr>
        <w:t xml:space="preserve"> percent</w:t>
      </w:r>
      <w:r w:rsidRPr="00592E0C">
        <w:rPr>
          <w:rFonts w:ascii="Century Gothic" w:hAnsi="Century Gothic" w:cstheme="majorHAnsi"/>
        </w:rPr>
        <w:t xml:space="preserve">). </w:t>
      </w:r>
    </w:p>
    <w:p w14:paraId="761C3775" w14:textId="77777777" w:rsidR="00963DFA" w:rsidRPr="00592E0C" w:rsidRDefault="00AE421D" w:rsidP="00EE3BED">
      <w:pPr>
        <w:jc w:val="center"/>
        <w:rPr>
          <w:rFonts w:ascii="Century Gothic" w:hAnsi="Century Gothic" w:cstheme="majorHAnsi"/>
        </w:rPr>
      </w:pPr>
      <w:r w:rsidRPr="00592E0C">
        <w:rPr>
          <w:rFonts w:ascii="Cambria" w:hAnsi="Cambria" w:cs="Arial"/>
          <w:b/>
          <w:noProof/>
          <w:lang w:val="ru-RU" w:eastAsia="zh-CN"/>
        </w:rPr>
        <mc:AlternateContent>
          <mc:Choice Requires="wps">
            <w:drawing>
              <wp:anchor distT="45720" distB="45720" distL="114300" distR="114300" simplePos="0" relativeHeight="251686912" behindDoc="0" locked="0" layoutInCell="1" allowOverlap="1" wp14:anchorId="7E38D717" wp14:editId="6FA013A6">
                <wp:simplePos x="0" y="0"/>
                <wp:positionH relativeFrom="column">
                  <wp:posOffset>476250</wp:posOffset>
                </wp:positionH>
                <wp:positionV relativeFrom="paragraph">
                  <wp:posOffset>112869</wp:posOffset>
                </wp:positionV>
                <wp:extent cx="337351" cy="1401131"/>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401131"/>
                        </a:xfrm>
                        <a:prstGeom prst="rect">
                          <a:avLst/>
                        </a:prstGeom>
                        <a:noFill/>
                        <a:ln w="9525">
                          <a:noFill/>
                          <a:miter lim="800000"/>
                          <a:headEnd/>
                          <a:tailEnd/>
                        </a:ln>
                      </wps:spPr>
                      <wps:txbx>
                        <w:txbxContent>
                          <w:p w14:paraId="6993FE4B" w14:textId="77777777" w:rsidR="00592E0C" w:rsidRPr="00F875C1" w:rsidRDefault="00592E0C" w:rsidP="00AE421D">
                            <w:pP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8D717" id="_x0000_s1033" type="#_x0000_t202" style="position:absolute;left:0;text-align:left;margin-left:37.5pt;margin-top:8.9pt;width:26.55pt;height:110.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" filled="f" stroked="f">
                <v:textbox style="layout-flow:vertical;mso-layout-flow-alt:bottom-to-top">
                  <w:txbxContent>
                    <w:p w14:paraId="6993FE4B" w14:textId="77777777" w:rsidR="00592E0C" w:rsidRPr="00F875C1" w:rsidRDefault="00592E0C" w:rsidP="00AE421D">
                      <w:pP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v:textbox>
              </v:shape>
            </w:pict>
          </mc:Fallback>
        </mc:AlternateContent>
      </w:r>
      <w:r w:rsidR="00870605" w:rsidRPr="00592E0C">
        <w:rPr>
          <w:noProof/>
          <w:lang w:val="en-US" w:eastAsia="zh-CN"/>
        </w:rPr>
        <w:t xml:space="preserve"> </w:t>
      </w:r>
      <w:r w:rsidR="00870605" w:rsidRPr="00592E0C">
        <w:rPr>
          <w:noProof/>
          <w:lang w:val="ru-RU" w:eastAsia="zh-CN"/>
        </w:rPr>
        <w:drawing>
          <wp:inline distT="0" distB="0" distL="0" distR="0" wp14:anchorId="585E3B8F" wp14:editId="76E93D8C">
            <wp:extent cx="4559031" cy="2355742"/>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8889A0" w14:textId="0478961C" w:rsidR="00D77230" w:rsidRPr="00592E0C" w:rsidRDefault="00D77230" w:rsidP="00EE3BED">
      <w:pPr>
        <w:jc w:val="both"/>
        <w:rPr>
          <w:rFonts w:ascii="Century Gothic" w:hAnsi="Century Gothic"/>
        </w:rPr>
      </w:pPr>
      <w:r w:rsidRPr="00592E0C">
        <w:rPr>
          <w:rFonts w:ascii="Century Gothic" w:hAnsi="Century Gothic" w:cs="Times New Roman"/>
        </w:rPr>
        <w:t xml:space="preserve">Figure </w:t>
      </w:r>
      <w:r w:rsidR="00161DCB" w:rsidRPr="00592E0C">
        <w:rPr>
          <w:rFonts w:ascii="Century Gothic" w:hAnsi="Century Gothic" w:cs="Times New Roman"/>
        </w:rPr>
        <w:t>1</w:t>
      </w:r>
      <w:r w:rsidRPr="00592E0C">
        <w:rPr>
          <w:rFonts w:ascii="Century Gothic" w:hAnsi="Century Gothic" w:cs="Times New Roman"/>
        </w:rPr>
        <w:t xml:space="preserve">4. Evaluation of the variance in </w:t>
      </w:r>
      <w:r w:rsidR="0054320E" w:rsidRPr="00592E0C">
        <w:rPr>
          <w:rFonts w:ascii="Century Gothic" w:hAnsi="Century Gothic" w:cs="Times New Roman"/>
        </w:rPr>
        <w:t>a</w:t>
      </w:r>
      <w:r w:rsidRPr="00592E0C">
        <w:rPr>
          <w:rFonts w:ascii="Century Gothic" w:hAnsi="Century Gothic" w:cs="Times New Roman"/>
        </w:rPr>
        <w:t>gricultural output, demand for composite labour and capital</w:t>
      </w:r>
      <w:r w:rsidR="0054320E" w:rsidRPr="00592E0C">
        <w:rPr>
          <w:rFonts w:ascii="Century Gothic" w:hAnsi="Century Gothic" w:cs="Times New Roman"/>
        </w:rPr>
        <w:t xml:space="preserve"> </w:t>
      </w:r>
      <w:r w:rsidR="0054320E" w:rsidRPr="00592E0C">
        <w:rPr>
          <w:rFonts w:ascii="Century Gothic" w:hAnsi="Century Gothic"/>
        </w:rPr>
        <w:t>(percentage change from base)</w:t>
      </w:r>
    </w:p>
    <w:p w14:paraId="6A0C0417" w14:textId="1C628138" w:rsidR="00285E0F" w:rsidRPr="00592E0C" w:rsidRDefault="0066175E" w:rsidP="00EE3BED">
      <w:pPr>
        <w:jc w:val="both"/>
        <w:rPr>
          <w:rFonts w:ascii="Century Gothic" w:hAnsi="Century Gothic" w:cstheme="majorHAnsi"/>
        </w:rPr>
      </w:pPr>
      <w:r w:rsidRPr="00592E0C">
        <w:rPr>
          <w:rFonts w:ascii="Century Gothic" w:hAnsi="Century Gothic" w:cstheme="majorHAnsi"/>
        </w:rPr>
        <w:t>The positive results indicate that the simulated policy option is an effective measure to improve agricultural production and thus close the gender gap in agriculture.</w:t>
      </w:r>
      <w:r w:rsidR="00373A8D" w:rsidRPr="00592E0C">
        <w:rPr>
          <w:rFonts w:ascii="Century Gothic" w:hAnsi="Century Gothic" w:cstheme="majorHAnsi"/>
        </w:rPr>
        <w:t xml:space="preserve"> This result is </w:t>
      </w:r>
      <w:r w:rsidR="00373A8D" w:rsidRPr="00592E0C">
        <w:rPr>
          <w:rFonts w:ascii="Century Gothic" w:hAnsi="Century Gothic" w:cstheme="majorHAnsi"/>
        </w:rPr>
        <w:lastRenderedPageBreak/>
        <w:t xml:space="preserve">in agreement with the findings of </w:t>
      </w:r>
      <w:r w:rsidR="00963DFA" w:rsidRPr="00592E0C">
        <w:rPr>
          <w:rFonts w:ascii="Century Gothic" w:hAnsi="Century Gothic" w:cstheme="majorHAnsi"/>
        </w:rPr>
        <w:t>Joshi et al. (2023)</w:t>
      </w:r>
      <w:r w:rsidR="00963DFA" w:rsidRPr="00592E0C">
        <w:rPr>
          <w:rStyle w:val="FootnoteReference"/>
          <w:rFonts w:ascii="Century Gothic" w:hAnsi="Century Gothic" w:cstheme="majorHAnsi"/>
        </w:rPr>
        <w:footnoteReference w:id="47"/>
      </w:r>
      <w:r w:rsidR="00963DFA" w:rsidRPr="00592E0C">
        <w:rPr>
          <w:rFonts w:ascii="Century Gothic" w:hAnsi="Century Gothic" w:cstheme="majorHAnsi"/>
        </w:rPr>
        <w:t xml:space="preserve">, </w:t>
      </w:r>
      <w:r w:rsidR="00373A8D" w:rsidRPr="00592E0C">
        <w:rPr>
          <w:rFonts w:ascii="Century Gothic" w:hAnsi="Century Gothic" w:cstheme="majorHAnsi"/>
        </w:rPr>
        <w:t>Rosetti et al., (2010)</w:t>
      </w:r>
      <w:r w:rsidR="00373A8D" w:rsidRPr="00592E0C">
        <w:rPr>
          <w:rStyle w:val="FootnoteReference"/>
          <w:rFonts w:ascii="Century Gothic" w:hAnsi="Century Gothic" w:cstheme="majorHAnsi"/>
        </w:rPr>
        <w:footnoteReference w:id="48"/>
      </w:r>
      <w:r w:rsidR="00963DFA" w:rsidRPr="00592E0C">
        <w:rPr>
          <w:rFonts w:ascii="Century Gothic" w:hAnsi="Century Gothic" w:cstheme="majorHAnsi"/>
        </w:rPr>
        <w:t>,</w:t>
      </w:r>
      <w:r w:rsidR="00373A8D" w:rsidRPr="00592E0C">
        <w:rPr>
          <w:rFonts w:ascii="Century Gothic" w:hAnsi="Century Gothic" w:cstheme="majorHAnsi"/>
        </w:rPr>
        <w:t xml:space="preserve"> and FAO (2011), who found that if women had the same access to productive resources as men, they could increase yields on their farms by 20–30</w:t>
      </w:r>
      <w:r w:rsidR="00595691" w:rsidRPr="00592E0C">
        <w:rPr>
          <w:rFonts w:ascii="Century Gothic" w:hAnsi="Century Gothic" w:cstheme="majorHAnsi"/>
        </w:rPr>
        <w:t xml:space="preserve"> percent</w:t>
      </w:r>
      <w:r w:rsidR="00373A8D" w:rsidRPr="00592E0C">
        <w:rPr>
          <w:rFonts w:ascii="Century Gothic" w:hAnsi="Century Gothic" w:cstheme="majorHAnsi"/>
        </w:rPr>
        <w:t>. This could have a positive impact on agricultural output growth in less developed countries by about 0.3-4</w:t>
      </w:r>
      <w:r w:rsidR="00595691" w:rsidRPr="00592E0C">
        <w:rPr>
          <w:rFonts w:ascii="Century Gothic" w:hAnsi="Century Gothic" w:cstheme="majorHAnsi"/>
        </w:rPr>
        <w:t xml:space="preserve"> percent</w:t>
      </w:r>
      <w:r w:rsidR="00373A8D" w:rsidRPr="00592E0C">
        <w:rPr>
          <w:rFonts w:ascii="Century Gothic" w:hAnsi="Century Gothic" w:cstheme="majorHAnsi"/>
        </w:rPr>
        <w:t xml:space="preserve"> per year.</w:t>
      </w:r>
    </w:p>
    <w:p w14:paraId="6A05C9EF" w14:textId="6B1EC99A" w:rsidR="00285E0F" w:rsidRPr="00592E0C" w:rsidRDefault="00285E0F" w:rsidP="00EE3BED">
      <w:pPr>
        <w:jc w:val="both"/>
        <w:rPr>
          <w:rFonts w:ascii="Century Gothic" w:hAnsi="Century Gothic"/>
        </w:rPr>
      </w:pPr>
      <w:r w:rsidRPr="00592E0C">
        <w:rPr>
          <w:rFonts w:ascii="Century Gothic" w:hAnsi="Century Gothic"/>
        </w:rPr>
        <w:t>It was found, that the increase in women's land supply leads to an increase in total consumption of fertilizers by 0.65</w:t>
      </w:r>
      <w:r w:rsidR="00595691" w:rsidRPr="00592E0C">
        <w:rPr>
          <w:rFonts w:ascii="Century Gothic" w:hAnsi="Century Gothic"/>
        </w:rPr>
        <w:t xml:space="preserve"> percent</w:t>
      </w:r>
      <w:r w:rsidRPr="00592E0C">
        <w:rPr>
          <w:rFonts w:ascii="Century Gothic" w:hAnsi="Century Gothic"/>
        </w:rPr>
        <w:t xml:space="preserve">. Since the cost of fertilizers is driven by import prices, an increase in land availability increases the demand for fertilizer for crops (figure </w:t>
      </w:r>
      <w:r w:rsidR="00161DCB" w:rsidRPr="00592E0C">
        <w:rPr>
          <w:rFonts w:ascii="Century Gothic" w:hAnsi="Century Gothic"/>
        </w:rPr>
        <w:t>1</w:t>
      </w:r>
      <w:r w:rsidRPr="00592E0C">
        <w:rPr>
          <w:rFonts w:ascii="Century Gothic" w:hAnsi="Century Gothic"/>
        </w:rPr>
        <w:t>5).</w:t>
      </w:r>
    </w:p>
    <w:p w14:paraId="7B20BF05" w14:textId="77777777" w:rsidR="00846E10" w:rsidRPr="00737A97" w:rsidRDefault="00846E10" w:rsidP="00EE3BED">
      <w:pPr>
        <w:rPr>
          <w:rFonts w:asciiTheme="majorHAnsi" w:hAnsiTheme="majorHAnsi" w:cstheme="majorHAnsi"/>
          <w:color w:val="323E4F" w:themeColor="text2" w:themeShade="BF"/>
        </w:rPr>
      </w:pPr>
    </w:p>
    <w:p w14:paraId="324D23EB" w14:textId="77777777" w:rsidR="00285E0F" w:rsidRPr="00737A97" w:rsidRDefault="001E5E7C" w:rsidP="00EE3BED">
      <w:pPr>
        <w:rPr>
          <w:rFonts w:asciiTheme="majorHAnsi" w:hAnsiTheme="majorHAnsi" w:cstheme="majorHAnsi"/>
          <w:color w:val="323E4F" w:themeColor="text2" w:themeShade="BF"/>
        </w:rPr>
      </w:pPr>
      <w:r w:rsidRPr="00737A97">
        <w:rPr>
          <w:rFonts w:ascii="Cambria" w:hAnsi="Cambria" w:cs="Arial"/>
          <w:b/>
          <w:noProof/>
          <w:lang w:val="ru-RU" w:eastAsia="zh-CN"/>
        </w:rPr>
        <mc:AlternateContent>
          <mc:Choice Requires="wps">
            <w:drawing>
              <wp:anchor distT="45720" distB="45720" distL="114300" distR="114300" simplePos="0" relativeHeight="251691008" behindDoc="0" locked="0" layoutInCell="1" allowOverlap="1" wp14:anchorId="072144A2" wp14:editId="2252BB97">
                <wp:simplePos x="0" y="0"/>
                <wp:positionH relativeFrom="column">
                  <wp:posOffset>5853910</wp:posOffset>
                </wp:positionH>
                <wp:positionV relativeFrom="paragraph">
                  <wp:posOffset>108281</wp:posOffset>
                </wp:positionV>
                <wp:extent cx="463763" cy="1794313"/>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63" cy="1794313"/>
                        </a:xfrm>
                        <a:prstGeom prst="rect">
                          <a:avLst/>
                        </a:prstGeom>
                        <a:noFill/>
                        <a:ln w="9525">
                          <a:noFill/>
                          <a:miter lim="800000"/>
                          <a:headEnd/>
                          <a:tailEnd/>
                        </a:ln>
                      </wps:spPr>
                      <wps:txbx>
                        <w:txbxContent>
                          <w:p w14:paraId="33B2FB78" w14:textId="77777777" w:rsidR="00592E0C" w:rsidRPr="001E5E7C" w:rsidRDefault="00592E0C" w:rsidP="001E5E7C">
                            <w:pPr>
                              <w:jc w:val="center"/>
                              <w:rPr>
                                <w:rFonts w:asciiTheme="majorHAnsi" w:hAnsiTheme="majorHAnsi" w:cstheme="majorHAnsi"/>
                                <w:sz w:val="16"/>
                                <w:szCs w:val="16"/>
                                <w:lang w:val="en-US"/>
                              </w:rPr>
                            </w:pPr>
                            <w:r>
                              <w:rPr>
                                <w:rFonts w:asciiTheme="majorHAnsi" w:hAnsiTheme="majorHAnsi" w:cstheme="majorHAnsi"/>
                                <w:sz w:val="16"/>
                                <w:szCs w:val="16"/>
                              </w:rPr>
                              <w:t>% change in intermediate consumption price index</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44A2" id="_x0000_s1034" type="#_x0000_t202" style="position:absolute;margin-left:460.95pt;margin-top:8.55pt;width:36.5pt;height:14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" filled="f" stroked="f">
                <v:textbox style="layout-flow:vertical;mso-layout-flow-alt:bottom-to-top">
                  <w:txbxContent>
                    <w:p w14:paraId="33B2FB78" w14:textId="77777777" w:rsidR="00592E0C" w:rsidRPr="001E5E7C" w:rsidRDefault="00592E0C" w:rsidP="001E5E7C">
                      <w:pPr>
                        <w:jc w:val="center"/>
                        <w:rPr>
                          <w:rFonts w:asciiTheme="majorHAnsi" w:hAnsiTheme="majorHAnsi" w:cstheme="majorHAnsi"/>
                          <w:sz w:val="16"/>
                          <w:szCs w:val="16"/>
                          <w:lang w:val="en-US"/>
                        </w:rPr>
                      </w:pPr>
                      <w:r>
                        <w:rPr>
                          <w:rFonts w:asciiTheme="majorHAnsi" w:hAnsiTheme="majorHAnsi" w:cstheme="majorHAnsi"/>
                          <w:sz w:val="16"/>
                          <w:szCs w:val="16"/>
                        </w:rPr>
                        <w:t>% change in intermediate consumption price index</w:t>
                      </w:r>
                    </w:p>
                  </w:txbxContent>
                </v:textbox>
              </v:shape>
            </w:pict>
          </mc:Fallback>
        </mc:AlternateContent>
      </w:r>
      <w:r w:rsidRPr="00737A97">
        <w:rPr>
          <w:rFonts w:ascii="Cambria" w:hAnsi="Cambria" w:cs="Arial"/>
          <w:b/>
          <w:noProof/>
          <w:lang w:val="ru-RU" w:eastAsia="zh-CN"/>
        </w:rPr>
        <mc:AlternateContent>
          <mc:Choice Requires="wps">
            <w:drawing>
              <wp:anchor distT="45720" distB="45720" distL="114300" distR="114300" simplePos="0" relativeHeight="251688960" behindDoc="0" locked="0" layoutInCell="1" allowOverlap="1" wp14:anchorId="5AF3674C" wp14:editId="46CEA779">
                <wp:simplePos x="0" y="0"/>
                <wp:positionH relativeFrom="column">
                  <wp:posOffset>-157504</wp:posOffset>
                </wp:positionH>
                <wp:positionV relativeFrom="paragraph">
                  <wp:posOffset>77655</wp:posOffset>
                </wp:positionV>
                <wp:extent cx="337351" cy="1702694"/>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0965E0C2" w14:textId="77777777" w:rsidR="00592E0C" w:rsidRPr="00F875C1" w:rsidRDefault="00592E0C" w:rsidP="001E5E7C">
                            <w:pPr>
                              <w:jc w:val="center"/>
                              <w:rPr>
                                <w:rFonts w:asciiTheme="majorHAnsi" w:hAnsiTheme="majorHAnsi" w:cstheme="majorHAnsi"/>
                                <w:sz w:val="16"/>
                                <w:szCs w:val="16"/>
                                <w:lang w:val="ru-RU"/>
                              </w:rPr>
                            </w:pPr>
                            <w:r>
                              <w:rPr>
                                <w:rFonts w:asciiTheme="majorHAnsi" w:hAnsiTheme="majorHAnsi" w:cstheme="majorHAnsi"/>
                                <w:sz w:val="16"/>
                                <w:szCs w:val="16"/>
                              </w:rPr>
                              <w:t>% change in intermediate demand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3674C" id="_x0000_s1035" type="#_x0000_t202" style="position:absolute;margin-left:-12.4pt;margin-top:6.1pt;width:26.55pt;height:134.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" filled="f" stroked="f">
                <v:textbox style="layout-flow:vertical;mso-layout-flow-alt:bottom-to-top">
                  <w:txbxContent>
                    <w:p w14:paraId="0965E0C2" w14:textId="77777777" w:rsidR="00592E0C" w:rsidRPr="00F875C1" w:rsidRDefault="00592E0C" w:rsidP="001E5E7C">
                      <w:pPr>
                        <w:jc w:val="center"/>
                        <w:rPr>
                          <w:rFonts w:asciiTheme="majorHAnsi" w:hAnsiTheme="majorHAnsi" w:cstheme="majorHAnsi"/>
                          <w:sz w:val="16"/>
                          <w:szCs w:val="16"/>
                          <w:lang w:val="ru-RU"/>
                        </w:rPr>
                      </w:pPr>
                      <w:r>
                        <w:rPr>
                          <w:rFonts w:asciiTheme="majorHAnsi" w:hAnsiTheme="majorHAnsi" w:cstheme="majorHAnsi"/>
                          <w:sz w:val="16"/>
                          <w:szCs w:val="16"/>
                        </w:rPr>
                        <w:t>% change in intermediate demand</w:t>
                      </w:r>
                    </w:p>
                  </w:txbxContent>
                </v:textbox>
              </v:shape>
            </w:pict>
          </mc:Fallback>
        </mc:AlternateContent>
      </w:r>
      <w:r w:rsidR="00285E0F" w:rsidRPr="00737A97">
        <w:rPr>
          <w:noProof/>
          <w:lang w:val="ru-RU" w:eastAsia="zh-CN"/>
        </w:rPr>
        <w:drawing>
          <wp:inline distT="0" distB="0" distL="0" distR="0" wp14:anchorId="00FBB722" wp14:editId="53AD5596">
            <wp:extent cx="5945909" cy="338050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27"/>
    <w:p w14:paraId="5467C703" w14:textId="1DFEA0D5" w:rsidR="00285E0F" w:rsidRPr="00737A97" w:rsidRDefault="00285E0F" w:rsidP="00EE3BED">
      <w:pPr>
        <w:jc w:val="both"/>
        <w:rPr>
          <w:rFonts w:ascii="Century Gothic" w:hAnsi="Century Gothic"/>
        </w:rPr>
      </w:pPr>
      <w:r w:rsidRPr="00A57B86">
        <w:rPr>
          <w:rFonts w:ascii="Century Gothic" w:hAnsi="Century Gothic" w:cs="Times New Roman"/>
          <w:color w:val="000000" w:themeColor="text1"/>
        </w:rPr>
        <w:t xml:space="preserve">Figure </w:t>
      </w:r>
      <w:r w:rsidR="00161DCB" w:rsidRPr="00A57B86">
        <w:rPr>
          <w:rFonts w:ascii="Century Gothic" w:hAnsi="Century Gothic" w:cs="Times New Roman"/>
          <w:color w:val="000000" w:themeColor="text1"/>
        </w:rPr>
        <w:t>15</w:t>
      </w:r>
      <w:r w:rsidRPr="00A57B86">
        <w:rPr>
          <w:rFonts w:ascii="Century Gothic" w:hAnsi="Century Gothic" w:cs="Times New Roman"/>
          <w:color w:val="000000" w:themeColor="text1"/>
        </w:rPr>
        <w:t xml:space="preserve">. Evaluation of the variance in intermediate demand and intermediate </w:t>
      </w:r>
      <w:r w:rsidRPr="00737A97">
        <w:rPr>
          <w:rFonts w:ascii="Century Gothic" w:hAnsi="Century Gothic" w:cs="Times New Roman"/>
        </w:rPr>
        <w:t xml:space="preserve">consumption price index of agricultural </w:t>
      </w:r>
      <w:r w:rsidR="001E3927" w:rsidRPr="00737A97">
        <w:rPr>
          <w:rFonts w:ascii="Century Gothic" w:hAnsi="Century Gothic" w:cs="Times New Roman"/>
        </w:rPr>
        <w:t>sectors</w:t>
      </w:r>
      <w:r w:rsidRPr="00737A97">
        <w:rPr>
          <w:rFonts w:ascii="Century Gothic" w:hAnsi="Century Gothic" w:cs="Times New Roman"/>
        </w:rPr>
        <w:t xml:space="preserve"> </w:t>
      </w:r>
      <w:r w:rsidRPr="00737A97">
        <w:rPr>
          <w:rFonts w:ascii="Century Gothic" w:hAnsi="Century Gothic"/>
        </w:rPr>
        <w:t>(percentage change from base)</w:t>
      </w:r>
    </w:p>
    <w:p w14:paraId="4403FF06" w14:textId="2A02081A" w:rsidR="00DB76D4" w:rsidRPr="00737A97" w:rsidRDefault="00DB76D4" w:rsidP="00EE3BED">
      <w:pPr>
        <w:jc w:val="both"/>
        <w:rPr>
          <w:rFonts w:ascii="Century Gothic" w:hAnsi="Century Gothic"/>
        </w:rPr>
      </w:pPr>
      <w:r w:rsidRPr="00737A97">
        <w:rPr>
          <w:rFonts w:ascii="Century Gothic" w:hAnsi="Century Gothic"/>
        </w:rPr>
        <w:t>According to simulation res</w:t>
      </w:r>
      <w:r w:rsidR="00595691" w:rsidRPr="00737A97">
        <w:rPr>
          <w:rFonts w:ascii="Century Gothic" w:hAnsi="Century Gothic"/>
        </w:rPr>
        <w:t>ul</w:t>
      </w:r>
      <w:r w:rsidRPr="00737A97">
        <w:rPr>
          <w:rFonts w:ascii="Century Gothic" w:hAnsi="Century Gothic"/>
        </w:rPr>
        <w:t>ts, increasing female arable land ownership leads to an increase in demand for female labour in the crop cultivation process (figure 1</w:t>
      </w:r>
      <w:r w:rsidR="00161DCB">
        <w:rPr>
          <w:rFonts w:ascii="Century Gothic" w:hAnsi="Century Gothic"/>
        </w:rPr>
        <w:t>6</w:t>
      </w:r>
      <w:r w:rsidRPr="00737A97">
        <w:rPr>
          <w:rFonts w:ascii="Century Gothic" w:hAnsi="Century Gothic"/>
        </w:rPr>
        <w:t xml:space="preserve">). </w:t>
      </w:r>
      <w:r w:rsidR="009D6072" w:rsidRPr="00737A97">
        <w:rPr>
          <w:rFonts w:ascii="Century Gothic" w:hAnsi="Century Gothic"/>
        </w:rPr>
        <w:t>An increase in women's land ownership causes the market-clearing rental rate</w:t>
      </w:r>
      <w:r w:rsidR="00BE0CE3" w:rsidRPr="00737A97">
        <w:rPr>
          <w:rFonts w:ascii="Century Gothic" w:hAnsi="Century Gothic"/>
        </w:rPr>
        <w:t xml:space="preserve"> of land</w:t>
      </w:r>
      <w:r w:rsidR="009D6072" w:rsidRPr="00737A97">
        <w:rPr>
          <w:rFonts w:ascii="Century Gothic" w:hAnsi="Century Gothic"/>
        </w:rPr>
        <w:t xml:space="preserve"> to fall by 34.9</w:t>
      </w:r>
      <w:r w:rsidR="00595691" w:rsidRPr="00737A97">
        <w:rPr>
          <w:rFonts w:ascii="Century Gothic" w:hAnsi="Century Gothic"/>
        </w:rPr>
        <w:t xml:space="preserve"> percent</w:t>
      </w:r>
      <w:r w:rsidR="009D6072" w:rsidRPr="00737A97">
        <w:rPr>
          <w:rFonts w:ascii="Century Gothic" w:hAnsi="Century Gothic"/>
        </w:rPr>
        <w:t xml:space="preserve">, which increases women's demand for land </w:t>
      </w:r>
      <w:r w:rsidR="00595691" w:rsidRPr="00737A97">
        <w:rPr>
          <w:rFonts w:ascii="Century Gothic" w:hAnsi="Century Gothic"/>
        </w:rPr>
        <w:t xml:space="preserve">significantly </w:t>
      </w:r>
      <w:r w:rsidR="00161DCB">
        <w:rPr>
          <w:rFonts w:ascii="Century Gothic" w:hAnsi="Century Gothic"/>
        </w:rPr>
        <w:t>(figure 17</w:t>
      </w:r>
      <w:r w:rsidR="009D6072" w:rsidRPr="00737A97">
        <w:rPr>
          <w:rFonts w:ascii="Century Gothic" w:hAnsi="Century Gothic"/>
        </w:rPr>
        <w:t>)</w:t>
      </w:r>
      <w:r w:rsidR="00595691" w:rsidRPr="00737A97">
        <w:rPr>
          <w:rFonts w:ascii="Century Gothic" w:hAnsi="Century Gothic"/>
        </w:rPr>
        <w:t>.</w:t>
      </w:r>
    </w:p>
    <w:p w14:paraId="685B5169" w14:textId="77777777" w:rsidR="00704B21" w:rsidRPr="00737A97" w:rsidRDefault="00704B21" w:rsidP="00EE3BED">
      <w:pPr>
        <w:jc w:val="center"/>
        <w:rPr>
          <w:rFonts w:ascii="Century Gothic" w:hAnsi="Century Gothic"/>
          <w:color w:val="FF0000"/>
        </w:rPr>
      </w:pPr>
      <w:r w:rsidRPr="00737A97">
        <w:rPr>
          <w:rFonts w:ascii="Cambria" w:hAnsi="Cambria" w:cs="Arial"/>
          <w:b/>
          <w:noProof/>
          <w:lang w:val="ru-RU" w:eastAsia="zh-CN"/>
        </w:rPr>
        <w:lastRenderedPageBreak/>
        <mc:AlternateContent>
          <mc:Choice Requires="wps">
            <w:drawing>
              <wp:anchor distT="45720" distB="45720" distL="114300" distR="114300" simplePos="0" relativeHeight="251695104" behindDoc="0" locked="0" layoutInCell="1" allowOverlap="1" wp14:anchorId="3BB94B36" wp14:editId="4E873540">
                <wp:simplePos x="0" y="0"/>
                <wp:positionH relativeFrom="column">
                  <wp:posOffset>607156</wp:posOffset>
                </wp:positionH>
                <wp:positionV relativeFrom="paragraph">
                  <wp:posOffset>411634</wp:posOffset>
                </wp:positionV>
                <wp:extent cx="337351" cy="1702694"/>
                <wp:effectExtent l="0" t="0" r="0"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63D654DD" w14:textId="77777777" w:rsidR="00592E0C" w:rsidRPr="00F875C1" w:rsidRDefault="00592E0C" w:rsidP="00704B21">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94B36" id="_x0000_s1036" type="#_x0000_t202" style="position:absolute;left:0;text-align:left;margin-left:47.8pt;margin-top:32.4pt;width:26.55pt;height:134.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" filled="f" stroked="f">
                <v:textbox style="layout-flow:vertical;mso-layout-flow-alt:bottom-to-top">
                  <w:txbxContent>
                    <w:p w14:paraId="63D654DD" w14:textId="77777777" w:rsidR="00592E0C" w:rsidRPr="00F875C1" w:rsidRDefault="00592E0C" w:rsidP="00704B21">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v:textbox>
              </v:shape>
            </w:pict>
          </mc:Fallback>
        </mc:AlternateContent>
      </w:r>
      <w:r w:rsidRPr="00737A97">
        <w:rPr>
          <w:noProof/>
          <w:lang w:val="ru-RU" w:eastAsia="zh-CN"/>
        </w:rPr>
        <w:drawing>
          <wp:inline distT="0" distB="0" distL="0" distR="0" wp14:anchorId="3412C1E6" wp14:editId="4EA572BD">
            <wp:extent cx="4433688" cy="2604887"/>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4F06E2" w14:textId="2F39ACFB" w:rsidR="00704B21" w:rsidRPr="00592E0C" w:rsidRDefault="00704B21" w:rsidP="00EE3BED">
      <w:pPr>
        <w:jc w:val="both"/>
        <w:rPr>
          <w:rFonts w:ascii="Century Gothic" w:hAnsi="Century Gothic"/>
        </w:rPr>
      </w:pPr>
      <w:r w:rsidRPr="00592E0C">
        <w:rPr>
          <w:rFonts w:ascii="Century Gothic" w:hAnsi="Century Gothic" w:cs="Times New Roman"/>
        </w:rPr>
        <w:t xml:space="preserve">Figure </w:t>
      </w:r>
      <w:r w:rsidR="00161DCB" w:rsidRPr="00592E0C">
        <w:rPr>
          <w:rFonts w:ascii="Century Gothic" w:hAnsi="Century Gothic" w:cs="Times New Roman"/>
        </w:rPr>
        <w:t>16</w:t>
      </w:r>
      <w:r w:rsidRPr="00592E0C">
        <w:rPr>
          <w:rFonts w:ascii="Century Gothic" w:hAnsi="Century Gothic" w:cs="Times New Roman"/>
        </w:rPr>
        <w:t>. Evaluation of the variance in demand for arable land and rental rates in crop production sector (percentage change from the base)</w:t>
      </w:r>
      <w:r w:rsidR="00400C2E" w:rsidRPr="00592E0C">
        <w:rPr>
          <w:rFonts w:ascii="Century Gothic" w:hAnsi="Century Gothic" w:cs="Times New Roman"/>
        </w:rPr>
        <w:t>.</w:t>
      </w:r>
    </w:p>
    <w:p w14:paraId="7CC7C87E" w14:textId="77777777" w:rsidR="0018216D" w:rsidRPr="00737A97" w:rsidRDefault="008B549A" w:rsidP="00EE3BED">
      <w:pPr>
        <w:jc w:val="center"/>
        <w:rPr>
          <w:rFonts w:ascii="Century Gothic" w:hAnsi="Century Gothic"/>
          <w:color w:val="FF0000"/>
        </w:rPr>
      </w:pPr>
      <w:r w:rsidRPr="00737A97">
        <w:rPr>
          <w:rFonts w:ascii="Cambria" w:hAnsi="Cambria" w:cs="Arial"/>
          <w:b/>
          <w:noProof/>
          <w:lang w:val="ru-RU" w:eastAsia="zh-CN"/>
        </w:rPr>
        <mc:AlternateContent>
          <mc:Choice Requires="wps">
            <w:drawing>
              <wp:anchor distT="45720" distB="45720" distL="114300" distR="114300" simplePos="0" relativeHeight="251693056" behindDoc="0" locked="0" layoutInCell="1" allowOverlap="1" wp14:anchorId="3C2FA2DD" wp14:editId="0A87C8D6">
                <wp:simplePos x="0" y="0"/>
                <wp:positionH relativeFrom="column">
                  <wp:posOffset>514259</wp:posOffset>
                </wp:positionH>
                <wp:positionV relativeFrom="paragraph">
                  <wp:posOffset>230334</wp:posOffset>
                </wp:positionV>
                <wp:extent cx="337351" cy="1702694"/>
                <wp:effectExtent l="0" t="0" r="0" b="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1A78D6EF" w14:textId="77777777" w:rsidR="00592E0C" w:rsidRPr="00F875C1" w:rsidRDefault="00592E0C" w:rsidP="001E3927">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FA2DD" id="_x0000_s1037" type="#_x0000_t202" style="position:absolute;left:0;text-align:left;margin-left:40.5pt;margin-top:18.15pt;width:26.55pt;height:134.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" filled="f" stroked="f">
                <v:textbox style="layout-flow:vertical;mso-layout-flow-alt:bottom-to-top">
                  <w:txbxContent>
                    <w:p w14:paraId="1A78D6EF" w14:textId="77777777" w:rsidR="00592E0C" w:rsidRPr="00F875C1" w:rsidRDefault="00592E0C" w:rsidP="001E3927">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v:textbox>
              </v:shape>
            </w:pict>
          </mc:Fallback>
        </mc:AlternateContent>
      </w:r>
      <w:r w:rsidRPr="00737A97">
        <w:rPr>
          <w:noProof/>
          <w:lang w:val="ru-RU" w:eastAsia="zh-CN"/>
        </w:rPr>
        <w:drawing>
          <wp:inline distT="0" distB="0" distL="0" distR="0" wp14:anchorId="16307756" wp14:editId="2AFC1E38">
            <wp:extent cx="4398107" cy="2092272"/>
            <wp:effectExtent l="0" t="0" r="0" b="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63730D" w14:textId="77777777" w:rsidR="0018216D" w:rsidRPr="00737A97" w:rsidRDefault="0018216D" w:rsidP="00EE3BED">
      <w:pPr>
        <w:jc w:val="center"/>
        <w:rPr>
          <w:rFonts w:ascii="Century Gothic" w:hAnsi="Century Gothic"/>
          <w:color w:val="FF0000"/>
        </w:rPr>
      </w:pPr>
    </w:p>
    <w:p w14:paraId="3337C17E" w14:textId="25202442" w:rsidR="00704B21" w:rsidRPr="00592E0C" w:rsidRDefault="00943A0A" w:rsidP="00EE3BED">
      <w:pPr>
        <w:jc w:val="both"/>
        <w:rPr>
          <w:rFonts w:ascii="Century Gothic" w:hAnsi="Century Gothic"/>
        </w:rPr>
      </w:pPr>
      <w:r w:rsidRPr="00592E0C">
        <w:rPr>
          <w:rFonts w:ascii="Century Gothic" w:hAnsi="Century Gothic" w:cs="Times New Roman"/>
        </w:rPr>
        <w:t xml:space="preserve">Figure </w:t>
      </w:r>
      <w:r w:rsidR="00161DCB" w:rsidRPr="00592E0C">
        <w:rPr>
          <w:rFonts w:ascii="Century Gothic" w:hAnsi="Century Gothic" w:cs="Times New Roman"/>
        </w:rPr>
        <w:t>17</w:t>
      </w:r>
      <w:r w:rsidRPr="00592E0C">
        <w:rPr>
          <w:rFonts w:ascii="Century Gothic" w:hAnsi="Century Gothic" w:cs="Times New Roman"/>
        </w:rPr>
        <w:t xml:space="preserve">. Evaluation of the variance in </w:t>
      </w:r>
      <w:r w:rsidR="001E3927" w:rsidRPr="00592E0C">
        <w:rPr>
          <w:rFonts w:ascii="Century Gothic" w:hAnsi="Century Gothic" w:cs="Times New Roman"/>
        </w:rPr>
        <w:t>agricultural output, composite demand for labour and capital across agricultural sectors</w:t>
      </w:r>
      <w:r w:rsidRPr="00592E0C">
        <w:rPr>
          <w:rFonts w:ascii="Century Gothic" w:hAnsi="Century Gothic" w:cs="Times New Roman"/>
        </w:rPr>
        <w:t xml:space="preserve"> </w:t>
      </w:r>
      <w:r w:rsidRPr="00592E0C">
        <w:rPr>
          <w:rFonts w:ascii="Century Gothic" w:hAnsi="Century Gothic"/>
        </w:rPr>
        <w:t>(percentage change from base)</w:t>
      </w:r>
      <w:r w:rsidR="00704B21" w:rsidRPr="00592E0C">
        <w:rPr>
          <w:rFonts w:ascii="Century Gothic" w:hAnsi="Century Gothic"/>
        </w:rPr>
        <w:t>.</w:t>
      </w:r>
    </w:p>
    <w:p w14:paraId="7D06C953" w14:textId="77777777" w:rsidR="00704B21" w:rsidRPr="00592E0C" w:rsidRDefault="00DF56C9" w:rsidP="00EE3BED">
      <w:pPr>
        <w:jc w:val="center"/>
        <w:rPr>
          <w:rFonts w:ascii="Century Gothic" w:hAnsi="Century Gothic"/>
        </w:rPr>
      </w:pPr>
      <w:r w:rsidRPr="00592E0C">
        <w:rPr>
          <w:rFonts w:ascii="Cambria" w:hAnsi="Cambria" w:cs="Arial"/>
          <w:b/>
          <w:noProof/>
          <w:lang w:val="ru-RU" w:eastAsia="zh-CN"/>
        </w:rPr>
        <mc:AlternateContent>
          <mc:Choice Requires="wps">
            <w:drawing>
              <wp:anchor distT="45720" distB="45720" distL="114300" distR="114300" simplePos="0" relativeHeight="251697152" behindDoc="0" locked="0" layoutInCell="1" allowOverlap="1" wp14:anchorId="3E667D15" wp14:editId="7CD96910">
                <wp:simplePos x="0" y="0"/>
                <wp:positionH relativeFrom="column">
                  <wp:posOffset>714615</wp:posOffset>
                </wp:positionH>
                <wp:positionV relativeFrom="paragraph">
                  <wp:posOffset>113826</wp:posOffset>
                </wp:positionV>
                <wp:extent cx="337351" cy="1702694"/>
                <wp:effectExtent l="0" t="0" r="0"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5C672504" w14:textId="77777777" w:rsidR="00592E0C" w:rsidRPr="00F875C1" w:rsidRDefault="00592E0C" w:rsidP="00DF56C9">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67D15" id="_x0000_s1038" type="#_x0000_t202" style="position:absolute;left:0;text-align:left;margin-left:56.25pt;margin-top:8.95pt;width:26.55pt;height:134.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" filled="f" stroked="f">
                <v:textbox style="layout-flow:vertical;mso-layout-flow-alt:bottom-to-top">
                  <w:txbxContent>
                    <w:p w14:paraId="5C672504" w14:textId="77777777" w:rsidR="00592E0C" w:rsidRPr="00F875C1" w:rsidRDefault="00592E0C" w:rsidP="00DF56C9">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v:textbox>
              </v:shape>
            </w:pict>
          </mc:Fallback>
        </mc:AlternateContent>
      </w:r>
      <w:r w:rsidR="00704B21" w:rsidRPr="00592E0C">
        <w:rPr>
          <w:noProof/>
          <w:lang w:val="ru-RU" w:eastAsia="zh-CN"/>
        </w:rPr>
        <w:drawing>
          <wp:inline distT="0" distB="0" distL="0" distR="0" wp14:anchorId="3BA0943B" wp14:editId="4CDE993E">
            <wp:extent cx="3820741" cy="1810923"/>
            <wp:effectExtent l="0" t="0" r="0"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666B18" w14:textId="5D1BD09E" w:rsidR="008B549A" w:rsidRPr="00592E0C" w:rsidRDefault="008B549A" w:rsidP="00EE3BED">
      <w:pPr>
        <w:jc w:val="both"/>
        <w:rPr>
          <w:rFonts w:ascii="Century Gothic" w:hAnsi="Century Gothic"/>
        </w:rPr>
      </w:pPr>
      <w:r w:rsidRPr="00592E0C">
        <w:rPr>
          <w:rFonts w:ascii="Century Gothic" w:hAnsi="Century Gothic"/>
        </w:rPr>
        <w:t xml:space="preserve">Figure </w:t>
      </w:r>
      <w:r w:rsidR="00161DCB" w:rsidRPr="00592E0C">
        <w:rPr>
          <w:rFonts w:ascii="Century Gothic" w:hAnsi="Century Gothic"/>
        </w:rPr>
        <w:t>18</w:t>
      </w:r>
      <w:r w:rsidRPr="00592E0C">
        <w:rPr>
          <w:rFonts w:ascii="Century Gothic" w:hAnsi="Century Gothic"/>
        </w:rPr>
        <w:t>. Demand for female labour by different qualification categories (percentage change from base)</w:t>
      </w:r>
    </w:p>
    <w:p w14:paraId="5C272799" w14:textId="635DB54C" w:rsidR="00943A0A" w:rsidRPr="00592E0C" w:rsidRDefault="00DB76D4" w:rsidP="00EE3BED">
      <w:pPr>
        <w:jc w:val="both"/>
        <w:rPr>
          <w:rFonts w:ascii="Century Gothic" w:hAnsi="Century Gothic"/>
        </w:rPr>
      </w:pPr>
      <w:r w:rsidRPr="00592E0C">
        <w:rPr>
          <w:rFonts w:ascii="Century Gothic" w:hAnsi="Century Gothic"/>
        </w:rPr>
        <w:lastRenderedPageBreak/>
        <w:t>The more extensive arable land</w:t>
      </w:r>
      <w:r w:rsidR="00847249" w:rsidRPr="00592E0C">
        <w:rPr>
          <w:rFonts w:ascii="Century Gothic" w:hAnsi="Century Gothic"/>
        </w:rPr>
        <w:t xml:space="preserve"> owned by women</w:t>
      </w:r>
      <w:r w:rsidRPr="00592E0C">
        <w:rPr>
          <w:rFonts w:ascii="Century Gothic" w:hAnsi="Century Gothic"/>
        </w:rPr>
        <w:t xml:space="preserve"> for crop production, </w:t>
      </w:r>
      <w:r w:rsidR="00704B21" w:rsidRPr="00592E0C">
        <w:rPr>
          <w:rFonts w:ascii="Century Gothic" w:hAnsi="Century Gothic"/>
        </w:rPr>
        <w:t xml:space="preserve">required </w:t>
      </w:r>
      <w:r w:rsidRPr="00592E0C">
        <w:rPr>
          <w:rFonts w:ascii="Century Gothic" w:hAnsi="Century Gothic"/>
        </w:rPr>
        <w:t xml:space="preserve">the greater labour factor in the production process </w:t>
      </w:r>
      <w:r w:rsidR="0018216D" w:rsidRPr="00592E0C">
        <w:rPr>
          <w:rFonts w:ascii="Century Gothic" w:hAnsi="Century Gothic"/>
        </w:rPr>
        <w:t xml:space="preserve">(figure </w:t>
      </w:r>
      <w:r w:rsidR="00161DCB" w:rsidRPr="00592E0C">
        <w:rPr>
          <w:rFonts w:ascii="Century Gothic" w:hAnsi="Century Gothic"/>
        </w:rPr>
        <w:t>18</w:t>
      </w:r>
      <w:r w:rsidR="0018216D" w:rsidRPr="00592E0C">
        <w:rPr>
          <w:rFonts w:ascii="Century Gothic" w:hAnsi="Century Gothic"/>
        </w:rPr>
        <w:t>).</w:t>
      </w:r>
    </w:p>
    <w:p w14:paraId="6526F50B" w14:textId="77777777" w:rsidR="00943A0A" w:rsidRPr="00592E0C" w:rsidRDefault="00943A0A" w:rsidP="00EE3BED">
      <w:pPr>
        <w:jc w:val="both"/>
        <w:rPr>
          <w:rFonts w:ascii="Century Gothic" w:hAnsi="Century Gothic"/>
        </w:rPr>
      </w:pPr>
    </w:p>
    <w:p w14:paraId="22938662" w14:textId="77777777" w:rsidR="0018216D" w:rsidRPr="00592E0C" w:rsidRDefault="00943A0A" w:rsidP="00EE3BED">
      <w:pPr>
        <w:jc w:val="both"/>
        <w:rPr>
          <w:rFonts w:ascii="Century Gothic" w:hAnsi="Century Gothic"/>
          <w:i/>
        </w:rPr>
      </w:pPr>
      <w:r w:rsidRPr="00592E0C">
        <w:rPr>
          <w:rFonts w:ascii="Century Gothic" w:hAnsi="Century Gothic"/>
          <w:i/>
        </w:rPr>
        <w:t>Effects on household income</w:t>
      </w:r>
    </w:p>
    <w:p w14:paraId="109719D9" w14:textId="0E72FBC2" w:rsidR="00704B21" w:rsidRPr="00592E0C" w:rsidRDefault="00C76516" w:rsidP="00EE3BED">
      <w:pPr>
        <w:jc w:val="both"/>
        <w:rPr>
          <w:rFonts w:ascii="Century Gothic" w:hAnsi="Century Gothic"/>
        </w:rPr>
      </w:pPr>
      <w:r w:rsidRPr="00592E0C">
        <w:rPr>
          <w:rFonts w:ascii="Century Gothic" w:hAnsi="Century Gothic"/>
        </w:rPr>
        <w:t xml:space="preserve">According to the 2019 SAM, households derive their income mainly from labour </w:t>
      </w:r>
      <w:r w:rsidR="00400C2E" w:rsidRPr="00592E0C">
        <w:rPr>
          <w:rFonts w:ascii="Century Gothic" w:hAnsi="Century Gothic"/>
        </w:rPr>
        <w:t xml:space="preserve">wages </w:t>
      </w:r>
      <w:r w:rsidRPr="00592E0C">
        <w:rPr>
          <w:rFonts w:ascii="Century Gothic" w:hAnsi="Century Gothic"/>
        </w:rPr>
        <w:t xml:space="preserve">which </w:t>
      </w:r>
      <w:r w:rsidR="00400C2E" w:rsidRPr="00592E0C">
        <w:rPr>
          <w:rFonts w:ascii="Century Gothic" w:hAnsi="Century Gothic"/>
        </w:rPr>
        <w:t xml:space="preserve">makes up </w:t>
      </w:r>
      <w:r w:rsidRPr="00592E0C">
        <w:rPr>
          <w:rFonts w:ascii="Century Gothic" w:hAnsi="Century Gothic"/>
        </w:rPr>
        <w:t>50.8</w:t>
      </w:r>
      <w:r w:rsidR="00400C2E" w:rsidRPr="00592E0C">
        <w:rPr>
          <w:rFonts w:ascii="Century Gothic" w:hAnsi="Century Gothic"/>
        </w:rPr>
        <w:t xml:space="preserve"> percent</w:t>
      </w:r>
      <w:r w:rsidRPr="00592E0C">
        <w:rPr>
          <w:rFonts w:ascii="Century Gothic" w:hAnsi="Century Gothic"/>
        </w:rPr>
        <w:t xml:space="preserve"> of total income (women receive 14.5</w:t>
      </w:r>
      <w:r w:rsidR="00400C2E" w:rsidRPr="00592E0C">
        <w:rPr>
          <w:rFonts w:ascii="Century Gothic" w:hAnsi="Century Gothic"/>
        </w:rPr>
        <w:t xml:space="preserve"> percent</w:t>
      </w:r>
      <w:r w:rsidRPr="00592E0C">
        <w:rPr>
          <w:rFonts w:ascii="Century Gothic" w:hAnsi="Century Gothic"/>
        </w:rPr>
        <w:t xml:space="preserve"> of labour income and men 36.4</w:t>
      </w:r>
      <w:r w:rsidR="00400C2E" w:rsidRPr="00592E0C">
        <w:rPr>
          <w:rFonts w:ascii="Century Gothic" w:hAnsi="Century Gothic"/>
        </w:rPr>
        <w:t xml:space="preserve"> percent</w:t>
      </w:r>
      <w:r w:rsidRPr="00592E0C">
        <w:rPr>
          <w:rFonts w:ascii="Century Gothic" w:hAnsi="Century Gothic"/>
        </w:rPr>
        <w:t xml:space="preserve"> of labour income), land and capital income consists of 14.8</w:t>
      </w:r>
      <w:r w:rsidR="00400C2E" w:rsidRPr="00592E0C">
        <w:rPr>
          <w:rFonts w:ascii="Century Gothic" w:hAnsi="Century Gothic"/>
        </w:rPr>
        <w:t xml:space="preserve"> percent</w:t>
      </w:r>
      <w:r w:rsidRPr="00592E0C">
        <w:rPr>
          <w:rFonts w:ascii="Century Gothic" w:hAnsi="Century Gothic"/>
        </w:rPr>
        <w:t xml:space="preserve"> of total income (women's share of income from land is only 1.5</w:t>
      </w:r>
      <w:r w:rsidR="00400C2E" w:rsidRPr="00592E0C">
        <w:rPr>
          <w:rFonts w:ascii="Century Gothic" w:hAnsi="Century Gothic"/>
        </w:rPr>
        <w:t xml:space="preserve"> percent</w:t>
      </w:r>
      <w:r w:rsidRPr="00592E0C">
        <w:rPr>
          <w:rFonts w:ascii="Century Gothic" w:hAnsi="Century Gothic"/>
        </w:rPr>
        <w:t xml:space="preserve"> compared to 6.2</w:t>
      </w:r>
      <w:r w:rsidR="00400C2E" w:rsidRPr="00592E0C">
        <w:rPr>
          <w:rFonts w:ascii="Century Gothic" w:hAnsi="Century Gothic"/>
        </w:rPr>
        <w:t xml:space="preserve"> for</w:t>
      </w:r>
      <w:r w:rsidRPr="00592E0C">
        <w:rPr>
          <w:rFonts w:ascii="Century Gothic" w:hAnsi="Century Gothic"/>
        </w:rPr>
        <w:t xml:space="preserve"> men), and transfers from the government, firms, and the rest of the world (34.5</w:t>
      </w:r>
      <w:r w:rsidR="00400C2E" w:rsidRPr="00592E0C">
        <w:rPr>
          <w:rFonts w:ascii="Century Gothic" w:hAnsi="Century Gothic"/>
        </w:rPr>
        <w:t xml:space="preserve"> percent</w:t>
      </w:r>
      <w:r w:rsidRPr="00592E0C">
        <w:rPr>
          <w:rFonts w:ascii="Century Gothic" w:hAnsi="Century Gothic"/>
        </w:rPr>
        <w:t xml:space="preserve"> of total income). In this simulation scenario, we have a decline in wages, which is the main source of household income. However, the consumer price index dec</w:t>
      </w:r>
      <w:r w:rsidR="00400C2E" w:rsidRPr="00592E0C">
        <w:rPr>
          <w:rFonts w:ascii="Century Gothic" w:hAnsi="Century Gothic"/>
        </w:rPr>
        <w:t>lines by</w:t>
      </w:r>
      <w:r w:rsidRPr="00592E0C">
        <w:rPr>
          <w:rFonts w:ascii="Century Gothic" w:hAnsi="Century Gothic"/>
        </w:rPr>
        <w:t xml:space="preserve"> more (0.33</w:t>
      </w:r>
      <w:r w:rsidR="00400C2E" w:rsidRPr="00592E0C">
        <w:rPr>
          <w:rFonts w:ascii="Century Gothic" w:hAnsi="Century Gothic"/>
        </w:rPr>
        <w:t xml:space="preserve"> percent</w:t>
      </w:r>
      <w:r w:rsidRPr="00592E0C">
        <w:rPr>
          <w:rFonts w:ascii="Century Gothic" w:hAnsi="Century Gothic"/>
        </w:rPr>
        <w:t xml:space="preserve">) than </w:t>
      </w:r>
      <w:r w:rsidR="00400C2E" w:rsidRPr="00592E0C">
        <w:rPr>
          <w:rFonts w:ascii="Century Gothic" w:hAnsi="Century Gothic"/>
        </w:rPr>
        <w:t xml:space="preserve">the decline in </w:t>
      </w:r>
      <w:r w:rsidRPr="00592E0C">
        <w:rPr>
          <w:rFonts w:ascii="Century Gothic" w:hAnsi="Century Gothic"/>
        </w:rPr>
        <w:t>nominal incoe (0.19</w:t>
      </w:r>
      <w:r w:rsidR="00400C2E" w:rsidRPr="00592E0C">
        <w:rPr>
          <w:rFonts w:ascii="Century Gothic" w:hAnsi="Century Gothic"/>
        </w:rPr>
        <w:t xml:space="preserve"> percent</w:t>
      </w:r>
      <w:r w:rsidRPr="00592E0C">
        <w:rPr>
          <w:rFonts w:ascii="Century Gothic" w:hAnsi="Century Gothic"/>
        </w:rPr>
        <w:t>), thereby increasing household purchasing power by 0.15</w:t>
      </w:r>
      <w:r w:rsidR="00400C2E" w:rsidRPr="00592E0C">
        <w:rPr>
          <w:rFonts w:ascii="Century Gothic" w:hAnsi="Century Gothic"/>
        </w:rPr>
        <w:t xml:space="preserve"> percent</w:t>
      </w:r>
      <w:r w:rsidRPr="00592E0C">
        <w:rPr>
          <w:rFonts w:ascii="Century Gothic" w:hAnsi="Century Gothic"/>
        </w:rPr>
        <w:t xml:space="preserve"> and potentially easing poverty.</w:t>
      </w:r>
    </w:p>
    <w:p w14:paraId="0FC74ECF" w14:textId="77777777" w:rsidR="00F926CE" w:rsidRPr="00592E0C" w:rsidRDefault="00F926CE" w:rsidP="00EE3BED">
      <w:pPr>
        <w:rPr>
          <w:rFonts w:ascii="Century Gothic" w:hAnsi="Century Gothic"/>
          <w:b/>
        </w:rPr>
      </w:pPr>
    </w:p>
    <w:p w14:paraId="33D4D8B7" w14:textId="6C30F1E1" w:rsidR="00593CF7" w:rsidRPr="00592E0C" w:rsidRDefault="00522C0C" w:rsidP="00EE3BED">
      <w:pPr>
        <w:jc w:val="both"/>
        <w:rPr>
          <w:rFonts w:ascii="Century Gothic" w:hAnsi="Century Gothic"/>
        </w:rPr>
      </w:pPr>
      <w:r w:rsidRPr="00592E0C">
        <w:rPr>
          <w:rFonts w:ascii="Century Gothic" w:hAnsi="Century Gothic"/>
          <w:b/>
        </w:rPr>
        <w:t>Simulation 3</w:t>
      </w:r>
      <w:r w:rsidR="00593CF7" w:rsidRPr="00592E0C">
        <w:rPr>
          <w:rFonts w:ascii="Century Gothic" w:hAnsi="Century Gothic"/>
          <w:b/>
        </w:rPr>
        <w:t>: The productivity and welfare impacts of ensuring equal access to productive inputs (i.e. fertilizers) for all farmers and especially for women</w:t>
      </w:r>
    </w:p>
    <w:p w14:paraId="11120B64" w14:textId="77777777" w:rsidR="008802D5" w:rsidRPr="00592E0C" w:rsidRDefault="008802D5" w:rsidP="00EE3BED">
      <w:pPr>
        <w:jc w:val="both"/>
        <w:rPr>
          <w:rFonts w:ascii="Century Gothic" w:hAnsi="Century Gothic"/>
        </w:rPr>
      </w:pPr>
    </w:p>
    <w:p w14:paraId="55B7428F" w14:textId="77777777" w:rsidR="00592E0C" w:rsidRPr="005D33E0" w:rsidRDefault="00592E0C" w:rsidP="00592E0C">
      <w:pPr>
        <w:jc w:val="both"/>
        <w:rPr>
          <w:rFonts w:ascii="Century Gothic" w:hAnsi="Century Gothic" w:cs="Times New Roman"/>
          <w:i/>
        </w:rPr>
      </w:pPr>
      <w:r w:rsidRPr="005D33E0">
        <w:rPr>
          <w:rFonts w:ascii="Century Gothic" w:hAnsi="Century Gothic" w:cs="Times New Roman"/>
          <w:i/>
        </w:rPr>
        <w:t>Macroeconomic effects</w:t>
      </w:r>
    </w:p>
    <w:p w14:paraId="7018E871" w14:textId="006BAAC6" w:rsidR="0084796E" w:rsidRPr="00592E0C" w:rsidRDefault="00E320D3" w:rsidP="00EE3BED">
      <w:pPr>
        <w:jc w:val="both"/>
        <w:rPr>
          <w:rFonts w:ascii="Century Gothic" w:hAnsi="Century Gothic"/>
        </w:rPr>
      </w:pPr>
      <w:r w:rsidRPr="00592E0C">
        <w:rPr>
          <w:rFonts w:ascii="Century Gothic" w:hAnsi="Century Gothic"/>
        </w:rPr>
        <w:t xml:space="preserve">Abolishing the </w:t>
      </w:r>
      <w:r w:rsidR="00DA4B01" w:rsidRPr="00592E0C">
        <w:rPr>
          <w:rFonts w:ascii="Century Gothic" w:hAnsi="Century Gothic"/>
        </w:rPr>
        <w:t xml:space="preserve">VAT rate on locally produced fertilizers has positive macroeconomic </w:t>
      </w:r>
      <w:r w:rsidR="00A24783" w:rsidRPr="00592E0C">
        <w:rPr>
          <w:rFonts w:ascii="Century Gothic" w:hAnsi="Century Gothic"/>
        </w:rPr>
        <w:t>implications</w:t>
      </w:r>
      <w:r w:rsidR="00DA4B01" w:rsidRPr="00592E0C">
        <w:rPr>
          <w:rFonts w:ascii="Century Gothic" w:hAnsi="Century Gothic"/>
        </w:rPr>
        <w:t xml:space="preserve">, mainly in terms of </w:t>
      </w:r>
      <w:r w:rsidRPr="00592E0C">
        <w:rPr>
          <w:rFonts w:ascii="Century Gothic" w:hAnsi="Century Gothic"/>
        </w:rPr>
        <w:t>total agricultural production,</w:t>
      </w:r>
      <w:r w:rsidR="00DA4B01" w:rsidRPr="00592E0C">
        <w:rPr>
          <w:rFonts w:ascii="Century Gothic" w:hAnsi="Century Gothic"/>
        </w:rPr>
        <w:t xml:space="preserve"> real GDP, </w:t>
      </w:r>
      <w:r w:rsidR="00A24783" w:rsidRPr="00592E0C">
        <w:rPr>
          <w:rFonts w:ascii="Century Gothic" w:hAnsi="Century Gothic"/>
        </w:rPr>
        <w:t>inflation</w:t>
      </w:r>
      <w:r w:rsidR="00DA4B01" w:rsidRPr="00592E0C">
        <w:rPr>
          <w:rFonts w:ascii="Century Gothic" w:hAnsi="Century Gothic"/>
        </w:rPr>
        <w:t>, household income, and consumption</w:t>
      </w:r>
      <w:r w:rsidR="00A57B86">
        <w:rPr>
          <w:rFonts w:ascii="Century Gothic" w:hAnsi="Century Gothic"/>
        </w:rPr>
        <w:t xml:space="preserve"> (table 6)</w:t>
      </w:r>
      <w:r w:rsidR="00DA4B01" w:rsidRPr="00592E0C">
        <w:rPr>
          <w:rFonts w:ascii="Century Gothic" w:hAnsi="Century Gothic"/>
        </w:rPr>
        <w:t xml:space="preserve">. </w:t>
      </w:r>
      <w:r w:rsidR="0084796E" w:rsidRPr="00592E0C">
        <w:rPr>
          <w:rFonts w:ascii="Century Gothic" w:hAnsi="Century Gothic"/>
        </w:rPr>
        <w:t>However, this simulation negatively affects total government income by 5.5</w:t>
      </w:r>
      <w:r w:rsidR="00A24783" w:rsidRPr="00592E0C">
        <w:rPr>
          <w:rFonts w:ascii="Century Gothic" w:hAnsi="Century Gothic"/>
        </w:rPr>
        <w:t xml:space="preserve"> percent</w:t>
      </w:r>
      <w:r w:rsidR="0084796E" w:rsidRPr="00592E0C">
        <w:rPr>
          <w:rFonts w:ascii="Century Gothic" w:hAnsi="Century Gothic"/>
        </w:rPr>
        <w:t xml:space="preserve"> and government income from indirect taxes by 14.8</w:t>
      </w:r>
      <w:r w:rsidR="00A24783" w:rsidRPr="00592E0C">
        <w:rPr>
          <w:rFonts w:ascii="Century Gothic" w:hAnsi="Century Gothic"/>
        </w:rPr>
        <w:t xml:space="preserve"> percent</w:t>
      </w:r>
      <w:r w:rsidR="0084796E" w:rsidRPr="00592E0C">
        <w:rPr>
          <w:rFonts w:ascii="Century Gothic" w:hAnsi="Century Gothic"/>
        </w:rPr>
        <w:t xml:space="preserve">. </w:t>
      </w:r>
    </w:p>
    <w:p w14:paraId="455F75A7" w14:textId="51FC4099" w:rsidR="005B1827" w:rsidRPr="00737A97" w:rsidRDefault="00997AA4" w:rsidP="00EE3BED">
      <w:pPr>
        <w:jc w:val="both"/>
        <w:rPr>
          <w:rFonts w:ascii="Century Gothic" w:hAnsi="Century Gothic"/>
          <w:color w:val="000000" w:themeColor="text1"/>
        </w:rPr>
      </w:pPr>
      <w:r w:rsidRPr="00737A97">
        <w:rPr>
          <w:rFonts w:ascii="Century Gothic" w:hAnsi="Century Gothic"/>
          <w:color w:val="000000" w:themeColor="text1"/>
        </w:rPr>
        <w:t xml:space="preserve">Table </w:t>
      </w:r>
      <w:r w:rsidR="00F4635D">
        <w:rPr>
          <w:rFonts w:ascii="Century Gothic" w:hAnsi="Century Gothic"/>
          <w:color w:val="000000" w:themeColor="text1"/>
        </w:rPr>
        <w:t>6</w:t>
      </w:r>
      <w:r w:rsidR="00161DCB">
        <w:rPr>
          <w:rFonts w:ascii="Century Gothic" w:hAnsi="Century Gothic"/>
          <w:color w:val="000000" w:themeColor="text1"/>
        </w:rPr>
        <w:t>.</w:t>
      </w:r>
      <w:r w:rsidR="005B1827" w:rsidRPr="00737A97">
        <w:rPr>
          <w:rFonts w:ascii="Century Gothic" w:hAnsi="Century Gothic"/>
          <w:color w:val="000000" w:themeColor="text1"/>
        </w:rPr>
        <w:t xml:space="preserve"> Impacts on macroeconomic variables (% change from </w:t>
      </w:r>
      <w:r w:rsidR="00E320D3" w:rsidRPr="00737A97">
        <w:rPr>
          <w:rFonts w:ascii="Century Gothic" w:hAnsi="Century Gothic"/>
          <w:color w:val="000000" w:themeColor="text1"/>
        </w:rPr>
        <w:t>the base</w:t>
      </w:r>
      <w:r w:rsidR="005B1827" w:rsidRPr="00737A97">
        <w:rPr>
          <w:rFonts w:ascii="Century Gothic" w:hAnsi="Century Gothic"/>
          <w:color w:val="000000" w:themeColor="text1"/>
        </w:rPr>
        <w:t>)</w:t>
      </w:r>
    </w:p>
    <w:tbl>
      <w:tblPr>
        <w:tblStyle w:val="TableGrid"/>
        <w:tblW w:w="0" w:type="auto"/>
        <w:tblLook w:val="04A0" w:firstRow="1" w:lastRow="0" w:firstColumn="1" w:lastColumn="0" w:noHBand="0" w:noVBand="1"/>
      </w:tblPr>
      <w:tblGrid>
        <w:gridCol w:w="5554"/>
        <w:gridCol w:w="3888"/>
      </w:tblGrid>
      <w:tr w:rsidR="00AB73EE" w:rsidRPr="00161DCB" w14:paraId="4C1E1723" w14:textId="77777777" w:rsidTr="0017252B">
        <w:tc>
          <w:tcPr>
            <w:tcW w:w="5665" w:type="dxa"/>
          </w:tcPr>
          <w:p w14:paraId="7A316FD1" w14:textId="77777777" w:rsidR="005B1827" w:rsidRPr="00161DCB" w:rsidRDefault="005B1827" w:rsidP="00EE3BED">
            <w:pPr>
              <w:jc w:val="center"/>
              <w:rPr>
                <w:rFonts w:ascii="Century Gothic" w:hAnsi="Century Gothic"/>
                <w:color w:val="000000" w:themeColor="text1"/>
              </w:rPr>
            </w:pPr>
            <w:r w:rsidRPr="00161DCB">
              <w:rPr>
                <w:rFonts w:ascii="Century Gothic" w:hAnsi="Century Gothic"/>
                <w:color w:val="000000" w:themeColor="text1"/>
              </w:rPr>
              <w:t>Macroeconomic variables</w:t>
            </w:r>
          </w:p>
        </w:tc>
        <w:tc>
          <w:tcPr>
            <w:tcW w:w="3969" w:type="dxa"/>
          </w:tcPr>
          <w:p w14:paraId="559B9132" w14:textId="77777777" w:rsidR="005B1827" w:rsidRPr="00161DCB" w:rsidRDefault="005B1827" w:rsidP="00EE3BED">
            <w:pPr>
              <w:jc w:val="center"/>
              <w:rPr>
                <w:rFonts w:ascii="Century Gothic" w:hAnsi="Century Gothic"/>
                <w:color w:val="000000" w:themeColor="text1"/>
              </w:rPr>
            </w:pPr>
            <w:r w:rsidRPr="00161DCB">
              <w:rPr>
                <w:rFonts w:ascii="Century Gothic" w:hAnsi="Century Gothic"/>
                <w:color w:val="000000" w:themeColor="text1"/>
              </w:rPr>
              <w:t>Simulation results</w:t>
            </w:r>
          </w:p>
        </w:tc>
      </w:tr>
      <w:tr w:rsidR="00AB73EE" w:rsidRPr="00161DCB" w14:paraId="10A2EDB1" w14:textId="77777777" w:rsidTr="0017252B">
        <w:tc>
          <w:tcPr>
            <w:tcW w:w="5665" w:type="dxa"/>
          </w:tcPr>
          <w:p w14:paraId="396A69BD" w14:textId="77777777" w:rsidR="005B1827" w:rsidRPr="00161DCB" w:rsidRDefault="005B1827" w:rsidP="00EE3BED">
            <w:pPr>
              <w:rPr>
                <w:rFonts w:ascii="Century Gothic" w:hAnsi="Century Gothic"/>
                <w:color w:val="000000" w:themeColor="text1"/>
              </w:rPr>
            </w:pPr>
            <w:r w:rsidRPr="00161DCB">
              <w:rPr>
                <w:rFonts w:ascii="Century Gothic" w:hAnsi="Century Gothic"/>
                <w:color w:val="000000" w:themeColor="text1"/>
              </w:rPr>
              <w:t>Total pro</w:t>
            </w:r>
            <w:r w:rsidR="00DF56C9" w:rsidRPr="00161DCB">
              <w:rPr>
                <w:rFonts w:ascii="Century Gothic" w:hAnsi="Century Gothic"/>
                <w:color w:val="000000" w:themeColor="text1"/>
              </w:rPr>
              <w:t>duction of agricultural production</w:t>
            </w:r>
          </w:p>
        </w:tc>
        <w:tc>
          <w:tcPr>
            <w:tcW w:w="3969" w:type="dxa"/>
          </w:tcPr>
          <w:p w14:paraId="42675133" w14:textId="77777777" w:rsidR="005B1827" w:rsidRPr="00161DCB" w:rsidRDefault="005B1827" w:rsidP="00EE3BED">
            <w:pPr>
              <w:rPr>
                <w:rFonts w:ascii="Century Gothic" w:hAnsi="Century Gothic"/>
                <w:color w:val="000000" w:themeColor="text1"/>
              </w:rPr>
            </w:pPr>
            <w:r w:rsidRPr="00161DCB">
              <w:rPr>
                <w:rFonts w:ascii="Century Gothic" w:hAnsi="Century Gothic"/>
                <w:color w:val="000000" w:themeColor="text1"/>
              </w:rPr>
              <w:t>+</w:t>
            </w:r>
            <w:r w:rsidR="00E320D3" w:rsidRPr="00161DCB">
              <w:rPr>
                <w:rFonts w:ascii="Century Gothic" w:hAnsi="Century Gothic"/>
                <w:color w:val="000000" w:themeColor="text1"/>
              </w:rPr>
              <w:t>2.6</w:t>
            </w:r>
          </w:p>
        </w:tc>
      </w:tr>
      <w:tr w:rsidR="00E320D3" w:rsidRPr="00161DCB" w14:paraId="3DF4FAB9" w14:textId="77777777" w:rsidTr="0017252B">
        <w:tc>
          <w:tcPr>
            <w:tcW w:w="5665" w:type="dxa"/>
          </w:tcPr>
          <w:p w14:paraId="558562CF"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 xml:space="preserve">Real GDP </w:t>
            </w:r>
          </w:p>
        </w:tc>
        <w:tc>
          <w:tcPr>
            <w:tcW w:w="3969" w:type="dxa"/>
          </w:tcPr>
          <w:p w14:paraId="792C9249"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+1.7</w:t>
            </w:r>
          </w:p>
        </w:tc>
      </w:tr>
      <w:tr w:rsidR="00E320D3" w:rsidRPr="00161DCB" w14:paraId="30981341" w14:textId="77777777" w:rsidTr="0017252B">
        <w:tc>
          <w:tcPr>
            <w:tcW w:w="5665" w:type="dxa"/>
          </w:tcPr>
          <w:p w14:paraId="7A435CF3" w14:textId="77777777" w:rsidR="00E320D3" w:rsidRPr="00161DCB" w:rsidRDefault="00E320D3" w:rsidP="00EE3BED">
            <w:pPr>
              <w:jc w:val="both"/>
              <w:rPr>
                <w:rFonts w:ascii="Century Gothic" w:hAnsi="Century Gothic" w:cs="Times New Roman"/>
                <w:color w:val="000000" w:themeColor="text1"/>
              </w:rPr>
            </w:pPr>
            <w:r w:rsidRPr="00161DCB">
              <w:rPr>
                <w:rFonts w:ascii="Century Gothic" w:hAnsi="Century Gothic" w:cs="Times New Roman"/>
                <w:color w:val="000000" w:themeColor="text1"/>
              </w:rPr>
              <w:t>Consumer Price Index</w:t>
            </w:r>
          </w:p>
        </w:tc>
        <w:tc>
          <w:tcPr>
            <w:tcW w:w="3969" w:type="dxa"/>
          </w:tcPr>
          <w:p w14:paraId="0551DD01"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-3.08</w:t>
            </w:r>
          </w:p>
        </w:tc>
      </w:tr>
      <w:tr w:rsidR="00E320D3" w:rsidRPr="00161DCB" w14:paraId="4191B7A0" w14:textId="77777777" w:rsidTr="0017252B">
        <w:tc>
          <w:tcPr>
            <w:tcW w:w="5665" w:type="dxa"/>
          </w:tcPr>
          <w:p w14:paraId="55277EAD"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Nominal household income</w:t>
            </w:r>
          </w:p>
        </w:tc>
        <w:tc>
          <w:tcPr>
            <w:tcW w:w="3969" w:type="dxa"/>
          </w:tcPr>
          <w:p w14:paraId="6733996C"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+6.1</w:t>
            </w:r>
          </w:p>
        </w:tc>
      </w:tr>
      <w:tr w:rsidR="00E320D3" w:rsidRPr="00161DCB" w14:paraId="73D3FF1D" w14:textId="77777777" w:rsidTr="0017252B">
        <w:tc>
          <w:tcPr>
            <w:tcW w:w="5665" w:type="dxa"/>
          </w:tcPr>
          <w:p w14:paraId="0E3E447A" w14:textId="77777777" w:rsidR="00E320D3" w:rsidRPr="00161DCB" w:rsidRDefault="00E320D3" w:rsidP="00EE3BED">
            <w:pPr>
              <w:jc w:val="both"/>
              <w:rPr>
                <w:rFonts w:ascii="Century Gothic" w:hAnsi="Century Gothic" w:cs="Times New Roman"/>
                <w:color w:val="000000" w:themeColor="text1"/>
              </w:rPr>
            </w:pPr>
            <w:r w:rsidRPr="00161DCB">
              <w:rPr>
                <w:rFonts w:ascii="Century Gothic" w:hAnsi="Century Gothic" w:cs="Times New Roman"/>
                <w:color w:val="000000" w:themeColor="text1"/>
              </w:rPr>
              <w:t>Real household consumption</w:t>
            </w:r>
          </w:p>
        </w:tc>
        <w:tc>
          <w:tcPr>
            <w:tcW w:w="3969" w:type="dxa"/>
          </w:tcPr>
          <w:p w14:paraId="05D5BD83" w14:textId="77777777" w:rsidR="00E320D3" w:rsidRPr="00161DCB" w:rsidRDefault="00E320D3" w:rsidP="00EE3BED">
            <w:pPr>
              <w:rPr>
                <w:rFonts w:ascii="Century Gothic" w:hAnsi="Century Gothic"/>
                <w:color w:val="000000" w:themeColor="text1"/>
              </w:rPr>
            </w:pPr>
            <w:r w:rsidRPr="00161DCB">
              <w:rPr>
                <w:rFonts w:ascii="Century Gothic" w:hAnsi="Century Gothic"/>
                <w:color w:val="000000" w:themeColor="text1"/>
              </w:rPr>
              <w:t>+9.5</w:t>
            </w:r>
          </w:p>
        </w:tc>
      </w:tr>
      <w:tr w:rsidR="00E320D3" w:rsidRPr="00161DCB" w14:paraId="19FDDCC6" w14:textId="77777777" w:rsidTr="0017252B">
        <w:tc>
          <w:tcPr>
            <w:tcW w:w="5665" w:type="dxa"/>
          </w:tcPr>
          <w:p w14:paraId="26EEE20A" w14:textId="77777777" w:rsidR="00E320D3" w:rsidRPr="00161DCB" w:rsidRDefault="00E320D3" w:rsidP="00EE3BED">
            <w:pPr>
              <w:widowControl w:val="0"/>
              <w:rPr>
                <w:rFonts w:ascii="Century Gothic" w:hAnsi="Century Gothic" w:cs="Arial"/>
              </w:rPr>
            </w:pPr>
            <w:r w:rsidRPr="00161DCB">
              <w:rPr>
                <w:rFonts w:ascii="Century Gothic" w:hAnsi="Century Gothic" w:cs="Arial"/>
              </w:rPr>
              <w:t>Total government income</w:t>
            </w:r>
          </w:p>
        </w:tc>
        <w:tc>
          <w:tcPr>
            <w:tcW w:w="3969" w:type="dxa"/>
          </w:tcPr>
          <w:p w14:paraId="35625FB1" w14:textId="77777777" w:rsidR="00E320D3" w:rsidRPr="00161DCB" w:rsidRDefault="007B7FBD" w:rsidP="00EE3BED">
            <w:pPr>
              <w:rPr>
                <w:rFonts w:ascii="Century Gothic" w:hAnsi="Century Gothic"/>
                <w:color w:val="000000" w:themeColor="text1"/>
              </w:rPr>
            </w:pPr>
            <w:r w:rsidRPr="00161DCB">
              <w:rPr>
                <w:rFonts w:ascii="Century Gothic" w:hAnsi="Century Gothic"/>
                <w:color w:val="000000" w:themeColor="text1"/>
              </w:rPr>
              <w:t>-5.5</w:t>
            </w:r>
          </w:p>
        </w:tc>
      </w:tr>
      <w:tr w:rsidR="00E320D3" w:rsidRPr="00161DCB" w14:paraId="7FEC2A11" w14:textId="77777777" w:rsidTr="0017252B">
        <w:tc>
          <w:tcPr>
            <w:tcW w:w="5665" w:type="dxa"/>
          </w:tcPr>
          <w:p w14:paraId="3B0B58BE" w14:textId="77777777" w:rsidR="00E320D3" w:rsidRPr="00161DCB" w:rsidRDefault="00E320D3" w:rsidP="00EE3BED">
            <w:pPr>
              <w:widowControl w:val="0"/>
              <w:rPr>
                <w:rFonts w:ascii="Century Gothic" w:eastAsia="Times New Roman;Times New Roman" w:hAnsi="Century Gothic" w:cs="Arial"/>
                <w:color w:val="000000"/>
              </w:rPr>
            </w:pPr>
            <w:r w:rsidRPr="00161DCB">
              <w:rPr>
                <w:rFonts w:ascii="Century Gothic" w:eastAsia="Times New Roman;Times New Roman" w:hAnsi="Century Gothic" w:cs="Arial"/>
                <w:color w:val="000000"/>
              </w:rPr>
              <w:t>Total government receipts of Indirect taxes on commodities</w:t>
            </w:r>
          </w:p>
        </w:tc>
        <w:tc>
          <w:tcPr>
            <w:tcW w:w="3969" w:type="dxa"/>
          </w:tcPr>
          <w:p w14:paraId="3D584F6F" w14:textId="77777777" w:rsidR="00E320D3" w:rsidRPr="00161DCB" w:rsidRDefault="007B7FBD" w:rsidP="00EE3BED">
            <w:pPr>
              <w:rPr>
                <w:rFonts w:ascii="Century Gothic" w:hAnsi="Century Gothic"/>
                <w:color w:val="000000" w:themeColor="text1"/>
              </w:rPr>
            </w:pPr>
            <w:r w:rsidRPr="00161DCB">
              <w:rPr>
                <w:rFonts w:ascii="Century Gothic" w:hAnsi="Century Gothic"/>
                <w:color w:val="000000" w:themeColor="text1"/>
              </w:rPr>
              <w:t>-14.8</w:t>
            </w:r>
          </w:p>
        </w:tc>
      </w:tr>
    </w:tbl>
    <w:p w14:paraId="2216B8BA" w14:textId="5F60621B" w:rsidR="005B1827" w:rsidRPr="00737A97" w:rsidRDefault="005B1827" w:rsidP="00EE3BED">
      <w:pPr>
        <w:jc w:val="both"/>
        <w:rPr>
          <w:rFonts w:ascii="Century Gothic" w:hAnsi="Century Gothic"/>
          <w:color w:val="000000" w:themeColor="text1"/>
        </w:rPr>
      </w:pPr>
      <w:r w:rsidRPr="00737A97">
        <w:rPr>
          <w:rFonts w:ascii="Century Gothic" w:hAnsi="Century Gothic"/>
          <w:color w:val="000000" w:themeColor="text1"/>
        </w:rPr>
        <w:t xml:space="preserve">Source: </w:t>
      </w:r>
      <w:r w:rsidR="00D516D0">
        <w:rPr>
          <w:rFonts w:ascii="Century Gothic" w:hAnsi="Century Gothic"/>
          <w:color w:val="000000" w:themeColor="text1"/>
        </w:rPr>
        <w:t>Simulation results</w:t>
      </w:r>
    </w:p>
    <w:p w14:paraId="5CB9766F" w14:textId="77777777" w:rsidR="0054320E" w:rsidRPr="00737A97" w:rsidRDefault="0054320E" w:rsidP="00EE3BED">
      <w:pPr>
        <w:jc w:val="both"/>
        <w:rPr>
          <w:rFonts w:ascii="Century Gothic" w:hAnsi="Century Gothic"/>
          <w:color w:val="000000" w:themeColor="text1"/>
        </w:rPr>
      </w:pPr>
    </w:p>
    <w:p w14:paraId="5201695F" w14:textId="77777777" w:rsidR="0054320E" w:rsidRPr="00737A97" w:rsidRDefault="00BA6D0B" w:rsidP="00EE3BED">
      <w:pPr>
        <w:jc w:val="both"/>
        <w:rPr>
          <w:rFonts w:ascii="Century Gothic" w:hAnsi="Century Gothic" w:cstheme="majorHAnsi"/>
          <w:i/>
        </w:rPr>
      </w:pPr>
      <w:r w:rsidRPr="00737A97">
        <w:rPr>
          <w:rFonts w:ascii="Century Gothic" w:hAnsi="Century Gothic" w:cstheme="majorHAnsi"/>
          <w:i/>
        </w:rPr>
        <w:t>Effects on sectoral production and factors market</w:t>
      </w:r>
    </w:p>
    <w:p w14:paraId="1B3454AE" w14:textId="5546181E" w:rsidR="00DF56C9" w:rsidRPr="00737A97" w:rsidRDefault="0084796E" w:rsidP="00EE3BED">
      <w:pPr>
        <w:jc w:val="both"/>
        <w:rPr>
          <w:rFonts w:ascii="Century Gothic" w:hAnsi="Century Gothic"/>
        </w:rPr>
      </w:pPr>
      <w:r w:rsidRPr="00737A97">
        <w:rPr>
          <w:rFonts w:ascii="Century Gothic" w:hAnsi="Century Gothic"/>
        </w:rPr>
        <w:t>In fact, the zero VAT rate on fertilizers leads to an increase in the total agricultural production (e.g., 4.67</w:t>
      </w:r>
      <w:r w:rsidR="00A24783" w:rsidRPr="00737A97">
        <w:rPr>
          <w:rFonts w:ascii="Century Gothic" w:hAnsi="Century Gothic"/>
        </w:rPr>
        <w:t xml:space="preserve"> percent</w:t>
      </w:r>
      <w:r w:rsidRPr="00737A97">
        <w:rPr>
          <w:rFonts w:ascii="Century Gothic" w:hAnsi="Century Gothic"/>
        </w:rPr>
        <w:t xml:space="preserve"> for crops, </w:t>
      </w:r>
      <w:r w:rsidR="00DF56C9" w:rsidRPr="00737A97">
        <w:rPr>
          <w:rFonts w:ascii="Century Gothic" w:hAnsi="Century Gothic"/>
        </w:rPr>
        <w:t>3.1</w:t>
      </w:r>
      <w:r w:rsidR="00A24783" w:rsidRPr="00737A97">
        <w:rPr>
          <w:rFonts w:ascii="Century Gothic" w:hAnsi="Century Gothic"/>
        </w:rPr>
        <w:t xml:space="preserve"> percent</w:t>
      </w:r>
      <w:r w:rsidRPr="00737A97">
        <w:rPr>
          <w:rFonts w:ascii="Century Gothic" w:hAnsi="Century Gothic"/>
        </w:rPr>
        <w:t xml:space="preserve"> for fruit, </w:t>
      </w:r>
      <w:r w:rsidR="00DF56C9" w:rsidRPr="00737A97">
        <w:rPr>
          <w:rFonts w:ascii="Century Gothic" w:hAnsi="Century Gothic"/>
        </w:rPr>
        <w:t>5.6</w:t>
      </w:r>
      <w:r w:rsidR="00A24783" w:rsidRPr="00737A97">
        <w:rPr>
          <w:rFonts w:ascii="Century Gothic" w:hAnsi="Century Gothic"/>
        </w:rPr>
        <w:t xml:space="preserve"> percent</w:t>
      </w:r>
      <w:r w:rsidR="00DF56C9" w:rsidRPr="00737A97">
        <w:rPr>
          <w:rFonts w:ascii="Century Gothic" w:hAnsi="Century Gothic"/>
        </w:rPr>
        <w:t xml:space="preserve"> for vegetables</w:t>
      </w:r>
      <w:r w:rsidR="00A24783" w:rsidRPr="00737A97">
        <w:rPr>
          <w:rFonts w:ascii="Century Gothic" w:hAnsi="Century Gothic"/>
        </w:rPr>
        <w:t xml:space="preserve"> –</w:t>
      </w:r>
      <w:r w:rsidRPr="00737A97">
        <w:rPr>
          <w:rFonts w:ascii="Century Gothic" w:hAnsi="Century Gothic"/>
        </w:rPr>
        <w:lastRenderedPageBreak/>
        <w:t>figure 1</w:t>
      </w:r>
      <w:r w:rsidR="00161DCB">
        <w:rPr>
          <w:rFonts w:ascii="Century Gothic" w:hAnsi="Century Gothic"/>
        </w:rPr>
        <w:t>9</w:t>
      </w:r>
      <w:r w:rsidRPr="00737A97">
        <w:rPr>
          <w:rFonts w:ascii="Century Gothic" w:hAnsi="Century Gothic"/>
        </w:rPr>
        <w:t>).</w:t>
      </w:r>
      <w:r w:rsidR="00DF56C9" w:rsidRPr="00737A97">
        <w:rPr>
          <w:rFonts w:ascii="Century Gothic" w:hAnsi="Century Gothic"/>
        </w:rPr>
        <w:t xml:space="preserve"> Specifically, these are the agricultural sectors that have the highest allocation of land for crop </w:t>
      </w:r>
      <w:r w:rsidR="00A24783" w:rsidRPr="00737A97">
        <w:rPr>
          <w:rFonts w:ascii="Century Gothic" w:hAnsi="Century Gothic"/>
        </w:rPr>
        <w:t>production,</w:t>
      </w:r>
      <w:r w:rsidR="00DF56C9" w:rsidRPr="00737A97">
        <w:rPr>
          <w:rFonts w:ascii="Century Gothic" w:hAnsi="Century Gothic"/>
        </w:rPr>
        <w:t xml:space="preserve"> and the most land-intensive.</w:t>
      </w:r>
    </w:p>
    <w:p w14:paraId="41A151A8" w14:textId="77777777" w:rsidR="00DF56C9" w:rsidRPr="00737A97" w:rsidRDefault="00DF56C9" w:rsidP="00EE3BED">
      <w:pPr>
        <w:jc w:val="center"/>
        <w:rPr>
          <w:rFonts w:ascii="Century Gothic" w:hAnsi="Century Gothic"/>
        </w:rPr>
      </w:pPr>
      <w:r w:rsidRPr="00737A97">
        <w:rPr>
          <w:rFonts w:ascii="Cambria" w:hAnsi="Cambria" w:cs="Arial"/>
          <w:b/>
          <w:noProof/>
          <w:lang w:val="ru-RU" w:eastAsia="zh-CN"/>
        </w:rPr>
        <mc:AlternateContent>
          <mc:Choice Requires="wps">
            <w:drawing>
              <wp:anchor distT="45720" distB="45720" distL="114300" distR="114300" simplePos="0" relativeHeight="251699200" behindDoc="0" locked="0" layoutInCell="1" allowOverlap="1" wp14:anchorId="755A474E" wp14:editId="236E6F67">
                <wp:simplePos x="0" y="0"/>
                <wp:positionH relativeFrom="column">
                  <wp:posOffset>683879</wp:posOffset>
                </wp:positionH>
                <wp:positionV relativeFrom="paragraph">
                  <wp:posOffset>178947</wp:posOffset>
                </wp:positionV>
                <wp:extent cx="337351" cy="1702694"/>
                <wp:effectExtent l="0" t="0" r="0" b="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3FC97B58" w14:textId="77777777" w:rsidR="00592E0C" w:rsidRPr="00F875C1" w:rsidRDefault="00592E0C" w:rsidP="00DF56C9">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474E" id="_x0000_s1039" type="#_x0000_t202" style="position:absolute;left:0;text-align:left;margin-left:53.85pt;margin-top:14.1pt;width:26.55pt;height:134.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" filled="f" stroked="f">
                <v:textbox style="layout-flow:vertical;mso-layout-flow-alt:bottom-to-top">
                  <w:txbxContent>
                    <w:p w14:paraId="3FC97B58" w14:textId="77777777" w:rsidR="00592E0C" w:rsidRPr="00F875C1" w:rsidRDefault="00592E0C" w:rsidP="00DF56C9">
                      <w:pPr>
                        <w:jc w:val="center"/>
                        <w:rPr>
                          <w:rFonts w:asciiTheme="majorHAnsi" w:hAnsiTheme="majorHAnsi" w:cstheme="majorHAnsi"/>
                          <w:sz w:val="16"/>
                          <w:szCs w:val="16"/>
                          <w:lang w:val="ru-RU"/>
                        </w:rPr>
                      </w:pPr>
                      <w:r>
                        <w:rPr>
                          <w:rFonts w:asciiTheme="majorHAnsi" w:hAnsiTheme="majorHAnsi" w:cstheme="majorHAnsi"/>
                          <w:sz w:val="16"/>
                          <w:szCs w:val="16"/>
                        </w:rPr>
                        <w:t>% change in estimated variable</w:t>
                      </w:r>
                    </w:p>
                  </w:txbxContent>
                </v:textbox>
              </v:shape>
            </w:pict>
          </mc:Fallback>
        </mc:AlternateContent>
      </w:r>
      <w:r w:rsidRPr="00737A97">
        <w:rPr>
          <w:noProof/>
          <w:lang w:val="ru-RU" w:eastAsia="zh-CN"/>
        </w:rPr>
        <w:drawing>
          <wp:inline distT="0" distB="0" distL="0" distR="0" wp14:anchorId="5EB483D4" wp14:editId="4E324BCF">
            <wp:extent cx="4572000" cy="2738845"/>
            <wp:effectExtent l="0" t="0" r="0"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C66795" w14:textId="236E847C" w:rsidR="00DF56C9" w:rsidRPr="00737A97" w:rsidRDefault="00DF56C9" w:rsidP="00EE3BED">
      <w:pPr>
        <w:jc w:val="both"/>
        <w:rPr>
          <w:rFonts w:ascii="Century Gothic" w:hAnsi="Century Gothic"/>
        </w:rPr>
      </w:pPr>
      <w:r w:rsidRPr="00737A97">
        <w:rPr>
          <w:rFonts w:ascii="Century Gothic" w:hAnsi="Century Gothic"/>
        </w:rPr>
        <w:t xml:space="preserve">Figure </w:t>
      </w:r>
      <w:r w:rsidR="00161DCB">
        <w:rPr>
          <w:rFonts w:ascii="Century Gothic" w:hAnsi="Century Gothic"/>
        </w:rPr>
        <w:t>19</w:t>
      </w:r>
      <w:r w:rsidRPr="00737A97">
        <w:rPr>
          <w:rFonts w:ascii="Century Gothic" w:hAnsi="Century Gothic"/>
        </w:rPr>
        <w:t xml:space="preserve">. </w:t>
      </w:r>
      <w:r w:rsidR="00BA6D0B" w:rsidRPr="00737A97">
        <w:rPr>
          <w:rFonts w:ascii="Century Gothic" w:hAnsi="Century Gothic"/>
        </w:rPr>
        <w:t xml:space="preserve">Total output across agricultural sectors and </w:t>
      </w:r>
      <w:r w:rsidR="00D33A8E" w:rsidRPr="00737A97">
        <w:rPr>
          <w:rFonts w:ascii="Century Gothic" w:hAnsi="Century Gothic"/>
        </w:rPr>
        <w:t>d</w:t>
      </w:r>
      <w:r w:rsidR="00BA6D0B" w:rsidRPr="00737A97">
        <w:rPr>
          <w:rFonts w:ascii="Century Gothic" w:hAnsi="Century Gothic"/>
        </w:rPr>
        <w:t>omestic demand for agricultural commodities</w:t>
      </w:r>
      <w:r w:rsidRPr="00737A97">
        <w:rPr>
          <w:rFonts w:ascii="Century Gothic" w:hAnsi="Century Gothic"/>
        </w:rPr>
        <w:t xml:space="preserve"> (percentage change from base)</w:t>
      </w:r>
    </w:p>
    <w:p w14:paraId="227653E6" w14:textId="2DD986D9" w:rsidR="00BA6D0B" w:rsidRPr="00737A97" w:rsidRDefault="00485999" w:rsidP="00EE3BED">
      <w:pPr>
        <w:jc w:val="both"/>
        <w:rPr>
          <w:rFonts w:ascii="Century Gothic" w:hAnsi="Century Gothic"/>
        </w:rPr>
      </w:pPr>
      <w:r w:rsidRPr="00737A97">
        <w:rPr>
          <w:rFonts w:ascii="Century Gothic" w:hAnsi="Century Gothic"/>
        </w:rPr>
        <w:t>The zero VAT rate leads to a decrease in the cost of fertilizers and an increase in the domestic demand for agri-food commodities in most agricultural sectors by 4.2</w:t>
      </w:r>
      <w:r w:rsidR="00D33A8E" w:rsidRPr="00737A97">
        <w:rPr>
          <w:rFonts w:ascii="Century Gothic" w:hAnsi="Century Gothic"/>
        </w:rPr>
        <w:t xml:space="preserve"> percent</w:t>
      </w:r>
      <w:r w:rsidR="00161DCB">
        <w:rPr>
          <w:rFonts w:ascii="Century Gothic" w:hAnsi="Century Gothic"/>
        </w:rPr>
        <w:t xml:space="preserve"> </w:t>
      </w:r>
      <w:r w:rsidRPr="00737A97">
        <w:rPr>
          <w:rFonts w:ascii="Century Gothic" w:hAnsi="Century Gothic"/>
        </w:rPr>
        <w:t xml:space="preserve">on average. </w:t>
      </w:r>
      <w:r w:rsidR="000F532A" w:rsidRPr="00737A97">
        <w:rPr>
          <w:rFonts w:ascii="Century Gothic" w:hAnsi="Century Gothic"/>
        </w:rPr>
        <w:t xml:space="preserve">Mostly, the demand for agricultural commodities increases in sectors where women's employment is higher than in other sectors (figure </w:t>
      </w:r>
      <w:r w:rsidR="00161DCB">
        <w:rPr>
          <w:rFonts w:ascii="Century Gothic" w:hAnsi="Century Gothic"/>
        </w:rPr>
        <w:t>20</w:t>
      </w:r>
      <w:r w:rsidR="000F532A" w:rsidRPr="00737A97">
        <w:rPr>
          <w:rFonts w:ascii="Century Gothic" w:hAnsi="Century Gothic"/>
        </w:rPr>
        <w:t>).</w:t>
      </w:r>
    </w:p>
    <w:p w14:paraId="6EA194D3" w14:textId="0CB64D95" w:rsidR="00AF2D36" w:rsidRPr="00737A97" w:rsidRDefault="00161DCB" w:rsidP="00EE3BED">
      <w:pPr>
        <w:jc w:val="center"/>
        <w:rPr>
          <w:rFonts w:ascii="Century Gothic" w:hAnsi="Century Gothic"/>
          <w:color w:val="000000" w:themeColor="text1"/>
        </w:rPr>
      </w:pPr>
      <w:r w:rsidRPr="00737A97">
        <w:rPr>
          <w:rFonts w:ascii="Cambria" w:hAnsi="Cambria" w:cs="Arial"/>
          <w:b/>
          <w:noProof/>
          <w:lang w:val="ru-RU" w:eastAsia="zh-CN"/>
        </w:rPr>
        <mc:AlternateContent>
          <mc:Choice Requires="wps">
            <w:drawing>
              <wp:anchor distT="45720" distB="45720" distL="114300" distR="114300" simplePos="0" relativeHeight="251703296" behindDoc="0" locked="0" layoutInCell="1" allowOverlap="1" wp14:anchorId="05142C71" wp14:editId="0AB2253B">
                <wp:simplePos x="0" y="0"/>
                <wp:positionH relativeFrom="column">
                  <wp:posOffset>5391150</wp:posOffset>
                </wp:positionH>
                <wp:positionV relativeFrom="paragraph">
                  <wp:posOffset>390794</wp:posOffset>
                </wp:positionV>
                <wp:extent cx="337351" cy="1702694"/>
                <wp:effectExtent l="0" t="0" r="0" b="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48D35BE2" w14:textId="77777777" w:rsidR="00592E0C" w:rsidRPr="000F532A" w:rsidRDefault="00592E0C" w:rsidP="000F532A">
                            <w:pPr>
                              <w:jc w:val="center"/>
                              <w:rPr>
                                <w:rFonts w:asciiTheme="majorHAnsi" w:hAnsiTheme="majorHAnsi" w:cstheme="majorHAnsi"/>
                                <w:sz w:val="16"/>
                                <w:szCs w:val="16"/>
                                <w:lang w:val="en-US"/>
                              </w:rPr>
                            </w:pPr>
                            <w:r>
                              <w:rPr>
                                <w:rFonts w:asciiTheme="majorHAnsi" w:hAnsiTheme="majorHAnsi" w:cstheme="majorHAnsi"/>
                                <w:sz w:val="16"/>
                                <w:szCs w:val="16"/>
                                <w:lang w:val="en-US"/>
                              </w:rPr>
                              <w:t>Women employment rate,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42C71" id="_x0000_s1040" type="#_x0000_t202" style="position:absolute;left:0;text-align:left;margin-left:424.5pt;margin-top:30.75pt;width:26.55pt;height:134.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" filled="f" stroked="f">
                <v:textbox style="layout-flow:vertical;mso-layout-flow-alt:bottom-to-top">
                  <w:txbxContent>
                    <w:p w14:paraId="48D35BE2" w14:textId="77777777" w:rsidR="00592E0C" w:rsidRPr="000F532A" w:rsidRDefault="00592E0C" w:rsidP="000F532A">
                      <w:pPr>
                        <w:jc w:val="center"/>
                        <w:rPr>
                          <w:rFonts w:asciiTheme="majorHAnsi" w:hAnsiTheme="majorHAnsi" w:cstheme="majorHAnsi"/>
                          <w:sz w:val="16"/>
                          <w:szCs w:val="16"/>
                          <w:lang w:val="en-US"/>
                        </w:rPr>
                      </w:pPr>
                      <w:r>
                        <w:rPr>
                          <w:rFonts w:asciiTheme="majorHAnsi" w:hAnsiTheme="majorHAnsi" w:cstheme="majorHAnsi"/>
                          <w:sz w:val="16"/>
                          <w:szCs w:val="16"/>
                          <w:lang w:val="en-US"/>
                        </w:rPr>
                        <w:t>Women employment rate, %</w:t>
                      </w:r>
                    </w:p>
                  </w:txbxContent>
                </v:textbox>
              </v:shape>
            </w:pict>
          </mc:Fallback>
        </mc:AlternateContent>
      </w:r>
      <w:r w:rsidR="00226D68" w:rsidRPr="00737A97">
        <w:rPr>
          <w:rFonts w:ascii="Cambria" w:hAnsi="Cambria" w:cs="Arial"/>
          <w:b/>
          <w:noProof/>
          <w:lang w:val="ru-RU" w:eastAsia="zh-CN"/>
        </w:rPr>
        <mc:AlternateContent>
          <mc:Choice Requires="wps">
            <w:drawing>
              <wp:anchor distT="45720" distB="45720" distL="114300" distR="114300" simplePos="0" relativeHeight="251701248" behindDoc="0" locked="0" layoutInCell="1" allowOverlap="1" wp14:anchorId="7A931E56" wp14:editId="48CB0E3E">
                <wp:simplePos x="0" y="0"/>
                <wp:positionH relativeFrom="column">
                  <wp:posOffset>184150</wp:posOffset>
                </wp:positionH>
                <wp:positionV relativeFrom="paragraph">
                  <wp:posOffset>500380</wp:posOffset>
                </wp:positionV>
                <wp:extent cx="337351" cy="1702694"/>
                <wp:effectExtent l="0" t="0" r="0" b="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51" cy="1702694"/>
                        </a:xfrm>
                        <a:prstGeom prst="rect">
                          <a:avLst/>
                        </a:prstGeom>
                        <a:noFill/>
                        <a:ln w="9525">
                          <a:noFill/>
                          <a:miter lim="800000"/>
                          <a:headEnd/>
                          <a:tailEnd/>
                        </a:ln>
                      </wps:spPr>
                      <wps:txbx>
                        <w:txbxContent>
                          <w:p w14:paraId="6BA4271C" w14:textId="77777777" w:rsidR="00592E0C" w:rsidRPr="00F875C1" w:rsidRDefault="00592E0C" w:rsidP="000F532A">
                            <w:pPr>
                              <w:jc w:val="center"/>
                              <w:rPr>
                                <w:rFonts w:asciiTheme="majorHAnsi" w:hAnsiTheme="majorHAnsi" w:cstheme="majorHAnsi"/>
                                <w:sz w:val="16"/>
                                <w:szCs w:val="16"/>
                                <w:lang w:val="ru-RU"/>
                              </w:rPr>
                            </w:pPr>
                            <w:r>
                              <w:rPr>
                                <w:rFonts w:asciiTheme="majorHAnsi" w:hAnsiTheme="majorHAnsi" w:cstheme="majorHAnsi"/>
                                <w:sz w:val="16"/>
                                <w:szCs w:val="16"/>
                              </w:rPr>
                              <w:t>% change in domestic demand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31E56" id="_x0000_s1041" type="#_x0000_t202" style="position:absolute;left:0;text-align:left;margin-left:14.5pt;margin-top:39.4pt;width:26.55pt;height:134.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" filled="f" stroked="f">
                <v:textbox style="layout-flow:vertical;mso-layout-flow-alt:bottom-to-top">
                  <w:txbxContent>
                    <w:p w14:paraId="6BA4271C" w14:textId="77777777" w:rsidR="00592E0C" w:rsidRPr="00F875C1" w:rsidRDefault="00592E0C" w:rsidP="000F532A">
                      <w:pPr>
                        <w:jc w:val="center"/>
                        <w:rPr>
                          <w:rFonts w:asciiTheme="majorHAnsi" w:hAnsiTheme="majorHAnsi" w:cstheme="majorHAnsi"/>
                          <w:sz w:val="16"/>
                          <w:szCs w:val="16"/>
                          <w:lang w:val="ru-RU"/>
                        </w:rPr>
                      </w:pPr>
                      <w:r>
                        <w:rPr>
                          <w:rFonts w:asciiTheme="majorHAnsi" w:hAnsiTheme="majorHAnsi" w:cstheme="majorHAnsi"/>
                          <w:sz w:val="16"/>
                          <w:szCs w:val="16"/>
                        </w:rPr>
                        <w:t>% change in domestic demand</w:t>
                      </w:r>
                    </w:p>
                  </w:txbxContent>
                </v:textbox>
              </v:shape>
            </w:pict>
          </mc:Fallback>
        </mc:AlternateContent>
      </w:r>
      <w:r w:rsidR="00AF2D36" w:rsidRPr="00737A97">
        <w:rPr>
          <w:noProof/>
          <w:lang w:val="ru-RU" w:eastAsia="zh-CN"/>
        </w:rPr>
        <w:drawing>
          <wp:inline distT="0" distB="0" distL="0" distR="0" wp14:anchorId="10D8EBFE" wp14:editId="6CE23255">
            <wp:extent cx="5156970" cy="31380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D752AC" w14:textId="5A30F35C" w:rsidR="000F532A" w:rsidRPr="00737A97" w:rsidRDefault="000F532A" w:rsidP="00EE3BED">
      <w:pPr>
        <w:jc w:val="both"/>
        <w:rPr>
          <w:rFonts w:ascii="Century Gothic" w:hAnsi="Century Gothic"/>
        </w:rPr>
      </w:pPr>
      <w:r w:rsidRPr="00737A97">
        <w:rPr>
          <w:rFonts w:ascii="Century Gothic" w:hAnsi="Century Gothic"/>
          <w:color w:val="000000" w:themeColor="text1"/>
        </w:rPr>
        <w:t xml:space="preserve">Figure </w:t>
      </w:r>
      <w:r w:rsidR="00161DCB">
        <w:rPr>
          <w:rFonts w:ascii="Century Gothic" w:hAnsi="Century Gothic"/>
          <w:color w:val="000000" w:themeColor="text1"/>
        </w:rPr>
        <w:t>20</w:t>
      </w:r>
      <w:r w:rsidRPr="00737A97">
        <w:rPr>
          <w:rFonts w:ascii="Century Gothic" w:hAnsi="Century Gothic"/>
          <w:color w:val="000000" w:themeColor="text1"/>
        </w:rPr>
        <w:t>. Domestic demand for agri-food commodities and women</w:t>
      </w:r>
      <w:r w:rsidR="0012373B" w:rsidRPr="00737A97">
        <w:rPr>
          <w:rFonts w:ascii="Century Gothic" w:hAnsi="Century Gothic"/>
          <w:color w:val="000000" w:themeColor="text1"/>
        </w:rPr>
        <w:t>’s</w:t>
      </w:r>
      <w:r w:rsidRPr="00737A97">
        <w:rPr>
          <w:rFonts w:ascii="Century Gothic" w:hAnsi="Century Gothic"/>
          <w:color w:val="000000" w:themeColor="text1"/>
        </w:rPr>
        <w:t xml:space="preserve"> employment rate </w:t>
      </w:r>
      <w:r w:rsidRPr="00737A97">
        <w:rPr>
          <w:rFonts w:ascii="Century Gothic" w:hAnsi="Century Gothic"/>
        </w:rPr>
        <w:t>(percentage change from base)</w:t>
      </w:r>
    </w:p>
    <w:p w14:paraId="3EEB6150" w14:textId="71EB7EDE" w:rsidR="004E4BD3" w:rsidRPr="00737A97" w:rsidRDefault="0086510C" w:rsidP="00EE3BED">
      <w:pPr>
        <w:jc w:val="both"/>
        <w:rPr>
          <w:rFonts w:ascii="Century Gothic" w:hAnsi="Century Gothic"/>
          <w:color w:val="000000" w:themeColor="text1"/>
        </w:rPr>
      </w:pPr>
      <w:r w:rsidRPr="00737A97">
        <w:rPr>
          <w:rFonts w:ascii="Century Gothic" w:hAnsi="Century Gothic"/>
          <w:color w:val="000000" w:themeColor="text1"/>
        </w:rPr>
        <w:lastRenderedPageBreak/>
        <w:t>In fact, the simulation results reflect the positive impact on value-added from the production factor of female labour and total capital in the crop</w:t>
      </w:r>
      <w:r w:rsidR="0012373B" w:rsidRPr="00737A97">
        <w:rPr>
          <w:rFonts w:ascii="Century Gothic" w:hAnsi="Century Gothic"/>
          <w:color w:val="000000" w:themeColor="text1"/>
        </w:rPr>
        <w:t>s</w:t>
      </w:r>
      <w:r w:rsidRPr="00737A97">
        <w:rPr>
          <w:rFonts w:ascii="Century Gothic" w:hAnsi="Century Gothic"/>
          <w:color w:val="000000" w:themeColor="text1"/>
        </w:rPr>
        <w:t xml:space="preserve"> sector (figure </w:t>
      </w:r>
      <w:r w:rsidR="00161DCB">
        <w:rPr>
          <w:rFonts w:ascii="Century Gothic" w:hAnsi="Century Gothic"/>
          <w:color w:val="000000" w:themeColor="text1"/>
        </w:rPr>
        <w:t>21</w:t>
      </w:r>
      <w:r w:rsidRPr="00737A97">
        <w:rPr>
          <w:rFonts w:ascii="Century Gothic" w:hAnsi="Century Gothic"/>
          <w:color w:val="000000" w:themeColor="text1"/>
        </w:rPr>
        <w:t>).</w:t>
      </w:r>
      <w:r w:rsidR="00C315EA" w:rsidRPr="00737A97">
        <w:rPr>
          <w:rFonts w:ascii="Century Gothic" w:hAnsi="Century Gothic"/>
          <w:color w:val="000000" w:themeColor="text1"/>
        </w:rPr>
        <w:t xml:space="preserve"> We can assume that, with an equal allocation of land between women and men and the availability of fertilizers, the value-added from women-cultivated land could increase by 20-30</w:t>
      </w:r>
      <w:r w:rsidR="0012373B" w:rsidRPr="00737A97">
        <w:rPr>
          <w:rFonts w:ascii="Century Gothic" w:hAnsi="Century Gothic"/>
          <w:color w:val="000000" w:themeColor="text1"/>
        </w:rPr>
        <w:t xml:space="preserve"> percent</w:t>
      </w:r>
      <w:r w:rsidR="00C315EA" w:rsidRPr="00737A97">
        <w:rPr>
          <w:rFonts w:ascii="Century Gothic" w:hAnsi="Century Gothic"/>
          <w:color w:val="000000" w:themeColor="text1"/>
        </w:rPr>
        <w:t>. At the country level, women's agricultural production could increase in proportion to the amount of land controlled by women.</w:t>
      </w:r>
    </w:p>
    <w:p w14:paraId="488DB154" w14:textId="2BF509A5" w:rsidR="0054320E" w:rsidRPr="00737A97" w:rsidRDefault="001D3466" w:rsidP="00EE3BED">
      <w:pPr>
        <w:rPr>
          <w:rFonts w:ascii="Century Gothic" w:hAnsi="Century Gothic"/>
        </w:rPr>
      </w:pPr>
      <w:r w:rsidRPr="00737A97">
        <w:rPr>
          <w:noProof/>
          <w:lang w:val="ru-RU" w:eastAsia="zh-CN"/>
        </w:rPr>
        <w:drawing>
          <wp:inline distT="0" distB="0" distL="0" distR="0" wp14:anchorId="3CB1D686" wp14:editId="0D7F9F09">
            <wp:extent cx="6188710" cy="422656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A7D4B4" w14:textId="0D1700FC" w:rsidR="0086510C" w:rsidRPr="00161DCB" w:rsidRDefault="0054320E" w:rsidP="00EE3BED">
      <w:pPr>
        <w:jc w:val="both"/>
        <w:rPr>
          <w:rFonts w:ascii="Century Gothic" w:hAnsi="Century Gothic"/>
        </w:rPr>
      </w:pPr>
      <w:r w:rsidRPr="00737A97">
        <w:rPr>
          <w:rFonts w:ascii="Century Gothic" w:hAnsi="Century Gothic"/>
        </w:rPr>
        <w:t>Figure 2</w:t>
      </w:r>
      <w:r w:rsidR="00161DCB">
        <w:rPr>
          <w:rFonts w:ascii="Century Gothic" w:hAnsi="Century Gothic"/>
        </w:rPr>
        <w:t>1</w:t>
      </w:r>
      <w:r w:rsidRPr="00737A97">
        <w:rPr>
          <w:rFonts w:ascii="Century Gothic" w:hAnsi="Century Gothic"/>
        </w:rPr>
        <w:t xml:space="preserve">. </w:t>
      </w:r>
      <w:r w:rsidR="00B7022C" w:rsidRPr="00737A97">
        <w:rPr>
          <w:rFonts w:ascii="Century Gothic" w:hAnsi="Century Gothic"/>
        </w:rPr>
        <w:t xml:space="preserve">Contribution of factors of production to </w:t>
      </w:r>
      <w:r w:rsidR="009F2CCD" w:rsidRPr="00737A97">
        <w:rPr>
          <w:rFonts w:ascii="Century Gothic" w:hAnsi="Century Gothic"/>
        </w:rPr>
        <w:t>v</w:t>
      </w:r>
      <w:r w:rsidR="00B7022C" w:rsidRPr="00737A97">
        <w:rPr>
          <w:rFonts w:ascii="Century Gothic" w:hAnsi="Century Gothic"/>
        </w:rPr>
        <w:t>alue added, with a focus on female labour</w:t>
      </w:r>
    </w:p>
    <w:p w14:paraId="3597BAAF" w14:textId="77777777" w:rsidR="0086510C" w:rsidRPr="00737A97" w:rsidRDefault="00D819CA" w:rsidP="00EE3BED">
      <w:pPr>
        <w:jc w:val="center"/>
        <w:rPr>
          <w:rFonts w:ascii="Century Gothic" w:hAnsi="Century Gothic"/>
          <w:color w:val="000000" w:themeColor="text1"/>
        </w:rPr>
      </w:pPr>
      <w:r w:rsidRPr="00737A97">
        <w:rPr>
          <w:noProof/>
          <w:lang w:val="ru-RU" w:eastAsia="zh-CN"/>
        </w:rPr>
        <w:lastRenderedPageBreak/>
        <w:drawing>
          <wp:inline distT="0" distB="0" distL="0" distR="0" wp14:anchorId="7404D344" wp14:editId="7829BDFA">
            <wp:extent cx="4410364" cy="274320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E19562" w14:textId="727FD2A2" w:rsidR="00E876E8" w:rsidRPr="00737A97" w:rsidRDefault="00E876E8" w:rsidP="00EE3BED">
      <w:pPr>
        <w:jc w:val="both"/>
        <w:rPr>
          <w:rFonts w:ascii="Century Gothic" w:hAnsi="Century Gothic"/>
        </w:rPr>
      </w:pPr>
      <w:r w:rsidRPr="00737A97">
        <w:rPr>
          <w:rFonts w:ascii="Century Gothic" w:hAnsi="Century Gothic"/>
        </w:rPr>
        <w:t>Figure 2</w:t>
      </w:r>
      <w:r w:rsidR="00161DCB">
        <w:rPr>
          <w:rFonts w:ascii="Century Gothic" w:hAnsi="Century Gothic"/>
        </w:rPr>
        <w:t>2</w:t>
      </w:r>
      <w:r w:rsidRPr="00737A97">
        <w:rPr>
          <w:rFonts w:ascii="Century Gothic" w:hAnsi="Century Gothic"/>
        </w:rPr>
        <w:t>. Composite demand for female labour in crop production sectors</w:t>
      </w:r>
    </w:p>
    <w:p w14:paraId="212C80DC" w14:textId="77777777" w:rsidR="00E876E8" w:rsidRPr="00737A97" w:rsidRDefault="00E876E8" w:rsidP="00EE3BED">
      <w:pPr>
        <w:jc w:val="both"/>
        <w:rPr>
          <w:rFonts w:ascii="Century Gothic" w:hAnsi="Century Gothic"/>
        </w:rPr>
      </w:pPr>
      <w:r w:rsidRPr="00737A97">
        <w:rPr>
          <w:rFonts w:ascii="Century Gothic" w:hAnsi="Century Gothic"/>
        </w:rPr>
        <w:t>Source: Author’s calculation</w:t>
      </w:r>
    </w:p>
    <w:p w14:paraId="28633B48" w14:textId="77777777" w:rsidR="00B753FE" w:rsidRPr="00737A97" w:rsidRDefault="000302DC" w:rsidP="00EE3BED">
      <w:pPr>
        <w:jc w:val="both"/>
        <w:rPr>
          <w:rFonts w:ascii="Century Gothic" w:hAnsi="Century Gothic"/>
          <w:i/>
        </w:rPr>
      </w:pPr>
      <w:r w:rsidRPr="00737A97">
        <w:rPr>
          <w:rFonts w:ascii="Century Gothic" w:hAnsi="Century Gothic"/>
          <w:i/>
        </w:rPr>
        <w:t>Effects on household income</w:t>
      </w:r>
    </w:p>
    <w:p w14:paraId="01E5F747" w14:textId="68D0D988"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 xml:space="preserve">Table </w:t>
      </w:r>
      <w:r w:rsidR="00A57B86">
        <w:rPr>
          <w:rFonts w:ascii="Century Gothic" w:hAnsi="Century Gothic"/>
          <w:color w:val="000000" w:themeColor="text1"/>
        </w:rPr>
        <w:t>7</w:t>
      </w:r>
      <w:r w:rsidRPr="00737A97">
        <w:rPr>
          <w:rFonts w:ascii="Century Gothic" w:hAnsi="Century Gothic"/>
          <w:color w:val="000000" w:themeColor="text1"/>
        </w:rPr>
        <w:t>. Effects on household income (% change fro</w:t>
      </w:r>
      <w:r w:rsidR="009F2CCD" w:rsidRPr="00737A97">
        <w:rPr>
          <w:rFonts w:ascii="Century Gothic" w:hAnsi="Century Gothic"/>
          <w:color w:val="000000" w:themeColor="text1"/>
        </w:rPr>
        <w:t>m</w:t>
      </w:r>
      <w:r w:rsidRPr="00737A97">
        <w:rPr>
          <w:rFonts w:ascii="Century Gothic" w:hAnsi="Century Gothic"/>
          <w:color w:val="000000" w:themeColor="text1"/>
        </w:rPr>
        <w:t xml:space="preserve"> the base year)</w:t>
      </w:r>
    </w:p>
    <w:tbl>
      <w:tblPr>
        <w:tblStyle w:val="TableGrid"/>
        <w:tblW w:w="0" w:type="auto"/>
        <w:tblLook w:val="04A0" w:firstRow="1" w:lastRow="0" w:firstColumn="1" w:lastColumn="0" w:noHBand="0" w:noVBand="1"/>
      </w:tblPr>
      <w:tblGrid>
        <w:gridCol w:w="5834"/>
        <w:gridCol w:w="3608"/>
      </w:tblGrid>
      <w:tr w:rsidR="009657F6" w:rsidRPr="00737A97" w14:paraId="7663FE8F" w14:textId="77777777" w:rsidTr="003F0774">
        <w:tc>
          <w:tcPr>
            <w:tcW w:w="6025" w:type="dxa"/>
          </w:tcPr>
          <w:p w14:paraId="6E4C0228" w14:textId="77777777" w:rsidR="009657F6" w:rsidRPr="00737A97" w:rsidRDefault="009657F6" w:rsidP="00EE3BED">
            <w:pPr>
              <w:rPr>
                <w:rFonts w:ascii="Century Gothic" w:hAnsi="Century Gothic"/>
                <w:color w:val="000000" w:themeColor="text1"/>
              </w:rPr>
            </w:pPr>
          </w:p>
        </w:tc>
        <w:tc>
          <w:tcPr>
            <w:tcW w:w="3711" w:type="dxa"/>
          </w:tcPr>
          <w:p w14:paraId="74FBAE8B"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Simulation results</w:t>
            </w:r>
          </w:p>
        </w:tc>
      </w:tr>
      <w:tr w:rsidR="009657F6" w:rsidRPr="00737A97" w14:paraId="5C04D215" w14:textId="77777777" w:rsidTr="003F0774">
        <w:tc>
          <w:tcPr>
            <w:tcW w:w="6025" w:type="dxa"/>
          </w:tcPr>
          <w:p w14:paraId="75299BB9"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Labour  income</w:t>
            </w:r>
          </w:p>
        </w:tc>
        <w:tc>
          <w:tcPr>
            <w:tcW w:w="3711" w:type="dxa"/>
          </w:tcPr>
          <w:p w14:paraId="5847F813" w14:textId="77777777" w:rsidR="009657F6" w:rsidRPr="00737A97" w:rsidRDefault="009657F6" w:rsidP="00EE3BED">
            <w:pPr>
              <w:jc w:val="center"/>
              <w:rPr>
                <w:rFonts w:ascii="Century Gothic" w:hAnsi="Century Gothic"/>
                <w:color w:val="000000" w:themeColor="text1"/>
              </w:rPr>
            </w:pPr>
            <w:r w:rsidRPr="00737A97">
              <w:rPr>
                <w:rFonts w:ascii="Century Gothic" w:hAnsi="Century Gothic"/>
                <w:color w:val="000000" w:themeColor="text1"/>
              </w:rPr>
              <w:t>6.58</w:t>
            </w:r>
          </w:p>
        </w:tc>
      </w:tr>
      <w:tr w:rsidR="009657F6" w:rsidRPr="00737A97" w14:paraId="267A552F" w14:textId="77777777" w:rsidTr="003F0774">
        <w:tc>
          <w:tcPr>
            <w:tcW w:w="6025" w:type="dxa"/>
          </w:tcPr>
          <w:p w14:paraId="3FFC6006"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Capital income</w:t>
            </w:r>
          </w:p>
        </w:tc>
        <w:tc>
          <w:tcPr>
            <w:tcW w:w="3711" w:type="dxa"/>
          </w:tcPr>
          <w:p w14:paraId="4FFC8B56" w14:textId="77777777" w:rsidR="009657F6" w:rsidRPr="00737A97" w:rsidRDefault="009657F6" w:rsidP="00EE3BED">
            <w:pPr>
              <w:jc w:val="center"/>
              <w:rPr>
                <w:rFonts w:ascii="Century Gothic" w:hAnsi="Century Gothic"/>
                <w:color w:val="000000" w:themeColor="text1"/>
              </w:rPr>
            </w:pPr>
            <w:r w:rsidRPr="00737A97">
              <w:rPr>
                <w:rFonts w:ascii="Century Gothic" w:hAnsi="Century Gothic"/>
                <w:color w:val="000000" w:themeColor="text1"/>
              </w:rPr>
              <w:t>10.1</w:t>
            </w:r>
          </w:p>
        </w:tc>
      </w:tr>
      <w:tr w:rsidR="009657F6" w:rsidRPr="00737A97" w14:paraId="67ACC3EF" w14:textId="77777777" w:rsidTr="003F0774">
        <w:tc>
          <w:tcPr>
            <w:tcW w:w="6025" w:type="dxa"/>
          </w:tcPr>
          <w:p w14:paraId="3E22B7FA"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Transfer income</w:t>
            </w:r>
          </w:p>
        </w:tc>
        <w:tc>
          <w:tcPr>
            <w:tcW w:w="3711" w:type="dxa"/>
          </w:tcPr>
          <w:p w14:paraId="54F8CBBC" w14:textId="77777777" w:rsidR="009657F6" w:rsidRPr="00737A97" w:rsidRDefault="009657F6" w:rsidP="00EE3BED">
            <w:pPr>
              <w:jc w:val="center"/>
              <w:rPr>
                <w:rFonts w:ascii="Century Gothic" w:hAnsi="Century Gothic"/>
                <w:color w:val="000000" w:themeColor="text1"/>
              </w:rPr>
            </w:pPr>
            <w:r w:rsidRPr="00737A97">
              <w:rPr>
                <w:rFonts w:ascii="Century Gothic" w:hAnsi="Century Gothic"/>
                <w:color w:val="000000" w:themeColor="text1"/>
              </w:rPr>
              <w:t>3.78</w:t>
            </w:r>
          </w:p>
        </w:tc>
      </w:tr>
      <w:tr w:rsidR="009657F6" w:rsidRPr="00737A97" w14:paraId="41A46A0A" w14:textId="77777777" w:rsidTr="003F0774">
        <w:tc>
          <w:tcPr>
            <w:tcW w:w="6025" w:type="dxa"/>
          </w:tcPr>
          <w:p w14:paraId="69E5A374"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Savings</w:t>
            </w:r>
          </w:p>
        </w:tc>
        <w:tc>
          <w:tcPr>
            <w:tcW w:w="3711" w:type="dxa"/>
          </w:tcPr>
          <w:p w14:paraId="29BC8E1B" w14:textId="77777777" w:rsidR="009657F6" w:rsidRPr="00737A97" w:rsidRDefault="009657F6" w:rsidP="00EE3BED">
            <w:pPr>
              <w:jc w:val="center"/>
              <w:rPr>
                <w:rFonts w:ascii="Century Gothic" w:hAnsi="Century Gothic"/>
                <w:color w:val="000000" w:themeColor="text1"/>
              </w:rPr>
            </w:pPr>
            <w:r w:rsidRPr="00737A97">
              <w:rPr>
                <w:rFonts w:ascii="Century Gothic" w:hAnsi="Century Gothic"/>
                <w:color w:val="000000" w:themeColor="text1"/>
              </w:rPr>
              <w:t>6.15</w:t>
            </w:r>
          </w:p>
        </w:tc>
      </w:tr>
      <w:tr w:rsidR="009657F6" w:rsidRPr="00737A97" w14:paraId="49C1B631" w14:textId="77777777" w:rsidTr="003F0774">
        <w:tc>
          <w:tcPr>
            <w:tcW w:w="6025" w:type="dxa"/>
          </w:tcPr>
          <w:p w14:paraId="5B84DF5E" w14:textId="77777777" w:rsidR="009657F6" w:rsidRPr="00737A97" w:rsidRDefault="009657F6" w:rsidP="00EE3BED">
            <w:pPr>
              <w:rPr>
                <w:rFonts w:ascii="Century Gothic" w:hAnsi="Century Gothic"/>
                <w:color w:val="000000" w:themeColor="text1"/>
              </w:rPr>
            </w:pPr>
            <w:r w:rsidRPr="00737A97">
              <w:rPr>
                <w:rFonts w:ascii="Century Gothic" w:hAnsi="Century Gothic"/>
                <w:color w:val="000000" w:themeColor="text1"/>
              </w:rPr>
              <w:t>Total government revenue from household income taxes</w:t>
            </w:r>
          </w:p>
        </w:tc>
        <w:tc>
          <w:tcPr>
            <w:tcW w:w="3711" w:type="dxa"/>
          </w:tcPr>
          <w:p w14:paraId="1379FBE8" w14:textId="77777777" w:rsidR="009657F6" w:rsidRPr="00737A97" w:rsidRDefault="009657F6" w:rsidP="00EE3BED">
            <w:pPr>
              <w:jc w:val="center"/>
              <w:rPr>
                <w:rFonts w:ascii="Century Gothic" w:hAnsi="Century Gothic"/>
                <w:color w:val="000000" w:themeColor="text1"/>
              </w:rPr>
            </w:pPr>
            <w:r w:rsidRPr="00737A97">
              <w:rPr>
                <w:rFonts w:ascii="Century Gothic" w:hAnsi="Century Gothic"/>
                <w:color w:val="000000" w:themeColor="text1"/>
              </w:rPr>
              <w:t>6.14</w:t>
            </w:r>
          </w:p>
        </w:tc>
      </w:tr>
    </w:tbl>
    <w:p w14:paraId="27775782" w14:textId="77777777" w:rsidR="009657F6" w:rsidRPr="005D33E0" w:rsidRDefault="009657F6" w:rsidP="00EE3BED">
      <w:pPr>
        <w:jc w:val="both"/>
        <w:rPr>
          <w:rFonts w:ascii="Century Gothic" w:hAnsi="Century Gothic"/>
        </w:rPr>
      </w:pPr>
      <w:r w:rsidRPr="005D33E0">
        <w:rPr>
          <w:rFonts w:ascii="Century Gothic" w:hAnsi="Century Gothic"/>
        </w:rPr>
        <w:t>Source: Author’s calculation</w:t>
      </w:r>
    </w:p>
    <w:p w14:paraId="2864EAAC" w14:textId="4CAEDDCB" w:rsidR="009657F6" w:rsidRPr="005D33E0" w:rsidRDefault="003F0774" w:rsidP="00EE3BED">
      <w:pPr>
        <w:jc w:val="both"/>
        <w:rPr>
          <w:rFonts w:ascii="Century Gothic" w:hAnsi="Century Gothic"/>
        </w:rPr>
      </w:pPr>
      <w:r w:rsidRPr="005D33E0">
        <w:rPr>
          <w:rFonts w:ascii="Century Gothic" w:hAnsi="Century Gothic"/>
        </w:rPr>
        <w:t xml:space="preserve">Table </w:t>
      </w:r>
      <w:r w:rsidR="00A57B86">
        <w:rPr>
          <w:rFonts w:ascii="Century Gothic" w:hAnsi="Century Gothic"/>
        </w:rPr>
        <w:t>7</w:t>
      </w:r>
      <w:r w:rsidRPr="005D33E0">
        <w:rPr>
          <w:rFonts w:ascii="Century Gothic" w:hAnsi="Century Gothic"/>
        </w:rPr>
        <w:t xml:space="preserve"> presents the impact of the simulated policy on the income of households. Simulation results show that the increased hiring of women workers by agricultural sectors (</w:t>
      </w:r>
      <w:r w:rsidR="00DE1DC9" w:rsidRPr="005D33E0">
        <w:rPr>
          <w:rFonts w:ascii="Century Gothic" w:hAnsi="Century Gothic"/>
        </w:rPr>
        <w:t>e.g., sorghum,</w:t>
      </w:r>
      <w:r w:rsidRPr="005D33E0">
        <w:rPr>
          <w:rFonts w:ascii="Century Gothic" w:hAnsi="Century Gothic"/>
        </w:rPr>
        <w:t xml:space="preserve"> millet, rice, wheat</w:t>
      </w:r>
      <w:r w:rsidR="00DE1DC9" w:rsidRPr="005D33E0">
        <w:rPr>
          <w:rFonts w:ascii="Century Gothic" w:hAnsi="Century Gothic"/>
        </w:rPr>
        <w:t>,</w:t>
      </w:r>
      <w:r w:rsidRPr="005D33E0">
        <w:rPr>
          <w:rFonts w:ascii="Century Gothic" w:hAnsi="Century Gothic"/>
        </w:rPr>
        <w:t xml:space="preserve"> barley, cassava, vegetables, fruits, and others) leads to an increase in labour, capital, and transfer</w:t>
      </w:r>
      <w:r w:rsidR="00A470C8" w:rsidRPr="005D33E0">
        <w:rPr>
          <w:rFonts w:ascii="Century Gothic" w:hAnsi="Century Gothic"/>
        </w:rPr>
        <w:t xml:space="preserve"> incomes.</w:t>
      </w:r>
      <w:r w:rsidRPr="005D33E0">
        <w:rPr>
          <w:rFonts w:ascii="Century Gothic" w:hAnsi="Century Gothic"/>
        </w:rPr>
        <w:t xml:space="preserve"> Additionally, total government revenue from direct taxes paid by employed households rise</w:t>
      </w:r>
      <w:r w:rsidR="00A470C8" w:rsidRPr="005D33E0">
        <w:rPr>
          <w:rFonts w:ascii="Century Gothic" w:hAnsi="Century Gothic"/>
        </w:rPr>
        <w:t>s</w:t>
      </w:r>
      <w:r w:rsidRPr="005D33E0">
        <w:rPr>
          <w:rFonts w:ascii="Century Gothic" w:hAnsi="Century Gothic"/>
        </w:rPr>
        <w:t>. This can compensate for government losses from the abolished VAT on fertilizers.</w:t>
      </w:r>
    </w:p>
    <w:p w14:paraId="428B9729" w14:textId="5FA618E8" w:rsidR="005B1827" w:rsidRDefault="003F0774" w:rsidP="0049349E">
      <w:pPr>
        <w:jc w:val="both"/>
        <w:rPr>
          <w:rFonts w:ascii="Century Gothic" w:hAnsi="Century Gothic"/>
        </w:rPr>
      </w:pPr>
      <w:r w:rsidRPr="005D33E0">
        <w:rPr>
          <w:rFonts w:ascii="Century Gothic" w:hAnsi="Century Gothic"/>
        </w:rPr>
        <w:t>Thus, simulation results of the proposed policy scenario clearly show that this type of action can have positive effects on women's employment and income and can perhaps change substantially the structure of agricultural production in Tanzania.</w:t>
      </w:r>
    </w:p>
    <w:p w14:paraId="72813C3E" w14:textId="77777777" w:rsidR="00592E0C" w:rsidRDefault="00592E0C" w:rsidP="0049349E">
      <w:pPr>
        <w:jc w:val="both"/>
        <w:rPr>
          <w:rFonts w:ascii="Century Gothic" w:hAnsi="Century Gothic"/>
        </w:rPr>
      </w:pPr>
    </w:p>
    <w:p w14:paraId="6B7F94BA" w14:textId="77777777" w:rsidR="00A57B86" w:rsidRDefault="00A57B86" w:rsidP="0049349E">
      <w:pPr>
        <w:jc w:val="both"/>
        <w:rPr>
          <w:rFonts w:ascii="Century Gothic" w:hAnsi="Century Gothic"/>
        </w:rPr>
      </w:pPr>
    </w:p>
    <w:p w14:paraId="18799790" w14:textId="77777777" w:rsidR="00A57B86" w:rsidRDefault="00A57B86" w:rsidP="0049349E">
      <w:pPr>
        <w:jc w:val="both"/>
        <w:rPr>
          <w:rFonts w:ascii="Century Gothic" w:hAnsi="Century Gothic"/>
        </w:rPr>
      </w:pPr>
    </w:p>
    <w:p w14:paraId="0BB829AF" w14:textId="77777777" w:rsidR="00A57B86" w:rsidRPr="005D33E0" w:rsidRDefault="00A57B86" w:rsidP="0049349E">
      <w:pPr>
        <w:jc w:val="both"/>
        <w:rPr>
          <w:rFonts w:ascii="Century Gothic" w:hAnsi="Century Gothic"/>
        </w:rPr>
      </w:pPr>
    </w:p>
    <w:p w14:paraId="383FA555" w14:textId="0EE246A1" w:rsidR="00593CF7" w:rsidRPr="00D516D0" w:rsidRDefault="00593CF7" w:rsidP="00EE3BED">
      <w:pPr>
        <w:jc w:val="both"/>
        <w:rPr>
          <w:rFonts w:ascii="Century Gothic" w:hAnsi="Century Gothic"/>
          <w:b/>
          <w:lang w:val="en-US"/>
        </w:rPr>
      </w:pPr>
      <w:r w:rsidRPr="005D33E0">
        <w:rPr>
          <w:rFonts w:ascii="Century Gothic" w:hAnsi="Century Gothic"/>
          <w:b/>
        </w:rPr>
        <w:lastRenderedPageBreak/>
        <w:t xml:space="preserve">Simulation 4: </w:t>
      </w:r>
      <w:r w:rsidRPr="005D33E0">
        <w:rPr>
          <w:rStyle w:val="fontstyle21"/>
          <w:rFonts w:ascii="Century Gothic" w:hAnsi="Century Gothic"/>
          <w:b/>
          <w:color w:val="auto"/>
          <w:lang w:val="en-US"/>
        </w:rPr>
        <w:t xml:space="preserve">The impact of investments </w:t>
      </w:r>
      <w:r w:rsidR="00A470C8" w:rsidRPr="005D33E0">
        <w:rPr>
          <w:rStyle w:val="fontstyle21"/>
          <w:rFonts w:ascii="Century Gothic" w:hAnsi="Century Gothic"/>
          <w:b/>
          <w:color w:val="auto"/>
          <w:lang w:val="en-US"/>
        </w:rPr>
        <w:t>in</w:t>
      </w:r>
      <w:r w:rsidRPr="005D33E0">
        <w:rPr>
          <w:rStyle w:val="fontstyle21"/>
          <w:rFonts w:ascii="Century Gothic" w:hAnsi="Century Gothic"/>
          <w:b/>
          <w:color w:val="auto"/>
          <w:lang w:val="en-US"/>
        </w:rPr>
        <w:t xml:space="preserve"> irrigation </w:t>
      </w:r>
      <w:r w:rsidR="00A470C8" w:rsidRPr="005D33E0">
        <w:rPr>
          <w:rStyle w:val="fontstyle21"/>
          <w:rFonts w:ascii="Century Gothic" w:hAnsi="Century Gothic"/>
          <w:b/>
          <w:color w:val="auto"/>
          <w:lang w:val="en-US"/>
        </w:rPr>
        <w:t>on agricultural productivity</w:t>
      </w:r>
    </w:p>
    <w:p w14:paraId="7CB69102" w14:textId="77777777" w:rsidR="001A3134" w:rsidRPr="005D33E0" w:rsidRDefault="001A3134" w:rsidP="00EE3BED">
      <w:pPr>
        <w:jc w:val="both"/>
        <w:rPr>
          <w:rFonts w:ascii="Century Gothic" w:hAnsi="Century Gothic" w:cs="Times New Roman"/>
          <w:i/>
        </w:rPr>
      </w:pPr>
      <w:r w:rsidRPr="005D33E0">
        <w:rPr>
          <w:rFonts w:ascii="Century Gothic" w:hAnsi="Century Gothic" w:cs="Times New Roman"/>
          <w:i/>
        </w:rPr>
        <w:t>Macroeconomic effects</w:t>
      </w:r>
    </w:p>
    <w:p w14:paraId="2A39A617" w14:textId="57B56190" w:rsidR="00411CF7" w:rsidRPr="005D33E0" w:rsidRDefault="00DB5544" w:rsidP="00EE3BED">
      <w:pPr>
        <w:jc w:val="both"/>
        <w:rPr>
          <w:rFonts w:ascii="Century Gothic" w:hAnsi="Century Gothic" w:cs="Times New Roman"/>
        </w:rPr>
      </w:pPr>
      <w:r w:rsidRPr="005D33E0">
        <w:rPr>
          <w:rFonts w:ascii="Century Gothic" w:hAnsi="Century Gothic" w:cs="Times New Roman"/>
        </w:rPr>
        <w:t xml:space="preserve">The summary of the effects of this simulation scenario on macroeconomic aggregates is shown in </w:t>
      </w:r>
      <w:r w:rsidR="00DE1DC9" w:rsidRPr="005D33E0">
        <w:rPr>
          <w:rFonts w:ascii="Century Gothic" w:hAnsi="Century Gothic" w:cs="Times New Roman"/>
        </w:rPr>
        <w:t>t</w:t>
      </w:r>
      <w:r w:rsidRPr="005D33E0">
        <w:rPr>
          <w:rFonts w:ascii="Century Gothic" w:hAnsi="Century Gothic" w:cs="Times New Roman"/>
        </w:rPr>
        <w:t xml:space="preserve">able </w:t>
      </w:r>
      <w:r w:rsidR="00A57B86">
        <w:rPr>
          <w:rFonts w:ascii="Century Gothic" w:hAnsi="Century Gothic" w:cs="Times New Roman"/>
        </w:rPr>
        <w:t>8</w:t>
      </w:r>
      <w:r w:rsidR="0049349E" w:rsidRPr="005D33E0">
        <w:rPr>
          <w:rFonts w:ascii="Century Gothic" w:hAnsi="Century Gothic" w:cs="Times New Roman"/>
        </w:rPr>
        <w:t xml:space="preserve">. </w:t>
      </w:r>
      <w:r w:rsidRPr="005D33E0">
        <w:rPr>
          <w:rFonts w:ascii="Century Gothic" w:hAnsi="Century Gothic" w:cs="Times New Roman"/>
        </w:rPr>
        <w:t>Investment in land irrigation coupled with adding women's labour in the agricultural sector increases the production of agricultural commodities by 2.46</w:t>
      </w:r>
      <w:r w:rsidR="00DE1DC9" w:rsidRPr="005D33E0">
        <w:rPr>
          <w:rFonts w:ascii="Century Gothic" w:hAnsi="Century Gothic" w:cs="Times New Roman"/>
        </w:rPr>
        <w:t xml:space="preserve"> percent</w:t>
      </w:r>
      <w:r w:rsidRPr="005D33E0">
        <w:rPr>
          <w:rFonts w:ascii="Century Gothic" w:hAnsi="Century Gothic" w:cs="Times New Roman"/>
        </w:rPr>
        <w:t xml:space="preserve"> in 2025, which leads to the improvement of exports of aggregated agricultural goods by 5.05</w:t>
      </w:r>
      <w:r w:rsidR="00DE1DC9" w:rsidRPr="005D33E0">
        <w:rPr>
          <w:rFonts w:ascii="Century Gothic" w:hAnsi="Century Gothic" w:cs="Times New Roman"/>
        </w:rPr>
        <w:t xml:space="preserve"> percent</w:t>
      </w:r>
      <w:r w:rsidRPr="005D33E0">
        <w:rPr>
          <w:rFonts w:ascii="Century Gothic" w:hAnsi="Century Gothic" w:cs="Times New Roman"/>
        </w:rPr>
        <w:t>.</w:t>
      </w:r>
    </w:p>
    <w:p w14:paraId="00A58764" w14:textId="031B0D6C" w:rsidR="001A3134" w:rsidRPr="005D33E0" w:rsidRDefault="001A3134" w:rsidP="00EE3BED">
      <w:pPr>
        <w:jc w:val="both"/>
        <w:rPr>
          <w:rFonts w:ascii="Century Gothic" w:hAnsi="Century Gothic"/>
        </w:rPr>
      </w:pPr>
      <w:r w:rsidRPr="005D33E0">
        <w:rPr>
          <w:rFonts w:ascii="Century Gothic" w:hAnsi="Century Gothic" w:cs="Times New Roman"/>
        </w:rPr>
        <w:t xml:space="preserve">Table </w:t>
      </w:r>
      <w:r w:rsidR="00A57B86">
        <w:rPr>
          <w:rFonts w:ascii="Century Gothic" w:hAnsi="Century Gothic" w:cs="Times New Roman"/>
        </w:rPr>
        <w:t>8</w:t>
      </w:r>
      <w:r w:rsidRPr="005D33E0">
        <w:rPr>
          <w:rFonts w:ascii="Century Gothic" w:hAnsi="Century Gothic" w:cs="Times New Roman"/>
        </w:rPr>
        <w:t xml:space="preserve">. </w:t>
      </w:r>
      <w:r w:rsidR="00452613" w:rsidRPr="005D33E0">
        <w:rPr>
          <w:rFonts w:ascii="Century Gothic" w:hAnsi="Century Gothic" w:cs="Times New Roman"/>
        </w:rPr>
        <w:t>Effects on macroeconomic variables</w:t>
      </w:r>
      <w:r w:rsidRPr="005D33E0">
        <w:rPr>
          <w:rFonts w:ascii="Century Gothic" w:hAnsi="Century Gothic" w:cs="Times New Roman"/>
        </w:rPr>
        <w:t xml:space="preserve"> </w:t>
      </w:r>
      <w:r w:rsidRPr="005D33E0">
        <w:rPr>
          <w:rFonts w:ascii="Century Gothic" w:hAnsi="Century Gothic"/>
        </w:rPr>
        <w:t>(% annual average change from the base year)</w:t>
      </w:r>
    </w:p>
    <w:tbl>
      <w:tblPr>
        <w:tblStyle w:val="TableGrid"/>
        <w:tblW w:w="0" w:type="auto"/>
        <w:tblLook w:val="04A0" w:firstRow="1" w:lastRow="0" w:firstColumn="1" w:lastColumn="0" w:noHBand="0" w:noVBand="1"/>
      </w:tblPr>
      <w:tblGrid>
        <w:gridCol w:w="3049"/>
        <w:gridCol w:w="2269"/>
        <w:gridCol w:w="1226"/>
        <w:gridCol w:w="1226"/>
        <w:gridCol w:w="1672"/>
      </w:tblGrid>
      <w:tr w:rsidR="001A3134" w:rsidRPr="005D33E0" w14:paraId="6D43B725" w14:textId="77777777" w:rsidTr="0027000E">
        <w:tc>
          <w:tcPr>
            <w:tcW w:w="3129" w:type="dxa"/>
            <w:vMerge w:val="restart"/>
            <w:shd w:val="clear" w:color="auto" w:fill="D5DCE4" w:themeFill="text2" w:themeFillTint="33"/>
          </w:tcPr>
          <w:p w14:paraId="6947C24B" w14:textId="77777777" w:rsidR="001A3134" w:rsidRPr="005D33E0" w:rsidRDefault="001A3134" w:rsidP="00EE3BED">
            <w:pPr>
              <w:jc w:val="both"/>
              <w:rPr>
                <w:rFonts w:ascii="Century Gothic" w:hAnsi="Century Gothic" w:cs="Times New Roman"/>
              </w:rPr>
            </w:pPr>
            <w:r w:rsidRPr="005D33E0">
              <w:rPr>
                <w:rFonts w:ascii="Century Gothic" w:hAnsi="Century Gothic" w:cs="Times New Roman"/>
              </w:rPr>
              <w:t>Macroeconomic aggregates</w:t>
            </w:r>
          </w:p>
        </w:tc>
        <w:tc>
          <w:tcPr>
            <w:tcW w:w="6607" w:type="dxa"/>
            <w:gridSpan w:val="4"/>
            <w:shd w:val="clear" w:color="auto" w:fill="D5DCE4" w:themeFill="text2" w:themeFillTint="33"/>
          </w:tcPr>
          <w:p w14:paraId="00F5B595"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Simulation results</w:t>
            </w:r>
          </w:p>
        </w:tc>
      </w:tr>
      <w:tr w:rsidR="001A3134" w:rsidRPr="005D33E0" w14:paraId="672636F0" w14:textId="77777777" w:rsidTr="0027000E">
        <w:tc>
          <w:tcPr>
            <w:tcW w:w="3129" w:type="dxa"/>
            <w:vMerge/>
            <w:shd w:val="clear" w:color="auto" w:fill="D5DCE4" w:themeFill="text2" w:themeFillTint="33"/>
          </w:tcPr>
          <w:p w14:paraId="59D5F21D" w14:textId="77777777" w:rsidR="001A3134" w:rsidRPr="005D33E0" w:rsidRDefault="001A3134" w:rsidP="00EE3BED">
            <w:pPr>
              <w:jc w:val="both"/>
              <w:rPr>
                <w:rFonts w:ascii="Century Gothic" w:hAnsi="Century Gothic" w:cs="Times New Roman"/>
              </w:rPr>
            </w:pPr>
          </w:p>
        </w:tc>
        <w:tc>
          <w:tcPr>
            <w:tcW w:w="2356" w:type="dxa"/>
            <w:shd w:val="clear" w:color="auto" w:fill="D5DCE4" w:themeFill="text2" w:themeFillTint="33"/>
          </w:tcPr>
          <w:p w14:paraId="7FB628A9"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 xml:space="preserve">2019 </w:t>
            </w:r>
          </w:p>
          <w:p w14:paraId="0A42CB57"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(base year), ml. TZS</w:t>
            </w:r>
          </w:p>
        </w:tc>
        <w:tc>
          <w:tcPr>
            <w:tcW w:w="1260" w:type="dxa"/>
            <w:shd w:val="clear" w:color="auto" w:fill="D5DCE4" w:themeFill="text2" w:themeFillTint="33"/>
          </w:tcPr>
          <w:p w14:paraId="3F7F8A78"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2023</w:t>
            </w:r>
          </w:p>
        </w:tc>
        <w:tc>
          <w:tcPr>
            <w:tcW w:w="1260" w:type="dxa"/>
            <w:shd w:val="clear" w:color="auto" w:fill="D5DCE4" w:themeFill="text2" w:themeFillTint="33"/>
          </w:tcPr>
          <w:p w14:paraId="1AEFEA79"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2025</w:t>
            </w:r>
          </w:p>
        </w:tc>
        <w:tc>
          <w:tcPr>
            <w:tcW w:w="1731" w:type="dxa"/>
            <w:shd w:val="clear" w:color="auto" w:fill="D5DCE4" w:themeFill="text2" w:themeFillTint="33"/>
          </w:tcPr>
          <w:p w14:paraId="0102E560"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2030</w:t>
            </w:r>
          </w:p>
        </w:tc>
      </w:tr>
      <w:tr w:rsidR="001A3134" w:rsidRPr="005D33E0" w14:paraId="4DAE558A" w14:textId="77777777" w:rsidTr="0027000E">
        <w:tc>
          <w:tcPr>
            <w:tcW w:w="3129" w:type="dxa"/>
          </w:tcPr>
          <w:p w14:paraId="401695B1" w14:textId="77777777" w:rsidR="001A3134" w:rsidRPr="005D33E0" w:rsidRDefault="001A3134" w:rsidP="00EE3BED">
            <w:pPr>
              <w:jc w:val="both"/>
              <w:rPr>
                <w:rFonts w:ascii="Century Gothic" w:hAnsi="Century Gothic" w:cs="Times New Roman"/>
              </w:rPr>
            </w:pPr>
            <w:r w:rsidRPr="005D33E0">
              <w:rPr>
                <w:rFonts w:ascii="Century Gothic" w:hAnsi="Century Gothic" w:cs="Times New Roman"/>
              </w:rPr>
              <w:t>Real GDP at market prices</w:t>
            </w:r>
          </w:p>
        </w:tc>
        <w:tc>
          <w:tcPr>
            <w:tcW w:w="2356" w:type="dxa"/>
          </w:tcPr>
          <w:p w14:paraId="3D7979F2" w14:textId="77777777" w:rsidR="001A3134" w:rsidRPr="005D33E0" w:rsidRDefault="001A3134" w:rsidP="00EE3BED">
            <w:pPr>
              <w:jc w:val="center"/>
              <w:rPr>
                <w:rFonts w:ascii="Century Gothic" w:hAnsi="Century Gothic" w:cs="Times New Roman"/>
              </w:rPr>
            </w:pPr>
            <w:r w:rsidRPr="005D33E0">
              <w:rPr>
                <w:rFonts w:ascii="Century Gothic" w:hAnsi="Century Gothic" w:cs="Times New Roman"/>
              </w:rPr>
              <w:t>103029.1</w:t>
            </w:r>
          </w:p>
        </w:tc>
        <w:tc>
          <w:tcPr>
            <w:tcW w:w="1260" w:type="dxa"/>
          </w:tcPr>
          <w:p w14:paraId="7848202A" w14:textId="77777777" w:rsidR="001A3134" w:rsidRPr="005D33E0" w:rsidRDefault="002F48F3" w:rsidP="00EE3BED">
            <w:pPr>
              <w:jc w:val="center"/>
              <w:rPr>
                <w:rFonts w:ascii="Century Gothic" w:hAnsi="Century Gothic" w:cs="Times New Roman"/>
              </w:rPr>
            </w:pPr>
            <w:r w:rsidRPr="005D33E0">
              <w:rPr>
                <w:rFonts w:ascii="Century Gothic" w:hAnsi="Century Gothic" w:cs="Times New Roman"/>
              </w:rPr>
              <w:t>+0.79</w:t>
            </w:r>
          </w:p>
        </w:tc>
        <w:tc>
          <w:tcPr>
            <w:tcW w:w="1260" w:type="dxa"/>
          </w:tcPr>
          <w:p w14:paraId="0206D0A4" w14:textId="77777777" w:rsidR="001A3134" w:rsidRPr="005D33E0" w:rsidRDefault="002F48F3" w:rsidP="00EE3BED">
            <w:pPr>
              <w:jc w:val="center"/>
              <w:rPr>
                <w:rFonts w:ascii="Century Gothic" w:hAnsi="Century Gothic" w:cs="Times New Roman"/>
              </w:rPr>
            </w:pPr>
            <w:r w:rsidRPr="005D33E0">
              <w:rPr>
                <w:rFonts w:ascii="Century Gothic" w:hAnsi="Century Gothic" w:cs="Times New Roman"/>
              </w:rPr>
              <w:t>+0.82</w:t>
            </w:r>
          </w:p>
        </w:tc>
        <w:tc>
          <w:tcPr>
            <w:tcW w:w="1731" w:type="dxa"/>
          </w:tcPr>
          <w:p w14:paraId="5A7ECDE9" w14:textId="77777777" w:rsidR="001A3134" w:rsidRPr="005D33E0" w:rsidRDefault="002F48F3" w:rsidP="00EE3BED">
            <w:pPr>
              <w:jc w:val="center"/>
              <w:rPr>
                <w:rFonts w:ascii="Century Gothic" w:hAnsi="Century Gothic" w:cs="Times New Roman"/>
              </w:rPr>
            </w:pPr>
            <w:r w:rsidRPr="005D33E0">
              <w:rPr>
                <w:rFonts w:ascii="Century Gothic" w:hAnsi="Century Gothic" w:cs="Times New Roman"/>
              </w:rPr>
              <w:t>+0.05</w:t>
            </w:r>
          </w:p>
        </w:tc>
      </w:tr>
      <w:tr w:rsidR="00347572" w:rsidRPr="005D33E0" w14:paraId="3CDEF75D" w14:textId="77777777" w:rsidTr="0027000E">
        <w:tc>
          <w:tcPr>
            <w:tcW w:w="3129" w:type="dxa"/>
          </w:tcPr>
          <w:p w14:paraId="34145D36"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Real GDP at basic prices</w:t>
            </w:r>
          </w:p>
        </w:tc>
        <w:tc>
          <w:tcPr>
            <w:tcW w:w="2356" w:type="dxa"/>
          </w:tcPr>
          <w:p w14:paraId="0C489E70" w14:textId="77777777" w:rsidR="00347572" w:rsidRPr="005D33E0" w:rsidRDefault="00347572" w:rsidP="00EE3BED">
            <w:pPr>
              <w:jc w:val="center"/>
              <w:rPr>
                <w:rFonts w:ascii="Century Gothic" w:hAnsi="Century Gothic" w:cs="Times New Roman"/>
              </w:rPr>
            </w:pPr>
            <w:r w:rsidRPr="005D33E0">
              <w:rPr>
                <w:rFonts w:ascii="Century Gothic" w:hAnsi="Century Gothic" w:cs="Times New Roman"/>
              </w:rPr>
              <w:t>89195.0</w:t>
            </w:r>
          </w:p>
        </w:tc>
        <w:tc>
          <w:tcPr>
            <w:tcW w:w="1260" w:type="dxa"/>
          </w:tcPr>
          <w:p w14:paraId="58F2DC8B"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+0.64</w:t>
            </w:r>
          </w:p>
        </w:tc>
        <w:tc>
          <w:tcPr>
            <w:tcW w:w="1260" w:type="dxa"/>
          </w:tcPr>
          <w:p w14:paraId="7803A0A0"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+0.68</w:t>
            </w:r>
          </w:p>
        </w:tc>
        <w:tc>
          <w:tcPr>
            <w:tcW w:w="1731" w:type="dxa"/>
          </w:tcPr>
          <w:p w14:paraId="3E361C0D"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+0.078</w:t>
            </w:r>
          </w:p>
        </w:tc>
      </w:tr>
      <w:tr w:rsidR="00347572" w:rsidRPr="005D33E0" w14:paraId="79124BFC" w14:textId="77777777" w:rsidTr="0027000E">
        <w:tc>
          <w:tcPr>
            <w:tcW w:w="3129" w:type="dxa"/>
          </w:tcPr>
          <w:p w14:paraId="50C4800E"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Total agricultural production</w:t>
            </w:r>
          </w:p>
        </w:tc>
        <w:tc>
          <w:tcPr>
            <w:tcW w:w="2356" w:type="dxa"/>
          </w:tcPr>
          <w:p w14:paraId="1D7167B0" w14:textId="77777777" w:rsidR="00347572" w:rsidRPr="005D33E0" w:rsidRDefault="00347572" w:rsidP="00EE3BED">
            <w:pPr>
              <w:jc w:val="center"/>
              <w:rPr>
                <w:rFonts w:ascii="Century Gothic" w:hAnsi="Century Gothic" w:cs="Times New Roman"/>
              </w:rPr>
            </w:pPr>
            <w:r w:rsidRPr="005D33E0">
              <w:rPr>
                <w:rFonts w:ascii="Century Gothic" w:hAnsi="Century Gothic" w:cs="Times New Roman"/>
              </w:rPr>
              <w:t>33338.15</w:t>
            </w:r>
          </w:p>
        </w:tc>
        <w:tc>
          <w:tcPr>
            <w:tcW w:w="1260" w:type="dxa"/>
          </w:tcPr>
          <w:p w14:paraId="22A3932C"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+2.46</w:t>
            </w:r>
          </w:p>
        </w:tc>
        <w:tc>
          <w:tcPr>
            <w:tcW w:w="1260" w:type="dxa"/>
          </w:tcPr>
          <w:p w14:paraId="7851B65A"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+2.47</w:t>
            </w:r>
          </w:p>
        </w:tc>
        <w:tc>
          <w:tcPr>
            <w:tcW w:w="1731" w:type="dxa"/>
          </w:tcPr>
          <w:p w14:paraId="71CDA3D0" w14:textId="77777777" w:rsidR="00347572" w:rsidRPr="005D33E0" w:rsidRDefault="002F48F3" w:rsidP="00EE3BED">
            <w:pPr>
              <w:rPr>
                <w:rFonts w:ascii="Century Gothic" w:hAnsi="Century Gothic" w:cs="Times New Roman"/>
              </w:rPr>
            </w:pPr>
            <w:r w:rsidRPr="005D33E0">
              <w:rPr>
                <w:rFonts w:ascii="Century Gothic" w:hAnsi="Century Gothic" w:cs="Times New Roman"/>
              </w:rPr>
              <w:t>+0.02</w:t>
            </w:r>
          </w:p>
        </w:tc>
      </w:tr>
      <w:tr w:rsidR="00347572" w:rsidRPr="005D33E0" w14:paraId="1514D8B6" w14:textId="77777777" w:rsidTr="0027000E">
        <w:tc>
          <w:tcPr>
            <w:tcW w:w="3129" w:type="dxa"/>
          </w:tcPr>
          <w:p w14:paraId="4DF9F244"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Aggregate exports of agricultural commodities</w:t>
            </w:r>
          </w:p>
        </w:tc>
        <w:tc>
          <w:tcPr>
            <w:tcW w:w="2356" w:type="dxa"/>
          </w:tcPr>
          <w:p w14:paraId="08CFEDF4" w14:textId="77777777" w:rsidR="00347572" w:rsidRPr="005D33E0" w:rsidRDefault="00347572" w:rsidP="00EE3BED">
            <w:pPr>
              <w:jc w:val="center"/>
              <w:rPr>
                <w:rFonts w:ascii="Century Gothic" w:hAnsi="Century Gothic" w:cs="Times New Roman"/>
              </w:rPr>
            </w:pPr>
            <w:r w:rsidRPr="005D33E0">
              <w:rPr>
                <w:rFonts w:ascii="Century Gothic" w:hAnsi="Century Gothic" w:cs="Times New Roman"/>
              </w:rPr>
              <w:t>4387.4</w:t>
            </w:r>
          </w:p>
        </w:tc>
        <w:tc>
          <w:tcPr>
            <w:tcW w:w="1260" w:type="dxa"/>
          </w:tcPr>
          <w:p w14:paraId="2BE8558D"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+5.29</w:t>
            </w:r>
          </w:p>
        </w:tc>
        <w:tc>
          <w:tcPr>
            <w:tcW w:w="1260" w:type="dxa"/>
          </w:tcPr>
          <w:p w14:paraId="0B26C6A3"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+5.05</w:t>
            </w:r>
          </w:p>
        </w:tc>
        <w:tc>
          <w:tcPr>
            <w:tcW w:w="1731" w:type="dxa"/>
          </w:tcPr>
          <w:p w14:paraId="699F0878"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+0.21</w:t>
            </w:r>
          </w:p>
        </w:tc>
      </w:tr>
      <w:tr w:rsidR="00347572" w:rsidRPr="005D33E0" w14:paraId="74F2D02D" w14:textId="77777777" w:rsidTr="0027000E">
        <w:tc>
          <w:tcPr>
            <w:tcW w:w="3129" w:type="dxa"/>
          </w:tcPr>
          <w:p w14:paraId="5BCA6DEC"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Aggregate real consumption of households</w:t>
            </w:r>
          </w:p>
        </w:tc>
        <w:tc>
          <w:tcPr>
            <w:tcW w:w="2356" w:type="dxa"/>
          </w:tcPr>
          <w:p w14:paraId="7FE7CC39" w14:textId="77777777" w:rsidR="00347572" w:rsidRPr="005D33E0" w:rsidRDefault="00347572" w:rsidP="00EE3BED">
            <w:pPr>
              <w:jc w:val="center"/>
              <w:rPr>
                <w:rFonts w:ascii="Century Gothic" w:hAnsi="Century Gothic" w:cs="Times New Roman"/>
              </w:rPr>
            </w:pPr>
            <w:r w:rsidRPr="005D33E0">
              <w:rPr>
                <w:rFonts w:ascii="Century Gothic" w:hAnsi="Century Gothic" w:cs="Times New Roman"/>
              </w:rPr>
              <w:t>78733.6</w:t>
            </w:r>
          </w:p>
        </w:tc>
        <w:tc>
          <w:tcPr>
            <w:tcW w:w="1260" w:type="dxa"/>
          </w:tcPr>
          <w:p w14:paraId="7A92B092"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+0.47</w:t>
            </w:r>
          </w:p>
        </w:tc>
        <w:tc>
          <w:tcPr>
            <w:tcW w:w="1260" w:type="dxa"/>
          </w:tcPr>
          <w:p w14:paraId="688CD9A2"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+0.51</w:t>
            </w:r>
          </w:p>
        </w:tc>
        <w:tc>
          <w:tcPr>
            <w:tcW w:w="1731" w:type="dxa"/>
          </w:tcPr>
          <w:p w14:paraId="7E85FAC8"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+0.07</w:t>
            </w:r>
          </w:p>
        </w:tc>
      </w:tr>
      <w:tr w:rsidR="00452613" w:rsidRPr="005D33E0" w14:paraId="4AD63FE1" w14:textId="77777777" w:rsidTr="0027000E">
        <w:tc>
          <w:tcPr>
            <w:tcW w:w="3129" w:type="dxa"/>
          </w:tcPr>
          <w:p w14:paraId="22294290" w14:textId="77777777" w:rsidR="00452613" w:rsidRPr="005D33E0" w:rsidRDefault="00452613" w:rsidP="00EE3BED">
            <w:pPr>
              <w:jc w:val="both"/>
              <w:rPr>
                <w:rFonts w:ascii="Century Gothic" w:hAnsi="Century Gothic" w:cs="Times New Roman"/>
              </w:rPr>
            </w:pPr>
            <w:r w:rsidRPr="005D33E0">
              <w:rPr>
                <w:rFonts w:ascii="Century Gothic" w:hAnsi="Century Gothic" w:cs="Times New Roman"/>
              </w:rPr>
              <w:t>Consumer Price Index</w:t>
            </w:r>
          </w:p>
        </w:tc>
        <w:tc>
          <w:tcPr>
            <w:tcW w:w="2356" w:type="dxa"/>
          </w:tcPr>
          <w:p w14:paraId="23EB5DAA" w14:textId="77777777" w:rsidR="00452613" w:rsidRPr="005D33E0" w:rsidRDefault="00452613" w:rsidP="00EE3BED">
            <w:pPr>
              <w:jc w:val="center"/>
              <w:rPr>
                <w:rFonts w:ascii="Century Gothic" w:hAnsi="Century Gothic" w:cs="Times New Roman"/>
              </w:rPr>
            </w:pPr>
          </w:p>
        </w:tc>
        <w:tc>
          <w:tcPr>
            <w:tcW w:w="1260" w:type="dxa"/>
          </w:tcPr>
          <w:p w14:paraId="177503F3" w14:textId="77777777" w:rsidR="00452613" w:rsidRPr="005D33E0" w:rsidRDefault="00452613" w:rsidP="00EE3BED">
            <w:pPr>
              <w:jc w:val="center"/>
              <w:rPr>
                <w:rFonts w:ascii="Century Gothic" w:hAnsi="Century Gothic" w:cs="Times New Roman"/>
              </w:rPr>
            </w:pPr>
            <w:r w:rsidRPr="005D33E0">
              <w:rPr>
                <w:rFonts w:ascii="Century Gothic" w:hAnsi="Century Gothic" w:cs="Times New Roman"/>
              </w:rPr>
              <w:t>-1.2</w:t>
            </w:r>
          </w:p>
        </w:tc>
        <w:tc>
          <w:tcPr>
            <w:tcW w:w="1260" w:type="dxa"/>
          </w:tcPr>
          <w:p w14:paraId="7F2535CC" w14:textId="77777777" w:rsidR="00452613" w:rsidRPr="005D33E0" w:rsidRDefault="00452613" w:rsidP="00EE3BED">
            <w:pPr>
              <w:jc w:val="center"/>
              <w:rPr>
                <w:rFonts w:ascii="Century Gothic" w:hAnsi="Century Gothic" w:cs="Times New Roman"/>
              </w:rPr>
            </w:pPr>
            <w:r w:rsidRPr="005D33E0">
              <w:rPr>
                <w:rFonts w:ascii="Century Gothic" w:hAnsi="Century Gothic" w:cs="Times New Roman"/>
              </w:rPr>
              <w:t>-1.2</w:t>
            </w:r>
          </w:p>
        </w:tc>
        <w:tc>
          <w:tcPr>
            <w:tcW w:w="1731" w:type="dxa"/>
          </w:tcPr>
          <w:p w14:paraId="518DDFF9" w14:textId="77777777" w:rsidR="00452613" w:rsidRPr="005D33E0" w:rsidRDefault="00452613" w:rsidP="00EE3BED">
            <w:pPr>
              <w:jc w:val="center"/>
              <w:rPr>
                <w:rFonts w:ascii="Century Gothic" w:hAnsi="Century Gothic" w:cs="Times New Roman"/>
              </w:rPr>
            </w:pPr>
            <w:r w:rsidRPr="005D33E0">
              <w:rPr>
                <w:rFonts w:ascii="Century Gothic" w:hAnsi="Century Gothic" w:cs="Times New Roman"/>
              </w:rPr>
              <w:t>-0.01</w:t>
            </w:r>
          </w:p>
        </w:tc>
      </w:tr>
      <w:tr w:rsidR="00347572" w:rsidRPr="005D33E0" w14:paraId="54215AF9" w14:textId="77777777" w:rsidTr="0027000E">
        <w:tc>
          <w:tcPr>
            <w:tcW w:w="3129" w:type="dxa"/>
          </w:tcPr>
          <w:p w14:paraId="185D6E36"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Annual unemployment rate</w:t>
            </w:r>
          </w:p>
        </w:tc>
        <w:tc>
          <w:tcPr>
            <w:tcW w:w="2356" w:type="dxa"/>
          </w:tcPr>
          <w:p w14:paraId="5359CE6E" w14:textId="77777777" w:rsidR="00347572" w:rsidRPr="005D33E0" w:rsidRDefault="00347572" w:rsidP="00EE3BED">
            <w:pPr>
              <w:jc w:val="center"/>
              <w:rPr>
                <w:rFonts w:ascii="Century Gothic" w:hAnsi="Century Gothic" w:cs="Times New Roman"/>
              </w:rPr>
            </w:pPr>
            <w:r w:rsidRPr="005D33E0">
              <w:rPr>
                <w:rFonts w:ascii="Century Gothic" w:hAnsi="Century Gothic" w:cs="Times New Roman"/>
              </w:rPr>
              <w:t>10.3%</w:t>
            </w:r>
          </w:p>
        </w:tc>
        <w:tc>
          <w:tcPr>
            <w:tcW w:w="1260" w:type="dxa"/>
          </w:tcPr>
          <w:p w14:paraId="3751305F"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-2.03</w:t>
            </w:r>
          </w:p>
        </w:tc>
        <w:tc>
          <w:tcPr>
            <w:tcW w:w="1260" w:type="dxa"/>
          </w:tcPr>
          <w:p w14:paraId="40B98142"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-1.6</w:t>
            </w:r>
          </w:p>
        </w:tc>
        <w:tc>
          <w:tcPr>
            <w:tcW w:w="1731" w:type="dxa"/>
          </w:tcPr>
          <w:p w14:paraId="27A0852A"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-0.55</w:t>
            </w:r>
          </w:p>
        </w:tc>
      </w:tr>
      <w:tr w:rsidR="00347572" w:rsidRPr="005D33E0" w14:paraId="4EB408A5" w14:textId="77777777" w:rsidTr="0027000E">
        <w:tc>
          <w:tcPr>
            <w:tcW w:w="3129" w:type="dxa"/>
          </w:tcPr>
          <w:p w14:paraId="1EABDD92" w14:textId="77777777" w:rsidR="00347572" w:rsidRPr="005D33E0" w:rsidRDefault="00347572" w:rsidP="00EE3BED">
            <w:pPr>
              <w:jc w:val="both"/>
              <w:rPr>
                <w:rFonts w:ascii="Century Gothic" w:hAnsi="Century Gothic" w:cs="Times New Roman"/>
              </w:rPr>
            </w:pPr>
            <w:r w:rsidRPr="005D33E0">
              <w:rPr>
                <w:rFonts w:ascii="Century Gothic" w:hAnsi="Century Gothic" w:cs="Times New Roman"/>
              </w:rPr>
              <w:t>Annual women unemployment rate</w:t>
            </w:r>
          </w:p>
        </w:tc>
        <w:tc>
          <w:tcPr>
            <w:tcW w:w="2356" w:type="dxa"/>
          </w:tcPr>
          <w:p w14:paraId="425FFF15" w14:textId="77777777" w:rsidR="00347572" w:rsidRPr="005D33E0" w:rsidRDefault="00347572" w:rsidP="00EE3BED">
            <w:pPr>
              <w:jc w:val="center"/>
              <w:rPr>
                <w:rFonts w:ascii="Century Gothic" w:hAnsi="Century Gothic" w:cs="Times New Roman"/>
              </w:rPr>
            </w:pPr>
          </w:p>
        </w:tc>
        <w:tc>
          <w:tcPr>
            <w:tcW w:w="1260" w:type="dxa"/>
          </w:tcPr>
          <w:p w14:paraId="77C9A8AF"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-4.9</w:t>
            </w:r>
          </w:p>
        </w:tc>
        <w:tc>
          <w:tcPr>
            <w:tcW w:w="1260" w:type="dxa"/>
          </w:tcPr>
          <w:p w14:paraId="0E593C89"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-2.6</w:t>
            </w:r>
          </w:p>
        </w:tc>
        <w:tc>
          <w:tcPr>
            <w:tcW w:w="1731" w:type="dxa"/>
          </w:tcPr>
          <w:p w14:paraId="10740A19" w14:textId="77777777" w:rsidR="00347572" w:rsidRPr="005D33E0" w:rsidRDefault="002F48F3" w:rsidP="00EE3BED">
            <w:pPr>
              <w:jc w:val="center"/>
              <w:rPr>
                <w:rFonts w:ascii="Century Gothic" w:hAnsi="Century Gothic" w:cs="Times New Roman"/>
              </w:rPr>
            </w:pPr>
            <w:r w:rsidRPr="005D33E0">
              <w:rPr>
                <w:rFonts w:ascii="Century Gothic" w:hAnsi="Century Gothic" w:cs="Times New Roman"/>
              </w:rPr>
              <w:t>-0.67</w:t>
            </w:r>
          </w:p>
        </w:tc>
      </w:tr>
    </w:tbl>
    <w:p w14:paraId="6BBC782E" w14:textId="77777777" w:rsidR="001A3134" w:rsidRPr="005D33E0" w:rsidRDefault="001A3134" w:rsidP="00EE3BED">
      <w:pPr>
        <w:jc w:val="both"/>
        <w:rPr>
          <w:rFonts w:ascii="Century Gothic" w:hAnsi="Century Gothic" w:cs="Times New Roman"/>
        </w:rPr>
      </w:pPr>
      <w:r w:rsidRPr="005D33E0">
        <w:rPr>
          <w:rFonts w:ascii="Century Gothic" w:hAnsi="Century Gothic" w:cs="Times New Roman"/>
        </w:rPr>
        <w:t>Source: Authors’ calculation</w:t>
      </w:r>
    </w:p>
    <w:p w14:paraId="385B7F89" w14:textId="77777777" w:rsidR="00E17EFD" w:rsidRPr="005D33E0" w:rsidRDefault="00E17EFD" w:rsidP="00EE3BED">
      <w:pPr>
        <w:jc w:val="both"/>
        <w:rPr>
          <w:rFonts w:ascii="Century Gothic" w:hAnsi="Century Gothic" w:cs="Times New Roman"/>
        </w:rPr>
      </w:pPr>
    </w:p>
    <w:p w14:paraId="2667470D" w14:textId="5DC3EDFE" w:rsidR="00232B53" w:rsidRPr="005D33E0" w:rsidRDefault="00E17EFD" w:rsidP="00EE3BED">
      <w:pPr>
        <w:jc w:val="both"/>
        <w:rPr>
          <w:rFonts w:ascii="Century Gothic" w:hAnsi="Century Gothic" w:cs="Times New Roman"/>
        </w:rPr>
      </w:pPr>
      <w:r w:rsidRPr="005D33E0">
        <w:rPr>
          <w:rFonts w:ascii="Century Gothic" w:hAnsi="Century Gothic" w:cs="Times New Roman"/>
        </w:rPr>
        <w:t xml:space="preserve">The agricultural sector constitutes about </w:t>
      </w:r>
      <w:r w:rsidR="007E0A9A" w:rsidRPr="005D33E0">
        <w:rPr>
          <w:rFonts w:ascii="Century Gothic" w:hAnsi="Century Gothic" w:cs="Times New Roman"/>
        </w:rPr>
        <w:t>26,9</w:t>
      </w:r>
      <w:r w:rsidR="00DE1DC9" w:rsidRPr="005D33E0">
        <w:rPr>
          <w:rFonts w:ascii="Century Gothic" w:hAnsi="Century Gothic" w:cs="Times New Roman"/>
        </w:rPr>
        <w:t xml:space="preserve"> percent</w:t>
      </w:r>
      <w:r w:rsidRPr="005D33E0">
        <w:rPr>
          <w:rFonts w:ascii="Century Gothic" w:hAnsi="Century Gothic" w:cs="Times New Roman"/>
        </w:rPr>
        <w:t xml:space="preserve"> of total production and </w:t>
      </w:r>
      <w:r w:rsidR="00334216" w:rsidRPr="005D33E0">
        <w:rPr>
          <w:rFonts w:ascii="Century Gothic" w:hAnsi="Century Gothic" w:cs="Times New Roman"/>
        </w:rPr>
        <w:t>35.2</w:t>
      </w:r>
      <w:r w:rsidRPr="005D33E0">
        <w:rPr>
          <w:rFonts w:ascii="Century Gothic" w:hAnsi="Century Gothic" w:cs="Times New Roman"/>
        </w:rPr>
        <w:t>% of the total exports in Tanzania. As a result, improving production and exports in this sector can play a key role in Tanzania</w:t>
      </w:r>
      <w:r w:rsidR="00DE1DC9" w:rsidRPr="005D33E0">
        <w:rPr>
          <w:rFonts w:ascii="Century Gothic" w:hAnsi="Century Gothic" w:cs="Times New Roman"/>
        </w:rPr>
        <w:t>’s</w:t>
      </w:r>
      <w:r w:rsidRPr="005D33E0">
        <w:rPr>
          <w:rFonts w:ascii="Century Gothic" w:hAnsi="Century Gothic" w:cs="Times New Roman"/>
        </w:rPr>
        <w:t xml:space="preserve"> economic performance.</w:t>
      </w:r>
      <w:r w:rsidR="00EE13A7" w:rsidRPr="005D33E0">
        <w:rPr>
          <w:rFonts w:ascii="Century Gothic" w:hAnsi="Century Gothic" w:cs="Times New Roman"/>
        </w:rPr>
        <w:t xml:space="preserve"> Our findings are consistent with World Bank (2003)</w:t>
      </w:r>
      <w:r w:rsidR="00EE13A7" w:rsidRPr="005D33E0">
        <w:rPr>
          <w:rStyle w:val="FootnoteReference"/>
          <w:rFonts w:ascii="Century Gothic" w:hAnsi="Century Gothic" w:cs="Times New Roman"/>
        </w:rPr>
        <w:footnoteReference w:id="49"/>
      </w:r>
      <w:r w:rsidR="00EE13A7" w:rsidRPr="005D33E0">
        <w:rPr>
          <w:rFonts w:ascii="Century Gothic" w:hAnsi="Century Gothic" w:cs="Times New Roman"/>
        </w:rPr>
        <w:t xml:space="preserve"> results, which show </w:t>
      </w:r>
      <w:r w:rsidR="00410666" w:rsidRPr="005D33E0">
        <w:rPr>
          <w:rFonts w:ascii="Century Gothic" w:hAnsi="Century Gothic" w:cs="Times New Roman"/>
        </w:rPr>
        <w:t>that expansion of irrigation is associated with increased agricultural productivity.</w:t>
      </w:r>
      <w:r w:rsidR="00592E0C">
        <w:rPr>
          <w:rFonts w:ascii="Century Gothic" w:hAnsi="Century Gothic" w:cs="Times New Roman"/>
        </w:rPr>
        <w:t xml:space="preserve"> </w:t>
      </w:r>
      <w:r w:rsidR="00786FE3" w:rsidRPr="005D33E0">
        <w:rPr>
          <w:rFonts w:ascii="Century Gothic" w:hAnsi="Century Gothic" w:cs="Times New Roman"/>
        </w:rPr>
        <w:t>As a result, investment in irrigation of arable land leads to a 0.64</w:t>
      </w:r>
      <w:r w:rsidR="008B160D" w:rsidRPr="005D33E0">
        <w:rPr>
          <w:rFonts w:ascii="Century Gothic" w:hAnsi="Century Gothic" w:cs="Times New Roman"/>
        </w:rPr>
        <w:t xml:space="preserve"> percent</w:t>
      </w:r>
      <w:r w:rsidR="00FD1900" w:rsidRPr="005D33E0">
        <w:rPr>
          <w:rFonts w:ascii="Century Gothic" w:hAnsi="Century Gothic" w:cs="Times New Roman"/>
        </w:rPr>
        <w:t>,</w:t>
      </w:r>
      <w:r w:rsidR="00786FE3" w:rsidRPr="005D33E0">
        <w:rPr>
          <w:rFonts w:ascii="Century Gothic" w:hAnsi="Century Gothic" w:cs="Times New Roman"/>
        </w:rPr>
        <w:t xml:space="preserve"> 0.68</w:t>
      </w:r>
      <w:r w:rsidR="008B160D" w:rsidRPr="005D33E0">
        <w:rPr>
          <w:rFonts w:ascii="Century Gothic" w:hAnsi="Century Gothic" w:cs="Times New Roman"/>
        </w:rPr>
        <w:t xml:space="preserve"> percent</w:t>
      </w:r>
      <w:r w:rsidR="00FD1900" w:rsidRPr="005D33E0">
        <w:rPr>
          <w:rFonts w:ascii="Century Gothic" w:hAnsi="Century Gothic" w:cs="Times New Roman"/>
        </w:rPr>
        <w:t xml:space="preserve"> and 0.078</w:t>
      </w:r>
      <w:r w:rsidR="008B160D" w:rsidRPr="005D33E0">
        <w:rPr>
          <w:rFonts w:ascii="Century Gothic" w:hAnsi="Century Gothic" w:cs="Times New Roman"/>
        </w:rPr>
        <w:t xml:space="preserve"> percent increase</w:t>
      </w:r>
      <w:r w:rsidR="00786FE3" w:rsidRPr="005D33E0">
        <w:rPr>
          <w:rFonts w:ascii="Century Gothic" w:hAnsi="Century Gothic" w:cs="Times New Roman"/>
        </w:rPr>
        <w:t xml:space="preserve"> in real GDP  in 2023</w:t>
      </w:r>
      <w:r w:rsidR="00FD1900" w:rsidRPr="005D33E0">
        <w:rPr>
          <w:rFonts w:ascii="Century Gothic" w:hAnsi="Century Gothic" w:cs="Times New Roman"/>
        </w:rPr>
        <w:t>,</w:t>
      </w:r>
      <w:r w:rsidR="00786FE3" w:rsidRPr="005D33E0">
        <w:rPr>
          <w:rFonts w:ascii="Century Gothic" w:hAnsi="Century Gothic" w:cs="Times New Roman"/>
        </w:rPr>
        <w:t xml:space="preserve"> 2025</w:t>
      </w:r>
      <w:r w:rsidR="00FD1900" w:rsidRPr="005D33E0">
        <w:rPr>
          <w:rFonts w:ascii="Century Gothic" w:hAnsi="Century Gothic" w:cs="Times New Roman"/>
        </w:rPr>
        <w:t>, and 2030</w:t>
      </w:r>
      <w:r w:rsidR="00786FE3" w:rsidRPr="005D33E0">
        <w:rPr>
          <w:rFonts w:ascii="Century Gothic" w:hAnsi="Century Gothic" w:cs="Times New Roman"/>
        </w:rPr>
        <w:t xml:space="preserve"> respectively. One of the consequences of improving agricultural production is an increase in real household consumption. The findings show that the real consumption of households increases by 0.4</w:t>
      </w:r>
      <w:r w:rsidR="008B160D" w:rsidRPr="005D33E0">
        <w:rPr>
          <w:rFonts w:ascii="Century Gothic" w:hAnsi="Century Gothic" w:cs="Times New Roman"/>
        </w:rPr>
        <w:t xml:space="preserve"> percent</w:t>
      </w:r>
      <w:r w:rsidR="00786FE3" w:rsidRPr="005D33E0">
        <w:rPr>
          <w:rFonts w:ascii="Century Gothic" w:hAnsi="Century Gothic" w:cs="Times New Roman"/>
        </w:rPr>
        <w:t>, 0.5</w:t>
      </w:r>
      <w:r w:rsidR="008B160D" w:rsidRPr="005D33E0">
        <w:rPr>
          <w:rFonts w:ascii="Century Gothic" w:hAnsi="Century Gothic" w:cs="Times New Roman"/>
        </w:rPr>
        <w:t xml:space="preserve"> percent</w:t>
      </w:r>
      <w:r w:rsidR="00786FE3" w:rsidRPr="005D33E0">
        <w:rPr>
          <w:rFonts w:ascii="Century Gothic" w:hAnsi="Century Gothic" w:cs="Times New Roman"/>
        </w:rPr>
        <w:t>, and 0.07</w:t>
      </w:r>
      <w:r w:rsidR="008B160D" w:rsidRPr="005D33E0">
        <w:rPr>
          <w:rFonts w:ascii="Century Gothic" w:hAnsi="Century Gothic" w:cs="Times New Roman"/>
        </w:rPr>
        <w:t xml:space="preserve"> percent</w:t>
      </w:r>
      <w:r w:rsidR="00786FE3" w:rsidRPr="005D33E0">
        <w:rPr>
          <w:rFonts w:ascii="Century Gothic" w:hAnsi="Century Gothic" w:cs="Times New Roman"/>
        </w:rPr>
        <w:t xml:space="preserve"> in 2023, 2025, and 2030 respectively.</w:t>
      </w:r>
      <w:r w:rsidR="00D51C99" w:rsidRPr="005D33E0">
        <w:rPr>
          <w:rFonts w:ascii="Century Gothic" w:hAnsi="Century Gothic" w:cs="Times New Roman"/>
        </w:rPr>
        <w:t xml:space="preserve"> </w:t>
      </w:r>
      <w:r w:rsidR="00232B53" w:rsidRPr="005D33E0">
        <w:rPr>
          <w:rFonts w:ascii="Century Gothic" w:hAnsi="Century Gothic" w:cs="Times New Roman"/>
        </w:rPr>
        <w:t>The annual total unemployment rate decreased by 2.03</w:t>
      </w:r>
      <w:r w:rsidR="008B160D" w:rsidRPr="005D33E0">
        <w:rPr>
          <w:rFonts w:ascii="Century Gothic" w:hAnsi="Century Gothic" w:cs="Times New Roman"/>
        </w:rPr>
        <w:t xml:space="preserve"> percent</w:t>
      </w:r>
      <w:r w:rsidR="00232B53" w:rsidRPr="005D33E0">
        <w:rPr>
          <w:rFonts w:ascii="Century Gothic" w:hAnsi="Century Gothic" w:cs="Times New Roman"/>
        </w:rPr>
        <w:t xml:space="preserve"> in 2023, 1.6</w:t>
      </w:r>
      <w:r w:rsidR="008B160D" w:rsidRPr="005D33E0">
        <w:rPr>
          <w:rFonts w:ascii="Century Gothic" w:hAnsi="Century Gothic" w:cs="Times New Roman"/>
        </w:rPr>
        <w:t xml:space="preserve"> percent</w:t>
      </w:r>
      <w:r w:rsidR="00232B53" w:rsidRPr="005D33E0">
        <w:rPr>
          <w:rFonts w:ascii="Century Gothic" w:hAnsi="Century Gothic" w:cs="Times New Roman"/>
        </w:rPr>
        <w:t xml:space="preserve"> in 2025, and 0.55</w:t>
      </w:r>
      <w:r w:rsidR="008B160D" w:rsidRPr="005D33E0">
        <w:rPr>
          <w:rFonts w:ascii="Century Gothic" w:hAnsi="Century Gothic" w:cs="Times New Roman"/>
        </w:rPr>
        <w:t xml:space="preserve"> percent</w:t>
      </w:r>
      <w:r w:rsidR="00232B53" w:rsidRPr="005D33E0">
        <w:rPr>
          <w:rFonts w:ascii="Century Gothic" w:hAnsi="Century Gothic" w:cs="Times New Roman"/>
        </w:rPr>
        <w:t xml:space="preserve"> in 2030. The total unemployment rate for women fell more than </w:t>
      </w:r>
      <w:r w:rsidR="008B160D" w:rsidRPr="005D33E0">
        <w:rPr>
          <w:rFonts w:ascii="Century Gothic" w:hAnsi="Century Gothic" w:cs="Times New Roman"/>
        </w:rPr>
        <w:t xml:space="preserve">the total unemployment rate for </w:t>
      </w:r>
      <w:r w:rsidR="00232B53" w:rsidRPr="005D33E0">
        <w:rPr>
          <w:rFonts w:ascii="Century Gothic" w:hAnsi="Century Gothic" w:cs="Times New Roman"/>
        </w:rPr>
        <w:t>m</w:t>
      </w:r>
      <w:r w:rsidR="008B160D" w:rsidRPr="005D33E0">
        <w:rPr>
          <w:rFonts w:ascii="Century Gothic" w:hAnsi="Century Gothic" w:cs="Times New Roman"/>
        </w:rPr>
        <w:t>e</w:t>
      </w:r>
      <w:r w:rsidR="00232B53" w:rsidRPr="005D33E0">
        <w:rPr>
          <w:rFonts w:ascii="Century Gothic" w:hAnsi="Century Gothic" w:cs="Times New Roman"/>
        </w:rPr>
        <w:t>n.</w:t>
      </w:r>
    </w:p>
    <w:p w14:paraId="631D8221" w14:textId="77777777" w:rsidR="00786FE3" w:rsidRPr="005D33E0" w:rsidRDefault="00786FE3" w:rsidP="00EE3BED">
      <w:pPr>
        <w:jc w:val="both"/>
        <w:rPr>
          <w:rFonts w:ascii="Century Gothic" w:hAnsi="Century Gothic" w:cs="Times New Roman"/>
        </w:rPr>
      </w:pPr>
    </w:p>
    <w:p w14:paraId="7E1625F8" w14:textId="77777777" w:rsidR="00D63D7D" w:rsidRPr="005D33E0" w:rsidRDefault="00EC2231" w:rsidP="00EE3BED">
      <w:pPr>
        <w:jc w:val="both"/>
        <w:rPr>
          <w:rFonts w:ascii="Century Gothic" w:hAnsi="Century Gothic" w:cs="Times New Roman"/>
          <w:i/>
        </w:rPr>
      </w:pPr>
      <w:r w:rsidRPr="005D33E0">
        <w:rPr>
          <w:rFonts w:ascii="Century Gothic" w:hAnsi="Century Gothic" w:cs="Times New Roman"/>
          <w:i/>
        </w:rPr>
        <w:lastRenderedPageBreak/>
        <w:t>Effects on sectoral production and demand for female labour</w:t>
      </w:r>
    </w:p>
    <w:p w14:paraId="32BB9035" w14:textId="2FA69959" w:rsidR="00EC2231" w:rsidRPr="005D33E0" w:rsidRDefault="007C2B03" w:rsidP="00EE3BED">
      <w:pPr>
        <w:jc w:val="both"/>
        <w:rPr>
          <w:rFonts w:ascii="Century Gothic" w:hAnsi="Century Gothic" w:cs="Times New Roman"/>
        </w:rPr>
      </w:pPr>
      <w:r w:rsidRPr="005D33E0">
        <w:rPr>
          <w:rFonts w:ascii="Century Gothic" w:hAnsi="Century Gothic" w:cs="Times New Roman"/>
        </w:rPr>
        <w:t xml:space="preserve">Figure </w:t>
      </w:r>
      <w:r w:rsidR="005D33E0" w:rsidRPr="005D33E0">
        <w:rPr>
          <w:rFonts w:ascii="Century Gothic" w:hAnsi="Century Gothic" w:cs="Times New Roman"/>
        </w:rPr>
        <w:t>23</w:t>
      </w:r>
      <w:r w:rsidRPr="005D33E0">
        <w:rPr>
          <w:rFonts w:ascii="Century Gothic" w:hAnsi="Century Gothic" w:cs="Times New Roman"/>
        </w:rPr>
        <w:t xml:space="preserve"> shows, that investing in infrastructure, in our case in land irrigation leads to an increase in the value-added of agri-food sectors for the period from 2023-2029, which favours the increase in production in the agricultural sector as well as in the manufacturing sectors that depend on it (e.g.</w:t>
      </w:r>
      <w:r w:rsidR="00B81359" w:rsidRPr="005D33E0">
        <w:rPr>
          <w:rFonts w:ascii="Century Gothic" w:hAnsi="Century Gothic" w:cs="Times New Roman"/>
        </w:rPr>
        <w:t>,</w:t>
      </w:r>
      <w:r w:rsidRPr="005D33E0">
        <w:rPr>
          <w:rFonts w:ascii="Century Gothic" w:hAnsi="Century Gothic" w:cs="Times New Roman"/>
        </w:rPr>
        <w:t xml:space="preserve"> fats and vegetable </w:t>
      </w:r>
      <w:r w:rsidR="00B81359" w:rsidRPr="005D33E0">
        <w:rPr>
          <w:rFonts w:ascii="Century Gothic" w:hAnsi="Century Gothic" w:cs="Times New Roman"/>
        </w:rPr>
        <w:t xml:space="preserve">oil </w:t>
      </w:r>
      <w:r w:rsidRPr="005D33E0">
        <w:rPr>
          <w:rFonts w:ascii="Century Gothic" w:hAnsi="Century Gothic" w:cs="Times New Roman"/>
        </w:rPr>
        <w:t>processing, grain milling, sugar refining, other foods, animal feed</w:t>
      </w:r>
      <w:r w:rsidR="00B81359" w:rsidRPr="005D33E0">
        <w:rPr>
          <w:rFonts w:ascii="Century Gothic" w:hAnsi="Century Gothic" w:cs="Times New Roman"/>
        </w:rPr>
        <w:t xml:space="preserve"> and</w:t>
      </w:r>
      <w:r w:rsidRPr="005D33E0">
        <w:rPr>
          <w:rFonts w:ascii="Century Gothic" w:hAnsi="Century Gothic" w:cs="Times New Roman"/>
        </w:rPr>
        <w:t xml:space="preserve"> luxury foodstuff) and </w:t>
      </w:r>
      <w:r w:rsidR="00B81359" w:rsidRPr="005D33E0">
        <w:rPr>
          <w:rFonts w:ascii="Century Gothic" w:hAnsi="Century Gothic" w:cs="Times New Roman"/>
        </w:rPr>
        <w:t xml:space="preserve">the </w:t>
      </w:r>
      <w:r w:rsidRPr="005D33E0">
        <w:rPr>
          <w:rFonts w:ascii="Century Gothic" w:hAnsi="Century Gothic" w:cs="Times New Roman"/>
        </w:rPr>
        <w:t>construction sector.</w:t>
      </w:r>
    </w:p>
    <w:p w14:paraId="6098177F" w14:textId="77777777" w:rsidR="00EC2231" w:rsidRPr="005D33E0" w:rsidRDefault="00E0378C" w:rsidP="00EE3BED">
      <w:pPr>
        <w:jc w:val="center"/>
        <w:rPr>
          <w:noProof/>
          <w:lang w:val="en-US" w:eastAsia="zh-CN"/>
        </w:rPr>
      </w:pPr>
      <w:r w:rsidRPr="005D33E0">
        <w:rPr>
          <w:rFonts w:ascii="Cambria" w:hAnsi="Cambria" w:cs="Arial"/>
          <w:b/>
          <w:noProof/>
          <w:lang w:val="ru-RU" w:eastAsia="zh-CN"/>
        </w:rPr>
        <mc:AlternateContent>
          <mc:Choice Requires="wps">
            <w:drawing>
              <wp:anchor distT="45720" distB="45720" distL="114300" distR="114300" simplePos="0" relativeHeight="251684864" behindDoc="0" locked="0" layoutInCell="1" allowOverlap="1" wp14:anchorId="746A1DC6" wp14:editId="26051BCF">
                <wp:simplePos x="0" y="0"/>
                <wp:positionH relativeFrom="column">
                  <wp:posOffset>5745378</wp:posOffset>
                </wp:positionH>
                <wp:positionV relativeFrom="paragraph">
                  <wp:posOffset>630862</wp:posOffset>
                </wp:positionV>
                <wp:extent cx="300867" cy="1401131"/>
                <wp:effectExtent l="0" t="0" r="0"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7" cy="1401131"/>
                        </a:xfrm>
                        <a:prstGeom prst="rect">
                          <a:avLst/>
                        </a:prstGeom>
                        <a:noFill/>
                        <a:ln w="9525">
                          <a:noFill/>
                          <a:miter lim="800000"/>
                          <a:headEnd/>
                          <a:tailEnd/>
                        </a:ln>
                      </wps:spPr>
                      <wps:txbx>
                        <w:txbxContent>
                          <w:p w14:paraId="093828EC" w14:textId="77777777" w:rsidR="00592E0C" w:rsidRPr="00F875C1" w:rsidRDefault="00592E0C" w:rsidP="00623987">
                            <w:pPr>
                              <w:jc w:val="center"/>
                              <w:rPr>
                                <w:rFonts w:asciiTheme="majorHAnsi" w:hAnsiTheme="majorHAnsi" w:cstheme="majorHAnsi"/>
                                <w:sz w:val="16"/>
                                <w:szCs w:val="16"/>
                                <w:lang w:val="ru-RU"/>
                              </w:rPr>
                            </w:pPr>
                            <w:r>
                              <w:rPr>
                                <w:rFonts w:asciiTheme="majorHAnsi" w:hAnsiTheme="majorHAnsi" w:cstheme="majorHAnsi"/>
                                <w:sz w:val="16"/>
                                <w:szCs w:val="16"/>
                              </w:rPr>
                              <w:t>% change in value added prices</w:t>
                            </w:r>
                          </w:p>
                          <w:p w14:paraId="4A869E01" w14:textId="77777777" w:rsidR="00592E0C" w:rsidRPr="00F875C1" w:rsidRDefault="00592E0C" w:rsidP="00623987">
                            <w:pPr>
                              <w:jc w:val="center"/>
                              <w:rPr>
                                <w:rFonts w:asciiTheme="majorHAnsi" w:hAnsiTheme="majorHAnsi" w:cstheme="majorHAnsi"/>
                                <w:sz w:val="16"/>
                                <w:szCs w:val="16"/>
                                <w:lang w:val="ru-RU"/>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A1DC6" id="_x0000_s1042" type="#_x0000_t202" style="position:absolute;left:0;text-align:left;margin-left:452.4pt;margin-top:49.65pt;width:23.7pt;height:110.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" filled="f" stroked="f">
                <v:textbox style="layout-flow:vertical;mso-layout-flow-alt:bottom-to-top">
                  <w:txbxContent>
                    <w:p w14:paraId="093828EC" w14:textId="77777777" w:rsidR="00592E0C" w:rsidRPr="00F875C1" w:rsidRDefault="00592E0C" w:rsidP="00623987">
                      <w:pPr>
                        <w:jc w:val="center"/>
                        <w:rPr>
                          <w:rFonts w:asciiTheme="majorHAnsi" w:hAnsiTheme="majorHAnsi" w:cstheme="majorHAnsi"/>
                          <w:sz w:val="16"/>
                          <w:szCs w:val="16"/>
                          <w:lang w:val="ru-RU"/>
                        </w:rPr>
                      </w:pPr>
                      <w:r>
                        <w:rPr>
                          <w:rFonts w:asciiTheme="majorHAnsi" w:hAnsiTheme="majorHAnsi" w:cstheme="majorHAnsi"/>
                          <w:sz w:val="16"/>
                          <w:szCs w:val="16"/>
                        </w:rPr>
                        <w:t>% change in value added prices</w:t>
                      </w:r>
                    </w:p>
                    <w:p w14:paraId="4A869E01" w14:textId="77777777" w:rsidR="00592E0C" w:rsidRPr="00F875C1" w:rsidRDefault="00592E0C" w:rsidP="00623987">
                      <w:pPr>
                        <w:jc w:val="center"/>
                        <w:rPr>
                          <w:rFonts w:asciiTheme="majorHAnsi" w:hAnsiTheme="majorHAnsi" w:cstheme="majorHAnsi"/>
                          <w:sz w:val="16"/>
                          <w:szCs w:val="16"/>
                          <w:lang w:val="ru-RU"/>
                        </w:rPr>
                      </w:pPr>
                    </w:p>
                  </w:txbxContent>
                </v:textbox>
              </v:shape>
            </w:pict>
          </mc:Fallback>
        </mc:AlternateContent>
      </w:r>
      <w:r w:rsidRPr="005D33E0">
        <w:rPr>
          <w:rFonts w:ascii="Cambria" w:hAnsi="Cambria" w:cs="Arial"/>
          <w:b/>
          <w:noProof/>
          <w:lang w:val="ru-RU" w:eastAsia="zh-CN"/>
        </w:rPr>
        <mc:AlternateContent>
          <mc:Choice Requires="wps">
            <w:drawing>
              <wp:anchor distT="45720" distB="45720" distL="114300" distR="114300" simplePos="0" relativeHeight="251676672" behindDoc="0" locked="0" layoutInCell="1" allowOverlap="1" wp14:anchorId="2D0896D0" wp14:editId="3D8E6F65">
                <wp:simplePos x="0" y="0"/>
                <wp:positionH relativeFrom="column">
                  <wp:posOffset>171737</wp:posOffset>
                </wp:positionH>
                <wp:positionV relativeFrom="paragraph">
                  <wp:posOffset>634221</wp:posOffset>
                </wp:positionV>
                <wp:extent cx="341630" cy="1401131"/>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1131"/>
                        </a:xfrm>
                        <a:prstGeom prst="rect">
                          <a:avLst/>
                        </a:prstGeom>
                        <a:noFill/>
                        <a:ln w="9525">
                          <a:noFill/>
                          <a:miter lim="800000"/>
                          <a:headEnd/>
                          <a:tailEnd/>
                        </a:ln>
                      </wps:spPr>
                      <wps:txbx>
                        <w:txbxContent>
                          <w:p w14:paraId="27842F47" w14:textId="77777777" w:rsidR="00592E0C" w:rsidRPr="00F875C1" w:rsidRDefault="00592E0C" w:rsidP="00623987">
                            <w:pPr>
                              <w:jc w:val="center"/>
                              <w:rPr>
                                <w:rFonts w:asciiTheme="majorHAnsi" w:hAnsiTheme="majorHAnsi" w:cstheme="majorHAnsi"/>
                                <w:sz w:val="16"/>
                                <w:szCs w:val="16"/>
                                <w:lang w:val="ru-RU"/>
                              </w:rPr>
                            </w:pPr>
                            <w:r>
                              <w:rPr>
                                <w:rFonts w:asciiTheme="majorHAnsi" w:hAnsiTheme="majorHAnsi" w:cstheme="majorHAnsi"/>
                                <w:sz w:val="16"/>
                                <w:szCs w:val="16"/>
                              </w:rPr>
                              <w:t>% change in value added</w:t>
                            </w:r>
                          </w:p>
                          <w:p w14:paraId="151676A3" w14:textId="77777777" w:rsidR="00592E0C" w:rsidRPr="00F875C1" w:rsidRDefault="00592E0C" w:rsidP="00623987">
                            <w:pPr>
                              <w:jc w:val="center"/>
                              <w:rPr>
                                <w:rFonts w:asciiTheme="majorHAnsi" w:hAnsiTheme="majorHAnsi" w:cstheme="majorHAnsi"/>
                                <w:sz w:val="16"/>
                                <w:szCs w:val="16"/>
                                <w:lang w:val="ru-RU"/>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896D0" id="_x0000_s1043" type="#_x0000_t202" style="position:absolute;left:0;text-align:left;margin-left:13.5pt;margin-top:49.95pt;width:26.9pt;height:110.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" filled="f" stroked="f">
                <v:textbox style="layout-flow:vertical;mso-layout-flow-alt:bottom-to-top">
                  <w:txbxContent>
                    <w:p w14:paraId="27842F47" w14:textId="77777777" w:rsidR="00592E0C" w:rsidRPr="00F875C1" w:rsidRDefault="00592E0C" w:rsidP="00623987">
                      <w:pPr>
                        <w:jc w:val="center"/>
                        <w:rPr>
                          <w:rFonts w:asciiTheme="majorHAnsi" w:hAnsiTheme="majorHAnsi" w:cstheme="majorHAnsi"/>
                          <w:sz w:val="16"/>
                          <w:szCs w:val="16"/>
                          <w:lang w:val="ru-RU"/>
                        </w:rPr>
                      </w:pPr>
                      <w:r>
                        <w:rPr>
                          <w:rFonts w:asciiTheme="majorHAnsi" w:hAnsiTheme="majorHAnsi" w:cstheme="majorHAnsi"/>
                          <w:sz w:val="16"/>
                          <w:szCs w:val="16"/>
                        </w:rPr>
                        <w:t>% change in value added</w:t>
                      </w:r>
                    </w:p>
                    <w:p w14:paraId="151676A3" w14:textId="77777777" w:rsidR="00592E0C" w:rsidRPr="00F875C1" w:rsidRDefault="00592E0C" w:rsidP="00623987">
                      <w:pPr>
                        <w:jc w:val="center"/>
                        <w:rPr>
                          <w:rFonts w:asciiTheme="majorHAnsi" w:hAnsiTheme="majorHAnsi" w:cstheme="majorHAnsi"/>
                          <w:sz w:val="16"/>
                          <w:szCs w:val="16"/>
                          <w:lang w:val="ru-RU"/>
                        </w:rPr>
                      </w:pPr>
                    </w:p>
                  </w:txbxContent>
                </v:textbox>
              </v:shape>
            </w:pict>
          </mc:Fallback>
        </mc:AlternateContent>
      </w:r>
      <w:r w:rsidR="003934D1" w:rsidRPr="005D33E0">
        <w:rPr>
          <w:noProof/>
          <w:lang w:val="en-US" w:eastAsia="zh-CN"/>
        </w:rPr>
        <w:t xml:space="preserve"> </w:t>
      </w:r>
      <w:r w:rsidR="003934D1" w:rsidRPr="005D33E0">
        <w:rPr>
          <w:noProof/>
          <w:lang w:val="ru-RU" w:eastAsia="zh-CN"/>
        </w:rPr>
        <w:drawing>
          <wp:inline distT="0" distB="0" distL="0" distR="0" wp14:anchorId="1C545A9F" wp14:editId="7D5699EF">
            <wp:extent cx="5136913" cy="1960535"/>
            <wp:effectExtent l="0" t="0" r="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23987" w:rsidRPr="005D33E0">
        <w:rPr>
          <w:rFonts w:ascii="Cambria" w:hAnsi="Cambria" w:cs="Arial"/>
          <w:b/>
          <w:noProof/>
          <w:lang w:val="en-US" w:eastAsia="zh-CN"/>
        </w:rPr>
        <w:t xml:space="preserve"> </w:t>
      </w:r>
    </w:p>
    <w:p w14:paraId="7AF6AFF6" w14:textId="44BCC4A8" w:rsidR="00EC2231" w:rsidRPr="005D33E0" w:rsidRDefault="00EC2231" w:rsidP="00EE3BED">
      <w:pPr>
        <w:jc w:val="both"/>
        <w:rPr>
          <w:rFonts w:ascii="Century Gothic" w:hAnsi="Century Gothic" w:cs="Times New Roman"/>
        </w:rPr>
      </w:pPr>
      <w:r w:rsidRPr="005D33E0">
        <w:rPr>
          <w:rFonts w:ascii="Century Gothic" w:hAnsi="Century Gothic" w:cs="Times New Roman"/>
        </w:rPr>
        <w:t xml:space="preserve">Figure </w:t>
      </w:r>
      <w:r w:rsidR="005D33E0" w:rsidRPr="005D33E0">
        <w:rPr>
          <w:rFonts w:ascii="Century Gothic" w:hAnsi="Century Gothic" w:cs="Times New Roman"/>
        </w:rPr>
        <w:t>23</w:t>
      </w:r>
      <w:r w:rsidRPr="005D33E0">
        <w:rPr>
          <w:rFonts w:ascii="Century Gothic" w:hAnsi="Century Gothic" w:cs="Times New Roman"/>
        </w:rPr>
        <w:t>. Evaluation of variation of value added in agricultural sectors</w:t>
      </w:r>
      <w:r w:rsidR="00623987" w:rsidRPr="005D33E0">
        <w:rPr>
          <w:rFonts w:ascii="Century Gothic" w:hAnsi="Century Gothic" w:cs="Times New Roman"/>
        </w:rPr>
        <w:t xml:space="preserve"> and their prices</w:t>
      </w:r>
    </w:p>
    <w:p w14:paraId="2040B395" w14:textId="623E4B69" w:rsidR="00EC2231" w:rsidRPr="005D33E0" w:rsidRDefault="00070FDD" w:rsidP="00EE3BED">
      <w:pPr>
        <w:jc w:val="both"/>
        <w:rPr>
          <w:rFonts w:ascii="Century Gothic" w:hAnsi="Century Gothic" w:cs="Times New Roman"/>
        </w:rPr>
      </w:pPr>
      <w:r w:rsidRPr="005D33E0">
        <w:rPr>
          <w:rFonts w:ascii="Century Gothic" w:hAnsi="Century Gothic" w:cs="Times New Roman"/>
        </w:rPr>
        <w:t xml:space="preserve">In this simulation we assume, that </w:t>
      </w:r>
      <w:r w:rsidR="00EE13A7" w:rsidRPr="005D33E0">
        <w:rPr>
          <w:rFonts w:ascii="Century Gothic" w:hAnsi="Century Gothic" w:cs="Times New Roman"/>
        </w:rPr>
        <w:t>a</w:t>
      </w:r>
      <w:r w:rsidR="00106EC5" w:rsidRPr="005D33E0">
        <w:rPr>
          <w:rFonts w:ascii="Century Gothic" w:hAnsi="Century Gothic" w:cs="Times New Roman"/>
        </w:rPr>
        <w:t xml:space="preserve"> change in the labour factor endowment from increasing women's participation in the agricultural sector coupled with investment in infrastructure (e.g., </w:t>
      </w:r>
      <w:r w:rsidR="00B81359" w:rsidRPr="005D33E0">
        <w:rPr>
          <w:rFonts w:ascii="Century Gothic" w:hAnsi="Century Gothic" w:cs="Times New Roman"/>
        </w:rPr>
        <w:t>irrigation</w:t>
      </w:r>
      <w:r w:rsidR="00106EC5" w:rsidRPr="005D33E0">
        <w:rPr>
          <w:rFonts w:ascii="Century Gothic" w:hAnsi="Century Gothic" w:cs="Times New Roman"/>
        </w:rPr>
        <w:t xml:space="preserve">) is a significant </w:t>
      </w:r>
      <w:r w:rsidR="00B81359" w:rsidRPr="005D33E0">
        <w:rPr>
          <w:rFonts w:ascii="Century Gothic" w:hAnsi="Century Gothic" w:cs="Times New Roman"/>
        </w:rPr>
        <w:t xml:space="preserve">positive </w:t>
      </w:r>
      <w:r w:rsidR="00106EC5" w:rsidRPr="005D33E0">
        <w:rPr>
          <w:rFonts w:ascii="Century Gothic" w:hAnsi="Century Gothic" w:cs="Times New Roman"/>
        </w:rPr>
        <w:t>shock because it could change the productive capacity of the economy.  This simulation scenario leads to a distributional effect when an increase in investment in infrastructure coupled with an increase in the supply of female labour in the agricultural sector, leads to lower wages in agri-food sectors with a high ratio of unskilled females bu</w:t>
      </w:r>
      <w:r w:rsidR="00EE13A7" w:rsidRPr="005D33E0">
        <w:rPr>
          <w:rFonts w:ascii="Century Gothic" w:hAnsi="Century Gothic" w:cs="Times New Roman"/>
        </w:rPr>
        <w:t xml:space="preserve">t increases </w:t>
      </w:r>
      <w:r w:rsidR="00B81359" w:rsidRPr="005D33E0">
        <w:rPr>
          <w:rFonts w:ascii="Century Gothic" w:hAnsi="Century Gothic" w:cs="Times New Roman"/>
        </w:rPr>
        <w:t>income from</w:t>
      </w:r>
      <w:r w:rsidR="00EE13A7" w:rsidRPr="005D33E0">
        <w:rPr>
          <w:rFonts w:ascii="Century Gothic" w:hAnsi="Century Gothic" w:cs="Times New Roman"/>
        </w:rPr>
        <w:t xml:space="preserve"> capital</w:t>
      </w:r>
      <w:r w:rsidR="00EC2231" w:rsidRPr="005D33E0">
        <w:rPr>
          <w:rFonts w:ascii="Century Gothic" w:hAnsi="Century Gothic" w:cs="Times New Roman"/>
        </w:rPr>
        <w:t xml:space="preserve"> (Figure </w:t>
      </w:r>
      <w:r w:rsidR="005D33E0" w:rsidRPr="005D33E0">
        <w:rPr>
          <w:rFonts w:ascii="Century Gothic" w:hAnsi="Century Gothic" w:cs="Times New Roman"/>
        </w:rPr>
        <w:t>24</w:t>
      </w:r>
      <w:r w:rsidR="00EC2231" w:rsidRPr="005D33E0">
        <w:rPr>
          <w:rFonts w:ascii="Century Gothic" w:hAnsi="Century Gothic" w:cs="Times New Roman"/>
        </w:rPr>
        <w:t xml:space="preserve">). </w:t>
      </w:r>
    </w:p>
    <w:p w14:paraId="6D361EB6" w14:textId="1DD1D5DF" w:rsidR="00EC2231" w:rsidRPr="005D33E0" w:rsidRDefault="005D33E0" w:rsidP="00EE3BED">
      <w:pPr>
        <w:jc w:val="both"/>
        <w:rPr>
          <w:rFonts w:ascii="Century Gothic" w:hAnsi="Century Gothic" w:cs="Times New Roman"/>
        </w:rPr>
      </w:pPr>
      <w:r w:rsidRPr="005D33E0">
        <w:rPr>
          <w:noProof/>
          <w:lang w:val="ru-RU" w:eastAsia="zh-CN"/>
        </w:rPr>
        <mc:AlternateContent>
          <mc:Choice Requires="wpg">
            <w:drawing>
              <wp:anchor distT="0" distB="0" distL="114300" distR="114300" simplePos="0" relativeHeight="251682816" behindDoc="0" locked="0" layoutInCell="1" allowOverlap="1" wp14:anchorId="11EB9E7A" wp14:editId="27EF31EE">
                <wp:simplePos x="0" y="0"/>
                <wp:positionH relativeFrom="column">
                  <wp:posOffset>178193</wp:posOffset>
                </wp:positionH>
                <wp:positionV relativeFrom="paragraph">
                  <wp:posOffset>131908</wp:posOffset>
                </wp:positionV>
                <wp:extent cx="5563810" cy="1556077"/>
                <wp:effectExtent l="0" t="0" r="0" b="6350"/>
                <wp:wrapNone/>
                <wp:docPr id="31" name="Группа 31"/>
                <wp:cNvGraphicFramePr/>
                <a:graphic xmlns:a="http://schemas.openxmlformats.org/drawingml/2006/main">
                  <a:graphicData uri="http://schemas.microsoft.com/office/word/2010/wordprocessingGroup">
                    <wpg:wgp>
                      <wpg:cNvGrpSpPr/>
                      <wpg:grpSpPr>
                        <a:xfrm>
                          <a:off x="0" y="0"/>
                          <a:ext cx="5563810" cy="1556077"/>
                          <a:chOff x="348684" y="-325464"/>
                          <a:chExt cx="5563946" cy="1556118"/>
                        </a:xfrm>
                      </wpg:grpSpPr>
                      <wps:wsp>
                        <wps:cNvPr id="29" name="Надпись 2"/>
                        <wps:cNvSpPr txBox="1">
                          <a:spLocks noChangeArrowheads="1"/>
                        </wps:cNvSpPr>
                        <wps:spPr bwMode="auto">
                          <a:xfrm>
                            <a:off x="348684" y="-170477"/>
                            <a:ext cx="340970" cy="1401131"/>
                          </a:xfrm>
                          <a:prstGeom prst="rect">
                            <a:avLst/>
                          </a:prstGeom>
                          <a:noFill/>
                          <a:ln w="9525">
                            <a:noFill/>
                            <a:miter lim="800000"/>
                            <a:headEnd/>
                            <a:tailEnd/>
                          </a:ln>
                        </wps:spPr>
                        <wps:txbx>
                          <w:txbxContent>
                            <w:p w14:paraId="26C02E03" w14:textId="77777777" w:rsidR="00592E0C" w:rsidRPr="00F875C1" w:rsidRDefault="00592E0C" w:rsidP="00D63D7D">
                              <w:pPr>
                                <w:rPr>
                                  <w:rFonts w:asciiTheme="majorHAnsi" w:hAnsiTheme="majorHAnsi" w:cstheme="majorHAnsi"/>
                                  <w:sz w:val="16"/>
                                  <w:szCs w:val="16"/>
                                  <w:lang w:val="ru-RU"/>
                                </w:rPr>
                              </w:pPr>
                              <w:r>
                                <w:rPr>
                                  <w:rFonts w:asciiTheme="majorHAnsi" w:hAnsiTheme="majorHAnsi" w:cstheme="majorHAnsi"/>
                                  <w:sz w:val="16"/>
                                  <w:szCs w:val="16"/>
                                </w:rPr>
                                <w:t>% change in demand for labour</w:t>
                              </w:r>
                            </w:p>
                          </w:txbxContent>
                        </wps:txbx>
                        <wps:bodyPr rot="0" vert="vert270" wrap="square" lIns="91440" tIns="45720" rIns="91440" bIns="45720" anchor="t" anchorCtr="0">
                          <a:noAutofit/>
                        </wps:bodyPr>
                      </wps:wsp>
                      <wps:wsp>
                        <wps:cNvPr id="30" name="Надпись 2"/>
                        <wps:cNvSpPr txBox="1">
                          <a:spLocks noChangeArrowheads="1"/>
                        </wps:cNvSpPr>
                        <wps:spPr bwMode="auto">
                          <a:xfrm>
                            <a:off x="5617662" y="-325464"/>
                            <a:ext cx="294968" cy="1401131"/>
                          </a:xfrm>
                          <a:prstGeom prst="rect">
                            <a:avLst/>
                          </a:prstGeom>
                          <a:noFill/>
                          <a:ln w="9525">
                            <a:noFill/>
                            <a:miter lim="800000"/>
                            <a:headEnd/>
                            <a:tailEnd/>
                          </a:ln>
                        </wps:spPr>
                        <wps:txbx>
                          <w:txbxContent>
                            <w:p w14:paraId="052DA3EB" w14:textId="77777777" w:rsidR="00592E0C" w:rsidRPr="005D33E0" w:rsidRDefault="00592E0C" w:rsidP="00D63D7D">
                              <w:pPr>
                                <w:rPr>
                                  <w:rFonts w:ascii="Century Gothic" w:hAnsi="Century Gothic" w:cstheme="majorHAnsi"/>
                                  <w:sz w:val="16"/>
                                  <w:szCs w:val="16"/>
                                  <w:lang w:val="ru-RU"/>
                                </w:rPr>
                              </w:pPr>
                              <w:r w:rsidRPr="005D33E0">
                                <w:rPr>
                                  <w:rFonts w:ascii="Century Gothic" w:hAnsi="Century Gothic" w:cstheme="majorHAnsi"/>
                                  <w:sz w:val="16"/>
                                  <w:szCs w:val="16"/>
                                </w:rPr>
                                <w:t>% change in wage rate</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EB9E7A" id="Группа 31" o:spid="_x0000_s1044" style="position:absolute;left:0;text-align:left;margin-left:14.05pt;margin-top:10.4pt;width:438.1pt;height:122.55pt;z-index:251682816;mso-width-relative:margin;mso-height-relative:margin" coordorigin="3486,-3254" coordsize="55639,15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">
                <v:shape id="_x0000_s1045" type="#_x0000_t202" style="position:absolute;left:3486;top:-1704;width:3410;height:14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" filled="f" stroked="f">
                  <v:textbox style="layout-flow:vertical;mso-layout-flow-alt:bottom-to-top">
                    <w:txbxContent>
                      <w:p w14:paraId="26C02E03" w14:textId="77777777" w:rsidR="00592E0C" w:rsidRPr="00F875C1" w:rsidRDefault="00592E0C" w:rsidP="00D63D7D">
                        <w:pPr>
                          <w:rPr>
                            <w:rFonts w:asciiTheme="majorHAnsi" w:hAnsiTheme="majorHAnsi" w:cstheme="majorHAnsi"/>
                            <w:sz w:val="16"/>
                            <w:szCs w:val="16"/>
                            <w:lang w:val="ru-RU"/>
                          </w:rPr>
                        </w:pPr>
                        <w:r>
                          <w:rPr>
                            <w:rFonts w:asciiTheme="majorHAnsi" w:hAnsiTheme="majorHAnsi" w:cstheme="majorHAnsi"/>
                            <w:sz w:val="16"/>
                            <w:szCs w:val="16"/>
                          </w:rPr>
                          <w:t>% change in demand for labour</w:t>
                        </w:r>
                      </w:p>
                    </w:txbxContent>
                  </v:textbox>
                </v:shape>
                <v:shape id="_x0000_s1046" type="#_x0000_t202" style="position:absolute;left:56176;top:-3254;width:2950;height:14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" filled="f" stroked="f">
                  <v:textbox style="layout-flow:vertical;mso-layout-flow-alt:bottom-to-top">
                    <w:txbxContent>
                      <w:p w14:paraId="052DA3EB" w14:textId="77777777" w:rsidR="00592E0C" w:rsidRPr="005D33E0" w:rsidRDefault="00592E0C" w:rsidP="00D63D7D">
                        <w:pPr>
                          <w:rPr>
                            <w:rFonts w:ascii="Century Gothic" w:hAnsi="Century Gothic" w:cstheme="majorHAnsi"/>
                            <w:sz w:val="16"/>
                            <w:szCs w:val="16"/>
                            <w:lang w:val="ru-RU"/>
                          </w:rPr>
                        </w:pPr>
                        <w:r w:rsidRPr="005D33E0">
                          <w:rPr>
                            <w:rFonts w:ascii="Century Gothic" w:hAnsi="Century Gothic" w:cstheme="majorHAnsi"/>
                            <w:sz w:val="16"/>
                            <w:szCs w:val="16"/>
                          </w:rPr>
                          <w:t>% change in wage rate</w:t>
                        </w:r>
                      </w:p>
                    </w:txbxContent>
                  </v:textbox>
                </v:shape>
              </v:group>
            </w:pict>
          </mc:Fallback>
        </mc:AlternateContent>
      </w:r>
    </w:p>
    <w:p w14:paraId="5045262D" w14:textId="3BC8B4EE" w:rsidR="00EC2231" w:rsidRPr="005D33E0" w:rsidRDefault="00D63D7D" w:rsidP="005D33E0">
      <w:pPr>
        <w:jc w:val="center"/>
        <w:rPr>
          <w:rFonts w:ascii="Century Gothic" w:hAnsi="Century Gothic" w:cs="Times New Roman"/>
        </w:rPr>
      </w:pPr>
      <w:r w:rsidRPr="005D33E0">
        <w:rPr>
          <w:noProof/>
          <w:lang w:val="ru-RU" w:eastAsia="zh-CN"/>
        </w:rPr>
        <w:drawing>
          <wp:inline distT="0" distB="0" distL="0" distR="0" wp14:anchorId="77285735" wp14:editId="535415F8">
            <wp:extent cx="5055483" cy="253397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D66225" w14:textId="4AC65904" w:rsidR="00EC2231" w:rsidRPr="005D33E0" w:rsidRDefault="00EC2231" w:rsidP="00EE3BED">
      <w:pPr>
        <w:jc w:val="both"/>
        <w:rPr>
          <w:rFonts w:ascii="Century Gothic" w:hAnsi="Century Gothic" w:cstheme="majorHAnsi"/>
        </w:rPr>
      </w:pPr>
      <w:r w:rsidRPr="005D33E0">
        <w:rPr>
          <w:rFonts w:ascii="Century Gothic" w:hAnsi="Century Gothic" w:cstheme="majorHAnsi"/>
        </w:rPr>
        <w:t xml:space="preserve">Figure </w:t>
      </w:r>
      <w:r w:rsidR="005D33E0" w:rsidRPr="005D33E0">
        <w:rPr>
          <w:rFonts w:ascii="Century Gothic" w:hAnsi="Century Gothic" w:cstheme="majorHAnsi"/>
        </w:rPr>
        <w:t>24</w:t>
      </w:r>
      <w:r w:rsidRPr="005D33E0">
        <w:rPr>
          <w:rFonts w:ascii="Century Gothic" w:hAnsi="Century Gothic" w:cstheme="majorHAnsi"/>
        </w:rPr>
        <w:t xml:space="preserve">. Evaluation of variation of </w:t>
      </w:r>
      <w:r w:rsidR="00D63D7D" w:rsidRPr="005D33E0">
        <w:rPr>
          <w:rFonts w:ascii="Century Gothic" w:hAnsi="Century Gothic" w:cstheme="majorHAnsi"/>
        </w:rPr>
        <w:t xml:space="preserve">demand for female labour and </w:t>
      </w:r>
      <w:r w:rsidRPr="005D33E0">
        <w:rPr>
          <w:rFonts w:ascii="Century Gothic" w:hAnsi="Century Gothic" w:cstheme="majorHAnsi"/>
        </w:rPr>
        <w:t>wage rates in agricultural sector</w:t>
      </w:r>
    </w:p>
    <w:p w14:paraId="44A9CF97" w14:textId="1E9AEEF5" w:rsidR="005B1827" w:rsidRPr="005D33E0" w:rsidRDefault="00660129" w:rsidP="00EE3BED">
      <w:pPr>
        <w:jc w:val="both"/>
        <w:rPr>
          <w:rFonts w:ascii="Century Gothic" w:hAnsi="Century Gothic"/>
        </w:rPr>
      </w:pPr>
      <w:r w:rsidRPr="005D33E0">
        <w:rPr>
          <w:rFonts w:ascii="Century Gothic" w:hAnsi="Century Gothic"/>
        </w:rPr>
        <w:lastRenderedPageBreak/>
        <w:t xml:space="preserve">It should be noted, that developing countries, in our case Tanzania, that need to accelerate their agricultural productivity should rely on the participation of combined financial capital through public and private investments. </w:t>
      </w:r>
    </w:p>
    <w:p w14:paraId="03597A99" w14:textId="77777777" w:rsidR="00411CF7" w:rsidRPr="005D33E0" w:rsidRDefault="00411CF7" w:rsidP="00EE3BED">
      <w:pPr>
        <w:rPr>
          <w:rFonts w:ascii="Century Gothic" w:hAnsi="Century Gothic"/>
        </w:rPr>
      </w:pPr>
      <w:r w:rsidRPr="005D33E0">
        <w:rPr>
          <w:rFonts w:ascii="Century Gothic" w:hAnsi="Century Gothic"/>
        </w:rPr>
        <w:br w:type="page"/>
      </w:r>
    </w:p>
    <w:p w14:paraId="07CF0DFC" w14:textId="3DEF038A" w:rsidR="00737A97" w:rsidRPr="00F4635D" w:rsidRDefault="00737A97" w:rsidP="00EE3BED">
      <w:pPr>
        <w:pStyle w:val="Heading1"/>
        <w:spacing w:before="0" w:after="160"/>
        <w:rPr>
          <w:rFonts w:ascii="Century Gothic" w:hAnsi="Century Gothic"/>
          <w:b/>
          <w:noProof/>
          <w:sz w:val="28"/>
          <w:szCs w:val="28"/>
          <w:lang w:val="en-US"/>
        </w:rPr>
      </w:pPr>
      <w:bookmarkStart w:id="28" w:name="_Toc129400812"/>
      <w:bookmarkStart w:id="29" w:name="_Toc131079445"/>
      <w:r w:rsidRPr="00F4635D">
        <w:rPr>
          <w:rFonts w:ascii="Century Gothic" w:hAnsi="Century Gothic"/>
          <w:b/>
          <w:noProof/>
          <w:sz w:val="28"/>
          <w:szCs w:val="28"/>
          <w:lang w:val="en-US"/>
        </w:rPr>
        <w:lastRenderedPageBreak/>
        <w:t>Conclusion</w:t>
      </w:r>
      <w:bookmarkEnd w:id="28"/>
      <w:r w:rsidRPr="00F4635D">
        <w:rPr>
          <w:rFonts w:ascii="Century Gothic" w:hAnsi="Century Gothic"/>
          <w:b/>
          <w:noProof/>
          <w:sz w:val="28"/>
          <w:szCs w:val="28"/>
          <w:lang w:val="en-US"/>
        </w:rPr>
        <w:t xml:space="preserve"> and policy recommendations</w:t>
      </w:r>
      <w:bookmarkEnd w:id="29"/>
    </w:p>
    <w:p w14:paraId="1A0C22FD" w14:textId="77777777" w:rsidR="001D6FDA" w:rsidRDefault="001D6FDA" w:rsidP="001D6FDA">
      <w:pPr>
        <w:tabs>
          <w:tab w:val="left" w:pos="90"/>
        </w:tabs>
        <w:spacing w:after="60" w:line="240" w:lineRule="auto"/>
        <w:jc w:val="both"/>
        <w:rPr>
          <w:rFonts w:ascii="Century Gothic" w:hAnsi="Century Gothic"/>
          <w:color w:val="000000" w:themeColor="text1"/>
          <w:lang w:val="en-US"/>
        </w:rPr>
      </w:pPr>
      <w:r w:rsidRPr="00422168">
        <w:rPr>
          <w:rFonts w:ascii="Century Gothic" w:hAnsi="Century Gothic"/>
          <w:color w:val="000000" w:themeColor="text1"/>
          <w:lang w:val="en-US"/>
        </w:rPr>
        <w:t xml:space="preserve">The agricultural sector is the mainstay of the Tanzanian economy, </w:t>
      </w:r>
      <w:r>
        <w:rPr>
          <w:rFonts w:ascii="Century Gothic" w:hAnsi="Century Gothic"/>
          <w:color w:val="000000" w:themeColor="text1"/>
          <w:lang w:val="en-US"/>
        </w:rPr>
        <w:t>accounting for</w:t>
      </w:r>
      <w:r w:rsidRPr="00422168">
        <w:rPr>
          <w:rFonts w:ascii="Century Gothic" w:hAnsi="Century Gothic"/>
          <w:color w:val="000000" w:themeColor="text1"/>
          <w:lang w:val="en-US"/>
        </w:rPr>
        <w:t xml:space="preserve"> 26.</w:t>
      </w:r>
      <w:r>
        <w:rPr>
          <w:rFonts w:ascii="Century Gothic" w:hAnsi="Century Gothic"/>
          <w:color w:val="000000" w:themeColor="text1"/>
          <w:lang w:val="en-US"/>
        </w:rPr>
        <w:t>9 percent</w:t>
      </w:r>
      <w:r w:rsidRPr="00422168">
        <w:rPr>
          <w:rFonts w:ascii="Century Gothic" w:hAnsi="Century Gothic"/>
          <w:color w:val="000000" w:themeColor="text1"/>
          <w:lang w:val="en-US"/>
        </w:rPr>
        <w:t xml:space="preserve"> of the </w:t>
      </w:r>
      <w:r>
        <w:rPr>
          <w:rFonts w:ascii="Century Gothic" w:hAnsi="Century Gothic"/>
          <w:color w:val="000000" w:themeColor="text1"/>
          <w:lang w:val="en-US"/>
        </w:rPr>
        <w:t xml:space="preserve">country’s </w:t>
      </w:r>
      <w:r w:rsidRPr="00422168">
        <w:rPr>
          <w:rFonts w:ascii="Century Gothic" w:hAnsi="Century Gothic"/>
          <w:color w:val="000000" w:themeColor="text1"/>
          <w:lang w:val="en-US"/>
        </w:rPr>
        <w:t>GDP</w:t>
      </w:r>
      <w:r>
        <w:rPr>
          <w:rFonts w:ascii="Century Gothic" w:hAnsi="Century Gothic"/>
          <w:color w:val="000000" w:themeColor="text1"/>
          <w:lang w:val="en-US"/>
        </w:rPr>
        <w:t xml:space="preserve"> and around 65 percent of its workforce</w:t>
      </w:r>
      <w:r>
        <w:rPr>
          <w:rStyle w:val="FootnoteReference"/>
          <w:rFonts w:ascii="Century Gothic" w:hAnsi="Century Gothic"/>
          <w:color w:val="000000" w:themeColor="text1"/>
          <w:lang w:val="en-US"/>
        </w:rPr>
        <w:footnoteReference w:id="50"/>
      </w:r>
      <w:r w:rsidRPr="00422168">
        <w:rPr>
          <w:rFonts w:ascii="Century Gothic" w:hAnsi="Century Gothic"/>
          <w:color w:val="000000" w:themeColor="text1"/>
          <w:lang w:val="en-US"/>
        </w:rPr>
        <w:t xml:space="preserve">. The sector is dominated by women </w:t>
      </w:r>
      <w:r>
        <w:rPr>
          <w:rFonts w:ascii="Century Gothic" w:hAnsi="Century Gothic"/>
          <w:color w:val="000000" w:themeColor="text1"/>
          <w:lang w:val="en-US"/>
        </w:rPr>
        <w:t>who make up 32.6 percent</w:t>
      </w:r>
      <w:r w:rsidRPr="00422168">
        <w:rPr>
          <w:rFonts w:ascii="Century Gothic" w:hAnsi="Century Gothic"/>
          <w:color w:val="000000" w:themeColor="text1"/>
          <w:lang w:val="en-US"/>
        </w:rPr>
        <w:t xml:space="preserve"> of the total number of employed in the economy</w:t>
      </w:r>
      <w:r>
        <w:rPr>
          <w:rStyle w:val="FootnoteReference"/>
          <w:rFonts w:ascii="Century Gothic" w:hAnsi="Century Gothic"/>
          <w:color w:val="000000" w:themeColor="text1"/>
          <w:lang w:val="en-US"/>
        </w:rPr>
        <w:footnoteReference w:id="51"/>
      </w:r>
      <w:r w:rsidRPr="00422168">
        <w:rPr>
          <w:rFonts w:ascii="Century Gothic" w:hAnsi="Century Gothic"/>
          <w:color w:val="000000" w:themeColor="text1"/>
          <w:lang w:val="en-US"/>
        </w:rPr>
        <w:t xml:space="preserve">. However, </w:t>
      </w:r>
      <w:r>
        <w:rPr>
          <w:rFonts w:ascii="Century Gothic" w:hAnsi="Century Gothic"/>
          <w:color w:val="000000" w:themeColor="text1"/>
          <w:lang w:val="en-US"/>
        </w:rPr>
        <w:t xml:space="preserve">women contribute only </w:t>
      </w:r>
      <w:r w:rsidRPr="00422168">
        <w:rPr>
          <w:rFonts w:ascii="Century Gothic" w:hAnsi="Century Gothic"/>
          <w:color w:val="000000" w:themeColor="text1"/>
          <w:lang w:val="en-US"/>
        </w:rPr>
        <w:t>18.</w:t>
      </w:r>
      <w:r>
        <w:rPr>
          <w:rFonts w:ascii="Century Gothic" w:hAnsi="Century Gothic"/>
          <w:color w:val="000000" w:themeColor="text1"/>
          <w:lang w:val="en-US"/>
        </w:rPr>
        <w:t>1 percent of agricultural production</w:t>
      </w:r>
      <w:r w:rsidRPr="00422168">
        <w:rPr>
          <w:rFonts w:ascii="Century Gothic" w:hAnsi="Century Gothic"/>
          <w:color w:val="000000" w:themeColor="text1"/>
          <w:lang w:val="en-US"/>
        </w:rPr>
        <w:t xml:space="preserve">, which is significantly less than </w:t>
      </w:r>
      <w:r>
        <w:rPr>
          <w:rFonts w:ascii="Century Gothic" w:hAnsi="Century Gothic"/>
          <w:color w:val="000000" w:themeColor="text1"/>
          <w:lang w:val="en-US"/>
        </w:rPr>
        <w:t>the 49.8 percent men contribute.</w:t>
      </w:r>
      <w:r w:rsidRPr="00422168">
        <w:rPr>
          <w:rStyle w:val="FootnoteReference"/>
          <w:rFonts w:ascii="Century Gothic" w:hAnsi="Century Gothic"/>
          <w:color w:val="000000" w:themeColor="text1"/>
          <w:lang w:val="en-US"/>
        </w:rPr>
        <w:footnoteReference w:id="52"/>
      </w:r>
      <w:r w:rsidRPr="00422168">
        <w:rPr>
          <w:rFonts w:ascii="Century Gothic" w:hAnsi="Century Gothic"/>
          <w:color w:val="000000" w:themeColor="text1"/>
          <w:lang w:val="en-US"/>
        </w:rPr>
        <w:t xml:space="preserve"> </w:t>
      </w:r>
      <w:r>
        <w:rPr>
          <w:rFonts w:ascii="Century Gothic" w:hAnsi="Century Gothic"/>
          <w:color w:val="000000" w:themeColor="text1"/>
          <w:lang w:val="en-US"/>
        </w:rPr>
        <w:t>This is because</w:t>
      </w:r>
      <w:r w:rsidRPr="00422168">
        <w:rPr>
          <w:rFonts w:ascii="Century Gothic" w:hAnsi="Century Gothic"/>
          <w:color w:val="000000" w:themeColor="text1"/>
          <w:lang w:val="en-US"/>
        </w:rPr>
        <w:t xml:space="preserve"> women </w:t>
      </w:r>
      <w:r>
        <w:rPr>
          <w:rFonts w:ascii="Century Gothic" w:hAnsi="Century Gothic"/>
          <w:color w:val="000000" w:themeColor="text1"/>
          <w:lang w:val="en-US"/>
        </w:rPr>
        <w:t>are often excluded from receiving the same level of</w:t>
      </w:r>
      <w:r w:rsidRPr="00422168">
        <w:rPr>
          <w:rFonts w:ascii="Century Gothic" w:hAnsi="Century Gothic"/>
          <w:color w:val="000000" w:themeColor="text1"/>
          <w:lang w:val="en-US"/>
        </w:rPr>
        <w:t xml:space="preserve"> productive inputs (such as capital, seeds, fertilizer,</w:t>
      </w:r>
      <w:r>
        <w:rPr>
          <w:rFonts w:ascii="Century Gothic" w:hAnsi="Century Gothic"/>
          <w:color w:val="000000" w:themeColor="text1"/>
          <w:lang w:val="en-US"/>
        </w:rPr>
        <w:t xml:space="preserve"> land, labour, </w:t>
      </w:r>
      <w:r w:rsidRPr="00422168">
        <w:rPr>
          <w:rFonts w:ascii="Century Gothic" w:hAnsi="Century Gothic"/>
          <w:color w:val="000000" w:themeColor="text1"/>
          <w:lang w:val="en-US"/>
        </w:rPr>
        <w:t xml:space="preserve">etc.), </w:t>
      </w:r>
      <w:r>
        <w:rPr>
          <w:rFonts w:ascii="Century Gothic" w:hAnsi="Century Gothic"/>
          <w:color w:val="000000" w:themeColor="text1"/>
          <w:lang w:val="en-US"/>
        </w:rPr>
        <w:t xml:space="preserve">and access to </w:t>
      </w:r>
      <w:r w:rsidRPr="00422168">
        <w:rPr>
          <w:rFonts w:ascii="Century Gothic" w:hAnsi="Century Gothic"/>
          <w:color w:val="000000" w:themeColor="text1"/>
          <w:lang w:val="en-US"/>
        </w:rPr>
        <w:t>markets, and technolog</w:t>
      </w:r>
      <w:r>
        <w:rPr>
          <w:rFonts w:ascii="Century Gothic" w:hAnsi="Century Gothic"/>
          <w:color w:val="000000" w:themeColor="text1"/>
          <w:lang w:val="en-US"/>
        </w:rPr>
        <w:t>y</w:t>
      </w:r>
      <w:r w:rsidRPr="00422168">
        <w:rPr>
          <w:rFonts w:ascii="Century Gothic" w:hAnsi="Century Gothic"/>
          <w:color w:val="000000" w:themeColor="text1"/>
          <w:lang w:val="en-US"/>
        </w:rPr>
        <w:t>/services</w:t>
      </w:r>
      <w:r>
        <w:rPr>
          <w:rFonts w:ascii="Century Gothic" w:hAnsi="Century Gothic"/>
          <w:color w:val="000000" w:themeColor="text1"/>
          <w:lang w:val="en-US"/>
        </w:rPr>
        <w:t xml:space="preserve"> as their male counterparts</w:t>
      </w:r>
      <w:r w:rsidRPr="00422168">
        <w:rPr>
          <w:rFonts w:ascii="Century Gothic" w:hAnsi="Century Gothic"/>
          <w:color w:val="000000" w:themeColor="text1"/>
          <w:lang w:val="en-US"/>
        </w:rPr>
        <w:t xml:space="preserve">. This gender discrepancy reduces their productivity and contribution to the agriculture sector and the achievement of broader </w:t>
      </w:r>
      <w:r>
        <w:rPr>
          <w:rFonts w:ascii="Century Gothic" w:hAnsi="Century Gothic"/>
          <w:color w:val="000000" w:themeColor="text1"/>
          <w:lang w:val="en-US"/>
        </w:rPr>
        <w:t xml:space="preserve">gender equality and socio-economic </w:t>
      </w:r>
      <w:r w:rsidRPr="00422168">
        <w:rPr>
          <w:rFonts w:ascii="Century Gothic" w:hAnsi="Century Gothic"/>
          <w:color w:val="000000" w:themeColor="text1"/>
          <w:lang w:val="en-US"/>
        </w:rPr>
        <w:t xml:space="preserve">development goals. Using CGE models to show the gender-differentiated impacts of policy </w:t>
      </w:r>
      <w:r>
        <w:rPr>
          <w:rFonts w:ascii="Century Gothic" w:hAnsi="Century Gothic"/>
          <w:color w:val="000000" w:themeColor="text1"/>
          <w:lang w:val="en-US"/>
        </w:rPr>
        <w:t>reform</w:t>
      </w:r>
      <w:r w:rsidRPr="00422168">
        <w:rPr>
          <w:rFonts w:ascii="Century Gothic" w:hAnsi="Century Gothic"/>
          <w:color w:val="000000" w:themeColor="text1"/>
          <w:lang w:val="en-US"/>
        </w:rPr>
        <w:t xml:space="preserve">s on the agricultural sector and the economy as a whole, </w:t>
      </w:r>
      <w:r>
        <w:rPr>
          <w:rFonts w:ascii="Century Gothic" w:hAnsi="Century Gothic"/>
          <w:color w:val="000000" w:themeColor="text1"/>
          <w:lang w:val="en-US"/>
        </w:rPr>
        <w:t>this paper</w:t>
      </w:r>
      <w:r w:rsidRPr="00422168">
        <w:rPr>
          <w:rFonts w:ascii="Century Gothic" w:hAnsi="Century Gothic"/>
          <w:color w:val="000000" w:themeColor="text1"/>
          <w:lang w:val="en-US"/>
        </w:rPr>
        <w:t xml:space="preserve"> </w:t>
      </w:r>
      <w:r>
        <w:rPr>
          <w:rFonts w:ascii="Century Gothic" w:hAnsi="Century Gothic"/>
          <w:color w:val="000000" w:themeColor="text1"/>
          <w:lang w:val="en-US"/>
        </w:rPr>
        <w:t>assessed the likely gender equality and women’s empowerment impacts of</w:t>
      </w:r>
      <w:r w:rsidRPr="00422168">
        <w:rPr>
          <w:rFonts w:ascii="Century Gothic" w:hAnsi="Century Gothic"/>
          <w:color w:val="000000" w:themeColor="text1"/>
          <w:lang w:val="en-US"/>
        </w:rPr>
        <w:t xml:space="preserve"> the government’s new agricultural </w:t>
      </w:r>
      <w:r>
        <w:rPr>
          <w:rFonts w:ascii="Century Gothic" w:hAnsi="Century Gothic"/>
          <w:color w:val="000000" w:themeColor="text1"/>
          <w:lang w:val="en-US"/>
        </w:rPr>
        <w:t>transformation</w:t>
      </w:r>
      <w:r w:rsidRPr="00422168">
        <w:rPr>
          <w:rFonts w:ascii="Century Gothic" w:hAnsi="Century Gothic"/>
          <w:color w:val="000000" w:themeColor="text1"/>
          <w:lang w:val="en-US"/>
        </w:rPr>
        <w:t xml:space="preserve"> strategy</w:t>
      </w:r>
      <w:r>
        <w:rPr>
          <w:rFonts w:ascii="Century Gothic" w:hAnsi="Century Gothic"/>
          <w:color w:val="000000" w:themeColor="text1"/>
          <w:lang w:val="en-US"/>
        </w:rPr>
        <w:t>, which is centered on</w:t>
      </w:r>
      <w:r w:rsidRPr="00422168">
        <w:rPr>
          <w:rFonts w:ascii="Century Gothic" w:hAnsi="Century Gothic"/>
          <w:color w:val="000000" w:themeColor="text1"/>
          <w:lang w:val="en-US"/>
        </w:rPr>
        <w:t xml:space="preserve"> increas</w:t>
      </w:r>
      <w:r>
        <w:rPr>
          <w:rFonts w:ascii="Century Gothic" w:hAnsi="Century Gothic"/>
          <w:color w:val="000000" w:themeColor="text1"/>
          <w:lang w:val="en-US"/>
        </w:rPr>
        <w:t>ing the number of</w:t>
      </w:r>
      <w:r w:rsidRPr="00422168">
        <w:rPr>
          <w:rFonts w:ascii="Century Gothic" w:hAnsi="Century Gothic"/>
          <w:color w:val="000000" w:themeColor="text1"/>
          <w:lang w:val="en-US"/>
        </w:rPr>
        <w:t xml:space="preserve"> women</w:t>
      </w:r>
      <w:r>
        <w:rPr>
          <w:rFonts w:ascii="Century Gothic" w:hAnsi="Century Gothic"/>
          <w:color w:val="000000" w:themeColor="text1"/>
          <w:lang w:val="en-US"/>
        </w:rPr>
        <w:t xml:space="preserve"> </w:t>
      </w:r>
      <w:r w:rsidRPr="00422168">
        <w:rPr>
          <w:rFonts w:ascii="Century Gothic" w:hAnsi="Century Gothic"/>
          <w:color w:val="000000" w:themeColor="text1"/>
          <w:lang w:val="en-US"/>
        </w:rPr>
        <w:t>employ</w:t>
      </w:r>
      <w:r>
        <w:rPr>
          <w:rFonts w:ascii="Century Gothic" w:hAnsi="Century Gothic"/>
          <w:color w:val="000000" w:themeColor="text1"/>
          <w:lang w:val="en-US"/>
        </w:rPr>
        <w:t>ed</w:t>
      </w:r>
      <w:r w:rsidRPr="00422168">
        <w:rPr>
          <w:rFonts w:ascii="Century Gothic" w:hAnsi="Century Gothic"/>
          <w:color w:val="000000" w:themeColor="text1"/>
          <w:lang w:val="en-US"/>
        </w:rPr>
        <w:t xml:space="preserve"> in the agricultural sector.</w:t>
      </w:r>
    </w:p>
    <w:p w14:paraId="5EA6FF2D" w14:textId="77777777" w:rsidR="001D6FDA" w:rsidRDefault="001D6FDA" w:rsidP="001D6FDA">
      <w:pPr>
        <w:tabs>
          <w:tab w:val="left" w:pos="90"/>
        </w:tabs>
        <w:spacing w:after="60" w:line="240" w:lineRule="auto"/>
        <w:jc w:val="both"/>
        <w:rPr>
          <w:rFonts w:ascii="Century Gothic" w:hAnsi="Century Gothic"/>
          <w:color w:val="000000" w:themeColor="text1"/>
          <w:lang w:val="en-US"/>
        </w:rPr>
      </w:pPr>
    </w:p>
    <w:p w14:paraId="47985530" w14:textId="77777777" w:rsidR="001D6FDA" w:rsidRDefault="001D6FDA" w:rsidP="001D6FDA">
      <w:pPr>
        <w:tabs>
          <w:tab w:val="left" w:pos="90"/>
        </w:tabs>
        <w:spacing w:after="60" w:line="240" w:lineRule="auto"/>
        <w:jc w:val="both"/>
        <w:rPr>
          <w:rFonts w:ascii="Century Gothic" w:hAnsi="Century Gothic"/>
          <w:color w:val="000000" w:themeColor="text1"/>
          <w:lang w:val="en-US"/>
        </w:rPr>
      </w:pPr>
      <w:r w:rsidRPr="00422168">
        <w:rPr>
          <w:rFonts w:ascii="Century Gothic" w:hAnsi="Century Gothic"/>
          <w:color w:val="000000" w:themeColor="text1"/>
          <w:lang w:val="en-US"/>
        </w:rPr>
        <w:t xml:space="preserve">In analyzing various policy options for </w:t>
      </w:r>
      <w:r>
        <w:rPr>
          <w:rFonts w:ascii="Century Gothic" w:hAnsi="Century Gothic"/>
          <w:color w:val="000000" w:themeColor="text1"/>
          <w:lang w:val="en-US"/>
        </w:rPr>
        <w:t xml:space="preserve">achieving </w:t>
      </w:r>
      <w:r w:rsidRPr="00422168">
        <w:rPr>
          <w:rFonts w:ascii="Century Gothic" w:hAnsi="Century Gothic"/>
          <w:color w:val="000000" w:themeColor="text1"/>
          <w:lang w:val="en-US"/>
        </w:rPr>
        <w:t>gender equality and women</w:t>
      </w:r>
      <w:r>
        <w:rPr>
          <w:rFonts w:ascii="Century Gothic" w:hAnsi="Century Gothic"/>
          <w:color w:val="000000" w:themeColor="text1"/>
          <w:lang w:val="en-US"/>
        </w:rPr>
        <w:t>’s</w:t>
      </w:r>
      <w:r w:rsidRPr="00422168">
        <w:rPr>
          <w:rFonts w:ascii="Century Gothic" w:hAnsi="Century Gothic"/>
          <w:color w:val="000000" w:themeColor="text1"/>
          <w:lang w:val="en-US"/>
        </w:rPr>
        <w:t xml:space="preserve"> empowerment in the agricultural sector, specifically in crop production, this study found that</w:t>
      </w:r>
      <w:r>
        <w:rPr>
          <w:rFonts w:ascii="Century Gothic" w:hAnsi="Century Gothic"/>
          <w:color w:val="000000" w:themeColor="text1"/>
          <w:lang w:val="en-US"/>
        </w:rPr>
        <w:t xml:space="preserve"> the baseline – or ‘business-as-usual’ scenario – of</w:t>
      </w:r>
      <w:r w:rsidRPr="00422168">
        <w:rPr>
          <w:rFonts w:ascii="Century Gothic" w:hAnsi="Century Gothic"/>
          <w:color w:val="000000" w:themeColor="text1"/>
          <w:lang w:val="en-US"/>
        </w:rPr>
        <w:t xml:space="preserve"> adding more female </w:t>
      </w:r>
      <w:r>
        <w:rPr>
          <w:rFonts w:ascii="Century Gothic" w:hAnsi="Century Gothic"/>
          <w:color w:val="000000" w:themeColor="text1"/>
          <w:lang w:val="en-US"/>
        </w:rPr>
        <w:t>workers</w:t>
      </w:r>
      <w:r w:rsidRPr="00422168">
        <w:rPr>
          <w:rFonts w:ascii="Century Gothic" w:hAnsi="Century Gothic"/>
          <w:color w:val="000000" w:themeColor="text1"/>
          <w:lang w:val="en-US"/>
        </w:rPr>
        <w:t xml:space="preserve"> to the agricultural sector without </w:t>
      </w:r>
      <w:r>
        <w:rPr>
          <w:rFonts w:ascii="Century Gothic" w:hAnsi="Century Gothic"/>
          <w:color w:val="000000" w:themeColor="text1"/>
          <w:lang w:val="en-US"/>
        </w:rPr>
        <w:t xml:space="preserve">ensuring their </w:t>
      </w:r>
      <w:r w:rsidRPr="00422168">
        <w:rPr>
          <w:rFonts w:ascii="Century Gothic" w:hAnsi="Century Gothic"/>
          <w:color w:val="000000" w:themeColor="text1"/>
          <w:lang w:val="en-US"/>
        </w:rPr>
        <w:t xml:space="preserve">equal access to productive inputs </w:t>
      </w:r>
      <w:bookmarkStart w:id="30" w:name="_Hlk130991414"/>
      <w:r w:rsidRPr="00422168">
        <w:rPr>
          <w:rFonts w:ascii="Century Gothic" w:hAnsi="Century Gothic"/>
          <w:color w:val="000000" w:themeColor="text1"/>
          <w:lang w:val="en-US"/>
        </w:rPr>
        <w:t xml:space="preserve">leads to </w:t>
      </w:r>
      <w:r>
        <w:rPr>
          <w:rFonts w:ascii="Century Gothic" w:hAnsi="Century Gothic"/>
          <w:color w:val="000000" w:themeColor="text1"/>
          <w:lang w:val="en-US"/>
        </w:rPr>
        <w:t xml:space="preserve">a </w:t>
      </w:r>
      <w:r w:rsidRPr="00422168">
        <w:rPr>
          <w:rFonts w:ascii="Century Gothic" w:hAnsi="Century Gothic"/>
          <w:color w:val="000000" w:themeColor="text1"/>
          <w:lang w:val="en-US"/>
        </w:rPr>
        <w:t xml:space="preserve">decrease </w:t>
      </w:r>
      <w:r>
        <w:rPr>
          <w:rFonts w:ascii="Century Gothic" w:hAnsi="Century Gothic"/>
          <w:color w:val="000000" w:themeColor="text1"/>
          <w:lang w:val="en-US"/>
        </w:rPr>
        <w:t xml:space="preserve">in agricultural </w:t>
      </w:r>
      <w:r w:rsidRPr="00422168">
        <w:rPr>
          <w:rFonts w:ascii="Century Gothic" w:hAnsi="Century Gothic"/>
          <w:color w:val="000000" w:themeColor="text1"/>
          <w:lang w:val="en-US"/>
        </w:rPr>
        <w:t xml:space="preserve">productivity and </w:t>
      </w:r>
      <w:r>
        <w:rPr>
          <w:rFonts w:ascii="Century Gothic" w:hAnsi="Century Gothic"/>
          <w:color w:val="000000" w:themeColor="text1"/>
          <w:lang w:val="en-US"/>
        </w:rPr>
        <w:t xml:space="preserve">the </w:t>
      </w:r>
      <w:r w:rsidRPr="00422168">
        <w:rPr>
          <w:rFonts w:ascii="Century Gothic" w:hAnsi="Century Gothic"/>
          <w:color w:val="000000" w:themeColor="text1"/>
          <w:lang w:val="en-US"/>
        </w:rPr>
        <w:t>earning capacity of women in agriculture.</w:t>
      </w:r>
      <w:bookmarkEnd w:id="30"/>
      <w:r w:rsidRPr="00422168">
        <w:rPr>
          <w:rFonts w:ascii="Century Gothic" w:hAnsi="Century Gothic"/>
          <w:color w:val="000000" w:themeColor="text1"/>
          <w:lang w:val="en-US"/>
        </w:rPr>
        <w:t xml:space="preserve"> </w:t>
      </w:r>
      <w:r>
        <w:rPr>
          <w:rFonts w:ascii="Century Gothic" w:hAnsi="Century Gothic"/>
          <w:color w:val="000000" w:themeColor="text1"/>
          <w:lang w:val="en-US"/>
        </w:rPr>
        <w:t>Moreover, the r</w:t>
      </w:r>
      <w:r w:rsidRPr="00422168">
        <w:rPr>
          <w:rFonts w:ascii="Century Gothic" w:hAnsi="Century Gothic"/>
          <w:color w:val="000000" w:themeColor="text1"/>
          <w:lang w:val="en-US"/>
        </w:rPr>
        <w:t xml:space="preserve">esults </w:t>
      </w:r>
      <w:r>
        <w:rPr>
          <w:rFonts w:ascii="Century Gothic" w:hAnsi="Century Gothic"/>
          <w:color w:val="000000" w:themeColor="text1"/>
          <w:lang w:val="en-US"/>
        </w:rPr>
        <w:t xml:space="preserve">of the policy simulations </w:t>
      </w:r>
      <w:r w:rsidRPr="00422168">
        <w:rPr>
          <w:rFonts w:ascii="Century Gothic" w:hAnsi="Century Gothic"/>
          <w:color w:val="000000" w:themeColor="text1"/>
          <w:lang w:val="en-US"/>
        </w:rPr>
        <w:t xml:space="preserve">indicate that </w:t>
      </w:r>
      <w:r>
        <w:rPr>
          <w:rFonts w:ascii="Century Gothic" w:hAnsi="Century Gothic"/>
          <w:color w:val="000000" w:themeColor="text1"/>
          <w:lang w:val="en-US"/>
        </w:rPr>
        <w:t xml:space="preserve">implementing this policy measure alone would depress agricultural output </w:t>
      </w:r>
      <w:r w:rsidRPr="00422168">
        <w:rPr>
          <w:rFonts w:ascii="Century Gothic" w:hAnsi="Century Gothic"/>
          <w:color w:val="000000" w:themeColor="text1"/>
          <w:lang w:val="en-US"/>
        </w:rPr>
        <w:t xml:space="preserve">growth </w:t>
      </w:r>
      <w:r>
        <w:rPr>
          <w:rFonts w:ascii="Century Gothic" w:hAnsi="Century Gothic"/>
          <w:color w:val="000000" w:themeColor="text1"/>
          <w:lang w:val="en-US"/>
        </w:rPr>
        <w:t xml:space="preserve">in both the short- and long-runs, and wage rates for all workers in the sector, particularly the more labour-intensive ones such as </w:t>
      </w:r>
      <w:r w:rsidRPr="00422168">
        <w:rPr>
          <w:rFonts w:ascii="Century Gothic" w:hAnsi="Century Gothic"/>
          <w:color w:val="000000" w:themeColor="text1"/>
          <w:lang w:val="en-US"/>
        </w:rPr>
        <w:t>such as cereals, groundnuts, roots, fruit, and nuts</w:t>
      </w:r>
      <w:r>
        <w:rPr>
          <w:rFonts w:ascii="Century Gothic" w:hAnsi="Century Gothic"/>
          <w:color w:val="000000" w:themeColor="text1"/>
          <w:lang w:val="en-US"/>
        </w:rPr>
        <w:t>.</w:t>
      </w:r>
      <w:r w:rsidRPr="00422168">
        <w:rPr>
          <w:rFonts w:ascii="Century Gothic" w:hAnsi="Century Gothic"/>
          <w:color w:val="000000" w:themeColor="text1"/>
          <w:lang w:val="en-US"/>
        </w:rPr>
        <w:t xml:space="preserve"> </w:t>
      </w:r>
    </w:p>
    <w:p w14:paraId="3A08E53C" w14:textId="77777777" w:rsidR="001D6FDA" w:rsidRDefault="001D6FDA" w:rsidP="001D6FDA">
      <w:pPr>
        <w:tabs>
          <w:tab w:val="left" w:pos="90"/>
        </w:tabs>
        <w:spacing w:after="60" w:line="240" w:lineRule="auto"/>
        <w:jc w:val="both"/>
        <w:rPr>
          <w:rFonts w:ascii="Century Gothic" w:hAnsi="Century Gothic"/>
          <w:bCs/>
          <w:color w:val="000000" w:themeColor="text1"/>
          <w:lang w:val="en-US"/>
        </w:rPr>
      </w:pPr>
      <w:r w:rsidRPr="00E454AE">
        <w:rPr>
          <w:rFonts w:ascii="Century Gothic" w:hAnsi="Century Gothic"/>
          <w:bCs/>
          <w:color w:val="000000" w:themeColor="text1"/>
          <w:lang w:val="en-US"/>
        </w:rPr>
        <w:t xml:space="preserve">On the other hand, </w:t>
      </w:r>
      <w:r>
        <w:rPr>
          <w:rFonts w:ascii="Century Gothic" w:hAnsi="Century Gothic"/>
          <w:bCs/>
          <w:color w:val="000000" w:themeColor="text1"/>
          <w:lang w:val="en-US"/>
        </w:rPr>
        <w:t>when policy reforms that ensure equal access to productive inputs for female farmers alongside increases in female labour, were simulated, the results indicated more beneficial impacts on women’s agricultural productivity, access to markets and household incomes.</w:t>
      </w:r>
      <w:r w:rsidRPr="00E454AE">
        <w:rPr>
          <w:rStyle w:val="FootnoteReference"/>
          <w:rFonts w:ascii="Century Gothic" w:hAnsi="Century Gothic"/>
          <w:bCs/>
          <w:color w:val="000000" w:themeColor="text1"/>
          <w:lang w:val="en-US"/>
        </w:rPr>
        <w:footnoteReference w:id="53"/>
      </w:r>
      <w:r>
        <w:rPr>
          <w:rFonts w:ascii="Century Gothic" w:hAnsi="Century Gothic"/>
          <w:bCs/>
          <w:color w:val="000000" w:themeColor="text1"/>
          <w:lang w:val="en-US"/>
        </w:rPr>
        <w:t xml:space="preserve"> The first simulation considered the impact of providing equal access to land for women, which resulted in an increase in demand for female labour in crop production, a 0.15 percent increase in household income and a 0.66 percent increase in agricultural production in the short-run.  </w:t>
      </w:r>
    </w:p>
    <w:p w14:paraId="024EFDA0" w14:textId="77777777" w:rsidR="001D6FDA" w:rsidRDefault="001D6FDA" w:rsidP="001D6FDA">
      <w:pPr>
        <w:tabs>
          <w:tab w:val="left" w:pos="90"/>
        </w:tabs>
        <w:spacing w:after="60" w:line="240" w:lineRule="auto"/>
        <w:jc w:val="both"/>
        <w:rPr>
          <w:rFonts w:ascii="Century Gothic" w:hAnsi="Century Gothic"/>
          <w:bCs/>
          <w:color w:val="000000" w:themeColor="text1"/>
          <w:lang w:val="en-US"/>
        </w:rPr>
      </w:pPr>
    </w:p>
    <w:p w14:paraId="2B6499E6"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r>
        <w:rPr>
          <w:rFonts w:ascii="Century Gothic" w:hAnsi="Century Gothic"/>
          <w:bCs/>
          <w:color w:val="000000" w:themeColor="text1"/>
          <w:lang w:val="en-US"/>
        </w:rPr>
        <w:t xml:space="preserve">The second simulation assessed the impact of abolishing VAT on fertilizer and found that this would result in a 4.2 percent increase in the domestic demand for agri-food commodities in most agricultural sectors but especially in those where women are concentrated. </w:t>
      </w:r>
    </w:p>
    <w:p w14:paraId="4D70DDEE" w14:textId="77777777" w:rsidR="001D6FDA" w:rsidRDefault="001D6FDA" w:rsidP="001D6FDA">
      <w:pPr>
        <w:tabs>
          <w:tab w:val="left" w:pos="90"/>
        </w:tabs>
        <w:spacing w:after="60" w:line="240" w:lineRule="auto"/>
        <w:jc w:val="both"/>
        <w:rPr>
          <w:rFonts w:ascii="Century Gothic" w:hAnsi="Century Gothic"/>
          <w:color w:val="000000" w:themeColor="text1"/>
          <w:lang w:val="en-US"/>
        </w:rPr>
      </w:pPr>
      <w:r w:rsidRPr="00422168">
        <w:rPr>
          <w:rFonts w:ascii="Century Gothic" w:hAnsi="Century Gothic"/>
          <w:color w:val="000000" w:themeColor="text1"/>
          <w:lang w:val="en-US"/>
        </w:rPr>
        <w:t xml:space="preserve">Moreover, reducing </w:t>
      </w:r>
      <w:r>
        <w:rPr>
          <w:rFonts w:ascii="Century Gothic" w:hAnsi="Century Gothic"/>
          <w:color w:val="000000" w:themeColor="text1"/>
          <w:lang w:val="en-US"/>
        </w:rPr>
        <w:t xml:space="preserve">the cost of </w:t>
      </w:r>
      <w:r w:rsidRPr="00422168">
        <w:rPr>
          <w:rFonts w:ascii="Century Gothic" w:hAnsi="Century Gothic"/>
          <w:color w:val="000000" w:themeColor="text1"/>
          <w:lang w:val="en-US"/>
        </w:rPr>
        <w:t>fertilizers increases access to market</w:t>
      </w:r>
      <w:r>
        <w:rPr>
          <w:rFonts w:ascii="Century Gothic" w:hAnsi="Century Gothic"/>
          <w:color w:val="000000" w:themeColor="text1"/>
          <w:lang w:val="en-US"/>
        </w:rPr>
        <w:t>s</w:t>
      </w:r>
      <w:r w:rsidRPr="00422168">
        <w:rPr>
          <w:rFonts w:ascii="Century Gothic" w:hAnsi="Century Gothic"/>
          <w:color w:val="000000" w:themeColor="text1"/>
          <w:lang w:val="en-US"/>
        </w:rPr>
        <w:t xml:space="preserve"> for both producers and consumers and leads to an increase in labour income, specifically for women.</w:t>
      </w:r>
    </w:p>
    <w:p w14:paraId="7DFEC7FA"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p>
    <w:p w14:paraId="324ABDD4" w14:textId="77777777" w:rsidR="001D6FDA" w:rsidRDefault="001D6FDA" w:rsidP="001D6FDA">
      <w:pPr>
        <w:tabs>
          <w:tab w:val="left" w:pos="90"/>
        </w:tabs>
        <w:spacing w:after="60" w:line="240" w:lineRule="auto"/>
        <w:jc w:val="both"/>
        <w:rPr>
          <w:rFonts w:ascii="Century Gothic" w:hAnsi="Century Gothic"/>
          <w:color w:val="000000" w:themeColor="text1"/>
          <w:lang w:val="en-US"/>
        </w:rPr>
      </w:pPr>
      <w:r>
        <w:rPr>
          <w:rFonts w:ascii="Century Gothic" w:hAnsi="Century Gothic"/>
          <w:color w:val="000000" w:themeColor="text1"/>
          <w:lang w:val="en-US"/>
        </w:rPr>
        <w:t>For the final</w:t>
      </w:r>
      <w:r w:rsidRPr="00422168">
        <w:rPr>
          <w:rFonts w:ascii="Century Gothic" w:hAnsi="Century Gothic"/>
          <w:color w:val="000000" w:themeColor="text1"/>
          <w:lang w:val="en-US"/>
        </w:rPr>
        <w:t xml:space="preserve"> simulation, </w:t>
      </w:r>
      <w:r>
        <w:rPr>
          <w:rFonts w:ascii="Century Gothic" w:hAnsi="Century Gothic"/>
          <w:color w:val="000000" w:themeColor="text1"/>
          <w:lang w:val="en-US"/>
        </w:rPr>
        <w:t xml:space="preserve">we modelled the impact of an increase investment in infrastructure, specifically irrigation, and found that this would increase </w:t>
      </w:r>
      <w:r w:rsidRPr="00422168">
        <w:rPr>
          <w:rFonts w:ascii="Century Gothic" w:hAnsi="Century Gothic"/>
          <w:color w:val="000000" w:themeColor="text1"/>
          <w:lang w:val="en-US"/>
        </w:rPr>
        <w:t xml:space="preserve">the demand for </w:t>
      </w:r>
      <w:r w:rsidRPr="00422168">
        <w:rPr>
          <w:rFonts w:ascii="Century Gothic" w:hAnsi="Century Gothic"/>
          <w:color w:val="000000" w:themeColor="text1"/>
          <w:lang w:val="en-US"/>
        </w:rPr>
        <w:lastRenderedPageBreak/>
        <w:t xml:space="preserve">women workers in crop and related manufacturing sectors. From a macroeconomic perspective, this policy has a positive impact on the reduction of the total unemployment rate for women (-2.7 </w:t>
      </w:r>
      <w:r>
        <w:rPr>
          <w:rFonts w:ascii="Century Gothic" w:hAnsi="Century Gothic"/>
          <w:color w:val="000000" w:themeColor="text1"/>
          <w:lang w:val="en-US"/>
        </w:rPr>
        <w:t xml:space="preserve">percent </w:t>
      </w:r>
      <w:r w:rsidRPr="00422168">
        <w:rPr>
          <w:rFonts w:ascii="Century Gothic" w:hAnsi="Century Gothic"/>
          <w:color w:val="000000" w:themeColor="text1"/>
          <w:lang w:val="en-US"/>
        </w:rPr>
        <w:t>on average for the estimated period), which fell more than the total unemployment rate for men.</w:t>
      </w:r>
    </w:p>
    <w:p w14:paraId="7861392A"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p>
    <w:p w14:paraId="44DB0794" w14:textId="77777777" w:rsidR="001D6FDA" w:rsidRDefault="001D6FDA" w:rsidP="001D6FDA">
      <w:pPr>
        <w:tabs>
          <w:tab w:val="left" w:pos="90"/>
        </w:tabs>
        <w:spacing w:after="60" w:line="240" w:lineRule="auto"/>
        <w:jc w:val="both"/>
        <w:rPr>
          <w:rFonts w:ascii="Century Gothic" w:hAnsi="Century Gothic"/>
          <w:color w:val="000000" w:themeColor="text1"/>
          <w:lang w:val="en-US"/>
        </w:rPr>
      </w:pPr>
      <w:r w:rsidRPr="00422168">
        <w:rPr>
          <w:rFonts w:ascii="Century Gothic" w:hAnsi="Century Gothic"/>
          <w:color w:val="000000" w:themeColor="text1"/>
          <w:lang w:val="en-US"/>
        </w:rPr>
        <w:t xml:space="preserve">Further research is required to </w:t>
      </w:r>
      <w:r>
        <w:rPr>
          <w:rFonts w:ascii="Century Gothic" w:hAnsi="Century Gothic"/>
          <w:color w:val="000000" w:themeColor="text1"/>
          <w:lang w:val="en-US"/>
        </w:rPr>
        <w:t>determine</w:t>
      </w:r>
      <w:r w:rsidRPr="00422168">
        <w:rPr>
          <w:rFonts w:ascii="Century Gothic" w:hAnsi="Century Gothic"/>
          <w:color w:val="000000" w:themeColor="text1"/>
          <w:lang w:val="en-US"/>
        </w:rPr>
        <w:t xml:space="preserve"> the optimal combination of simulated policy options to </w:t>
      </w:r>
      <w:r>
        <w:rPr>
          <w:rFonts w:ascii="Century Gothic" w:hAnsi="Century Gothic"/>
          <w:color w:val="000000" w:themeColor="text1"/>
          <w:lang w:val="en-US"/>
        </w:rPr>
        <w:t>the greatest returns in terms of increasing</w:t>
      </w:r>
      <w:r w:rsidRPr="00422168">
        <w:rPr>
          <w:rFonts w:ascii="Century Gothic" w:hAnsi="Century Gothic"/>
          <w:color w:val="000000" w:themeColor="text1"/>
          <w:lang w:val="en-US"/>
        </w:rPr>
        <w:t xml:space="preserve"> women's economic empowerment in the agricultural sector and</w:t>
      </w:r>
      <w:r>
        <w:rPr>
          <w:rFonts w:ascii="Century Gothic" w:hAnsi="Century Gothic"/>
          <w:color w:val="000000" w:themeColor="text1"/>
          <w:lang w:val="en-US"/>
        </w:rPr>
        <w:t>,</w:t>
      </w:r>
      <w:r w:rsidRPr="00422168">
        <w:rPr>
          <w:rFonts w:ascii="Century Gothic" w:hAnsi="Century Gothic"/>
          <w:color w:val="000000" w:themeColor="text1"/>
          <w:lang w:val="en-US"/>
        </w:rPr>
        <w:t xml:space="preserve"> </w:t>
      </w:r>
      <w:r>
        <w:rPr>
          <w:rFonts w:ascii="Century Gothic" w:hAnsi="Century Gothic"/>
          <w:color w:val="000000" w:themeColor="text1"/>
          <w:lang w:val="en-US"/>
        </w:rPr>
        <w:t>secondarily,</w:t>
      </w:r>
      <w:r w:rsidRPr="00422168">
        <w:rPr>
          <w:rFonts w:ascii="Century Gothic" w:hAnsi="Century Gothic"/>
          <w:color w:val="000000" w:themeColor="text1"/>
          <w:lang w:val="en-US"/>
        </w:rPr>
        <w:t xml:space="preserve"> to create maximum economic benefits. </w:t>
      </w:r>
    </w:p>
    <w:p w14:paraId="21BE9468"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p>
    <w:p w14:paraId="275012E1"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r w:rsidRPr="00422168">
        <w:rPr>
          <w:rFonts w:ascii="Century Gothic" w:hAnsi="Century Gothic"/>
          <w:color w:val="000000" w:themeColor="text1"/>
          <w:lang w:val="en-US"/>
        </w:rPr>
        <w:t xml:space="preserve">Based on </w:t>
      </w:r>
      <w:r>
        <w:rPr>
          <w:rFonts w:ascii="Century Gothic" w:hAnsi="Century Gothic"/>
          <w:color w:val="000000" w:themeColor="text1"/>
          <w:lang w:val="en-US"/>
        </w:rPr>
        <w:t>the</w:t>
      </w:r>
      <w:r w:rsidRPr="00422168">
        <w:rPr>
          <w:rFonts w:ascii="Century Gothic" w:hAnsi="Century Gothic"/>
          <w:color w:val="000000" w:themeColor="text1"/>
          <w:lang w:val="en-US"/>
        </w:rPr>
        <w:t xml:space="preserve"> estimation of the </w:t>
      </w:r>
      <w:r>
        <w:rPr>
          <w:rFonts w:ascii="Century Gothic" w:hAnsi="Century Gothic"/>
          <w:color w:val="000000" w:themeColor="text1"/>
          <w:lang w:val="en-US"/>
        </w:rPr>
        <w:t xml:space="preserve">likely implications for gender equality and women’s economic empowerment </w:t>
      </w:r>
      <w:r w:rsidRPr="00422168">
        <w:rPr>
          <w:rFonts w:ascii="Century Gothic" w:hAnsi="Century Gothic"/>
          <w:color w:val="000000" w:themeColor="text1"/>
          <w:lang w:val="en-US"/>
        </w:rPr>
        <w:t xml:space="preserve">of the </w:t>
      </w:r>
      <w:r>
        <w:rPr>
          <w:rFonts w:ascii="Century Gothic" w:hAnsi="Century Gothic"/>
          <w:color w:val="000000" w:themeColor="text1"/>
          <w:lang w:val="en-US"/>
        </w:rPr>
        <w:t>above simulated policy reforms</w:t>
      </w:r>
      <w:r w:rsidRPr="00422168">
        <w:rPr>
          <w:rFonts w:ascii="Century Gothic" w:hAnsi="Century Gothic"/>
          <w:color w:val="000000" w:themeColor="text1"/>
          <w:lang w:val="en-US"/>
        </w:rPr>
        <w:t>,</w:t>
      </w:r>
      <w:r>
        <w:rPr>
          <w:rFonts w:ascii="Century Gothic" w:hAnsi="Century Gothic"/>
          <w:color w:val="000000" w:themeColor="text1"/>
          <w:lang w:val="en-US"/>
        </w:rPr>
        <w:t xml:space="preserve"> we can recommend the following preliminary policies to enhance the government’s agriculture transformation strategy for the benefit of women. </w:t>
      </w:r>
      <w:r w:rsidRPr="00422168">
        <w:rPr>
          <w:rFonts w:ascii="Century Gothic" w:hAnsi="Century Gothic"/>
          <w:color w:val="000000" w:themeColor="text1"/>
          <w:lang w:val="en-US"/>
        </w:rPr>
        <w:t xml:space="preserve"> </w:t>
      </w:r>
    </w:p>
    <w:p w14:paraId="45F104F3" w14:textId="77777777" w:rsidR="001D6FDA" w:rsidRPr="00422168" w:rsidRDefault="001D6FDA" w:rsidP="001D6FDA">
      <w:pPr>
        <w:pStyle w:val="ListParagraph"/>
        <w:tabs>
          <w:tab w:val="left" w:pos="90"/>
        </w:tabs>
        <w:spacing w:after="60" w:line="240" w:lineRule="auto"/>
        <w:jc w:val="both"/>
        <w:rPr>
          <w:rFonts w:ascii="Century Gothic" w:hAnsi="Century Gothic"/>
          <w:color w:val="000000" w:themeColor="text1"/>
          <w:lang w:val="en-US"/>
        </w:rPr>
      </w:pPr>
    </w:p>
    <w:p w14:paraId="4A57B57E" w14:textId="77777777" w:rsidR="001D6FDA" w:rsidRPr="00D01673" w:rsidRDefault="001D6FDA" w:rsidP="001D6FDA">
      <w:pPr>
        <w:pStyle w:val="ListParagraph"/>
        <w:numPr>
          <w:ilvl w:val="0"/>
          <w:numId w:val="22"/>
        </w:numPr>
        <w:tabs>
          <w:tab w:val="left" w:pos="90"/>
        </w:tabs>
        <w:spacing w:after="60" w:line="240" w:lineRule="auto"/>
        <w:ind w:left="450"/>
        <w:jc w:val="both"/>
        <w:rPr>
          <w:rFonts w:ascii="Century Gothic" w:hAnsi="Century Gothic"/>
          <w:color w:val="000000" w:themeColor="text1"/>
          <w:lang w:val="en-US"/>
        </w:rPr>
      </w:pPr>
      <w:r>
        <w:rPr>
          <w:rFonts w:ascii="Century Gothic" w:hAnsi="Century Gothic"/>
          <w:bCs/>
          <w:color w:val="000000" w:themeColor="text1"/>
          <w:lang w:val="en-US"/>
        </w:rPr>
        <w:t>Ensure equal access to arable agricultural land for women</w:t>
      </w:r>
      <w:r w:rsidRPr="00D01673">
        <w:rPr>
          <w:rFonts w:ascii="Century Gothic" w:hAnsi="Century Gothic"/>
          <w:bCs/>
          <w:color w:val="000000" w:themeColor="text1"/>
          <w:lang w:val="en-US"/>
        </w:rPr>
        <w:t>.</w:t>
      </w:r>
      <w:r w:rsidRPr="00D01673">
        <w:rPr>
          <w:rFonts w:ascii="Century Gothic" w:hAnsi="Century Gothic"/>
          <w:color w:val="000000" w:themeColor="text1"/>
          <w:lang w:val="en-US"/>
        </w:rPr>
        <w:t xml:space="preserve"> Gender</w:t>
      </w:r>
      <w:r>
        <w:rPr>
          <w:rFonts w:ascii="Century Gothic" w:hAnsi="Century Gothic"/>
          <w:color w:val="000000" w:themeColor="text1"/>
          <w:lang w:val="en-US"/>
        </w:rPr>
        <w:t>-sensitive</w:t>
      </w:r>
      <w:r w:rsidRPr="00D01673">
        <w:rPr>
          <w:rFonts w:ascii="Century Gothic" w:hAnsi="Century Gothic"/>
          <w:color w:val="000000" w:themeColor="text1"/>
          <w:lang w:val="en-US"/>
        </w:rPr>
        <w:t xml:space="preserve"> policy support and well-designed reforms aimed at eliminating discrimination in land distribution can help close the gender gap. As indicated by the model results, if women had the same access to </w:t>
      </w:r>
      <w:r>
        <w:rPr>
          <w:rFonts w:ascii="Century Gothic" w:hAnsi="Century Gothic"/>
          <w:color w:val="000000" w:themeColor="text1"/>
          <w:lang w:val="en-US"/>
        </w:rPr>
        <w:t>land</w:t>
      </w:r>
      <w:r w:rsidRPr="00D01673">
        <w:rPr>
          <w:rFonts w:ascii="Century Gothic" w:hAnsi="Century Gothic"/>
          <w:color w:val="000000" w:themeColor="text1"/>
          <w:lang w:val="en-US"/>
        </w:rPr>
        <w:t xml:space="preserve"> as men, they could increase yields on their farms by 8.65 percent. This could raise total agricultural output by 0.69 percent in the short term, which could in turn reduce income inequality and i</w:t>
      </w:r>
      <w:r>
        <w:rPr>
          <w:rFonts w:ascii="Century Gothic" w:hAnsi="Century Gothic"/>
          <w:color w:val="000000" w:themeColor="text1"/>
          <w:lang w:val="en-US"/>
        </w:rPr>
        <w:t>ncrease</w:t>
      </w:r>
      <w:r w:rsidRPr="00D01673">
        <w:rPr>
          <w:rFonts w:ascii="Century Gothic" w:hAnsi="Century Gothic"/>
          <w:color w:val="000000" w:themeColor="text1"/>
          <w:lang w:val="en-US"/>
        </w:rPr>
        <w:t xml:space="preserve"> household consumption.</w:t>
      </w:r>
    </w:p>
    <w:p w14:paraId="21DA8D19" w14:textId="77777777" w:rsidR="001D6FDA" w:rsidRPr="00422168" w:rsidRDefault="001D6FDA" w:rsidP="001D6FDA">
      <w:pPr>
        <w:tabs>
          <w:tab w:val="left" w:pos="90"/>
        </w:tabs>
        <w:spacing w:after="60" w:line="240" w:lineRule="auto"/>
        <w:jc w:val="both"/>
        <w:rPr>
          <w:rFonts w:ascii="Century Gothic" w:hAnsi="Century Gothic"/>
          <w:color w:val="000000" w:themeColor="text1"/>
          <w:lang w:val="en-US"/>
        </w:rPr>
      </w:pPr>
    </w:p>
    <w:p w14:paraId="5863C841" w14:textId="77777777" w:rsidR="001D6FDA" w:rsidRPr="000110E6" w:rsidRDefault="001D6FDA" w:rsidP="001D6FDA">
      <w:pPr>
        <w:pStyle w:val="ListParagraph"/>
        <w:numPr>
          <w:ilvl w:val="0"/>
          <w:numId w:val="22"/>
        </w:numPr>
        <w:tabs>
          <w:tab w:val="left" w:pos="90"/>
        </w:tabs>
        <w:spacing w:after="60" w:line="240" w:lineRule="auto"/>
        <w:ind w:left="450"/>
        <w:jc w:val="both"/>
        <w:rPr>
          <w:rFonts w:ascii="Century Gothic" w:hAnsi="Century Gothic"/>
          <w:color w:val="000000" w:themeColor="text1"/>
        </w:rPr>
      </w:pPr>
      <w:r w:rsidRPr="000110E6">
        <w:rPr>
          <w:rFonts w:ascii="Century Gothic" w:hAnsi="Century Gothic"/>
          <w:bCs/>
          <w:color w:val="000000" w:themeColor="text1"/>
          <w:lang w:val="en-US"/>
        </w:rPr>
        <w:t>Facilitate women's access to agricultural inputs (fertilizer, agricultural capital, improved seeds, etc.) to increase their agricultural productivity.</w:t>
      </w:r>
      <w:r w:rsidRPr="000110E6">
        <w:rPr>
          <w:rFonts w:ascii="Century Gothic" w:hAnsi="Century Gothic"/>
          <w:color w:val="000000" w:themeColor="text1"/>
          <w:lang w:val="en-US"/>
        </w:rPr>
        <w:t xml:space="preserve"> These steps should be implemented together with </w:t>
      </w:r>
      <w:r>
        <w:rPr>
          <w:rFonts w:ascii="Century Gothic" w:hAnsi="Century Gothic"/>
          <w:color w:val="000000" w:themeColor="text1"/>
          <w:lang w:val="en-US"/>
        </w:rPr>
        <w:t>measures to</w:t>
      </w:r>
      <w:r w:rsidRPr="000110E6">
        <w:rPr>
          <w:rFonts w:ascii="Century Gothic" w:hAnsi="Century Gothic"/>
          <w:color w:val="000000" w:themeColor="text1"/>
        </w:rPr>
        <w:t xml:space="preserve"> provide gender-sensitive training in </w:t>
      </w:r>
      <w:r>
        <w:rPr>
          <w:rFonts w:ascii="Century Gothic" w:hAnsi="Century Gothic"/>
          <w:color w:val="000000" w:themeColor="text1"/>
        </w:rPr>
        <w:t>the use of these inputs</w:t>
      </w:r>
      <w:r w:rsidRPr="000110E6">
        <w:rPr>
          <w:rFonts w:ascii="Century Gothic" w:hAnsi="Century Gothic"/>
          <w:color w:val="000000" w:themeColor="text1"/>
        </w:rPr>
        <w:t>.</w:t>
      </w:r>
    </w:p>
    <w:p w14:paraId="07064D18" w14:textId="77777777" w:rsidR="001D6FDA" w:rsidRPr="000110E6" w:rsidRDefault="001D6FDA" w:rsidP="001D6FDA">
      <w:pPr>
        <w:pStyle w:val="ListParagraph"/>
        <w:tabs>
          <w:tab w:val="left" w:pos="90"/>
        </w:tabs>
        <w:spacing w:after="60" w:line="240" w:lineRule="auto"/>
        <w:ind w:left="450"/>
        <w:jc w:val="both"/>
        <w:rPr>
          <w:rFonts w:ascii="Century Gothic" w:hAnsi="Century Gothic"/>
          <w:color w:val="000000" w:themeColor="text1"/>
          <w:lang w:val="en-US"/>
        </w:rPr>
      </w:pPr>
    </w:p>
    <w:p w14:paraId="17C83F47" w14:textId="77777777" w:rsidR="001D6FDA" w:rsidRPr="00937307" w:rsidRDefault="001D6FDA" w:rsidP="001D6FDA">
      <w:pPr>
        <w:pStyle w:val="ListParagraph"/>
        <w:numPr>
          <w:ilvl w:val="0"/>
          <w:numId w:val="22"/>
        </w:numPr>
        <w:tabs>
          <w:tab w:val="left" w:pos="90"/>
        </w:tabs>
        <w:spacing w:after="60" w:line="240" w:lineRule="auto"/>
        <w:ind w:left="450"/>
        <w:jc w:val="both"/>
        <w:rPr>
          <w:rFonts w:ascii="Century Gothic" w:hAnsi="Century Gothic"/>
          <w:bCs/>
          <w:color w:val="000000" w:themeColor="text1"/>
          <w:lang w:val="en-US"/>
        </w:rPr>
      </w:pPr>
      <w:bookmarkStart w:id="31" w:name="_Hlk130995155"/>
      <w:r w:rsidRPr="00937307">
        <w:rPr>
          <w:rFonts w:ascii="Century Gothic" w:hAnsi="Century Gothic"/>
          <w:bCs/>
          <w:color w:val="000000" w:themeColor="text1"/>
          <w:lang w:val="en-US"/>
        </w:rPr>
        <w:t>Accelerate investment in irrigation to increase productivity by and prioritize crop sectors with high female employment and high returns to crop production.</w:t>
      </w:r>
      <w:r w:rsidRPr="00937307">
        <w:rPr>
          <w:rFonts w:ascii="Century Gothic" w:hAnsi="Century Gothic"/>
          <w:color w:val="000000" w:themeColor="text1"/>
          <w:lang w:val="en-US"/>
        </w:rPr>
        <w:t xml:space="preserve"> The simulation results revealed that the crop sector has a significant positive impact on women's employment creation, output, and value-added. </w:t>
      </w:r>
      <w:r>
        <w:rPr>
          <w:rFonts w:ascii="Century Gothic" w:hAnsi="Century Gothic"/>
          <w:color w:val="000000" w:themeColor="text1"/>
          <w:lang w:val="en-US"/>
        </w:rPr>
        <w:t xml:space="preserve">The limited amount of government resources available </w:t>
      </w:r>
      <w:r w:rsidRPr="00937307">
        <w:rPr>
          <w:rFonts w:ascii="Century Gothic" w:hAnsi="Century Gothic"/>
          <w:color w:val="000000" w:themeColor="text1"/>
          <w:lang w:val="en-US"/>
        </w:rPr>
        <w:t>for invest</w:t>
      </w:r>
      <w:r>
        <w:rPr>
          <w:rFonts w:ascii="Century Gothic" w:hAnsi="Century Gothic"/>
          <w:color w:val="000000" w:themeColor="text1"/>
          <w:lang w:val="en-US"/>
        </w:rPr>
        <w:t>ing</w:t>
      </w:r>
      <w:r w:rsidRPr="00937307">
        <w:rPr>
          <w:rFonts w:ascii="Century Gothic" w:hAnsi="Century Gothic"/>
          <w:color w:val="000000" w:themeColor="text1"/>
          <w:lang w:val="en-US"/>
        </w:rPr>
        <w:t xml:space="preserve"> in irrigation </w:t>
      </w:r>
      <w:r>
        <w:rPr>
          <w:rFonts w:ascii="Century Gothic" w:hAnsi="Century Gothic"/>
          <w:color w:val="000000" w:themeColor="text1"/>
          <w:lang w:val="en-US"/>
        </w:rPr>
        <w:t xml:space="preserve">(despite the proposed seven-fold increase in the irrigation development budget) will need to be </w:t>
      </w:r>
      <w:r w:rsidRPr="00937307">
        <w:rPr>
          <w:rFonts w:ascii="Century Gothic" w:hAnsi="Century Gothic"/>
          <w:color w:val="000000" w:themeColor="text1"/>
          <w:lang w:val="en-US"/>
        </w:rPr>
        <w:t xml:space="preserve">augmented with </w:t>
      </w:r>
      <w:r>
        <w:rPr>
          <w:rFonts w:ascii="Century Gothic" w:hAnsi="Century Gothic"/>
          <w:color w:val="000000" w:themeColor="text1"/>
          <w:lang w:val="en-US"/>
        </w:rPr>
        <w:t>domestic private investment, FDI and other flows, which will require the development of timely, bankable project proposals that demonstrate returns to investment in irrigation in both financial and developmental terms.</w:t>
      </w:r>
    </w:p>
    <w:bookmarkEnd w:id="31"/>
    <w:p w14:paraId="78304B0D" w14:textId="77777777" w:rsidR="001D6FDA" w:rsidRPr="00422168" w:rsidRDefault="001D6FDA" w:rsidP="001D6FDA">
      <w:pPr>
        <w:tabs>
          <w:tab w:val="left" w:pos="90"/>
        </w:tabs>
        <w:spacing w:after="60"/>
        <w:jc w:val="both"/>
        <w:rPr>
          <w:rFonts w:ascii="Century Gothic" w:hAnsi="Century Gothic"/>
          <w:color w:val="000000" w:themeColor="text1"/>
          <w:lang w:val="en-US"/>
        </w:rPr>
      </w:pPr>
    </w:p>
    <w:p w14:paraId="6FBC1DC4" w14:textId="77777777" w:rsidR="001D6FDA" w:rsidRPr="00422168" w:rsidRDefault="001D6FDA" w:rsidP="001D6FDA">
      <w:pPr>
        <w:tabs>
          <w:tab w:val="left" w:pos="90"/>
        </w:tabs>
        <w:spacing w:after="60"/>
        <w:jc w:val="both"/>
        <w:rPr>
          <w:rFonts w:ascii="Century Gothic" w:hAnsi="Century Gothic"/>
          <w:color w:val="000000" w:themeColor="text1"/>
          <w:lang w:val="en-US"/>
        </w:rPr>
      </w:pPr>
    </w:p>
    <w:p w14:paraId="3B5B20F1" w14:textId="508E48E0" w:rsidR="008C28A9" w:rsidRDefault="008C28A9">
      <w:pPr>
        <w:rPr>
          <w:rFonts w:ascii="Century Gothic" w:hAnsi="Century Gothic"/>
          <w:color w:val="000000" w:themeColor="text1"/>
          <w:lang w:val="en-US"/>
        </w:rPr>
      </w:pPr>
      <w:r>
        <w:rPr>
          <w:rFonts w:ascii="Century Gothic" w:hAnsi="Century Gothic"/>
          <w:color w:val="000000" w:themeColor="text1"/>
          <w:lang w:val="en-US"/>
        </w:rPr>
        <w:br w:type="page"/>
      </w:r>
    </w:p>
    <w:p w14:paraId="573B5736" w14:textId="77777777" w:rsidR="008C28A9" w:rsidRPr="008C28A9" w:rsidRDefault="008C28A9" w:rsidP="008C28A9">
      <w:pPr>
        <w:pStyle w:val="Heading1"/>
        <w:rPr>
          <w:rFonts w:ascii="Century Gothic" w:hAnsi="Century Gothic"/>
          <w:b/>
          <w:sz w:val="22"/>
          <w:szCs w:val="22"/>
        </w:rPr>
      </w:pPr>
      <w:bookmarkStart w:id="32" w:name="_Toc131079446"/>
      <w:r w:rsidRPr="008C28A9">
        <w:rPr>
          <w:rFonts w:ascii="Century Gothic" w:hAnsi="Century Gothic"/>
          <w:b/>
          <w:sz w:val="28"/>
          <w:szCs w:val="28"/>
        </w:rPr>
        <w:lastRenderedPageBreak/>
        <w:t>References</w:t>
      </w:r>
      <w:bookmarkEnd w:id="32"/>
      <w:r w:rsidRPr="008C28A9">
        <w:rPr>
          <w:rFonts w:ascii="Century Gothic" w:hAnsi="Century Gothic"/>
          <w:b/>
          <w:bCs/>
          <w:sz w:val="22"/>
          <w:szCs w:val="22"/>
        </w:rPr>
        <w:fldChar w:fldCharType="begin" w:fldLock="1"/>
      </w:r>
      <w:r w:rsidRPr="008C28A9">
        <w:rPr>
          <w:rFonts w:ascii="Century Gothic" w:hAnsi="Century Gothic"/>
          <w:b/>
          <w:sz w:val="22"/>
          <w:szCs w:val="22"/>
        </w:rPr>
        <w:instrText xml:space="preserve">ADDIN Mendeley Bibliography CSL_BIBLIOGRAPHY </w:instrText>
      </w:r>
      <w:r w:rsidRPr="008C28A9">
        <w:rPr>
          <w:rFonts w:ascii="Century Gothic" w:hAnsi="Century Gothic"/>
          <w:b/>
          <w:bCs/>
          <w:sz w:val="22"/>
          <w:szCs w:val="22"/>
        </w:rPr>
        <w:fldChar w:fldCharType="separate"/>
      </w:r>
    </w:p>
    <w:p w14:paraId="7D8E9A7B" w14:textId="1A8DA449" w:rsidR="00737A97" w:rsidRPr="008C28A9" w:rsidRDefault="008C28A9" w:rsidP="008C28A9">
      <w:pPr>
        <w:tabs>
          <w:tab w:val="left" w:pos="90"/>
        </w:tabs>
        <w:spacing w:after="0"/>
        <w:ind w:left="450" w:hanging="450"/>
        <w:jc w:val="both"/>
        <w:rPr>
          <w:rFonts w:ascii="Century Gothic" w:hAnsi="Century Gothic"/>
          <w:b/>
        </w:rPr>
      </w:pPr>
      <w:r w:rsidRPr="008C28A9">
        <w:rPr>
          <w:rFonts w:ascii="Century Gothic" w:hAnsi="Century Gothic"/>
          <w:b/>
        </w:rPr>
        <w:fldChar w:fldCharType="end"/>
      </w:r>
    </w:p>
    <w:p w14:paraId="33870776" w14:textId="77777777" w:rsidR="008C28A9" w:rsidRPr="008C28A9" w:rsidRDefault="008C28A9" w:rsidP="008C28A9">
      <w:pPr>
        <w:spacing w:after="0"/>
        <w:ind w:left="450" w:hanging="450"/>
        <w:jc w:val="both"/>
        <w:rPr>
          <w:rFonts w:ascii="Century Gothic" w:hAnsi="Century Gothic" w:cstheme="minorHAnsi"/>
          <w:lang w:val="en-US"/>
        </w:rPr>
      </w:pPr>
      <w:r w:rsidRPr="008C28A9">
        <w:rPr>
          <w:rFonts w:ascii="Century Gothic" w:hAnsi="Century Gothic" w:cstheme="minorHAnsi"/>
          <w:lang w:val="en-US"/>
        </w:rPr>
        <w:t>Decaluwé, B., Lemelin, A., Robichaud, V.,</w:t>
      </w:r>
      <w:r w:rsidRPr="008C28A9">
        <w:rPr>
          <w:rFonts w:ascii="Century Gothic" w:eastAsia="Times New Roman" w:hAnsi="Century Gothic" w:cstheme="minorHAnsi"/>
          <w:shd w:val="clear" w:color="auto" w:fill="FFFFFF"/>
          <w:lang w:val="en-US"/>
        </w:rPr>
        <w:t xml:space="preserve"> </w:t>
      </w:r>
      <w:r w:rsidRPr="008C28A9">
        <w:rPr>
          <w:rFonts w:ascii="Century Gothic" w:hAnsi="Century Gothic" w:cstheme="minorHAnsi"/>
          <w:lang w:val="en-US"/>
        </w:rPr>
        <w:t>Maisonnave, H. (2013). Pep-1-1: the PEP standard single-country, static CGE model. Partnership for Economic Policy</w:t>
      </w:r>
    </w:p>
    <w:p w14:paraId="5E3602EC" w14:textId="77777777" w:rsidR="008C28A9" w:rsidRPr="008C28A9" w:rsidRDefault="008C28A9" w:rsidP="008C28A9">
      <w:pPr>
        <w:pStyle w:val="FootnoteText"/>
        <w:spacing w:line="259" w:lineRule="auto"/>
        <w:ind w:left="450" w:hanging="450"/>
        <w:jc w:val="both"/>
        <w:rPr>
          <w:rFonts w:ascii="Century Gothic" w:hAnsi="Century Gothic"/>
          <w:color w:val="0070C0"/>
          <w:sz w:val="22"/>
          <w:szCs w:val="22"/>
        </w:rPr>
      </w:pPr>
      <w:r w:rsidRPr="008C28A9">
        <w:rPr>
          <w:rFonts w:ascii="Century Gothic" w:hAnsi="Century Gothic"/>
          <w:sz w:val="22"/>
          <w:szCs w:val="22"/>
        </w:rPr>
        <w:t xml:space="preserve">Dorothée Boccanfuso, Marcelin Joanis, Patrick Richard &amp; Luc Savard (2014) A comparative analysis of funding schemes for public infrastructure spending in Quebec, Applied Economics, 46:22, 2653-2664, </w:t>
      </w:r>
      <w:r w:rsidRPr="008C28A9">
        <w:rPr>
          <w:rFonts w:ascii="Century Gothic" w:hAnsi="Century Gothic"/>
          <w:color w:val="0070C0"/>
          <w:sz w:val="22"/>
          <w:szCs w:val="22"/>
        </w:rPr>
        <w:t>DOI: 10.1080/00036846.2014.909576</w:t>
      </w:r>
    </w:p>
    <w:p w14:paraId="591AF565" w14:textId="77777777" w:rsidR="008C28A9" w:rsidRPr="008C28A9" w:rsidRDefault="008C28A9" w:rsidP="008C28A9">
      <w:pPr>
        <w:pStyle w:val="FootnoteText"/>
        <w:spacing w:line="259" w:lineRule="auto"/>
        <w:ind w:left="450" w:hanging="450"/>
        <w:jc w:val="both"/>
        <w:rPr>
          <w:rFonts w:ascii="Century Gothic" w:hAnsi="Century Gothic"/>
          <w:sz w:val="22"/>
          <w:szCs w:val="22"/>
          <w:lang w:val="en-US"/>
        </w:rPr>
      </w:pPr>
      <w:r w:rsidRPr="008C28A9">
        <w:rPr>
          <w:rFonts w:ascii="Century Gothic" w:hAnsi="Century Gothic" w:cstheme="majorHAnsi"/>
          <w:sz w:val="22"/>
          <w:szCs w:val="22"/>
        </w:rPr>
        <w:t xml:space="preserve">Food and Agriculture Organization of the United Nations (FAO) </w:t>
      </w:r>
      <w:r w:rsidRPr="008C28A9">
        <w:rPr>
          <w:rFonts w:ascii="Century Gothic" w:hAnsi="Century Gothic"/>
          <w:sz w:val="22"/>
          <w:szCs w:val="22"/>
        </w:rPr>
        <w:t xml:space="preserve"> (2016). </w:t>
      </w:r>
      <w:hyperlink r:id="rId41" w:history="1">
        <w:r w:rsidRPr="008C28A9">
          <w:rPr>
            <w:rStyle w:val="Hyperlink"/>
            <w:rFonts w:ascii="Century Gothic" w:hAnsi="Century Gothic"/>
            <w:sz w:val="22"/>
            <w:szCs w:val="22"/>
          </w:rPr>
          <w:t>The State of Food and Agriculture 2016 (SOFA): Climate change, agriculture and food security (fao.org)</w:t>
        </w:r>
      </w:hyperlink>
    </w:p>
    <w:p w14:paraId="7A44FF7A" w14:textId="77777777" w:rsidR="008C28A9" w:rsidRPr="008C28A9" w:rsidRDefault="008C28A9" w:rsidP="008C28A9">
      <w:pPr>
        <w:pStyle w:val="FootnoteText"/>
        <w:spacing w:line="259" w:lineRule="auto"/>
        <w:ind w:left="450" w:hanging="450"/>
        <w:jc w:val="both"/>
        <w:rPr>
          <w:rFonts w:ascii="Century Gothic" w:hAnsi="Century Gothic"/>
          <w:sz w:val="22"/>
          <w:szCs w:val="22"/>
        </w:rPr>
      </w:pPr>
      <w:r w:rsidRPr="008C28A9">
        <w:rPr>
          <w:rFonts w:ascii="Century Gothic" w:hAnsi="Century Gothic" w:cstheme="majorHAnsi"/>
          <w:sz w:val="22"/>
          <w:szCs w:val="22"/>
        </w:rPr>
        <w:t xml:space="preserve">Food and Agriculture Organization of the United Nations (FAO) (2011). Women in Agriculture: closing the gender gap for development. Rome. </w:t>
      </w:r>
      <w:r w:rsidRPr="008C28A9">
        <w:rPr>
          <w:rFonts w:ascii="Century Gothic" w:hAnsi="Century Gothic" w:cstheme="majorHAnsi"/>
          <w:color w:val="0070C0"/>
          <w:sz w:val="22"/>
          <w:szCs w:val="22"/>
        </w:rPr>
        <w:t>https://www.fao.org/publications/sofa/2010-11/en/</w:t>
      </w:r>
    </w:p>
    <w:p w14:paraId="4409D8B7"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rPr>
      </w:pPr>
      <w:r w:rsidRPr="008C28A9">
        <w:rPr>
          <w:rFonts w:ascii="Century Gothic" w:hAnsi="Century Gothic" w:cstheme="minorHAnsi"/>
          <w:sz w:val="22"/>
          <w:szCs w:val="22"/>
        </w:rPr>
        <w:t>Henseler M, Maisonnave H, Maskaeva A. Economic impacts of COVID-19 on the tourism sector in Tanzania. Annals of Tourism Research Empirical Insights. 2022 May;3(1):100042. doi: 10.1016/j.annale.2022.100042. Epub 2022 Feb 28. PMCID: PMC8882425.</w:t>
      </w:r>
    </w:p>
    <w:p w14:paraId="48CBC5D0"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lang w:val="en-US"/>
        </w:rPr>
      </w:pPr>
      <w:r w:rsidRPr="008C28A9">
        <w:rPr>
          <w:rFonts w:ascii="Century Gothic" w:hAnsi="Century Gothic" w:cstheme="minorHAnsi"/>
          <w:sz w:val="22"/>
          <w:szCs w:val="22"/>
        </w:rPr>
        <w:t>Joshi, C.L., Maisonnave, H., Baroki, R.L. and Mariam, A.B. (2023), "Pro-gender policies and the empowerment of women in the DRC", Journal of Agribusiness in Developing and Emerging Economies, Vol. ahead-of-print No. ahead-of-print.</w:t>
      </w:r>
      <w:r w:rsidRPr="008C28A9">
        <w:rPr>
          <w:rFonts w:ascii="Century Gothic" w:hAnsi="Century Gothic" w:cstheme="minorHAnsi"/>
          <w:color w:val="0070C0"/>
          <w:sz w:val="22"/>
          <w:szCs w:val="22"/>
        </w:rPr>
        <w:t xml:space="preserve"> https://doi.org/10.1108/JADEE-01-2022-0016</w:t>
      </w:r>
    </w:p>
    <w:p w14:paraId="4C709487" w14:textId="77777777" w:rsidR="008C28A9" w:rsidRPr="008C28A9" w:rsidRDefault="008C28A9" w:rsidP="008C28A9">
      <w:pPr>
        <w:pStyle w:val="Biblio"/>
        <w:spacing w:after="0" w:line="259" w:lineRule="auto"/>
        <w:ind w:left="450" w:hanging="450"/>
        <w:rPr>
          <w:rFonts w:ascii="Century Gothic" w:hAnsi="Century Gothic" w:cstheme="minorHAnsi"/>
        </w:rPr>
      </w:pPr>
      <w:r w:rsidRPr="008C28A9">
        <w:rPr>
          <w:rFonts w:ascii="Century Gothic" w:hAnsi="Century Gothic" w:cstheme="minorHAnsi"/>
        </w:rPr>
        <w:t xml:space="preserve">Kinyondo, G., and M. Mabugu (2009). ’The General Equilibrium Effects of a Productivity Increase on the Economy and Gender in South Africa’. </w:t>
      </w:r>
      <w:r w:rsidRPr="008C28A9">
        <w:rPr>
          <w:rFonts w:ascii="Century Gothic" w:hAnsi="Century Gothic" w:cstheme="minorHAnsi"/>
          <w:i/>
          <w:iCs/>
        </w:rPr>
        <w:t>South African Journal of Economic and Management Sciences,</w:t>
      </w:r>
      <w:r w:rsidRPr="008C28A9">
        <w:rPr>
          <w:rFonts w:ascii="Century Gothic" w:hAnsi="Century Gothic" w:cstheme="minorHAnsi"/>
        </w:rPr>
        <w:t xml:space="preserve"> 12(3): 307–26.</w:t>
      </w:r>
    </w:p>
    <w:p w14:paraId="15FEE253" w14:textId="77777777" w:rsidR="008C28A9" w:rsidRPr="008C28A9" w:rsidRDefault="008C28A9" w:rsidP="008C28A9">
      <w:pPr>
        <w:spacing w:after="0"/>
        <w:ind w:left="450" w:hanging="450"/>
        <w:jc w:val="both"/>
        <w:rPr>
          <w:rFonts w:ascii="Century Gothic" w:hAnsi="Century Gothic" w:cstheme="minorHAnsi"/>
          <w:lang w:val="en-US"/>
        </w:rPr>
      </w:pPr>
      <w:r w:rsidRPr="008C28A9">
        <w:rPr>
          <w:rFonts w:ascii="Century Gothic" w:hAnsi="Century Gothic" w:cstheme="minorHAnsi"/>
          <w:lang w:val="en-US"/>
        </w:rPr>
        <w:t>Lemelin, A, Fofana, I and Cockburn, J (2013) Balancing a Social Accounting Matrix: Theory and Application, available of the PEP website (</w:t>
      </w:r>
      <w:hyperlink r:id="rId42" w:history="1">
        <w:r w:rsidRPr="008C28A9">
          <w:rPr>
            <w:rStyle w:val="Hyperlink"/>
            <w:rFonts w:ascii="Century Gothic" w:hAnsi="Century Gothic" w:cstheme="minorHAnsi"/>
            <w:color w:val="auto"/>
            <w:lang w:val="en-US"/>
          </w:rPr>
          <w:t>https://www.pep-net.org/sambal-gpcema)</w:t>
        </w:r>
      </w:hyperlink>
    </w:p>
    <w:p w14:paraId="6E3D577A" w14:textId="77777777" w:rsidR="008C28A9" w:rsidRPr="008C28A9" w:rsidRDefault="008C28A9" w:rsidP="008C28A9">
      <w:pPr>
        <w:spacing w:after="0"/>
        <w:ind w:left="450" w:hanging="450"/>
        <w:jc w:val="both"/>
        <w:rPr>
          <w:rStyle w:val="Hyperlink"/>
          <w:rFonts w:ascii="Century Gothic" w:hAnsi="Century Gothic" w:cstheme="minorHAnsi"/>
          <w:lang w:val="fi-FI"/>
        </w:rPr>
      </w:pPr>
      <w:r w:rsidRPr="008C28A9">
        <w:rPr>
          <w:rFonts w:ascii="Century Gothic" w:hAnsi="Century Gothic" w:cstheme="minorHAnsi"/>
          <w:lang w:val="fi-FI"/>
        </w:rPr>
        <w:t xml:space="preserve">Maisonnave, H., and B. Decaluwe (2010). </w:t>
      </w:r>
      <w:r w:rsidRPr="008C28A9">
        <w:rPr>
          <w:rFonts w:ascii="Century Gothic" w:hAnsi="Century Gothic" w:cstheme="minorHAnsi"/>
          <w:i/>
          <w:iCs/>
          <w:lang w:val="fi-FI"/>
        </w:rPr>
        <w:t>Is South Africa’s Affirmative Action Policy Efficient</w:t>
      </w:r>
      <w:r w:rsidRPr="008C28A9">
        <w:rPr>
          <w:rFonts w:ascii="Century Gothic" w:hAnsi="Century Gothic" w:cstheme="minorHAnsi"/>
          <w:lang w:val="fi-FI"/>
        </w:rPr>
        <w:t xml:space="preserve">? Working paper 2010/23. Dakar: Consortium pour la recherche Economique et Sociale. </w:t>
      </w:r>
      <w:hyperlink r:id="rId43" w:history="1">
        <w:r w:rsidRPr="008C28A9">
          <w:rPr>
            <w:rStyle w:val="Hyperlink"/>
            <w:rFonts w:ascii="Century Gothic" w:hAnsi="Century Gothic" w:cstheme="minorHAnsi"/>
            <w:lang w:val="fi-FI"/>
          </w:rPr>
          <w:t>https://media.africaportal.org/documents/south_africa_1.pdf</w:t>
        </w:r>
      </w:hyperlink>
    </w:p>
    <w:p w14:paraId="4251CE8B" w14:textId="77777777" w:rsidR="008C28A9" w:rsidRPr="008C28A9" w:rsidRDefault="008C28A9" w:rsidP="008C28A9">
      <w:pPr>
        <w:spacing w:after="0"/>
        <w:ind w:left="450" w:hanging="450"/>
        <w:jc w:val="both"/>
        <w:rPr>
          <w:rFonts w:ascii="Century Gothic" w:hAnsi="Century Gothic" w:cstheme="minorHAnsi"/>
        </w:rPr>
      </w:pPr>
      <w:r w:rsidRPr="008C28A9">
        <w:rPr>
          <w:rFonts w:ascii="Century Gothic" w:hAnsi="Century Gothic" w:cstheme="minorHAnsi"/>
          <w:lang w:val="en-US"/>
        </w:rPr>
        <w:t xml:space="preserve">National Bureau of Statistics NBS (2014). Integrated Labour Force Survey, National Bureau of Statistics. </w:t>
      </w:r>
      <w:r w:rsidRPr="008C28A9">
        <w:rPr>
          <w:rFonts w:ascii="Century Gothic" w:hAnsi="Century Gothic" w:cstheme="minorHAnsi"/>
        </w:rPr>
        <w:t>Dar-es-Salaam</w:t>
      </w:r>
    </w:p>
    <w:p w14:paraId="576D81A3" w14:textId="77777777" w:rsidR="008C28A9" w:rsidRPr="008C28A9" w:rsidRDefault="008C28A9" w:rsidP="008C28A9">
      <w:pPr>
        <w:spacing w:after="0"/>
        <w:ind w:left="450" w:hanging="450"/>
        <w:jc w:val="both"/>
        <w:rPr>
          <w:rFonts w:ascii="Century Gothic" w:hAnsi="Century Gothic" w:cstheme="minorHAnsi"/>
          <w:lang w:val="en-US"/>
        </w:rPr>
      </w:pPr>
      <w:r w:rsidRPr="008C28A9">
        <w:rPr>
          <w:rFonts w:ascii="Century Gothic" w:hAnsi="Century Gothic" w:cstheme="minorHAnsi"/>
          <w:lang w:val="en-US"/>
        </w:rPr>
        <w:t>National Bureau of Statistics NBS (2019). Integrated Labour Force Survey, National Bureau of Statistics 2020/2021: Analytical report. Dar-es-Salaam</w:t>
      </w:r>
    </w:p>
    <w:p w14:paraId="1F132D92" w14:textId="77777777" w:rsidR="008C28A9" w:rsidRPr="008C28A9" w:rsidRDefault="008C28A9" w:rsidP="008C28A9">
      <w:pPr>
        <w:pStyle w:val="FootnoteText"/>
        <w:spacing w:line="259" w:lineRule="auto"/>
        <w:ind w:left="450" w:hanging="450"/>
        <w:jc w:val="both"/>
        <w:rPr>
          <w:rFonts w:ascii="Century Gothic" w:hAnsi="Century Gothic"/>
          <w:sz w:val="22"/>
          <w:szCs w:val="22"/>
          <w:lang w:val="en-US"/>
        </w:rPr>
      </w:pPr>
      <w:r w:rsidRPr="008C28A9">
        <w:rPr>
          <w:rFonts w:ascii="Century Gothic" w:hAnsi="Century Gothic" w:cstheme="minorHAnsi"/>
          <w:sz w:val="22"/>
          <w:szCs w:val="22"/>
          <w:lang w:val="en-US"/>
        </w:rPr>
        <w:t>National Bureau of Statistics NBS (2020). National Accounts of Tanzania Mainland 2015 - 2021. Dar-es-Salaam</w:t>
      </w:r>
    </w:p>
    <w:p w14:paraId="3DC80E55" w14:textId="77777777" w:rsidR="008C28A9" w:rsidRPr="008C28A9" w:rsidRDefault="008C28A9" w:rsidP="008C28A9">
      <w:pPr>
        <w:spacing w:after="0"/>
        <w:ind w:left="450" w:hanging="450"/>
        <w:jc w:val="both"/>
        <w:rPr>
          <w:rStyle w:val="Hyperlink"/>
          <w:rFonts w:ascii="Century Gothic" w:hAnsi="Century Gothic"/>
          <w:lang w:val="en-US"/>
        </w:rPr>
      </w:pPr>
      <w:r w:rsidRPr="008C28A9">
        <w:rPr>
          <w:rFonts w:ascii="Century Gothic" w:hAnsi="Century Gothic"/>
          <w:lang w:val="en-US"/>
        </w:rPr>
        <w:t xml:space="preserve">OXFAM (2014). </w:t>
      </w:r>
      <w:hyperlink r:id="rId44" w:history="1">
        <w:r w:rsidRPr="008C28A9">
          <w:rPr>
            <w:rStyle w:val="Hyperlink"/>
            <w:rFonts w:ascii="Century Gothic" w:hAnsi="Century Gothic"/>
            <w:color w:val="000000" w:themeColor="text1"/>
            <w:u w:val="none"/>
            <w:lang w:val="en-US"/>
          </w:rPr>
          <w:t>Empower Women - Effective Approaches to Women’s Economic Empowerment in Agriculture</w:t>
        </w:r>
      </w:hyperlink>
      <w:r w:rsidRPr="008C28A9">
        <w:rPr>
          <w:rStyle w:val="Hyperlink"/>
          <w:rFonts w:ascii="Century Gothic" w:hAnsi="Century Gothic"/>
          <w:color w:val="000000" w:themeColor="text1"/>
          <w:u w:val="none"/>
          <w:lang w:val="en-US"/>
        </w:rPr>
        <w:t xml:space="preserve">. </w:t>
      </w:r>
      <w:r w:rsidRPr="008C28A9">
        <w:rPr>
          <w:rFonts w:ascii="Century Gothic" w:hAnsi="Century Gothic"/>
          <w:lang w:val="en-US"/>
        </w:rPr>
        <w:t>OXFAM Background report</w:t>
      </w:r>
    </w:p>
    <w:p w14:paraId="3EDAB9FB"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lang w:val="en-US"/>
        </w:rPr>
      </w:pPr>
      <w:r w:rsidRPr="008C28A9">
        <w:rPr>
          <w:rFonts w:ascii="Century Gothic" w:eastAsia="Droid Sans Fallback" w:hAnsi="Century Gothic" w:cstheme="minorHAnsi"/>
          <w:sz w:val="22"/>
          <w:szCs w:val="22"/>
        </w:rPr>
        <w:t xml:space="preserve">Randriamamonjy J. and Thurlow J. (2017). </w:t>
      </w:r>
      <w:r w:rsidRPr="008C28A9">
        <w:rPr>
          <w:rFonts w:ascii="Century Gothic" w:eastAsia="Droid Sans Fallback" w:hAnsi="Century Gothic" w:cstheme="minorHAnsi"/>
          <w:bCs/>
          <w:sz w:val="22"/>
          <w:szCs w:val="22"/>
        </w:rPr>
        <w:t xml:space="preserve">2015 Social Accounting Matrix for Tanzania </w:t>
      </w:r>
      <w:r w:rsidRPr="008C28A9">
        <w:rPr>
          <w:rFonts w:ascii="Century Gothic" w:eastAsia="Droid Sans Fallback" w:hAnsi="Century Gothic" w:cstheme="minorHAnsi"/>
          <w:sz w:val="22"/>
          <w:szCs w:val="22"/>
        </w:rPr>
        <w:t xml:space="preserve">a Nexus Project SAM. </w:t>
      </w:r>
      <w:r w:rsidRPr="008C28A9">
        <w:rPr>
          <w:rFonts w:ascii="Century Gothic" w:hAnsi="Century Gothic" w:cstheme="minorHAnsi"/>
          <w:sz w:val="22"/>
          <w:szCs w:val="22"/>
        </w:rPr>
        <w:t>Washington, DC: IFPRI</w:t>
      </w:r>
    </w:p>
    <w:p w14:paraId="681DA99F" w14:textId="77777777" w:rsidR="008C28A9" w:rsidRPr="008C28A9" w:rsidRDefault="008C28A9" w:rsidP="008C28A9">
      <w:pPr>
        <w:pStyle w:val="FootnoteText"/>
        <w:spacing w:line="259" w:lineRule="auto"/>
        <w:ind w:left="450" w:hanging="450"/>
        <w:jc w:val="both"/>
        <w:rPr>
          <w:rFonts w:ascii="Century Gothic" w:hAnsi="Century Gothic"/>
          <w:sz w:val="22"/>
          <w:szCs w:val="22"/>
        </w:rPr>
      </w:pPr>
      <w:r w:rsidRPr="008C28A9">
        <w:rPr>
          <w:rFonts w:ascii="Century Gothic" w:hAnsi="Century Gothic" w:cstheme="minorHAnsi"/>
          <w:sz w:val="22"/>
          <w:szCs w:val="22"/>
        </w:rPr>
        <w:t>Rosetti N. and Kakande M. (2010). Modelling the contributions of reduced gender inequality to GDP growth prospects and poverty reduction. CPRC (Chronic Poverty Research Center) International Conference 2010</w:t>
      </w:r>
    </w:p>
    <w:p w14:paraId="550137FD"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rPr>
      </w:pPr>
      <w:r w:rsidRPr="008C28A9">
        <w:rPr>
          <w:rFonts w:ascii="Century Gothic" w:hAnsi="Century Gothic" w:cstheme="minorHAnsi"/>
          <w:sz w:val="22"/>
          <w:szCs w:val="22"/>
        </w:rPr>
        <w:t xml:space="preserve">United Nationa Development Programme (UNDP) (20218). What are the Factors Driving the Gender Gap in Agricultural Productivity in Tanzania? </w:t>
      </w:r>
      <w:r w:rsidRPr="008C28A9">
        <w:rPr>
          <w:rFonts w:ascii="Century Gothic" w:hAnsi="Century Gothic" w:cstheme="minorHAnsi"/>
          <w:color w:val="0070C0"/>
          <w:sz w:val="22"/>
          <w:szCs w:val="22"/>
        </w:rPr>
        <w:t>https://info.undp.org/docs/pdc/Documents/TZA/Final%20Report%20%20Gender%20Gap%20April%202018.pdf</w:t>
      </w:r>
    </w:p>
    <w:p w14:paraId="2ACDCF16"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rPr>
      </w:pPr>
      <w:r w:rsidRPr="008C28A9">
        <w:rPr>
          <w:rFonts w:ascii="Century Gothic" w:hAnsi="Century Gothic" w:cstheme="minorHAnsi"/>
          <w:sz w:val="22"/>
          <w:szCs w:val="22"/>
        </w:rPr>
        <w:lastRenderedPageBreak/>
        <w:t xml:space="preserve">United Nations Conference on Trade and Development (2022). Enhancing productive capacities in the United Republic of Tanzania:  coherent and operational strategy. </w:t>
      </w:r>
    </w:p>
    <w:p w14:paraId="348E413B" w14:textId="77777777" w:rsidR="008C28A9" w:rsidRPr="008C28A9" w:rsidRDefault="008C28A9" w:rsidP="008C28A9">
      <w:pPr>
        <w:spacing w:after="0"/>
        <w:ind w:left="450" w:hanging="450"/>
        <w:jc w:val="both"/>
        <w:rPr>
          <w:rStyle w:val="Hyperlink"/>
          <w:rFonts w:ascii="Century Gothic" w:hAnsi="Century Gothic"/>
          <w:lang w:val="en-US"/>
        </w:rPr>
      </w:pPr>
      <w:r w:rsidRPr="008C28A9">
        <w:rPr>
          <w:rFonts w:ascii="Century Gothic" w:hAnsi="Century Gothic"/>
          <w:lang w:val="en-US"/>
        </w:rPr>
        <w:t xml:space="preserve">United Republic of Tanzania (URT) (2021). </w:t>
      </w:r>
      <w:hyperlink r:id="rId45" w:history="1">
        <w:r w:rsidRPr="008C28A9">
          <w:rPr>
            <w:rStyle w:val="Hyperlink"/>
            <w:rFonts w:ascii="Century Gothic" w:hAnsi="Century Gothic"/>
            <w:lang w:val="en-US"/>
          </w:rPr>
          <w:t>Budget Books 2022/2023 | MoF - Ministry of Finance and Planning</w:t>
        </w:r>
      </w:hyperlink>
    </w:p>
    <w:p w14:paraId="50693DCA" w14:textId="77777777" w:rsidR="008C28A9" w:rsidRPr="008C28A9" w:rsidRDefault="008C28A9" w:rsidP="008C28A9">
      <w:pPr>
        <w:pStyle w:val="FootnoteText"/>
        <w:spacing w:line="259" w:lineRule="auto"/>
        <w:ind w:left="450" w:hanging="450"/>
        <w:jc w:val="both"/>
        <w:rPr>
          <w:rFonts w:ascii="Century Gothic" w:hAnsi="Century Gothic"/>
          <w:sz w:val="22"/>
          <w:szCs w:val="22"/>
          <w:lang w:val="en-US"/>
        </w:rPr>
      </w:pPr>
      <w:r w:rsidRPr="008C28A9">
        <w:rPr>
          <w:rFonts w:ascii="Century Gothic" w:hAnsi="Century Gothic"/>
          <w:sz w:val="22"/>
          <w:szCs w:val="22"/>
          <w:lang w:val="en-US"/>
        </w:rPr>
        <w:t xml:space="preserve">United Republic of Tanzania (URT) </w:t>
      </w:r>
      <w:r w:rsidRPr="008C28A9">
        <w:rPr>
          <w:rFonts w:ascii="Century Gothic" w:hAnsi="Century Gothic"/>
          <w:sz w:val="22"/>
          <w:szCs w:val="22"/>
        </w:rPr>
        <w:t xml:space="preserve"> (2021). Ministry of Agriculture; Building a Better Tomorrow: Youth Agribusiness Initiative 2022-2030.</w:t>
      </w:r>
    </w:p>
    <w:p w14:paraId="7074418D" w14:textId="77777777" w:rsidR="008C28A9" w:rsidRPr="008C28A9" w:rsidRDefault="008C28A9" w:rsidP="008C28A9">
      <w:pPr>
        <w:pStyle w:val="FootnoteText"/>
        <w:spacing w:line="259" w:lineRule="auto"/>
        <w:ind w:left="450" w:hanging="450"/>
        <w:jc w:val="both"/>
        <w:rPr>
          <w:rFonts w:ascii="Century Gothic" w:hAnsi="Century Gothic" w:cstheme="majorHAnsi"/>
          <w:sz w:val="22"/>
          <w:szCs w:val="22"/>
        </w:rPr>
      </w:pPr>
      <w:r w:rsidRPr="008C28A9">
        <w:rPr>
          <w:rFonts w:ascii="Century Gothic" w:hAnsi="Century Gothic" w:cstheme="majorHAnsi"/>
          <w:sz w:val="22"/>
          <w:szCs w:val="22"/>
        </w:rPr>
        <w:t xml:space="preserve">World Bank (2003). Prospects for irrigated agriculture: whether irrigated area and irrigation water must increase to meet food needs in the future: Washington, DC 20433. </w:t>
      </w:r>
      <w:r w:rsidRPr="008C28A9">
        <w:rPr>
          <w:rFonts w:ascii="Century Gothic" w:hAnsi="Century Gothic" w:cstheme="majorHAnsi"/>
          <w:color w:val="0070C0"/>
          <w:sz w:val="22"/>
          <w:szCs w:val="22"/>
        </w:rPr>
        <w:t>http://web.worldbank.org/archive/website00660/WEB/PDF/260290PR.PDF</w:t>
      </w:r>
    </w:p>
    <w:p w14:paraId="3703AFE4" w14:textId="77777777" w:rsidR="008C28A9" w:rsidRPr="008C28A9" w:rsidRDefault="008C28A9" w:rsidP="008C28A9">
      <w:pPr>
        <w:pStyle w:val="FootnoteText"/>
        <w:spacing w:line="259" w:lineRule="auto"/>
        <w:ind w:left="450" w:hanging="450"/>
        <w:jc w:val="both"/>
        <w:rPr>
          <w:rFonts w:ascii="Century Gothic" w:hAnsi="Century Gothic"/>
          <w:sz w:val="22"/>
          <w:szCs w:val="22"/>
          <w:lang w:val="en-US"/>
        </w:rPr>
      </w:pPr>
      <w:r w:rsidRPr="008C28A9">
        <w:rPr>
          <w:rFonts w:ascii="Century Gothic" w:hAnsi="Century Gothic"/>
          <w:sz w:val="22"/>
          <w:szCs w:val="22"/>
        </w:rPr>
        <w:t xml:space="preserve">World Bank (2013). </w:t>
      </w:r>
      <w:hyperlink r:id="rId46" w:history="1">
        <w:r w:rsidRPr="008C28A9">
          <w:rPr>
            <w:rStyle w:val="Hyperlink"/>
            <w:rFonts w:ascii="Century Gothic" w:hAnsi="Century Gothic"/>
            <w:sz w:val="22"/>
            <w:szCs w:val="22"/>
          </w:rPr>
          <w:t>Agriculture: Sector Results Profile (worldbank.org)</w:t>
        </w:r>
      </w:hyperlink>
    </w:p>
    <w:p w14:paraId="237F8670" w14:textId="77777777" w:rsidR="008C28A9" w:rsidRPr="008C28A9" w:rsidRDefault="008C28A9" w:rsidP="008C28A9">
      <w:pPr>
        <w:spacing w:after="0"/>
        <w:ind w:left="450" w:hanging="450"/>
        <w:jc w:val="both"/>
        <w:rPr>
          <w:rFonts w:ascii="Century Gothic" w:hAnsi="Century Gothic"/>
          <w:lang w:val="en-US"/>
        </w:rPr>
      </w:pPr>
      <w:r w:rsidRPr="008C28A9">
        <w:rPr>
          <w:rFonts w:ascii="Century Gothic" w:hAnsi="Century Gothic"/>
          <w:lang w:val="en-US"/>
        </w:rPr>
        <w:t>World Bank (2014). LevelLing the field: Improving Opportunities for Women Farmers in Africa</w:t>
      </w:r>
    </w:p>
    <w:p w14:paraId="6E552A89" w14:textId="77777777" w:rsidR="008C28A9" w:rsidRPr="008C28A9" w:rsidRDefault="008C28A9" w:rsidP="008C28A9">
      <w:pPr>
        <w:pStyle w:val="FootnoteText"/>
        <w:spacing w:line="259" w:lineRule="auto"/>
        <w:ind w:left="450" w:hanging="450"/>
        <w:jc w:val="both"/>
        <w:rPr>
          <w:rFonts w:ascii="Century Gothic" w:hAnsi="Century Gothic" w:cstheme="minorHAnsi"/>
          <w:sz w:val="22"/>
          <w:szCs w:val="22"/>
        </w:rPr>
      </w:pPr>
      <w:r w:rsidRPr="008C28A9">
        <w:rPr>
          <w:rFonts w:ascii="Century Gothic" w:hAnsi="Century Gothic" w:cstheme="minorHAnsi"/>
          <w:color w:val="333333"/>
          <w:sz w:val="22"/>
          <w:szCs w:val="22"/>
          <w:shd w:val="clear" w:color="auto" w:fill="FFFFFF"/>
        </w:rPr>
        <w:t xml:space="preserve">World Bank (2020). </w:t>
      </w:r>
      <w:r w:rsidRPr="008C28A9">
        <w:rPr>
          <w:rStyle w:val="Emphasis"/>
          <w:rFonts w:ascii="Century Gothic" w:hAnsi="Century Gothic" w:cstheme="minorHAnsi"/>
          <w:i w:val="0"/>
          <w:color w:val="333333"/>
          <w:sz w:val="22"/>
          <w:szCs w:val="22"/>
          <w:shd w:val="clear" w:color="auto" w:fill="FFFFFF"/>
        </w:rPr>
        <w:t>Tanzania Mainland Poverty Assessment</w:t>
      </w:r>
      <w:r w:rsidRPr="008C28A9">
        <w:rPr>
          <w:rFonts w:ascii="Century Gothic" w:hAnsi="Century Gothic" w:cstheme="minorHAnsi"/>
          <w:color w:val="333333"/>
          <w:sz w:val="22"/>
          <w:szCs w:val="22"/>
          <w:shd w:val="clear" w:color="auto" w:fill="FFFFFF"/>
        </w:rPr>
        <w:t>, World Bank, Washington, DC, </w:t>
      </w:r>
      <w:hyperlink r:id="rId47" w:tgtFrame="_blank" w:history="1">
        <w:r w:rsidRPr="008C28A9">
          <w:rPr>
            <w:rStyle w:val="Hyperlink"/>
            <w:rFonts w:ascii="Century Gothic" w:hAnsi="Century Gothic" w:cstheme="minorHAnsi"/>
            <w:color w:val="0068B6"/>
            <w:sz w:val="22"/>
            <w:szCs w:val="22"/>
            <w:shd w:val="clear" w:color="auto" w:fill="FFFFFF"/>
          </w:rPr>
          <w:t>https://doi.org/10.1596/33543</w:t>
        </w:r>
      </w:hyperlink>
      <w:r w:rsidRPr="008C28A9">
        <w:rPr>
          <w:rFonts w:ascii="Century Gothic" w:hAnsi="Century Gothic" w:cstheme="minorHAnsi"/>
          <w:color w:val="333333"/>
          <w:sz w:val="22"/>
          <w:szCs w:val="22"/>
          <w:shd w:val="clear" w:color="auto" w:fill="FFFFFF"/>
        </w:rPr>
        <w:t>.</w:t>
      </w:r>
    </w:p>
    <w:p w14:paraId="544DBE48" w14:textId="77777777" w:rsidR="008C28A9" w:rsidRPr="008C28A9" w:rsidRDefault="008C28A9" w:rsidP="008C28A9">
      <w:pPr>
        <w:pStyle w:val="FootnoteText"/>
        <w:spacing w:line="259" w:lineRule="auto"/>
        <w:ind w:left="450" w:hanging="450"/>
        <w:jc w:val="both"/>
        <w:rPr>
          <w:rFonts w:ascii="Century Gothic" w:hAnsi="Century Gothic"/>
          <w:color w:val="0070C0"/>
          <w:sz w:val="22"/>
          <w:szCs w:val="22"/>
        </w:rPr>
      </w:pPr>
      <w:r w:rsidRPr="008C28A9">
        <w:rPr>
          <w:rFonts w:ascii="Century Gothic" w:hAnsi="Century Gothic"/>
          <w:sz w:val="22"/>
          <w:szCs w:val="22"/>
        </w:rPr>
        <w:t xml:space="preserve">World Bank (2022). Tanzania Agriculture Public Expenditure Review. </w:t>
      </w:r>
      <w:r w:rsidRPr="008C28A9">
        <w:rPr>
          <w:rFonts w:ascii="Century Gothic" w:hAnsi="Century Gothic"/>
          <w:color w:val="0070C0"/>
          <w:sz w:val="22"/>
          <w:szCs w:val="22"/>
        </w:rPr>
        <w:t>https://elibrary.worldbank.org/doi/abs/10.1596/37991</w:t>
      </w:r>
    </w:p>
    <w:p w14:paraId="79E3CEF2" w14:textId="77777777" w:rsidR="008C28A9" w:rsidRPr="008C28A9" w:rsidRDefault="008C28A9" w:rsidP="008C28A9">
      <w:pPr>
        <w:tabs>
          <w:tab w:val="left" w:pos="90"/>
        </w:tabs>
        <w:jc w:val="both"/>
        <w:rPr>
          <w:rFonts w:ascii="Century Gothic" w:hAnsi="Century Gothic"/>
          <w:b/>
        </w:rPr>
      </w:pPr>
    </w:p>
    <w:p w14:paraId="7652C4F4" w14:textId="77777777" w:rsidR="008C28A9" w:rsidRPr="00737A97" w:rsidRDefault="008C28A9" w:rsidP="008C28A9">
      <w:pPr>
        <w:tabs>
          <w:tab w:val="left" w:pos="90"/>
        </w:tabs>
        <w:jc w:val="both"/>
        <w:rPr>
          <w:rFonts w:ascii="Century Gothic" w:hAnsi="Century Gothic"/>
          <w:color w:val="000000" w:themeColor="text1"/>
          <w:lang w:val="en-US"/>
        </w:rPr>
      </w:pPr>
    </w:p>
    <w:p w14:paraId="2713E595" w14:textId="77777777" w:rsidR="00411CF7" w:rsidRPr="00737A97" w:rsidRDefault="00411CF7" w:rsidP="00EE3BED">
      <w:pPr>
        <w:jc w:val="both"/>
        <w:rPr>
          <w:rFonts w:ascii="Century Gothic" w:hAnsi="Century Gothic"/>
          <w:color w:val="000000" w:themeColor="text1"/>
          <w:lang w:val="en-US"/>
        </w:rPr>
      </w:pPr>
    </w:p>
    <w:p w14:paraId="415B50CF" w14:textId="77777777" w:rsidR="00411CF7" w:rsidRPr="00737A97" w:rsidRDefault="00411CF7" w:rsidP="00EE3BED">
      <w:pPr>
        <w:rPr>
          <w:rFonts w:ascii="Times New Roman" w:hAnsi="Times New Roman"/>
          <w:b/>
        </w:rPr>
        <w:sectPr w:rsidR="00411CF7" w:rsidRPr="00737A97" w:rsidSect="00370E0B">
          <w:headerReference w:type="default" r:id="rId48"/>
          <w:footerReference w:type="default" r:id="rId49"/>
          <w:pgSz w:w="11900" w:h="16840"/>
          <w:pgMar w:top="1728" w:right="1008" w:bottom="1411" w:left="1440" w:header="706" w:footer="706" w:gutter="0"/>
          <w:pgNumType w:start="1"/>
          <w:cols w:space="708"/>
          <w:docGrid w:linePitch="360"/>
        </w:sectPr>
      </w:pPr>
    </w:p>
    <w:p w14:paraId="754EC3DD" w14:textId="0FDDBCD9" w:rsidR="00F4635D" w:rsidRPr="00F4635D" w:rsidRDefault="00F4635D" w:rsidP="00EE3BED">
      <w:pPr>
        <w:pStyle w:val="Heading1"/>
        <w:rPr>
          <w:rFonts w:ascii="Century Gothic" w:hAnsi="Century Gothic"/>
          <w:b/>
          <w:sz w:val="28"/>
          <w:szCs w:val="28"/>
        </w:rPr>
      </w:pPr>
      <w:bookmarkStart w:id="33" w:name="_Toc131079447"/>
      <w:r w:rsidRPr="00F4635D">
        <w:rPr>
          <w:rFonts w:ascii="Century Gothic" w:hAnsi="Century Gothic"/>
          <w:b/>
          <w:sz w:val="28"/>
          <w:szCs w:val="28"/>
        </w:rPr>
        <w:lastRenderedPageBreak/>
        <w:t>Appendices</w:t>
      </w:r>
      <w:bookmarkEnd w:id="33"/>
    </w:p>
    <w:p w14:paraId="6737DA35" w14:textId="77777777" w:rsidR="00411CF7" w:rsidRPr="00F4635D" w:rsidRDefault="00411CF7" w:rsidP="00F4635D">
      <w:pPr>
        <w:rPr>
          <w:rFonts w:ascii="Century Gothic" w:hAnsi="Century Gothic"/>
          <w:color w:val="0070C0"/>
        </w:rPr>
      </w:pPr>
      <w:r w:rsidRPr="00F4635D">
        <w:rPr>
          <w:rFonts w:ascii="Century Gothic" w:hAnsi="Century Gothic"/>
          <w:color w:val="0070C0"/>
        </w:rPr>
        <w:t>Appendix 1</w:t>
      </w:r>
    </w:p>
    <w:p w14:paraId="64BB0841" w14:textId="1E252681" w:rsidR="00411CF7" w:rsidRPr="00A844F4" w:rsidRDefault="00411CF7" w:rsidP="00411CF7">
      <w:pPr>
        <w:spacing w:line="360" w:lineRule="auto"/>
        <w:jc w:val="center"/>
        <w:rPr>
          <w:rFonts w:ascii="Century Gothic" w:hAnsi="Century Gothic"/>
          <w:b/>
        </w:rPr>
      </w:pPr>
      <w:r w:rsidRPr="00A844F4">
        <w:rPr>
          <w:rFonts w:ascii="Century Gothic" w:hAnsi="Century Gothic"/>
          <w:b/>
          <w:bCs/>
        </w:rPr>
        <w:t xml:space="preserve">SAM Framework </w:t>
      </w:r>
    </w:p>
    <w:tbl>
      <w:tblPr>
        <w:tblpPr w:leftFromText="180" w:rightFromText="180" w:vertAnchor="text" w:horzAnchor="page" w:tblpX="1270" w:tblpY="-76"/>
        <w:tblW w:w="14951"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1696"/>
        <w:gridCol w:w="1691"/>
        <w:gridCol w:w="1803"/>
        <w:gridCol w:w="1413"/>
        <w:gridCol w:w="1554"/>
        <w:gridCol w:w="1554"/>
        <w:gridCol w:w="1554"/>
        <w:gridCol w:w="1990"/>
        <w:gridCol w:w="1696"/>
      </w:tblGrid>
      <w:tr w:rsidR="00411CF7" w:rsidRPr="00592E0C" w14:paraId="5AE2E405" w14:textId="77777777" w:rsidTr="000442BC">
        <w:tc>
          <w:tcPr>
            <w:tcW w:w="1696" w:type="dxa"/>
            <w:tcBorders>
              <w:top w:val="nil"/>
              <w:left w:val="nil"/>
              <w:bottom w:val="single" w:sz="4" w:space="0" w:color="2E74B5" w:themeColor="accent1" w:themeShade="BF"/>
              <w:right w:val="single" w:sz="4" w:space="0" w:color="2E74B5" w:themeColor="accent1" w:themeShade="BF"/>
            </w:tcBorders>
            <w:shd w:val="clear" w:color="auto" w:fill="auto"/>
          </w:tcPr>
          <w:p w14:paraId="7638A01E" w14:textId="77777777" w:rsidR="00411CF7" w:rsidRPr="00592E0C" w:rsidRDefault="00411CF7" w:rsidP="000442BC">
            <w:pPr>
              <w:spacing w:after="0" w:line="240" w:lineRule="auto"/>
              <w:rPr>
                <w:rFonts w:ascii="Century Gothic" w:hAnsi="Century Gothic"/>
                <w:sz w:val="20"/>
                <w:szCs w:val="20"/>
              </w:rPr>
            </w:pPr>
          </w:p>
        </w:tc>
        <w:tc>
          <w:tcPr>
            <w:tcW w:w="1691" w:type="dxa"/>
            <w:tcBorders>
              <w:left w:val="single" w:sz="4" w:space="0" w:color="2E74B5" w:themeColor="accent1" w:themeShade="BF"/>
            </w:tcBorders>
            <w:shd w:val="clear" w:color="auto" w:fill="E7E6E6" w:themeFill="background2"/>
          </w:tcPr>
          <w:p w14:paraId="75639E6C"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Activities</w:t>
            </w:r>
          </w:p>
          <w:p w14:paraId="09C19B6F" w14:textId="77777777" w:rsidR="00411CF7" w:rsidRPr="00592E0C" w:rsidRDefault="00411CF7" w:rsidP="000442BC">
            <w:pPr>
              <w:spacing w:after="0" w:line="240" w:lineRule="auto"/>
              <w:jc w:val="center"/>
              <w:rPr>
                <w:rFonts w:ascii="Century Gothic" w:hAnsi="Century Gothic"/>
                <w:i/>
                <w:sz w:val="20"/>
                <w:szCs w:val="20"/>
              </w:rPr>
            </w:pPr>
          </w:p>
        </w:tc>
        <w:tc>
          <w:tcPr>
            <w:tcW w:w="1803" w:type="dxa"/>
            <w:shd w:val="clear" w:color="auto" w:fill="E7E6E6" w:themeFill="background2"/>
          </w:tcPr>
          <w:p w14:paraId="6374B116"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Commodities</w:t>
            </w:r>
          </w:p>
          <w:p w14:paraId="0EBA88F0" w14:textId="77777777" w:rsidR="00411CF7" w:rsidRPr="00592E0C" w:rsidRDefault="00411CF7" w:rsidP="000442BC">
            <w:pPr>
              <w:spacing w:after="0" w:line="240" w:lineRule="auto"/>
              <w:jc w:val="center"/>
              <w:rPr>
                <w:rFonts w:ascii="Century Gothic" w:hAnsi="Century Gothic"/>
                <w:b/>
                <w:sz w:val="20"/>
                <w:szCs w:val="20"/>
              </w:rPr>
            </w:pPr>
          </w:p>
        </w:tc>
        <w:tc>
          <w:tcPr>
            <w:tcW w:w="1413" w:type="dxa"/>
            <w:shd w:val="clear" w:color="auto" w:fill="E7E6E6" w:themeFill="background2"/>
          </w:tcPr>
          <w:p w14:paraId="252420E7"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Factors of production</w:t>
            </w:r>
          </w:p>
        </w:tc>
        <w:tc>
          <w:tcPr>
            <w:tcW w:w="1554" w:type="dxa"/>
            <w:shd w:val="clear" w:color="auto" w:fill="E7E6E6" w:themeFill="background2"/>
          </w:tcPr>
          <w:p w14:paraId="760EFCDB"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Households</w:t>
            </w:r>
          </w:p>
          <w:p w14:paraId="38074D94"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E7E6E6" w:themeFill="background2"/>
          </w:tcPr>
          <w:p w14:paraId="0B37EF86"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Government</w:t>
            </w:r>
          </w:p>
          <w:p w14:paraId="7BECA977"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i/>
                <w:sz w:val="20"/>
                <w:szCs w:val="20"/>
              </w:rPr>
              <w:t>Taxes</w:t>
            </w:r>
          </w:p>
        </w:tc>
        <w:tc>
          <w:tcPr>
            <w:tcW w:w="1554" w:type="dxa"/>
            <w:shd w:val="clear" w:color="auto" w:fill="E7E6E6" w:themeFill="background2"/>
          </w:tcPr>
          <w:p w14:paraId="412E2681"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Investments</w:t>
            </w:r>
          </w:p>
          <w:p w14:paraId="2287E879" w14:textId="77777777" w:rsidR="00411CF7" w:rsidRPr="00592E0C" w:rsidRDefault="00411CF7" w:rsidP="000442BC">
            <w:pPr>
              <w:spacing w:after="0" w:line="240" w:lineRule="auto"/>
              <w:jc w:val="center"/>
              <w:rPr>
                <w:rFonts w:ascii="Century Gothic" w:hAnsi="Century Gothic"/>
                <w:b/>
                <w:sz w:val="20"/>
                <w:szCs w:val="20"/>
              </w:rPr>
            </w:pPr>
          </w:p>
        </w:tc>
        <w:tc>
          <w:tcPr>
            <w:tcW w:w="1990" w:type="dxa"/>
            <w:shd w:val="clear" w:color="auto" w:fill="E7E6E6" w:themeFill="background2"/>
          </w:tcPr>
          <w:p w14:paraId="52EE39FB"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Rest of the World</w:t>
            </w:r>
          </w:p>
          <w:p w14:paraId="18332BBA"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i/>
                <w:sz w:val="20"/>
                <w:szCs w:val="20"/>
              </w:rPr>
              <w:t>Exports</w:t>
            </w:r>
          </w:p>
        </w:tc>
        <w:tc>
          <w:tcPr>
            <w:tcW w:w="1696" w:type="dxa"/>
            <w:shd w:val="clear" w:color="auto" w:fill="E7E6E6" w:themeFill="background2"/>
          </w:tcPr>
          <w:p w14:paraId="7E21345E"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Total Income</w:t>
            </w:r>
          </w:p>
        </w:tc>
      </w:tr>
      <w:tr w:rsidR="00411CF7" w:rsidRPr="00592E0C" w14:paraId="3E13F456" w14:textId="77777777" w:rsidTr="000442BC">
        <w:tc>
          <w:tcPr>
            <w:tcW w:w="1696" w:type="dxa"/>
            <w:tcBorders>
              <w:top w:val="single" w:sz="4" w:space="0" w:color="2E74B5" w:themeColor="accent1" w:themeShade="BF"/>
            </w:tcBorders>
            <w:shd w:val="clear" w:color="auto" w:fill="E7E6E6" w:themeFill="background2"/>
          </w:tcPr>
          <w:p w14:paraId="4D5286FB"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Activities</w:t>
            </w:r>
          </w:p>
          <w:p w14:paraId="72112BFD" w14:textId="77777777" w:rsidR="00411CF7" w:rsidRPr="00592E0C" w:rsidRDefault="00411CF7" w:rsidP="000442BC">
            <w:pPr>
              <w:spacing w:after="0" w:line="240" w:lineRule="auto"/>
              <w:rPr>
                <w:rFonts w:ascii="Century Gothic" w:hAnsi="Century Gothic"/>
                <w:sz w:val="20"/>
                <w:szCs w:val="20"/>
              </w:rPr>
            </w:pPr>
          </w:p>
        </w:tc>
        <w:tc>
          <w:tcPr>
            <w:tcW w:w="1691" w:type="dxa"/>
            <w:shd w:val="clear" w:color="auto" w:fill="auto"/>
          </w:tcPr>
          <w:p w14:paraId="17D17CD4" w14:textId="77777777" w:rsidR="00411CF7" w:rsidRPr="00592E0C" w:rsidRDefault="00411CF7" w:rsidP="000442BC">
            <w:pPr>
              <w:spacing w:after="0" w:line="240" w:lineRule="auto"/>
              <w:jc w:val="center"/>
              <w:rPr>
                <w:rFonts w:ascii="Century Gothic" w:hAnsi="Century Gothic"/>
                <w:sz w:val="20"/>
                <w:szCs w:val="20"/>
              </w:rPr>
            </w:pPr>
          </w:p>
        </w:tc>
        <w:tc>
          <w:tcPr>
            <w:tcW w:w="1803" w:type="dxa"/>
            <w:shd w:val="clear" w:color="auto" w:fill="auto"/>
          </w:tcPr>
          <w:p w14:paraId="5AAE847D"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Marketed</w:t>
            </w:r>
          </w:p>
          <w:p w14:paraId="741DA771"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output</w:t>
            </w:r>
          </w:p>
        </w:tc>
        <w:tc>
          <w:tcPr>
            <w:tcW w:w="1413" w:type="dxa"/>
            <w:shd w:val="clear" w:color="auto" w:fill="auto"/>
          </w:tcPr>
          <w:p w14:paraId="30AD99CE"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0EF24224"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Domestic consumption</w:t>
            </w:r>
          </w:p>
        </w:tc>
        <w:tc>
          <w:tcPr>
            <w:tcW w:w="1554" w:type="dxa"/>
            <w:shd w:val="clear" w:color="auto" w:fill="auto"/>
          </w:tcPr>
          <w:p w14:paraId="7EE00B6F"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74238F8A"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1346A8D5" w14:textId="77777777" w:rsidR="00411CF7" w:rsidRPr="00592E0C" w:rsidRDefault="00411CF7" w:rsidP="000442BC">
            <w:pPr>
              <w:spacing w:after="0" w:line="240" w:lineRule="auto"/>
              <w:jc w:val="center"/>
              <w:rPr>
                <w:rFonts w:ascii="Century Gothic" w:hAnsi="Century Gothic"/>
                <w:sz w:val="20"/>
                <w:szCs w:val="20"/>
              </w:rPr>
            </w:pPr>
          </w:p>
        </w:tc>
        <w:tc>
          <w:tcPr>
            <w:tcW w:w="1696" w:type="dxa"/>
            <w:shd w:val="clear" w:color="auto" w:fill="auto"/>
          </w:tcPr>
          <w:p w14:paraId="18C7A50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Activity income</w:t>
            </w:r>
          </w:p>
        </w:tc>
      </w:tr>
      <w:tr w:rsidR="00411CF7" w:rsidRPr="00592E0C" w14:paraId="11A82C5E" w14:textId="77777777" w:rsidTr="000442BC">
        <w:tc>
          <w:tcPr>
            <w:tcW w:w="1696" w:type="dxa"/>
            <w:shd w:val="clear" w:color="auto" w:fill="E7E6E6" w:themeFill="background2"/>
          </w:tcPr>
          <w:p w14:paraId="1E915073"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Commodities</w:t>
            </w:r>
          </w:p>
          <w:p w14:paraId="47C81103" w14:textId="77777777" w:rsidR="00411CF7" w:rsidRPr="00592E0C" w:rsidRDefault="00411CF7" w:rsidP="000442BC">
            <w:pPr>
              <w:spacing w:after="0" w:line="240" w:lineRule="auto"/>
              <w:rPr>
                <w:rFonts w:ascii="Century Gothic" w:hAnsi="Century Gothic"/>
                <w:sz w:val="20"/>
                <w:szCs w:val="20"/>
              </w:rPr>
            </w:pPr>
          </w:p>
        </w:tc>
        <w:tc>
          <w:tcPr>
            <w:tcW w:w="1691" w:type="dxa"/>
            <w:shd w:val="clear" w:color="auto" w:fill="auto"/>
          </w:tcPr>
          <w:p w14:paraId="614173A2"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Intermediate inputs</w:t>
            </w:r>
          </w:p>
        </w:tc>
        <w:tc>
          <w:tcPr>
            <w:tcW w:w="1803" w:type="dxa"/>
            <w:shd w:val="clear" w:color="auto" w:fill="auto"/>
          </w:tcPr>
          <w:p w14:paraId="26FDFBFF" w14:textId="77777777" w:rsidR="00411CF7" w:rsidRPr="00592E0C" w:rsidRDefault="00411CF7" w:rsidP="000442BC">
            <w:pPr>
              <w:spacing w:after="0" w:line="240" w:lineRule="auto"/>
              <w:jc w:val="center"/>
              <w:rPr>
                <w:rFonts w:ascii="Century Gothic" w:hAnsi="Century Gothic"/>
                <w:sz w:val="20"/>
                <w:szCs w:val="20"/>
              </w:rPr>
            </w:pPr>
          </w:p>
        </w:tc>
        <w:tc>
          <w:tcPr>
            <w:tcW w:w="1413" w:type="dxa"/>
            <w:shd w:val="clear" w:color="auto" w:fill="auto"/>
          </w:tcPr>
          <w:p w14:paraId="78B93FEC"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75D63C37"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Marketed consumption</w:t>
            </w:r>
          </w:p>
        </w:tc>
        <w:tc>
          <w:tcPr>
            <w:tcW w:w="1554" w:type="dxa"/>
            <w:shd w:val="clear" w:color="auto" w:fill="auto"/>
          </w:tcPr>
          <w:p w14:paraId="36D0F102"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Government consumption</w:t>
            </w:r>
          </w:p>
        </w:tc>
        <w:tc>
          <w:tcPr>
            <w:tcW w:w="1554" w:type="dxa"/>
            <w:shd w:val="clear" w:color="auto" w:fill="auto"/>
          </w:tcPr>
          <w:p w14:paraId="08BAAA47"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Investments</w:t>
            </w:r>
          </w:p>
        </w:tc>
        <w:tc>
          <w:tcPr>
            <w:tcW w:w="1990" w:type="dxa"/>
            <w:shd w:val="clear" w:color="auto" w:fill="auto"/>
          </w:tcPr>
          <w:p w14:paraId="7C232361"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Exports</w:t>
            </w:r>
          </w:p>
        </w:tc>
        <w:tc>
          <w:tcPr>
            <w:tcW w:w="1696" w:type="dxa"/>
            <w:shd w:val="clear" w:color="auto" w:fill="auto"/>
          </w:tcPr>
          <w:p w14:paraId="6B114C47"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Total demand</w:t>
            </w:r>
          </w:p>
        </w:tc>
      </w:tr>
      <w:tr w:rsidR="00411CF7" w:rsidRPr="00592E0C" w14:paraId="3B4D8FF6" w14:textId="77777777" w:rsidTr="000442BC">
        <w:tc>
          <w:tcPr>
            <w:tcW w:w="1696" w:type="dxa"/>
            <w:shd w:val="clear" w:color="auto" w:fill="E7E6E6" w:themeFill="background2"/>
          </w:tcPr>
          <w:p w14:paraId="7BBACD43"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Factors</w:t>
            </w:r>
          </w:p>
          <w:p w14:paraId="48618F9B" w14:textId="77777777" w:rsidR="00411CF7" w:rsidRPr="00592E0C" w:rsidRDefault="00411CF7" w:rsidP="000442BC">
            <w:pPr>
              <w:spacing w:after="0" w:line="240" w:lineRule="auto"/>
              <w:rPr>
                <w:rFonts w:ascii="Century Gothic" w:hAnsi="Century Gothic"/>
                <w:sz w:val="20"/>
                <w:szCs w:val="20"/>
              </w:rPr>
            </w:pPr>
          </w:p>
        </w:tc>
        <w:tc>
          <w:tcPr>
            <w:tcW w:w="1691" w:type="dxa"/>
            <w:shd w:val="clear" w:color="auto" w:fill="auto"/>
          </w:tcPr>
          <w:p w14:paraId="61CF0858"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Value-added</w:t>
            </w:r>
          </w:p>
        </w:tc>
        <w:tc>
          <w:tcPr>
            <w:tcW w:w="1803" w:type="dxa"/>
            <w:shd w:val="clear" w:color="auto" w:fill="auto"/>
          </w:tcPr>
          <w:p w14:paraId="5E800C68" w14:textId="77777777" w:rsidR="00411CF7" w:rsidRPr="00592E0C" w:rsidRDefault="00411CF7" w:rsidP="000442BC">
            <w:pPr>
              <w:spacing w:after="0" w:line="240" w:lineRule="auto"/>
              <w:jc w:val="center"/>
              <w:rPr>
                <w:rFonts w:ascii="Century Gothic" w:hAnsi="Century Gothic"/>
                <w:sz w:val="20"/>
                <w:szCs w:val="20"/>
              </w:rPr>
            </w:pPr>
          </w:p>
        </w:tc>
        <w:tc>
          <w:tcPr>
            <w:tcW w:w="1413" w:type="dxa"/>
            <w:shd w:val="clear" w:color="auto" w:fill="auto"/>
          </w:tcPr>
          <w:p w14:paraId="7168D5F5"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5DE51296"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3806E4A0"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7B7DA9AF"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1EE39D6E"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Foreign factor earnings</w:t>
            </w:r>
          </w:p>
        </w:tc>
        <w:tc>
          <w:tcPr>
            <w:tcW w:w="1696" w:type="dxa"/>
            <w:shd w:val="clear" w:color="auto" w:fill="auto"/>
          </w:tcPr>
          <w:p w14:paraId="1D1B4C5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Factor earnings</w:t>
            </w:r>
          </w:p>
        </w:tc>
      </w:tr>
      <w:tr w:rsidR="00411CF7" w:rsidRPr="00592E0C" w14:paraId="24CF49C5" w14:textId="77777777" w:rsidTr="000442BC">
        <w:tc>
          <w:tcPr>
            <w:tcW w:w="1696" w:type="dxa"/>
            <w:shd w:val="clear" w:color="auto" w:fill="E7E6E6" w:themeFill="background2"/>
          </w:tcPr>
          <w:p w14:paraId="299893BB"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Households</w:t>
            </w:r>
          </w:p>
          <w:p w14:paraId="5D682BB9" w14:textId="77777777" w:rsidR="00411CF7" w:rsidRPr="00592E0C" w:rsidRDefault="00411CF7" w:rsidP="000442BC">
            <w:pPr>
              <w:spacing w:after="0" w:line="240" w:lineRule="auto"/>
              <w:rPr>
                <w:rFonts w:ascii="Century Gothic" w:hAnsi="Century Gothic"/>
                <w:sz w:val="20"/>
                <w:szCs w:val="20"/>
              </w:rPr>
            </w:pPr>
          </w:p>
        </w:tc>
        <w:tc>
          <w:tcPr>
            <w:tcW w:w="1691" w:type="dxa"/>
            <w:shd w:val="clear" w:color="auto" w:fill="auto"/>
          </w:tcPr>
          <w:p w14:paraId="00623A4B" w14:textId="77777777" w:rsidR="00411CF7" w:rsidRPr="00592E0C" w:rsidRDefault="00411CF7" w:rsidP="000442BC">
            <w:pPr>
              <w:spacing w:after="0" w:line="240" w:lineRule="auto"/>
              <w:jc w:val="center"/>
              <w:rPr>
                <w:rFonts w:ascii="Century Gothic" w:hAnsi="Century Gothic"/>
                <w:sz w:val="20"/>
                <w:szCs w:val="20"/>
              </w:rPr>
            </w:pPr>
          </w:p>
        </w:tc>
        <w:tc>
          <w:tcPr>
            <w:tcW w:w="1803" w:type="dxa"/>
            <w:shd w:val="clear" w:color="auto" w:fill="auto"/>
          </w:tcPr>
          <w:p w14:paraId="5362F9CE" w14:textId="77777777" w:rsidR="00411CF7" w:rsidRPr="00592E0C" w:rsidRDefault="00411CF7" w:rsidP="000442BC">
            <w:pPr>
              <w:spacing w:after="0" w:line="240" w:lineRule="auto"/>
              <w:jc w:val="center"/>
              <w:rPr>
                <w:rFonts w:ascii="Century Gothic" w:hAnsi="Century Gothic"/>
                <w:sz w:val="20"/>
                <w:szCs w:val="20"/>
              </w:rPr>
            </w:pPr>
          </w:p>
        </w:tc>
        <w:tc>
          <w:tcPr>
            <w:tcW w:w="1413" w:type="dxa"/>
            <w:shd w:val="clear" w:color="auto" w:fill="auto"/>
          </w:tcPr>
          <w:p w14:paraId="17163446"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49E01A86"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Inter households’ transfers</w:t>
            </w:r>
          </w:p>
        </w:tc>
        <w:tc>
          <w:tcPr>
            <w:tcW w:w="1554" w:type="dxa"/>
            <w:shd w:val="clear" w:color="auto" w:fill="auto"/>
          </w:tcPr>
          <w:p w14:paraId="35667041"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Transfers to Households</w:t>
            </w:r>
          </w:p>
        </w:tc>
        <w:tc>
          <w:tcPr>
            <w:tcW w:w="1554" w:type="dxa"/>
            <w:shd w:val="clear" w:color="auto" w:fill="auto"/>
          </w:tcPr>
          <w:p w14:paraId="35ED44D5"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6A766356"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Foreign remittances received</w:t>
            </w:r>
          </w:p>
        </w:tc>
        <w:tc>
          <w:tcPr>
            <w:tcW w:w="1696" w:type="dxa"/>
            <w:shd w:val="clear" w:color="auto" w:fill="auto"/>
          </w:tcPr>
          <w:p w14:paraId="5ACDD0C7"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Household income</w:t>
            </w:r>
          </w:p>
        </w:tc>
      </w:tr>
      <w:tr w:rsidR="00411CF7" w:rsidRPr="00592E0C" w14:paraId="1EAD4A71" w14:textId="77777777" w:rsidTr="000442BC">
        <w:tc>
          <w:tcPr>
            <w:tcW w:w="1696" w:type="dxa"/>
            <w:shd w:val="clear" w:color="auto" w:fill="E7E6E6" w:themeFill="background2"/>
          </w:tcPr>
          <w:p w14:paraId="3F4DDE7D"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Government</w:t>
            </w:r>
          </w:p>
          <w:p w14:paraId="295D25AC" w14:textId="77777777" w:rsidR="00411CF7" w:rsidRPr="00592E0C" w:rsidRDefault="00411CF7" w:rsidP="000442BC">
            <w:pPr>
              <w:spacing w:after="0" w:line="240" w:lineRule="auto"/>
              <w:rPr>
                <w:rFonts w:ascii="Century Gothic" w:hAnsi="Century Gothic"/>
                <w:sz w:val="20"/>
                <w:szCs w:val="20"/>
              </w:rPr>
            </w:pPr>
            <w:r w:rsidRPr="00592E0C">
              <w:rPr>
                <w:rFonts w:ascii="Century Gothic" w:hAnsi="Century Gothic"/>
                <w:i/>
                <w:sz w:val="20"/>
                <w:szCs w:val="20"/>
              </w:rPr>
              <w:t>Taxes</w:t>
            </w:r>
            <w:r w:rsidRPr="00592E0C">
              <w:rPr>
                <w:rFonts w:ascii="Century Gothic" w:hAnsi="Century Gothic"/>
                <w:sz w:val="20"/>
                <w:szCs w:val="20"/>
              </w:rPr>
              <w:t xml:space="preserve"> </w:t>
            </w:r>
          </w:p>
        </w:tc>
        <w:tc>
          <w:tcPr>
            <w:tcW w:w="1691" w:type="dxa"/>
            <w:shd w:val="clear" w:color="auto" w:fill="auto"/>
          </w:tcPr>
          <w:p w14:paraId="757AFD2A"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Producer taxes</w:t>
            </w:r>
          </w:p>
        </w:tc>
        <w:tc>
          <w:tcPr>
            <w:tcW w:w="1803" w:type="dxa"/>
            <w:shd w:val="clear" w:color="auto" w:fill="auto"/>
          </w:tcPr>
          <w:p w14:paraId="0A4F319E"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Sales taxes, import tariffs</w:t>
            </w:r>
          </w:p>
        </w:tc>
        <w:tc>
          <w:tcPr>
            <w:tcW w:w="1413" w:type="dxa"/>
            <w:shd w:val="clear" w:color="auto" w:fill="auto"/>
          </w:tcPr>
          <w:p w14:paraId="1B2F2988"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Factor taxes</w:t>
            </w:r>
          </w:p>
        </w:tc>
        <w:tc>
          <w:tcPr>
            <w:tcW w:w="1554" w:type="dxa"/>
            <w:shd w:val="clear" w:color="auto" w:fill="auto"/>
          </w:tcPr>
          <w:p w14:paraId="7B59038B"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Personal Taxes</w:t>
            </w:r>
          </w:p>
        </w:tc>
        <w:tc>
          <w:tcPr>
            <w:tcW w:w="1554" w:type="dxa"/>
            <w:shd w:val="clear" w:color="auto" w:fill="auto"/>
          </w:tcPr>
          <w:p w14:paraId="20E9F418"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4A45F54A"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78DFF70A"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Government transfers from ROW</w:t>
            </w:r>
          </w:p>
        </w:tc>
        <w:tc>
          <w:tcPr>
            <w:tcW w:w="1696" w:type="dxa"/>
            <w:shd w:val="clear" w:color="auto" w:fill="auto"/>
          </w:tcPr>
          <w:p w14:paraId="43152EB2"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Government income</w:t>
            </w:r>
          </w:p>
        </w:tc>
      </w:tr>
      <w:tr w:rsidR="00411CF7" w:rsidRPr="00592E0C" w14:paraId="7F448FCD" w14:textId="77777777" w:rsidTr="000442BC">
        <w:tc>
          <w:tcPr>
            <w:tcW w:w="1696" w:type="dxa"/>
            <w:shd w:val="clear" w:color="auto" w:fill="E7E6E6" w:themeFill="background2"/>
          </w:tcPr>
          <w:p w14:paraId="790D9A7A"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Savings</w:t>
            </w:r>
          </w:p>
          <w:p w14:paraId="19EC3AD3" w14:textId="77777777" w:rsidR="00411CF7" w:rsidRPr="00592E0C" w:rsidRDefault="00411CF7" w:rsidP="000442BC">
            <w:pPr>
              <w:spacing w:after="0" w:line="240" w:lineRule="auto"/>
              <w:rPr>
                <w:rFonts w:ascii="Century Gothic" w:hAnsi="Century Gothic"/>
                <w:sz w:val="20"/>
                <w:szCs w:val="20"/>
              </w:rPr>
            </w:pPr>
          </w:p>
        </w:tc>
        <w:tc>
          <w:tcPr>
            <w:tcW w:w="1691" w:type="dxa"/>
            <w:shd w:val="clear" w:color="auto" w:fill="auto"/>
          </w:tcPr>
          <w:p w14:paraId="169977E9" w14:textId="77777777" w:rsidR="00411CF7" w:rsidRPr="00592E0C" w:rsidRDefault="00411CF7" w:rsidP="000442BC">
            <w:pPr>
              <w:spacing w:after="0" w:line="240" w:lineRule="auto"/>
              <w:jc w:val="center"/>
              <w:rPr>
                <w:rFonts w:ascii="Century Gothic" w:hAnsi="Century Gothic"/>
                <w:sz w:val="20"/>
                <w:szCs w:val="20"/>
              </w:rPr>
            </w:pPr>
          </w:p>
        </w:tc>
        <w:tc>
          <w:tcPr>
            <w:tcW w:w="1803" w:type="dxa"/>
            <w:shd w:val="clear" w:color="auto" w:fill="auto"/>
          </w:tcPr>
          <w:p w14:paraId="1899F585" w14:textId="77777777" w:rsidR="00411CF7" w:rsidRPr="00592E0C" w:rsidRDefault="00411CF7" w:rsidP="000442BC">
            <w:pPr>
              <w:spacing w:after="0" w:line="240" w:lineRule="auto"/>
              <w:jc w:val="center"/>
              <w:rPr>
                <w:rFonts w:ascii="Century Gothic" w:hAnsi="Century Gothic"/>
                <w:sz w:val="20"/>
                <w:szCs w:val="20"/>
              </w:rPr>
            </w:pPr>
          </w:p>
        </w:tc>
        <w:tc>
          <w:tcPr>
            <w:tcW w:w="1413" w:type="dxa"/>
            <w:shd w:val="clear" w:color="auto" w:fill="auto"/>
          </w:tcPr>
          <w:p w14:paraId="656CBAEB"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174BADC7"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Household savings</w:t>
            </w:r>
          </w:p>
        </w:tc>
        <w:tc>
          <w:tcPr>
            <w:tcW w:w="1554" w:type="dxa"/>
            <w:shd w:val="clear" w:color="auto" w:fill="auto"/>
          </w:tcPr>
          <w:p w14:paraId="4D566E0E"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Government savings</w:t>
            </w:r>
          </w:p>
        </w:tc>
        <w:tc>
          <w:tcPr>
            <w:tcW w:w="1554" w:type="dxa"/>
            <w:shd w:val="clear" w:color="auto" w:fill="auto"/>
          </w:tcPr>
          <w:p w14:paraId="07C8E2DC"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40B3C83F"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Foreign savings</w:t>
            </w:r>
          </w:p>
        </w:tc>
        <w:tc>
          <w:tcPr>
            <w:tcW w:w="1696" w:type="dxa"/>
            <w:shd w:val="clear" w:color="auto" w:fill="auto"/>
          </w:tcPr>
          <w:p w14:paraId="4C15E6D0"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Savings</w:t>
            </w:r>
          </w:p>
        </w:tc>
      </w:tr>
      <w:tr w:rsidR="00411CF7" w:rsidRPr="00592E0C" w14:paraId="1E87101C" w14:textId="77777777" w:rsidTr="000442BC">
        <w:tc>
          <w:tcPr>
            <w:tcW w:w="1696" w:type="dxa"/>
            <w:shd w:val="clear" w:color="auto" w:fill="E7E6E6" w:themeFill="background2"/>
          </w:tcPr>
          <w:p w14:paraId="044DAE4D"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 xml:space="preserve">ROW </w:t>
            </w:r>
          </w:p>
          <w:p w14:paraId="33247925" w14:textId="77777777" w:rsidR="00411CF7" w:rsidRPr="00592E0C" w:rsidRDefault="00411CF7" w:rsidP="000442BC">
            <w:pPr>
              <w:spacing w:after="0" w:line="240" w:lineRule="auto"/>
              <w:rPr>
                <w:rFonts w:ascii="Century Gothic" w:hAnsi="Century Gothic"/>
                <w:sz w:val="20"/>
                <w:szCs w:val="20"/>
              </w:rPr>
            </w:pPr>
            <w:r w:rsidRPr="00592E0C">
              <w:rPr>
                <w:rFonts w:ascii="Century Gothic" w:hAnsi="Century Gothic"/>
                <w:sz w:val="20"/>
                <w:szCs w:val="20"/>
              </w:rPr>
              <w:t>Imports</w:t>
            </w:r>
          </w:p>
        </w:tc>
        <w:tc>
          <w:tcPr>
            <w:tcW w:w="1691" w:type="dxa"/>
            <w:shd w:val="clear" w:color="auto" w:fill="auto"/>
          </w:tcPr>
          <w:p w14:paraId="19484AA0" w14:textId="77777777" w:rsidR="00411CF7" w:rsidRPr="00592E0C" w:rsidRDefault="00411CF7" w:rsidP="000442BC">
            <w:pPr>
              <w:spacing w:after="0" w:line="240" w:lineRule="auto"/>
              <w:jc w:val="center"/>
              <w:rPr>
                <w:rFonts w:ascii="Century Gothic" w:hAnsi="Century Gothic"/>
                <w:sz w:val="20"/>
                <w:szCs w:val="20"/>
              </w:rPr>
            </w:pPr>
          </w:p>
        </w:tc>
        <w:tc>
          <w:tcPr>
            <w:tcW w:w="1803" w:type="dxa"/>
            <w:shd w:val="clear" w:color="auto" w:fill="auto"/>
          </w:tcPr>
          <w:p w14:paraId="056388DC" w14:textId="77777777" w:rsidR="00411CF7" w:rsidRPr="00592E0C" w:rsidRDefault="00411CF7" w:rsidP="000442BC">
            <w:pPr>
              <w:spacing w:after="0" w:line="240" w:lineRule="auto"/>
              <w:jc w:val="center"/>
              <w:rPr>
                <w:rFonts w:ascii="Century Gothic" w:hAnsi="Century Gothic"/>
                <w:sz w:val="20"/>
                <w:szCs w:val="20"/>
              </w:rPr>
            </w:pPr>
          </w:p>
        </w:tc>
        <w:tc>
          <w:tcPr>
            <w:tcW w:w="1413" w:type="dxa"/>
            <w:shd w:val="clear" w:color="auto" w:fill="auto"/>
          </w:tcPr>
          <w:p w14:paraId="56862441" w14:textId="77777777" w:rsidR="00411CF7" w:rsidRPr="00592E0C" w:rsidRDefault="00411CF7" w:rsidP="000442BC">
            <w:pPr>
              <w:spacing w:after="0" w:line="240" w:lineRule="auto"/>
              <w:jc w:val="center"/>
              <w:rPr>
                <w:rFonts w:ascii="Century Gothic" w:hAnsi="Century Gothic"/>
                <w:sz w:val="20"/>
                <w:szCs w:val="20"/>
              </w:rPr>
            </w:pPr>
          </w:p>
        </w:tc>
        <w:tc>
          <w:tcPr>
            <w:tcW w:w="1554" w:type="dxa"/>
            <w:shd w:val="clear" w:color="auto" w:fill="auto"/>
          </w:tcPr>
          <w:p w14:paraId="7329C4A0"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Foreign remittances paid</w:t>
            </w:r>
          </w:p>
        </w:tc>
        <w:tc>
          <w:tcPr>
            <w:tcW w:w="1554" w:type="dxa"/>
            <w:shd w:val="clear" w:color="auto" w:fill="auto"/>
          </w:tcPr>
          <w:p w14:paraId="2469275C" w14:textId="77777777" w:rsidR="00411CF7" w:rsidRPr="00592E0C" w:rsidRDefault="00411CF7" w:rsidP="000442BC">
            <w:pPr>
              <w:spacing w:after="0" w:line="240" w:lineRule="auto"/>
              <w:jc w:val="center"/>
              <w:rPr>
                <w:rFonts w:ascii="Century Gothic" w:hAnsi="Century Gothic"/>
                <w:sz w:val="20"/>
                <w:szCs w:val="20"/>
              </w:rPr>
            </w:pPr>
            <w:r w:rsidRPr="00592E0C">
              <w:rPr>
                <w:rFonts w:ascii="Century Gothic" w:hAnsi="Century Gothic"/>
                <w:sz w:val="20"/>
                <w:szCs w:val="20"/>
              </w:rPr>
              <w:t>Government transfers to ROW</w:t>
            </w:r>
          </w:p>
        </w:tc>
        <w:tc>
          <w:tcPr>
            <w:tcW w:w="1554" w:type="dxa"/>
            <w:shd w:val="clear" w:color="auto" w:fill="auto"/>
          </w:tcPr>
          <w:p w14:paraId="7117CA5D" w14:textId="77777777" w:rsidR="00411CF7" w:rsidRPr="00592E0C" w:rsidRDefault="00411CF7" w:rsidP="000442BC">
            <w:pPr>
              <w:spacing w:after="0" w:line="240" w:lineRule="auto"/>
              <w:jc w:val="center"/>
              <w:rPr>
                <w:rFonts w:ascii="Century Gothic" w:hAnsi="Century Gothic"/>
                <w:sz w:val="20"/>
                <w:szCs w:val="20"/>
              </w:rPr>
            </w:pPr>
          </w:p>
        </w:tc>
        <w:tc>
          <w:tcPr>
            <w:tcW w:w="1990" w:type="dxa"/>
            <w:shd w:val="clear" w:color="auto" w:fill="auto"/>
          </w:tcPr>
          <w:p w14:paraId="38BB38BD" w14:textId="77777777" w:rsidR="00411CF7" w:rsidRPr="00592E0C" w:rsidRDefault="00411CF7" w:rsidP="000442BC">
            <w:pPr>
              <w:spacing w:after="0" w:line="240" w:lineRule="auto"/>
              <w:jc w:val="center"/>
              <w:rPr>
                <w:rFonts w:ascii="Century Gothic" w:hAnsi="Century Gothic"/>
                <w:sz w:val="20"/>
                <w:szCs w:val="20"/>
              </w:rPr>
            </w:pPr>
          </w:p>
        </w:tc>
        <w:tc>
          <w:tcPr>
            <w:tcW w:w="1696" w:type="dxa"/>
            <w:shd w:val="clear" w:color="auto" w:fill="auto"/>
          </w:tcPr>
          <w:p w14:paraId="017C7452"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Foreign exchange outflow</w:t>
            </w:r>
          </w:p>
        </w:tc>
      </w:tr>
      <w:tr w:rsidR="00411CF7" w:rsidRPr="00592E0C" w14:paraId="2B8D2108" w14:textId="77777777" w:rsidTr="000442BC">
        <w:tc>
          <w:tcPr>
            <w:tcW w:w="1696" w:type="dxa"/>
            <w:shd w:val="clear" w:color="auto" w:fill="E7E6E6" w:themeFill="background2"/>
          </w:tcPr>
          <w:p w14:paraId="3E81BCFE" w14:textId="77777777" w:rsidR="00411CF7" w:rsidRPr="00592E0C" w:rsidRDefault="00411CF7" w:rsidP="000442BC">
            <w:pPr>
              <w:spacing w:after="0" w:line="240" w:lineRule="auto"/>
              <w:rPr>
                <w:rFonts w:ascii="Century Gothic" w:hAnsi="Century Gothic"/>
                <w:b/>
                <w:sz w:val="20"/>
                <w:szCs w:val="20"/>
              </w:rPr>
            </w:pPr>
            <w:r w:rsidRPr="00592E0C">
              <w:rPr>
                <w:rFonts w:ascii="Century Gothic" w:hAnsi="Century Gothic"/>
                <w:b/>
                <w:sz w:val="20"/>
                <w:szCs w:val="20"/>
              </w:rPr>
              <w:t>Total Expenditure</w:t>
            </w:r>
          </w:p>
        </w:tc>
        <w:tc>
          <w:tcPr>
            <w:tcW w:w="1691" w:type="dxa"/>
            <w:shd w:val="clear" w:color="auto" w:fill="auto"/>
          </w:tcPr>
          <w:p w14:paraId="123C31C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Gross output</w:t>
            </w:r>
          </w:p>
        </w:tc>
        <w:tc>
          <w:tcPr>
            <w:tcW w:w="1803" w:type="dxa"/>
            <w:shd w:val="clear" w:color="auto" w:fill="auto"/>
          </w:tcPr>
          <w:p w14:paraId="2A4F7F9B"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Total supply</w:t>
            </w:r>
          </w:p>
        </w:tc>
        <w:tc>
          <w:tcPr>
            <w:tcW w:w="1413" w:type="dxa"/>
            <w:shd w:val="clear" w:color="auto" w:fill="auto"/>
          </w:tcPr>
          <w:p w14:paraId="46DF39F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Factor expenditure</w:t>
            </w:r>
          </w:p>
        </w:tc>
        <w:tc>
          <w:tcPr>
            <w:tcW w:w="1554" w:type="dxa"/>
            <w:shd w:val="clear" w:color="auto" w:fill="auto"/>
          </w:tcPr>
          <w:p w14:paraId="7CC0B98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Household expenditure</w:t>
            </w:r>
          </w:p>
        </w:tc>
        <w:tc>
          <w:tcPr>
            <w:tcW w:w="1554" w:type="dxa"/>
            <w:shd w:val="clear" w:color="auto" w:fill="auto"/>
          </w:tcPr>
          <w:p w14:paraId="089B9F8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Government expenditure</w:t>
            </w:r>
          </w:p>
        </w:tc>
        <w:tc>
          <w:tcPr>
            <w:tcW w:w="1554" w:type="dxa"/>
            <w:shd w:val="clear" w:color="auto" w:fill="auto"/>
          </w:tcPr>
          <w:p w14:paraId="5544E71F"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Investments</w:t>
            </w:r>
          </w:p>
        </w:tc>
        <w:tc>
          <w:tcPr>
            <w:tcW w:w="1990" w:type="dxa"/>
            <w:shd w:val="clear" w:color="auto" w:fill="auto"/>
          </w:tcPr>
          <w:p w14:paraId="4F63769D" w14:textId="77777777" w:rsidR="00411CF7" w:rsidRPr="00592E0C" w:rsidRDefault="00411CF7" w:rsidP="000442BC">
            <w:pPr>
              <w:spacing w:after="0" w:line="240" w:lineRule="auto"/>
              <w:jc w:val="center"/>
              <w:rPr>
                <w:rFonts w:ascii="Century Gothic" w:hAnsi="Century Gothic"/>
                <w:b/>
                <w:sz w:val="20"/>
                <w:szCs w:val="20"/>
              </w:rPr>
            </w:pPr>
            <w:r w:rsidRPr="00592E0C">
              <w:rPr>
                <w:rFonts w:ascii="Century Gothic" w:hAnsi="Century Gothic"/>
                <w:b/>
                <w:sz w:val="20"/>
                <w:szCs w:val="20"/>
              </w:rPr>
              <w:t>Foreign exchange inflow</w:t>
            </w:r>
          </w:p>
        </w:tc>
        <w:tc>
          <w:tcPr>
            <w:tcW w:w="1696" w:type="dxa"/>
            <w:shd w:val="clear" w:color="auto" w:fill="auto"/>
          </w:tcPr>
          <w:p w14:paraId="35CA4385" w14:textId="77777777" w:rsidR="00411CF7" w:rsidRPr="00592E0C" w:rsidRDefault="00411CF7" w:rsidP="000442BC">
            <w:pPr>
              <w:spacing w:after="0" w:line="240" w:lineRule="auto"/>
              <w:jc w:val="center"/>
              <w:rPr>
                <w:rFonts w:ascii="Century Gothic" w:hAnsi="Century Gothic"/>
                <w:sz w:val="20"/>
                <w:szCs w:val="20"/>
              </w:rPr>
            </w:pPr>
          </w:p>
        </w:tc>
      </w:tr>
    </w:tbl>
    <w:p w14:paraId="6038EFF8" w14:textId="1242EBD9" w:rsidR="00411CF7" w:rsidRPr="00A844F4" w:rsidRDefault="00411CF7" w:rsidP="00411CF7">
      <w:pPr>
        <w:spacing w:line="360" w:lineRule="auto"/>
        <w:jc w:val="both"/>
        <w:rPr>
          <w:rFonts w:ascii="Century Gothic" w:hAnsi="Century Gothic"/>
        </w:rPr>
        <w:sectPr w:rsidR="00411CF7" w:rsidRPr="00A844F4" w:rsidSect="00592E0C">
          <w:pgSz w:w="16840" w:h="11900" w:orient="landscape"/>
          <w:pgMar w:top="2275" w:right="2275" w:bottom="1411" w:left="1411" w:header="706" w:footer="706" w:gutter="0"/>
          <w:pgNumType w:start="42"/>
          <w:cols w:space="708"/>
          <w:docGrid w:linePitch="360"/>
        </w:sectPr>
      </w:pPr>
      <w:r w:rsidRPr="00A844F4">
        <w:rPr>
          <w:rFonts w:ascii="Century Gothic" w:hAnsi="Century Gothic"/>
        </w:rPr>
        <w:t>Source: 2015 Tanzania SAM (Randriamamonjy and Thurlow, 2017</w:t>
      </w:r>
    </w:p>
    <w:p w14:paraId="035AE28D" w14:textId="77777777" w:rsidR="00411CF7" w:rsidRPr="00F4635D" w:rsidRDefault="00411CF7" w:rsidP="00F4635D">
      <w:pPr>
        <w:rPr>
          <w:rFonts w:ascii="Century Gothic" w:hAnsi="Century Gothic"/>
          <w:color w:val="0070C0"/>
        </w:rPr>
      </w:pPr>
      <w:r w:rsidRPr="00F4635D">
        <w:rPr>
          <w:rFonts w:ascii="Century Gothic" w:hAnsi="Century Gothic"/>
          <w:color w:val="0070C0"/>
        </w:rPr>
        <w:lastRenderedPageBreak/>
        <w:t>Appendix 2</w:t>
      </w:r>
    </w:p>
    <w:p w14:paraId="50B1EC73" w14:textId="77777777" w:rsidR="00411CF7" w:rsidRPr="00932236" w:rsidRDefault="00411CF7" w:rsidP="00411CF7">
      <w:pPr>
        <w:spacing w:after="0" w:line="240" w:lineRule="auto"/>
        <w:jc w:val="center"/>
        <w:rPr>
          <w:rFonts w:ascii="Century Gothic" w:hAnsi="Century Gothic"/>
          <w:b/>
          <w:bCs/>
        </w:rPr>
      </w:pPr>
      <w:r w:rsidRPr="00932236">
        <w:rPr>
          <w:rFonts w:ascii="Century Gothic" w:hAnsi="Century Gothic"/>
          <w:b/>
          <w:bCs/>
        </w:rPr>
        <w:t>Mapping and land distribution among women and men</w:t>
      </w:r>
    </w:p>
    <w:tbl>
      <w:tblPr>
        <w:tblW w:w="14380" w:type="dxa"/>
        <w:tblLook w:val="04A0" w:firstRow="1" w:lastRow="0" w:firstColumn="1" w:lastColumn="0" w:noHBand="0" w:noVBand="1"/>
      </w:tblPr>
      <w:tblGrid>
        <w:gridCol w:w="2200"/>
        <w:gridCol w:w="1960"/>
        <w:gridCol w:w="1960"/>
        <w:gridCol w:w="1840"/>
        <w:gridCol w:w="2320"/>
        <w:gridCol w:w="980"/>
        <w:gridCol w:w="1040"/>
        <w:gridCol w:w="1040"/>
        <w:gridCol w:w="1040"/>
      </w:tblGrid>
      <w:tr w:rsidR="00411CF7" w:rsidRPr="00EE3BED" w14:paraId="75C1FD45" w14:textId="77777777" w:rsidTr="000442BC">
        <w:trPr>
          <w:trHeight w:val="828"/>
        </w:trPr>
        <w:tc>
          <w:tcPr>
            <w:tcW w:w="22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4C8DE94"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Agricultural commodities from SAM</w:t>
            </w:r>
          </w:p>
        </w:tc>
        <w:tc>
          <w:tcPr>
            <w:tcW w:w="196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390FB5B3"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Agricultural sectors</w:t>
            </w:r>
          </w:p>
        </w:tc>
        <w:tc>
          <w:tcPr>
            <w:tcW w:w="196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2ABA5704"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Farm male income, TZS</w:t>
            </w:r>
          </w:p>
        </w:tc>
        <w:tc>
          <w:tcPr>
            <w:tcW w:w="184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49A8F6C4"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Farm female income, TZS</w:t>
            </w:r>
          </w:p>
        </w:tc>
        <w:tc>
          <w:tcPr>
            <w:tcW w:w="232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720F8D86"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Total income, TZS</w:t>
            </w:r>
          </w:p>
        </w:tc>
        <w:tc>
          <w:tcPr>
            <w:tcW w:w="98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9B54317"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single" w:sz="4" w:space="0" w:color="auto"/>
              <w:left w:val="nil"/>
              <w:bottom w:val="single" w:sz="4" w:space="0" w:color="auto"/>
              <w:right w:val="single" w:sz="4" w:space="0" w:color="auto"/>
            </w:tcBorders>
            <w:shd w:val="clear" w:color="auto" w:fill="D5DCE4" w:themeFill="text2" w:themeFillTint="33"/>
            <w:vAlign w:val="bottom"/>
            <w:hideMark/>
          </w:tcPr>
          <w:p w14:paraId="19DBBB79"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Male share of land,%</w:t>
            </w:r>
          </w:p>
        </w:tc>
        <w:tc>
          <w:tcPr>
            <w:tcW w:w="1040" w:type="dxa"/>
            <w:tcBorders>
              <w:top w:val="single" w:sz="4" w:space="0" w:color="auto"/>
              <w:left w:val="nil"/>
              <w:bottom w:val="single" w:sz="4" w:space="0" w:color="auto"/>
              <w:right w:val="single" w:sz="4" w:space="0" w:color="auto"/>
            </w:tcBorders>
            <w:shd w:val="clear" w:color="auto" w:fill="D5DCE4" w:themeFill="text2" w:themeFillTint="33"/>
            <w:vAlign w:val="bottom"/>
            <w:hideMark/>
          </w:tcPr>
          <w:p w14:paraId="1DB3DCF0"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Female share of land,%</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182F9DB6"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r>
      <w:tr w:rsidR="00411CF7" w:rsidRPr="00EE3BED" w14:paraId="3D0EB96A" w14:textId="77777777" w:rsidTr="000442BC">
        <w:trPr>
          <w:trHeight w:val="1104"/>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E1E3C13" w14:textId="77777777" w:rsidR="00411CF7" w:rsidRPr="00EE3BED" w:rsidRDefault="00411CF7" w:rsidP="000442BC">
            <w:pPr>
              <w:spacing w:after="0" w:line="240" w:lineRule="auto"/>
              <w:jc w:val="both"/>
              <w:rPr>
                <w:rFonts w:ascii="Century Gothic" w:eastAsia="Times New Roman" w:hAnsi="Century Gothic" w:cs="Arial"/>
                <w:color w:val="000000"/>
                <w:sz w:val="18"/>
                <w:szCs w:val="18"/>
                <w:lang w:val="en-US" w:eastAsia="zh-CN"/>
              </w:rPr>
            </w:pPr>
            <w:r w:rsidRPr="00EE3BED">
              <w:rPr>
                <w:rFonts w:ascii="Century Gothic" w:eastAsia="Times New Roman" w:hAnsi="Century Gothic" w:cs="Arial"/>
                <w:color w:val="000000"/>
                <w:sz w:val="18"/>
                <w:szCs w:val="18"/>
                <w:lang w:val="en-US" w:eastAsia="zh-CN"/>
              </w:rPr>
              <w:t>beans, peas, and lentils</w:t>
            </w:r>
          </w:p>
        </w:tc>
        <w:tc>
          <w:tcPr>
            <w:tcW w:w="1960" w:type="dxa"/>
            <w:tcBorders>
              <w:top w:val="nil"/>
              <w:left w:val="nil"/>
              <w:bottom w:val="single" w:sz="4" w:space="0" w:color="auto"/>
              <w:right w:val="single" w:sz="4" w:space="0" w:color="auto"/>
            </w:tcBorders>
            <w:shd w:val="clear" w:color="auto" w:fill="auto"/>
            <w:vAlign w:val="bottom"/>
            <w:hideMark/>
          </w:tcPr>
          <w:p w14:paraId="58F3700E"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cereals (except rice), leguminous crops and oil seeds</w:t>
            </w:r>
          </w:p>
        </w:tc>
        <w:tc>
          <w:tcPr>
            <w:tcW w:w="1960" w:type="dxa"/>
            <w:tcBorders>
              <w:top w:val="nil"/>
              <w:left w:val="nil"/>
              <w:bottom w:val="single" w:sz="4" w:space="0" w:color="auto"/>
              <w:right w:val="single" w:sz="4" w:space="0" w:color="auto"/>
            </w:tcBorders>
            <w:shd w:val="clear" w:color="auto" w:fill="auto"/>
            <w:noWrap/>
            <w:vAlign w:val="bottom"/>
            <w:hideMark/>
          </w:tcPr>
          <w:p w14:paraId="0E1EAA0C"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8,931,557,156.25 </w:t>
            </w:r>
          </w:p>
        </w:tc>
        <w:tc>
          <w:tcPr>
            <w:tcW w:w="1840" w:type="dxa"/>
            <w:tcBorders>
              <w:top w:val="nil"/>
              <w:left w:val="nil"/>
              <w:bottom w:val="single" w:sz="4" w:space="0" w:color="auto"/>
              <w:right w:val="single" w:sz="4" w:space="0" w:color="auto"/>
            </w:tcBorders>
            <w:shd w:val="clear" w:color="auto" w:fill="auto"/>
            <w:noWrap/>
            <w:vAlign w:val="bottom"/>
            <w:hideMark/>
          </w:tcPr>
          <w:p w14:paraId="496E437C"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5,846,943,970.70 </w:t>
            </w:r>
          </w:p>
        </w:tc>
        <w:tc>
          <w:tcPr>
            <w:tcW w:w="2320" w:type="dxa"/>
            <w:tcBorders>
              <w:top w:val="nil"/>
              <w:left w:val="nil"/>
              <w:bottom w:val="single" w:sz="4" w:space="0" w:color="auto"/>
              <w:right w:val="single" w:sz="4" w:space="0" w:color="auto"/>
            </w:tcBorders>
            <w:shd w:val="clear" w:color="auto" w:fill="auto"/>
            <w:noWrap/>
            <w:vAlign w:val="center"/>
            <w:hideMark/>
          </w:tcPr>
          <w:p w14:paraId="261FBD92"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14,778,501,126.95 </w:t>
            </w:r>
          </w:p>
        </w:tc>
        <w:tc>
          <w:tcPr>
            <w:tcW w:w="980" w:type="dxa"/>
            <w:tcBorders>
              <w:top w:val="nil"/>
              <w:left w:val="nil"/>
              <w:bottom w:val="single" w:sz="4" w:space="0" w:color="auto"/>
              <w:right w:val="single" w:sz="4" w:space="0" w:color="auto"/>
            </w:tcBorders>
            <w:shd w:val="clear" w:color="auto" w:fill="auto"/>
            <w:noWrap/>
            <w:vAlign w:val="center"/>
            <w:hideMark/>
          </w:tcPr>
          <w:p w14:paraId="2AB8557E"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7CB4993D"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0.604</w:t>
            </w:r>
          </w:p>
        </w:tc>
        <w:tc>
          <w:tcPr>
            <w:tcW w:w="1040" w:type="dxa"/>
            <w:tcBorders>
              <w:top w:val="nil"/>
              <w:left w:val="nil"/>
              <w:bottom w:val="single" w:sz="4" w:space="0" w:color="auto"/>
              <w:right w:val="single" w:sz="4" w:space="0" w:color="auto"/>
            </w:tcBorders>
            <w:shd w:val="clear" w:color="auto" w:fill="auto"/>
            <w:noWrap/>
            <w:vAlign w:val="center"/>
            <w:hideMark/>
          </w:tcPr>
          <w:p w14:paraId="3767AA87"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0.396</w:t>
            </w:r>
          </w:p>
        </w:tc>
        <w:tc>
          <w:tcPr>
            <w:tcW w:w="1040" w:type="dxa"/>
            <w:tcBorders>
              <w:top w:val="nil"/>
              <w:left w:val="nil"/>
              <w:bottom w:val="single" w:sz="4" w:space="0" w:color="auto"/>
              <w:right w:val="single" w:sz="4" w:space="0" w:color="auto"/>
            </w:tcBorders>
            <w:shd w:val="clear" w:color="auto" w:fill="auto"/>
            <w:noWrap/>
            <w:vAlign w:val="center"/>
            <w:hideMark/>
          </w:tcPr>
          <w:p w14:paraId="1F05D024"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7148BB02" w14:textId="77777777" w:rsidTr="000442BC">
        <w:trPr>
          <w:trHeight w:val="288"/>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8EBE428" w14:textId="77777777" w:rsidR="00411CF7" w:rsidRPr="00EE3BED" w:rsidRDefault="00411CF7" w:rsidP="000442BC">
            <w:pPr>
              <w:spacing w:after="0" w:line="240" w:lineRule="auto"/>
              <w:jc w:val="both"/>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9CCBC5"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rice</w:t>
            </w:r>
          </w:p>
        </w:tc>
        <w:tc>
          <w:tcPr>
            <w:tcW w:w="1960" w:type="dxa"/>
            <w:tcBorders>
              <w:top w:val="nil"/>
              <w:left w:val="nil"/>
              <w:bottom w:val="single" w:sz="4" w:space="0" w:color="auto"/>
              <w:right w:val="single" w:sz="4" w:space="0" w:color="auto"/>
            </w:tcBorders>
            <w:shd w:val="clear" w:color="auto" w:fill="auto"/>
            <w:noWrap/>
            <w:vAlign w:val="bottom"/>
            <w:hideMark/>
          </w:tcPr>
          <w:p w14:paraId="7641F425"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6,722,219,429.69 </w:t>
            </w:r>
          </w:p>
        </w:tc>
        <w:tc>
          <w:tcPr>
            <w:tcW w:w="1840" w:type="dxa"/>
            <w:tcBorders>
              <w:top w:val="nil"/>
              <w:left w:val="nil"/>
              <w:bottom w:val="single" w:sz="4" w:space="0" w:color="auto"/>
              <w:right w:val="single" w:sz="4" w:space="0" w:color="auto"/>
            </w:tcBorders>
            <w:shd w:val="clear" w:color="auto" w:fill="auto"/>
            <w:noWrap/>
            <w:vAlign w:val="bottom"/>
            <w:hideMark/>
          </w:tcPr>
          <w:p w14:paraId="5B401664"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1,253,270,162.11 </w:t>
            </w:r>
          </w:p>
        </w:tc>
        <w:tc>
          <w:tcPr>
            <w:tcW w:w="2320" w:type="dxa"/>
            <w:tcBorders>
              <w:top w:val="nil"/>
              <w:left w:val="nil"/>
              <w:bottom w:val="single" w:sz="4" w:space="0" w:color="auto"/>
              <w:right w:val="single" w:sz="4" w:space="0" w:color="auto"/>
            </w:tcBorders>
            <w:shd w:val="clear" w:color="auto" w:fill="auto"/>
            <w:noWrap/>
            <w:vAlign w:val="center"/>
            <w:hideMark/>
          </w:tcPr>
          <w:p w14:paraId="44A7EA59"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7,975,489,591.80 </w:t>
            </w:r>
          </w:p>
        </w:tc>
        <w:tc>
          <w:tcPr>
            <w:tcW w:w="980" w:type="dxa"/>
            <w:tcBorders>
              <w:top w:val="nil"/>
              <w:left w:val="nil"/>
              <w:bottom w:val="single" w:sz="4" w:space="0" w:color="auto"/>
              <w:right w:val="single" w:sz="4" w:space="0" w:color="auto"/>
            </w:tcBorders>
            <w:shd w:val="clear" w:color="auto" w:fill="auto"/>
            <w:noWrap/>
            <w:vAlign w:val="center"/>
            <w:hideMark/>
          </w:tcPr>
          <w:p w14:paraId="78D62102"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49BD5146"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0.843</w:t>
            </w:r>
          </w:p>
        </w:tc>
        <w:tc>
          <w:tcPr>
            <w:tcW w:w="1040" w:type="dxa"/>
            <w:tcBorders>
              <w:top w:val="nil"/>
              <w:left w:val="nil"/>
              <w:bottom w:val="single" w:sz="4" w:space="0" w:color="auto"/>
              <w:right w:val="single" w:sz="4" w:space="0" w:color="auto"/>
            </w:tcBorders>
            <w:shd w:val="clear" w:color="auto" w:fill="auto"/>
            <w:noWrap/>
            <w:vAlign w:val="center"/>
            <w:hideMark/>
          </w:tcPr>
          <w:p w14:paraId="7EE3B488"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0.157</w:t>
            </w:r>
          </w:p>
        </w:tc>
        <w:tc>
          <w:tcPr>
            <w:tcW w:w="1040" w:type="dxa"/>
            <w:tcBorders>
              <w:top w:val="nil"/>
              <w:left w:val="nil"/>
              <w:bottom w:val="single" w:sz="4" w:space="0" w:color="auto"/>
              <w:right w:val="single" w:sz="4" w:space="0" w:color="auto"/>
            </w:tcBorders>
            <w:shd w:val="clear" w:color="auto" w:fill="auto"/>
            <w:noWrap/>
            <w:vAlign w:val="center"/>
            <w:hideMark/>
          </w:tcPr>
          <w:p w14:paraId="0091B7E7"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1F8DB7E3" w14:textId="77777777" w:rsidTr="000442BC">
        <w:trPr>
          <w:trHeight w:val="55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E3B2E5F" w14:textId="77777777" w:rsidR="00411CF7" w:rsidRPr="00EE3BED" w:rsidRDefault="00411CF7" w:rsidP="000442BC">
            <w:pPr>
              <w:spacing w:after="0" w:line="240" w:lineRule="auto"/>
              <w:jc w:val="both"/>
              <w:rPr>
                <w:rFonts w:ascii="Century Gothic" w:eastAsia="Times New Roman" w:hAnsi="Century Gothic" w:cs="Arial"/>
                <w:color w:val="000000"/>
                <w:sz w:val="18"/>
                <w:szCs w:val="18"/>
                <w:lang w:val="en-US" w:eastAsia="zh-CN"/>
              </w:rPr>
            </w:pPr>
            <w:r w:rsidRPr="00EE3BED">
              <w:rPr>
                <w:rFonts w:ascii="Century Gothic" w:eastAsia="Times New Roman" w:hAnsi="Century Gothic" w:cs="Arial"/>
                <w:color w:val="000000"/>
                <w:sz w:val="18"/>
                <w:szCs w:val="18"/>
                <w:lang w:val="en-US" w:eastAsia="zh-CN"/>
              </w:rPr>
              <w:t>vegetables, flowers </w:t>
            </w:r>
          </w:p>
        </w:tc>
        <w:tc>
          <w:tcPr>
            <w:tcW w:w="1960" w:type="dxa"/>
            <w:tcBorders>
              <w:top w:val="nil"/>
              <w:left w:val="nil"/>
              <w:bottom w:val="single" w:sz="4" w:space="0" w:color="auto"/>
              <w:right w:val="single" w:sz="4" w:space="0" w:color="auto"/>
            </w:tcBorders>
            <w:shd w:val="clear" w:color="auto" w:fill="auto"/>
            <w:vAlign w:val="bottom"/>
            <w:hideMark/>
          </w:tcPr>
          <w:p w14:paraId="0F6EAE15"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other non-perennial crops</w:t>
            </w:r>
          </w:p>
        </w:tc>
        <w:tc>
          <w:tcPr>
            <w:tcW w:w="1960" w:type="dxa"/>
            <w:tcBorders>
              <w:top w:val="nil"/>
              <w:left w:val="nil"/>
              <w:bottom w:val="single" w:sz="4" w:space="0" w:color="auto"/>
              <w:right w:val="single" w:sz="4" w:space="0" w:color="auto"/>
            </w:tcBorders>
            <w:shd w:val="clear" w:color="auto" w:fill="auto"/>
            <w:noWrap/>
            <w:vAlign w:val="bottom"/>
            <w:hideMark/>
          </w:tcPr>
          <w:p w14:paraId="24191E9E"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240,978,920,704.35 </w:t>
            </w:r>
          </w:p>
        </w:tc>
        <w:tc>
          <w:tcPr>
            <w:tcW w:w="1840" w:type="dxa"/>
            <w:tcBorders>
              <w:top w:val="nil"/>
              <w:left w:val="nil"/>
              <w:bottom w:val="single" w:sz="4" w:space="0" w:color="auto"/>
              <w:right w:val="single" w:sz="4" w:space="0" w:color="auto"/>
            </w:tcBorders>
            <w:shd w:val="clear" w:color="auto" w:fill="auto"/>
            <w:noWrap/>
            <w:vAlign w:val="bottom"/>
            <w:hideMark/>
          </w:tcPr>
          <w:p w14:paraId="72B855B5"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15,333,626,226.56 </w:t>
            </w:r>
          </w:p>
        </w:tc>
        <w:tc>
          <w:tcPr>
            <w:tcW w:w="2320" w:type="dxa"/>
            <w:tcBorders>
              <w:top w:val="nil"/>
              <w:left w:val="nil"/>
              <w:bottom w:val="single" w:sz="4" w:space="0" w:color="auto"/>
              <w:right w:val="single" w:sz="4" w:space="0" w:color="auto"/>
            </w:tcBorders>
            <w:shd w:val="clear" w:color="auto" w:fill="auto"/>
            <w:noWrap/>
            <w:vAlign w:val="center"/>
            <w:hideMark/>
          </w:tcPr>
          <w:p w14:paraId="24BCF771"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256,312,546,930.91 </w:t>
            </w:r>
          </w:p>
        </w:tc>
        <w:tc>
          <w:tcPr>
            <w:tcW w:w="980" w:type="dxa"/>
            <w:tcBorders>
              <w:top w:val="nil"/>
              <w:left w:val="nil"/>
              <w:bottom w:val="single" w:sz="4" w:space="0" w:color="auto"/>
              <w:right w:val="single" w:sz="4" w:space="0" w:color="auto"/>
            </w:tcBorders>
            <w:shd w:val="clear" w:color="auto" w:fill="auto"/>
            <w:noWrap/>
            <w:vAlign w:val="center"/>
            <w:hideMark/>
          </w:tcPr>
          <w:p w14:paraId="006D791B"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02CBA620"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0.940</w:t>
            </w:r>
          </w:p>
        </w:tc>
        <w:tc>
          <w:tcPr>
            <w:tcW w:w="1040" w:type="dxa"/>
            <w:tcBorders>
              <w:top w:val="nil"/>
              <w:left w:val="nil"/>
              <w:bottom w:val="single" w:sz="4" w:space="0" w:color="auto"/>
              <w:right w:val="single" w:sz="4" w:space="0" w:color="auto"/>
            </w:tcBorders>
            <w:shd w:val="clear" w:color="auto" w:fill="auto"/>
            <w:noWrap/>
            <w:vAlign w:val="center"/>
            <w:hideMark/>
          </w:tcPr>
          <w:p w14:paraId="59B0DEA2"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0.060</w:t>
            </w:r>
          </w:p>
        </w:tc>
        <w:tc>
          <w:tcPr>
            <w:tcW w:w="1040" w:type="dxa"/>
            <w:tcBorders>
              <w:top w:val="nil"/>
              <w:left w:val="nil"/>
              <w:bottom w:val="single" w:sz="4" w:space="0" w:color="auto"/>
              <w:right w:val="single" w:sz="4" w:space="0" w:color="auto"/>
            </w:tcBorders>
            <w:shd w:val="clear" w:color="auto" w:fill="auto"/>
            <w:noWrap/>
            <w:vAlign w:val="center"/>
            <w:hideMark/>
          </w:tcPr>
          <w:p w14:paraId="7159DD5A"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28B0C407" w14:textId="77777777" w:rsidTr="000442BC">
        <w:trPr>
          <w:trHeight w:val="2112"/>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AD4526A" w14:textId="77777777" w:rsidR="00411CF7" w:rsidRPr="00EE3BED" w:rsidRDefault="00411CF7" w:rsidP="000442BC">
            <w:pPr>
              <w:spacing w:after="0" w:line="240" w:lineRule="auto"/>
              <w:jc w:val="both"/>
              <w:rPr>
                <w:rFonts w:ascii="Century Gothic" w:eastAsia="Times New Roman" w:hAnsi="Century Gothic" w:cs="Arial"/>
                <w:color w:val="000000"/>
                <w:sz w:val="18"/>
                <w:szCs w:val="18"/>
                <w:lang w:val="en-US" w:eastAsia="zh-CN"/>
              </w:rPr>
            </w:pPr>
            <w:r w:rsidRPr="00EE3BED">
              <w:rPr>
                <w:rFonts w:ascii="Century Gothic" w:eastAsia="Times New Roman" w:hAnsi="Century Gothic" w:cs="Arial"/>
                <w:color w:val="000000"/>
                <w:sz w:val="18"/>
                <w:szCs w:val="18"/>
                <w:lang w:val="en-US" w:eastAsia="zh-CN"/>
              </w:rPr>
              <w:t>barley, rice, Palmira, coconuts, grapes, sorghum, maize, sugarcane, corn, palm, coffee, tea, sugar beet, lemongrass, agave, cocoa, grain, hopes, lemon, apples</w:t>
            </w:r>
          </w:p>
        </w:tc>
        <w:tc>
          <w:tcPr>
            <w:tcW w:w="1960" w:type="dxa"/>
            <w:tcBorders>
              <w:top w:val="nil"/>
              <w:left w:val="nil"/>
              <w:bottom w:val="single" w:sz="4" w:space="0" w:color="auto"/>
              <w:right w:val="single" w:sz="4" w:space="0" w:color="auto"/>
            </w:tcBorders>
            <w:shd w:val="clear" w:color="auto" w:fill="auto"/>
            <w:vAlign w:val="bottom"/>
            <w:hideMark/>
          </w:tcPr>
          <w:p w14:paraId="5E6A62E7"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beverage crops</w:t>
            </w:r>
          </w:p>
        </w:tc>
        <w:tc>
          <w:tcPr>
            <w:tcW w:w="1960" w:type="dxa"/>
            <w:tcBorders>
              <w:top w:val="nil"/>
              <w:left w:val="nil"/>
              <w:bottom w:val="single" w:sz="4" w:space="0" w:color="auto"/>
              <w:right w:val="single" w:sz="4" w:space="0" w:color="auto"/>
            </w:tcBorders>
            <w:shd w:val="clear" w:color="auto" w:fill="auto"/>
            <w:noWrap/>
            <w:vAlign w:val="bottom"/>
            <w:hideMark/>
          </w:tcPr>
          <w:p w14:paraId="3261332D"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19,656,695,625.00 </w:t>
            </w:r>
          </w:p>
        </w:tc>
        <w:tc>
          <w:tcPr>
            <w:tcW w:w="1840" w:type="dxa"/>
            <w:tcBorders>
              <w:top w:val="nil"/>
              <w:left w:val="nil"/>
              <w:bottom w:val="single" w:sz="4" w:space="0" w:color="auto"/>
              <w:right w:val="single" w:sz="4" w:space="0" w:color="auto"/>
            </w:tcBorders>
            <w:shd w:val="clear" w:color="auto" w:fill="auto"/>
            <w:noWrap/>
            <w:vAlign w:val="bottom"/>
            <w:hideMark/>
          </w:tcPr>
          <w:p w14:paraId="55F51778"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16,800,020,059.57 </w:t>
            </w:r>
          </w:p>
        </w:tc>
        <w:tc>
          <w:tcPr>
            <w:tcW w:w="2320" w:type="dxa"/>
            <w:tcBorders>
              <w:top w:val="nil"/>
              <w:left w:val="nil"/>
              <w:bottom w:val="single" w:sz="4" w:space="0" w:color="auto"/>
              <w:right w:val="single" w:sz="4" w:space="0" w:color="auto"/>
            </w:tcBorders>
            <w:shd w:val="clear" w:color="auto" w:fill="auto"/>
            <w:noWrap/>
            <w:vAlign w:val="center"/>
            <w:hideMark/>
          </w:tcPr>
          <w:p w14:paraId="3692336E"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36,456,715,684.57 </w:t>
            </w:r>
          </w:p>
        </w:tc>
        <w:tc>
          <w:tcPr>
            <w:tcW w:w="980" w:type="dxa"/>
            <w:tcBorders>
              <w:top w:val="nil"/>
              <w:left w:val="nil"/>
              <w:bottom w:val="single" w:sz="4" w:space="0" w:color="auto"/>
              <w:right w:val="single" w:sz="4" w:space="0" w:color="auto"/>
            </w:tcBorders>
            <w:shd w:val="clear" w:color="auto" w:fill="auto"/>
            <w:noWrap/>
            <w:vAlign w:val="center"/>
            <w:hideMark/>
          </w:tcPr>
          <w:p w14:paraId="21CBDED3"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253012A8"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0.539</w:t>
            </w:r>
          </w:p>
        </w:tc>
        <w:tc>
          <w:tcPr>
            <w:tcW w:w="1040" w:type="dxa"/>
            <w:tcBorders>
              <w:top w:val="nil"/>
              <w:left w:val="nil"/>
              <w:bottom w:val="single" w:sz="4" w:space="0" w:color="auto"/>
              <w:right w:val="single" w:sz="4" w:space="0" w:color="auto"/>
            </w:tcBorders>
            <w:shd w:val="clear" w:color="auto" w:fill="auto"/>
            <w:noWrap/>
            <w:vAlign w:val="center"/>
            <w:hideMark/>
          </w:tcPr>
          <w:p w14:paraId="40486DE1"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0.461</w:t>
            </w:r>
          </w:p>
        </w:tc>
        <w:tc>
          <w:tcPr>
            <w:tcW w:w="1040" w:type="dxa"/>
            <w:tcBorders>
              <w:top w:val="nil"/>
              <w:left w:val="nil"/>
              <w:bottom w:val="single" w:sz="4" w:space="0" w:color="auto"/>
              <w:right w:val="single" w:sz="4" w:space="0" w:color="auto"/>
            </w:tcBorders>
            <w:shd w:val="clear" w:color="auto" w:fill="auto"/>
            <w:noWrap/>
            <w:vAlign w:val="center"/>
            <w:hideMark/>
          </w:tcPr>
          <w:p w14:paraId="35AC2914"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1AE7D4B2" w14:textId="77777777" w:rsidTr="000442BC">
        <w:trPr>
          <w:trHeight w:val="828"/>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05CF944" w14:textId="77777777" w:rsidR="00411CF7" w:rsidRPr="00EE3BED" w:rsidRDefault="00411CF7" w:rsidP="000442BC">
            <w:pPr>
              <w:spacing w:after="0" w:line="240" w:lineRule="auto"/>
              <w:jc w:val="both"/>
              <w:rPr>
                <w:rFonts w:ascii="Century Gothic" w:eastAsia="Times New Roman" w:hAnsi="Century Gothic" w:cs="Arial"/>
                <w:color w:val="000000"/>
                <w:sz w:val="18"/>
                <w:szCs w:val="18"/>
                <w:lang w:val="en-US" w:eastAsia="zh-CN"/>
              </w:rPr>
            </w:pPr>
            <w:r w:rsidRPr="00EE3BED">
              <w:rPr>
                <w:rFonts w:ascii="Century Gothic" w:eastAsia="Times New Roman" w:hAnsi="Century Gothic" w:cs="Arial"/>
                <w:color w:val="000000"/>
                <w:sz w:val="18"/>
                <w:szCs w:val="18"/>
                <w:lang w:val="en-US" w:eastAsia="zh-CN"/>
              </w:rPr>
              <w:t>opium poppy, coca, and cannabis</w:t>
            </w:r>
          </w:p>
        </w:tc>
        <w:tc>
          <w:tcPr>
            <w:tcW w:w="1960" w:type="dxa"/>
            <w:tcBorders>
              <w:top w:val="nil"/>
              <w:left w:val="nil"/>
              <w:bottom w:val="single" w:sz="4" w:space="0" w:color="auto"/>
              <w:right w:val="single" w:sz="4" w:space="0" w:color="auto"/>
            </w:tcBorders>
            <w:shd w:val="clear" w:color="auto" w:fill="auto"/>
            <w:vAlign w:val="bottom"/>
            <w:hideMark/>
          </w:tcPr>
          <w:p w14:paraId="29D36C70"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spices, aromatic, drug and pharmaceutical crops</w:t>
            </w:r>
          </w:p>
        </w:tc>
        <w:tc>
          <w:tcPr>
            <w:tcW w:w="1960" w:type="dxa"/>
            <w:tcBorders>
              <w:top w:val="nil"/>
              <w:left w:val="nil"/>
              <w:bottom w:val="single" w:sz="4" w:space="0" w:color="auto"/>
              <w:right w:val="single" w:sz="4" w:space="0" w:color="auto"/>
            </w:tcBorders>
            <w:shd w:val="clear" w:color="auto" w:fill="auto"/>
            <w:noWrap/>
            <w:vAlign w:val="bottom"/>
            <w:hideMark/>
          </w:tcPr>
          <w:p w14:paraId="2EF3CA26"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4,546,987,968.75 </w:t>
            </w:r>
          </w:p>
        </w:tc>
        <w:tc>
          <w:tcPr>
            <w:tcW w:w="1840" w:type="dxa"/>
            <w:tcBorders>
              <w:top w:val="nil"/>
              <w:left w:val="nil"/>
              <w:bottom w:val="single" w:sz="4" w:space="0" w:color="auto"/>
              <w:right w:val="single" w:sz="4" w:space="0" w:color="auto"/>
            </w:tcBorders>
            <w:shd w:val="clear" w:color="auto" w:fill="auto"/>
            <w:noWrap/>
            <w:vAlign w:val="bottom"/>
            <w:hideMark/>
          </w:tcPr>
          <w:p w14:paraId="599ED5E4"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p>
        </w:tc>
        <w:tc>
          <w:tcPr>
            <w:tcW w:w="2320" w:type="dxa"/>
            <w:tcBorders>
              <w:top w:val="nil"/>
              <w:left w:val="nil"/>
              <w:bottom w:val="single" w:sz="4" w:space="0" w:color="auto"/>
              <w:right w:val="single" w:sz="4" w:space="0" w:color="auto"/>
            </w:tcBorders>
            <w:shd w:val="clear" w:color="auto" w:fill="auto"/>
            <w:noWrap/>
            <w:vAlign w:val="center"/>
            <w:hideMark/>
          </w:tcPr>
          <w:p w14:paraId="3D806D9C"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4,546,987,968.75 </w:t>
            </w:r>
          </w:p>
        </w:tc>
        <w:tc>
          <w:tcPr>
            <w:tcW w:w="980" w:type="dxa"/>
            <w:tcBorders>
              <w:top w:val="nil"/>
              <w:left w:val="nil"/>
              <w:bottom w:val="single" w:sz="4" w:space="0" w:color="auto"/>
              <w:right w:val="single" w:sz="4" w:space="0" w:color="auto"/>
            </w:tcBorders>
            <w:shd w:val="clear" w:color="auto" w:fill="auto"/>
            <w:noWrap/>
            <w:vAlign w:val="center"/>
            <w:hideMark/>
          </w:tcPr>
          <w:p w14:paraId="02F9D517"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4570778C"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6A70570"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0.000</w:t>
            </w:r>
          </w:p>
        </w:tc>
        <w:tc>
          <w:tcPr>
            <w:tcW w:w="1040" w:type="dxa"/>
            <w:tcBorders>
              <w:top w:val="nil"/>
              <w:left w:val="nil"/>
              <w:bottom w:val="single" w:sz="4" w:space="0" w:color="auto"/>
              <w:right w:val="single" w:sz="4" w:space="0" w:color="auto"/>
            </w:tcBorders>
            <w:shd w:val="clear" w:color="auto" w:fill="auto"/>
            <w:noWrap/>
            <w:vAlign w:val="center"/>
            <w:hideMark/>
          </w:tcPr>
          <w:p w14:paraId="5088606B"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59BB3AE7" w14:textId="77777777" w:rsidTr="000442BC">
        <w:trPr>
          <w:trHeight w:val="552"/>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AD772C0" w14:textId="77777777" w:rsidR="00411CF7" w:rsidRPr="00EE3BED" w:rsidRDefault="00411CF7" w:rsidP="000442BC">
            <w:pPr>
              <w:spacing w:after="0" w:line="240" w:lineRule="auto"/>
              <w:jc w:val="both"/>
              <w:rPr>
                <w:rFonts w:ascii="Century Gothic" w:eastAsia="Times New Roman" w:hAnsi="Century Gothic" w:cs="Arial"/>
                <w:color w:val="000000"/>
                <w:sz w:val="18"/>
                <w:szCs w:val="18"/>
                <w:lang w:val="en-US" w:eastAsia="zh-CN"/>
              </w:rPr>
            </w:pPr>
            <w:r w:rsidRPr="00EE3BED">
              <w:rPr>
                <w:rFonts w:ascii="Century Gothic" w:eastAsia="Times New Roman" w:hAnsi="Century Gothic" w:cs="Arial"/>
                <w:color w:val="000000"/>
                <w:sz w:val="18"/>
                <w:szCs w:val="18"/>
                <w:lang w:val="en-US" w:eastAsia="zh-CN"/>
              </w:rPr>
              <w:t>oilseeds, legumes, wheat, sorghum, rice, sunflowers</w:t>
            </w:r>
          </w:p>
        </w:tc>
        <w:tc>
          <w:tcPr>
            <w:tcW w:w="1960" w:type="dxa"/>
            <w:tcBorders>
              <w:top w:val="nil"/>
              <w:left w:val="nil"/>
              <w:bottom w:val="single" w:sz="4" w:space="0" w:color="auto"/>
              <w:right w:val="single" w:sz="4" w:space="0" w:color="auto"/>
            </w:tcBorders>
            <w:shd w:val="clear" w:color="auto" w:fill="auto"/>
            <w:vAlign w:val="bottom"/>
            <w:hideMark/>
          </w:tcPr>
          <w:p w14:paraId="465A1188"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Growing of other perennial crops</w:t>
            </w:r>
          </w:p>
        </w:tc>
        <w:tc>
          <w:tcPr>
            <w:tcW w:w="1960" w:type="dxa"/>
            <w:tcBorders>
              <w:top w:val="nil"/>
              <w:left w:val="nil"/>
              <w:bottom w:val="single" w:sz="4" w:space="0" w:color="auto"/>
              <w:right w:val="single" w:sz="4" w:space="0" w:color="auto"/>
            </w:tcBorders>
            <w:shd w:val="clear" w:color="auto" w:fill="auto"/>
            <w:noWrap/>
            <w:vAlign w:val="bottom"/>
            <w:hideMark/>
          </w:tcPr>
          <w:p w14:paraId="085F69D3"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84,934,355,456.30 </w:t>
            </w:r>
          </w:p>
        </w:tc>
        <w:tc>
          <w:tcPr>
            <w:tcW w:w="1840" w:type="dxa"/>
            <w:tcBorders>
              <w:top w:val="nil"/>
              <w:left w:val="nil"/>
              <w:bottom w:val="single" w:sz="4" w:space="0" w:color="auto"/>
              <w:right w:val="single" w:sz="4" w:space="0" w:color="auto"/>
            </w:tcBorders>
            <w:shd w:val="clear" w:color="auto" w:fill="auto"/>
            <w:noWrap/>
            <w:vAlign w:val="bottom"/>
            <w:hideMark/>
          </w:tcPr>
          <w:p w14:paraId="4F6B67D8"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7,297,137,365.23 </w:t>
            </w:r>
          </w:p>
        </w:tc>
        <w:tc>
          <w:tcPr>
            <w:tcW w:w="2320" w:type="dxa"/>
            <w:tcBorders>
              <w:top w:val="nil"/>
              <w:left w:val="nil"/>
              <w:bottom w:val="single" w:sz="4" w:space="0" w:color="auto"/>
              <w:right w:val="single" w:sz="4" w:space="0" w:color="auto"/>
            </w:tcBorders>
            <w:shd w:val="clear" w:color="auto" w:fill="auto"/>
            <w:noWrap/>
            <w:vAlign w:val="center"/>
            <w:hideMark/>
          </w:tcPr>
          <w:p w14:paraId="667B990A"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92,231,492,821.53 </w:t>
            </w:r>
          </w:p>
        </w:tc>
        <w:tc>
          <w:tcPr>
            <w:tcW w:w="980" w:type="dxa"/>
            <w:tcBorders>
              <w:top w:val="nil"/>
              <w:left w:val="nil"/>
              <w:bottom w:val="single" w:sz="4" w:space="0" w:color="auto"/>
              <w:right w:val="single" w:sz="4" w:space="0" w:color="auto"/>
            </w:tcBorders>
            <w:shd w:val="clear" w:color="auto" w:fill="auto"/>
            <w:noWrap/>
            <w:vAlign w:val="center"/>
            <w:hideMark/>
          </w:tcPr>
          <w:p w14:paraId="2EAB1117"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73BB6DE1"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0.921</w:t>
            </w:r>
          </w:p>
        </w:tc>
        <w:tc>
          <w:tcPr>
            <w:tcW w:w="1040" w:type="dxa"/>
            <w:tcBorders>
              <w:top w:val="nil"/>
              <w:left w:val="nil"/>
              <w:bottom w:val="single" w:sz="4" w:space="0" w:color="auto"/>
              <w:right w:val="single" w:sz="4" w:space="0" w:color="auto"/>
            </w:tcBorders>
            <w:shd w:val="clear" w:color="auto" w:fill="auto"/>
            <w:noWrap/>
            <w:vAlign w:val="center"/>
            <w:hideMark/>
          </w:tcPr>
          <w:p w14:paraId="7873385C"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0.079</w:t>
            </w:r>
          </w:p>
        </w:tc>
        <w:tc>
          <w:tcPr>
            <w:tcW w:w="1040" w:type="dxa"/>
            <w:tcBorders>
              <w:top w:val="nil"/>
              <w:left w:val="nil"/>
              <w:bottom w:val="single" w:sz="4" w:space="0" w:color="auto"/>
              <w:right w:val="single" w:sz="4" w:space="0" w:color="auto"/>
            </w:tcBorders>
            <w:shd w:val="clear" w:color="auto" w:fill="auto"/>
            <w:noWrap/>
            <w:vAlign w:val="center"/>
            <w:hideMark/>
          </w:tcPr>
          <w:p w14:paraId="774629B7"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02656035" w14:textId="77777777" w:rsidTr="000442BC">
        <w:trPr>
          <w:trHeight w:val="288"/>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ECF9FA2"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2C0362"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Plant propagation</w:t>
            </w:r>
          </w:p>
        </w:tc>
        <w:tc>
          <w:tcPr>
            <w:tcW w:w="1960" w:type="dxa"/>
            <w:tcBorders>
              <w:top w:val="nil"/>
              <w:left w:val="nil"/>
              <w:bottom w:val="single" w:sz="4" w:space="0" w:color="auto"/>
              <w:right w:val="single" w:sz="4" w:space="0" w:color="auto"/>
            </w:tcBorders>
            <w:shd w:val="clear" w:color="auto" w:fill="auto"/>
            <w:noWrap/>
            <w:vAlign w:val="bottom"/>
            <w:hideMark/>
          </w:tcPr>
          <w:p w14:paraId="798AB86A"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1088192041</w:t>
            </w:r>
          </w:p>
        </w:tc>
        <w:tc>
          <w:tcPr>
            <w:tcW w:w="1840" w:type="dxa"/>
            <w:tcBorders>
              <w:top w:val="nil"/>
              <w:left w:val="nil"/>
              <w:bottom w:val="single" w:sz="4" w:space="0" w:color="auto"/>
              <w:right w:val="single" w:sz="4" w:space="0" w:color="auto"/>
            </w:tcBorders>
            <w:shd w:val="clear" w:color="auto" w:fill="auto"/>
            <w:noWrap/>
            <w:vAlign w:val="bottom"/>
            <w:hideMark/>
          </w:tcPr>
          <w:p w14:paraId="59D1B769"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828288925.8</w:t>
            </w:r>
          </w:p>
        </w:tc>
        <w:tc>
          <w:tcPr>
            <w:tcW w:w="2320" w:type="dxa"/>
            <w:tcBorders>
              <w:top w:val="nil"/>
              <w:left w:val="nil"/>
              <w:bottom w:val="single" w:sz="4" w:space="0" w:color="auto"/>
              <w:right w:val="single" w:sz="4" w:space="0" w:color="auto"/>
            </w:tcBorders>
            <w:shd w:val="clear" w:color="auto" w:fill="auto"/>
            <w:noWrap/>
            <w:vAlign w:val="center"/>
            <w:hideMark/>
          </w:tcPr>
          <w:p w14:paraId="5D762F8E"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1,916,480,966.80 </w:t>
            </w:r>
          </w:p>
        </w:tc>
        <w:tc>
          <w:tcPr>
            <w:tcW w:w="980" w:type="dxa"/>
            <w:tcBorders>
              <w:top w:val="nil"/>
              <w:left w:val="nil"/>
              <w:bottom w:val="single" w:sz="4" w:space="0" w:color="auto"/>
              <w:right w:val="single" w:sz="4" w:space="0" w:color="auto"/>
            </w:tcBorders>
            <w:shd w:val="clear" w:color="auto" w:fill="auto"/>
            <w:noWrap/>
            <w:vAlign w:val="center"/>
            <w:hideMark/>
          </w:tcPr>
          <w:p w14:paraId="1A0B3075"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3A4EB220"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0.6</w:t>
            </w:r>
          </w:p>
        </w:tc>
        <w:tc>
          <w:tcPr>
            <w:tcW w:w="1040" w:type="dxa"/>
            <w:tcBorders>
              <w:top w:val="nil"/>
              <w:left w:val="nil"/>
              <w:bottom w:val="single" w:sz="4" w:space="0" w:color="auto"/>
              <w:right w:val="single" w:sz="4" w:space="0" w:color="auto"/>
            </w:tcBorders>
            <w:shd w:val="clear" w:color="auto" w:fill="auto"/>
            <w:noWrap/>
            <w:vAlign w:val="center"/>
            <w:hideMark/>
          </w:tcPr>
          <w:p w14:paraId="7814433F"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0.4</w:t>
            </w:r>
          </w:p>
        </w:tc>
        <w:tc>
          <w:tcPr>
            <w:tcW w:w="1040" w:type="dxa"/>
            <w:tcBorders>
              <w:top w:val="nil"/>
              <w:left w:val="nil"/>
              <w:bottom w:val="single" w:sz="4" w:space="0" w:color="auto"/>
              <w:right w:val="single" w:sz="4" w:space="0" w:color="auto"/>
            </w:tcBorders>
            <w:shd w:val="clear" w:color="auto" w:fill="auto"/>
            <w:noWrap/>
            <w:vAlign w:val="center"/>
            <w:hideMark/>
          </w:tcPr>
          <w:p w14:paraId="3C64CEFC"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r w:rsidR="00411CF7" w:rsidRPr="00EE3BED" w14:paraId="143878C6" w14:textId="77777777" w:rsidTr="000442BC">
        <w:trPr>
          <w:trHeight w:val="288"/>
        </w:trPr>
        <w:tc>
          <w:tcPr>
            <w:tcW w:w="41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288FBF" w14:textId="77777777" w:rsidR="00411CF7" w:rsidRPr="00EE3BED" w:rsidRDefault="00411CF7" w:rsidP="000442BC">
            <w:pPr>
              <w:spacing w:after="0" w:line="240" w:lineRule="auto"/>
              <w:jc w:val="center"/>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5D1F5898"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366,858,928,381.35 </w:t>
            </w:r>
          </w:p>
        </w:tc>
        <w:tc>
          <w:tcPr>
            <w:tcW w:w="1840" w:type="dxa"/>
            <w:tcBorders>
              <w:top w:val="nil"/>
              <w:left w:val="nil"/>
              <w:bottom w:val="single" w:sz="4" w:space="0" w:color="auto"/>
              <w:right w:val="single" w:sz="4" w:space="0" w:color="auto"/>
            </w:tcBorders>
            <w:shd w:val="clear" w:color="auto" w:fill="auto"/>
            <w:noWrap/>
            <w:vAlign w:val="center"/>
            <w:hideMark/>
          </w:tcPr>
          <w:p w14:paraId="1696B79F"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47,359,286,709.96 </w:t>
            </w:r>
          </w:p>
        </w:tc>
        <w:tc>
          <w:tcPr>
            <w:tcW w:w="2320" w:type="dxa"/>
            <w:tcBorders>
              <w:top w:val="nil"/>
              <w:left w:val="nil"/>
              <w:bottom w:val="single" w:sz="4" w:space="0" w:color="auto"/>
              <w:right w:val="single" w:sz="4" w:space="0" w:color="auto"/>
            </w:tcBorders>
            <w:shd w:val="clear" w:color="auto" w:fill="auto"/>
            <w:noWrap/>
            <w:vAlign w:val="center"/>
            <w:hideMark/>
          </w:tcPr>
          <w:p w14:paraId="2F0F1558"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xml:space="preserve"> 414,218,215,091.31 </w:t>
            </w:r>
          </w:p>
        </w:tc>
        <w:tc>
          <w:tcPr>
            <w:tcW w:w="980" w:type="dxa"/>
            <w:tcBorders>
              <w:top w:val="nil"/>
              <w:left w:val="nil"/>
              <w:bottom w:val="single" w:sz="4" w:space="0" w:color="auto"/>
              <w:right w:val="single" w:sz="4" w:space="0" w:color="auto"/>
            </w:tcBorders>
            <w:shd w:val="clear" w:color="auto" w:fill="auto"/>
            <w:noWrap/>
            <w:vAlign w:val="center"/>
            <w:hideMark/>
          </w:tcPr>
          <w:p w14:paraId="70B2AEDA" w14:textId="77777777" w:rsidR="00411CF7" w:rsidRPr="00EE3BED" w:rsidRDefault="00411CF7" w:rsidP="000442BC">
            <w:pPr>
              <w:spacing w:after="0" w:line="240" w:lineRule="auto"/>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11EAD1E4"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0.886</w:t>
            </w:r>
          </w:p>
        </w:tc>
        <w:tc>
          <w:tcPr>
            <w:tcW w:w="1040" w:type="dxa"/>
            <w:tcBorders>
              <w:top w:val="nil"/>
              <w:left w:val="nil"/>
              <w:bottom w:val="single" w:sz="4" w:space="0" w:color="auto"/>
              <w:right w:val="single" w:sz="4" w:space="0" w:color="auto"/>
            </w:tcBorders>
            <w:shd w:val="clear" w:color="auto" w:fill="auto"/>
            <w:noWrap/>
            <w:vAlign w:val="center"/>
            <w:hideMark/>
          </w:tcPr>
          <w:p w14:paraId="7882D27E"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0.114</w:t>
            </w:r>
          </w:p>
        </w:tc>
        <w:tc>
          <w:tcPr>
            <w:tcW w:w="1040" w:type="dxa"/>
            <w:tcBorders>
              <w:top w:val="nil"/>
              <w:left w:val="nil"/>
              <w:bottom w:val="single" w:sz="4" w:space="0" w:color="auto"/>
              <w:right w:val="single" w:sz="4" w:space="0" w:color="auto"/>
            </w:tcBorders>
            <w:shd w:val="clear" w:color="auto" w:fill="auto"/>
            <w:noWrap/>
            <w:vAlign w:val="center"/>
            <w:hideMark/>
          </w:tcPr>
          <w:p w14:paraId="4DD23498" w14:textId="77777777" w:rsidR="00411CF7" w:rsidRPr="00EE3BED" w:rsidRDefault="00411CF7" w:rsidP="000442BC">
            <w:pPr>
              <w:spacing w:after="0" w:line="240" w:lineRule="auto"/>
              <w:jc w:val="right"/>
              <w:rPr>
                <w:rFonts w:ascii="Century Gothic" w:eastAsia="Times New Roman" w:hAnsi="Century Gothic" w:cs="Calibri"/>
                <w:color w:val="000000"/>
                <w:sz w:val="18"/>
                <w:szCs w:val="18"/>
                <w:lang w:val="en-US" w:eastAsia="zh-CN"/>
              </w:rPr>
            </w:pPr>
            <w:r w:rsidRPr="00EE3BED">
              <w:rPr>
                <w:rFonts w:ascii="Century Gothic" w:eastAsia="Times New Roman" w:hAnsi="Century Gothic" w:cs="Calibri"/>
                <w:color w:val="000000"/>
                <w:sz w:val="18"/>
                <w:szCs w:val="18"/>
                <w:lang w:val="en-US" w:eastAsia="zh-CN"/>
              </w:rPr>
              <w:t>1.0</w:t>
            </w:r>
          </w:p>
        </w:tc>
      </w:tr>
    </w:tbl>
    <w:p w14:paraId="557DF754" w14:textId="77777777" w:rsidR="00411CF7" w:rsidRPr="00592E0C" w:rsidRDefault="00411CF7" w:rsidP="00411CF7">
      <w:pPr>
        <w:jc w:val="both"/>
        <w:rPr>
          <w:rFonts w:ascii="Century Gothic" w:hAnsi="Century Gothic" w:cstheme="minorHAnsi"/>
          <w:sz w:val="20"/>
          <w:szCs w:val="20"/>
        </w:rPr>
      </w:pPr>
      <w:r w:rsidRPr="00592E0C">
        <w:rPr>
          <w:rFonts w:ascii="Century Gothic" w:hAnsi="Century Gothic" w:cstheme="minorHAnsi"/>
          <w:sz w:val="20"/>
          <w:szCs w:val="20"/>
        </w:rPr>
        <w:t>Source: Cleaned data on dependent income by activity (ISIC 4), gender, and income from self-employment still by sector and gender are obtained from EC-JRC.</w:t>
      </w:r>
    </w:p>
    <w:p w14:paraId="4BF6E7C8" w14:textId="77777777" w:rsidR="00411CF7" w:rsidRPr="00592E0C" w:rsidRDefault="00411CF7" w:rsidP="00592E0C">
      <w:pPr>
        <w:rPr>
          <w:rFonts w:ascii="Century Gothic" w:hAnsi="Century Gothic" w:cstheme="minorHAnsi"/>
          <w:sz w:val="20"/>
          <w:szCs w:val="20"/>
        </w:rPr>
        <w:sectPr w:rsidR="00411CF7" w:rsidRPr="00592E0C" w:rsidSect="00592E0C">
          <w:pgSz w:w="16840" w:h="11900" w:orient="landscape"/>
          <w:pgMar w:top="1440" w:right="1728" w:bottom="1008" w:left="1411" w:header="706" w:footer="706" w:gutter="0"/>
          <w:pgNumType w:start="42"/>
          <w:cols w:space="708"/>
          <w:docGrid w:linePitch="360"/>
        </w:sectPr>
      </w:pPr>
    </w:p>
    <w:p w14:paraId="25B52BA4" w14:textId="2AFBF5F3" w:rsidR="00411CF7" w:rsidRPr="00F4635D" w:rsidRDefault="00411CF7" w:rsidP="00F4635D">
      <w:pPr>
        <w:rPr>
          <w:rFonts w:ascii="Century Gothic" w:hAnsi="Century Gothic"/>
          <w:color w:val="0070C0"/>
        </w:rPr>
      </w:pPr>
      <w:r w:rsidRPr="00F4635D">
        <w:rPr>
          <w:rFonts w:ascii="Century Gothic" w:hAnsi="Century Gothic"/>
          <w:color w:val="0070C0"/>
        </w:rPr>
        <w:lastRenderedPageBreak/>
        <w:t>Appendix 3</w:t>
      </w:r>
    </w:p>
    <w:p w14:paraId="3258006E" w14:textId="77777777" w:rsidR="00411CF7" w:rsidRPr="00592E0C" w:rsidRDefault="00411CF7" w:rsidP="00EE3BED">
      <w:pPr>
        <w:spacing w:after="0" w:line="240" w:lineRule="auto"/>
        <w:jc w:val="center"/>
        <w:rPr>
          <w:rFonts w:ascii="Century Gothic" w:hAnsi="Century Gothic" w:cs="Times New Roman"/>
          <w:b/>
          <w:bCs/>
          <w:sz w:val="20"/>
          <w:szCs w:val="20"/>
        </w:rPr>
      </w:pPr>
      <w:r w:rsidRPr="00592E0C">
        <w:rPr>
          <w:rFonts w:ascii="Century Gothic" w:hAnsi="Century Gothic" w:cs="Times New Roman"/>
          <w:b/>
          <w:bCs/>
          <w:sz w:val="20"/>
          <w:szCs w:val="20"/>
        </w:rPr>
        <w:t>Labour and capital income share in Tanzania SAM</w:t>
      </w:r>
    </w:p>
    <w:p w14:paraId="75154B3B" w14:textId="77777777" w:rsidR="00411CF7" w:rsidRPr="00592E0C" w:rsidRDefault="00411CF7" w:rsidP="00411CF7">
      <w:pPr>
        <w:spacing w:after="0" w:line="240" w:lineRule="auto"/>
        <w:rPr>
          <w:rFonts w:ascii="Century Gothic" w:hAnsi="Century Gothic" w:cs="Times New Roman"/>
          <w:sz w:val="20"/>
          <w:szCs w:val="20"/>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232"/>
        <w:gridCol w:w="1230"/>
        <w:gridCol w:w="1201"/>
        <w:gridCol w:w="1232"/>
        <w:gridCol w:w="1802"/>
        <w:gridCol w:w="1232"/>
        <w:gridCol w:w="1246"/>
        <w:gridCol w:w="1201"/>
        <w:gridCol w:w="1501"/>
      </w:tblGrid>
      <w:tr w:rsidR="00592E0C" w:rsidRPr="00592E0C" w14:paraId="360434B0" w14:textId="77777777" w:rsidTr="000442BC">
        <w:trPr>
          <w:trHeight w:val="959"/>
        </w:trPr>
        <w:tc>
          <w:tcPr>
            <w:tcW w:w="1659" w:type="dxa"/>
            <w:tcBorders>
              <w:bottom w:val="single" w:sz="4" w:space="0" w:color="auto"/>
            </w:tcBorders>
            <w:shd w:val="clear" w:color="auto" w:fill="E7E6E6"/>
            <w:vAlign w:val="center"/>
          </w:tcPr>
          <w:p w14:paraId="4CF41D61" w14:textId="77777777" w:rsidR="00411CF7" w:rsidRPr="00592E0C" w:rsidRDefault="00411CF7" w:rsidP="000442BC">
            <w:pPr>
              <w:spacing w:after="0" w:line="240" w:lineRule="auto"/>
              <w:jc w:val="center"/>
              <w:rPr>
                <w:rFonts w:ascii="Century Gothic" w:eastAsia="Times New Roman" w:hAnsi="Century Gothic" w:cs="Times New Roman"/>
                <w:b/>
                <w:sz w:val="20"/>
                <w:szCs w:val="20"/>
              </w:rPr>
            </w:pPr>
            <w:r w:rsidRPr="00592E0C">
              <w:rPr>
                <w:rFonts w:ascii="Century Gothic" w:eastAsia="Times New Roman" w:hAnsi="Century Gothic" w:cs="Times New Roman"/>
                <w:b/>
                <w:sz w:val="20"/>
                <w:szCs w:val="20"/>
              </w:rPr>
              <w:t>Activity</w:t>
            </w:r>
          </w:p>
        </w:tc>
        <w:tc>
          <w:tcPr>
            <w:tcW w:w="1200" w:type="dxa"/>
            <w:tcBorders>
              <w:bottom w:val="single" w:sz="4" w:space="0" w:color="auto"/>
            </w:tcBorders>
            <w:shd w:val="clear" w:color="auto" w:fill="E7E6E6"/>
            <w:vAlign w:val="center"/>
          </w:tcPr>
          <w:p w14:paraId="4C17F152" w14:textId="77777777" w:rsidR="00411CF7" w:rsidRPr="00592E0C" w:rsidRDefault="00411CF7" w:rsidP="000442BC">
            <w:pPr>
              <w:spacing w:after="0" w:line="240" w:lineRule="auto"/>
              <w:jc w:val="center"/>
              <w:rPr>
                <w:rFonts w:ascii="Century Gothic" w:eastAsia="Times New Roman" w:hAnsi="Century Gothic" w:cs="Times New Roman"/>
                <w:b/>
                <w:sz w:val="20"/>
                <w:szCs w:val="20"/>
              </w:rPr>
            </w:pPr>
            <w:r w:rsidRPr="00592E0C">
              <w:rPr>
                <w:rFonts w:ascii="Century Gothic" w:eastAsia="Times New Roman" w:hAnsi="Century Gothic" w:cs="Times New Roman"/>
                <w:b/>
                <w:sz w:val="20"/>
                <w:szCs w:val="20"/>
              </w:rPr>
              <w:t>Labour intensity,%</w:t>
            </w:r>
          </w:p>
        </w:tc>
        <w:tc>
          <w:tcPr>
            <w:tcW w:w="1239" w:type="dxa"/>
            <w:tcBorders>
              <w:bottom w:val="single" w:sz="4" w:space="0" w:color="auto"/>
            </w:tcBorders>
            <w:shd w:val="clear" w:color="auto" w:fill="E7E6E6"/>
            <w:vAlign w:val="center"/>
          </w:tcPr>
          <w:p w14:paraId="4D91C3E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Female labour income intensity,%</w:t>
            </w:r>
          </w:p>
        </w:tc>
        <w:tc>
          <w:tcPr>
            <w:tcW w:w="1111" w:type="dxa"/>
            <w:tcBorders>
              <w:bottom w:val="single" w:sz="4" w:space="0" w:color="auto"/>
            </w:tcBorders>
            <w:shd w:val="clear" w:color="auto" w:fill="E7E6E6"/>
            <w:vAlign w:val="center"/>
          </w:tcPr>
          <w:p w14:paraId="6C14A0E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Male labour intensity,%</w:t>
            </w:r>
          </w:p>
        </w:tc>
        <w:tc>
          <w:tcPr>
            <w:tcW w:w="1200" w:type="dxa"/>
            <w:tcBorders>
              <w:bottom w:val="single" w:sz="4" w:space="0" w:color="auto"/>
            </w:tcBorders>
            <w:shd w:val="clear" w:color="auto" w:fill="E7E6E6"/>
            <w:vAlign w:val="center"/>
          </w:tcPr>
          <w:p w14:paraId="6E6E662F" w14:textId="77777777" w:rsidR="00411CF7" w:rsidRPr="00592E0C" w:rsidRDefault="00411CF7" w:rsidP="000442BC">
            <w:pPr>
              <w:spacing w:after="0" w:line="240" w:lineRule="auto"/>
              <w:jc w:val="center"/>
              <w:rPr>
                <w:rFonts w:ascii="Century Gothic" w:eastAsia="Times New Roman" w:hAnsi="Century Gothic" w:cs="Times New Roman"/>
                <w:b/>
                <w:sz w:val="20"/>
                <w:szCs w:val="20"/>
              </w:rPr>
            </w:pPr>
            <w:r w:rsidRPr="00592E0C">
              <w:rPr>
                <w:rFonts w:ascii="Century Gothic" w:eastAsia="Times New Roman" w:hAnsi="Century Gothic" w:cs="Times New Roman"/>
                <w:b/>
                <w:sz w:val="20"/>
                <w:szCs w:val="20"/>
              </w:rPr>
              <w:t>Capital intensity,%</w:t>
            </w:r>
          </w:p>
        </w:tc>
        <w:tc>
          <w:tcPr>
            <w:tcW w:w="1804" w:type="dxa"/>
            <w:tcBorders>
              <w:bottom w:val="single" w:sz="4" w:space="0" w:color="auto"/>
            </w:tcBorders>
            <w:shd w:val="clear" w:color="auto" w:fill="E7E6E6"/>
          </w:tcPr>
          <w:p w14:paraId="1C52FB02" w14:textId="77777777" w:rsidR="00411CF7" w:rsidRPr="00592E0C" w:rsidRDefault="00411CF7" w:rsidP="000442BC">
            <w:pPr>
              <w:spacing w:after="0" w:line="240" w:lineRule="auto"/>
              <w:jc w:val="center"/>
              <w:rPr>
                <w:rFonts w:ascii="Century Gothic" w:hAnsi="Century Gothic" w:cs="Times New Roman"/>
                <w:b/>
                <w:sz w:val="20"/>
                <w:szCs w:val="20"/>
              </w:rPr>
            </w:pPr>
          </w:p>
          <w:p w14:paraId="36743ECA" w14:textId="77777777" w:rsidR="00411CF7" w:rsidRPr="00592E0C" w:rsidRDefault="00411CF7" w:rsidP="000442BC">
            <w:pPr>
              <w:spacing w:after="0" w:line="240" w:lineRule="auto"/>
              <w:jc w:val="center"/>
              <w:rPr>
                <w:rFonts w:ascii="Century Gothic" w:hAnsi="Century Gothic" w:cs="Times New Roman"/>
                <w:b/>
                <w:sz w:val="20"/>
                <w:szCs w:val="20"/>
              </w:rPr>
            </w:pPr>
            <w:r w:rsidRPr="00592E0C">
              <w:rPr>
                <w:rFonts w:ascii="Century Gothic" w:hAnsi="Century Gothic" w:cs="Times New Roman"/>
                <w:b/>
                <w:sz w:val="20"/>
                <w:szCs w:val="20"/>
              </w:rPr>
              <w:t>Activity</w:t>
            </w:r>
          </w:p>
        </w:tc>
        <w:tc>
          <w:tcPr>
            <w:tcW w:w="1200" w:type="dxa"/>
            <w:tcBorders>
              <w:bottom w:val="single" w:sz="4" w:space="0" w:color="auto"/>
            </w:tcBorders>
            <w:shd w:val="clear" w:color="auto" w:fill="E7E6E6"/>
            <w:vAlign w:val="center"/>
          </w:tcPr>
          <w:p w14:paraId="249994AA" w14:textId="77777777" w:rsidR="00411CF7" w:rsidRPr="00592E0C" w:rsidRDefault="00411CF7" w:rsidP="000442BC">
            <w:pPr>
              <w:spacing w:after="0" w:line="240" w:lineRule="auto"/>
              <w:jc w:val="center"/>
              <w:rPr>
                <w:rFonts w:ascii="Century Gothic" w:eastAsia="Times New Roman" w:hAnsi="Century Gothic" w:cs="Times New Roman"/>
                <w:b/>
                <w:sz w:val="20"/>
                <w:szCs w:val="20"/>
              </w:rPr>
            </w:pPr>
            <w:r w:rsidRPr="00592E0C">
              <w:rPr>
                <w:rFonts w:ascii="Century Gothic" w:eastAsia="Times New Roman" w:hAnsi="Century Gothic" w:cs="Times New Roman"/>
                <w:b/>
                <w:sz w:val="20"/>
                <w:szCs w:val="20"/>
              </w:rPr>
              <w:t>Labour intensity,%</w:t>
            </w:r>
          </w:p>
        </w:tc>
        <w:tc>
          <w:tcPr>
            <w:tcW w:w="1261" w:type="dxa"/>
            <w:tcBorders>
              <w:bottom w:val="single" w:sz="4" w:space="0" w:color="auto"/>
            </w:tcBorders>
            <w:shd w:val="clear" w:color="auto" w:fill="E7E6E6"/>
            <w:vAlign w:val="center"/>
          </w:tcPr>
          <w:p w14:paraId="32E909F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Female labour income intensity,%</w:t>
            </w:r>
          </w:p>
        </w:tc>
        <w:tc>
          <w:tcPr>
            <w:tcW w:w="1200" w:type="dxa"/>
            <w:tcBorders>
              <w:bottom w:val="single" w:sz="4" w:space="0" w:color="auto"/>
            </w:tcBorders>
            <w:shd w:val="clear" w:color="auto" w:fill="E7E6E6"/>
            <w:vAlign w:val="center"/>
          </w:tcPr>
          <w:p w14:paraId="312FF1C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Male labour intensity,%</w:t>
            </w:r>
          </w:p>
        </w:tc>
        <w:tc>
          <w:tcPr>
            <w:tcW w:w="1588" w:type="dxa"/>
            <w:tcBorders>
              <w:bottom w:val="single" w:sz="4" w:space="0" w:color="auto"/>
            </w:tcBorders>
            <w:shd w:val="clear" w:color="auto" w:fill="E7E6E6"/>
            <w:vAlign w:val="center"/>
          </w:tcPr>
          <w:p w14:paraId="175BC0E8" w14:textId="77777777" w:rsidR="00411CF7" w:rsidRPr="00592E0C" w:rsidRDefault="00411CF7" w:rsidP="000442BC">
            <w:pPr>
              <w:spacing w:after="0" w:line="240" w:lineRule="auto"/>
              <w:jc w:val="center"/>
              <w:rPr>
                <w:rFonts w:ascii="Century Gothic" w:eastAsia="Times New Roman" w:hAnsi="Century Gothic" w:cs="Times New Roman"/>
                <w:b/>
                <w:sz w:val="20"/>
                <w:szCs w:val="20"/>
              </w:rPr>
            </w:pPr>
            <w:r w:rsidRPr="00592E0C">
              <w:rPr>
                <w:rFonts w:ascii="Century Gothic" w:eastAsia="Times New Roman" w:hAnsi="Century Gothic" w:cs="Times New Roman"/>
                <w:b/>
                <w:sz w:val="20"/>
                <w:szCs w:val="20"/>
              </w:rPr>
              <w:t>Capital intensity,%</w:t>
            </w:r>
          </w:p>
        </w:tc>
      </w:tr>
      <w:tr w:rsidR="00592E0C" w:rsidRPr="00592E0C" w14:paraId="0F985AAF"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A660473"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Maize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6C598A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17.2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57F0A1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5B263F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9.5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7B1547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82.8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390153DC"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Fats and vegetable processing</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FAEC7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F4EB7B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9EAFEE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742252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92.5</w:t>
            </w:r>
          </w:p>
        </w:tc>
      </w:tr>
      <w:tr w:rsidR="00592E0C" w:rsidRPr="00592E0C" w14:paraId="3355AB5F"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2DB954F"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Sorghum and millet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CFBD836"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13.3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4A2414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5FAFC47E"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512055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86.7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4F63C634"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Fish processing</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1B78C7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29.9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9936C7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10.1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7B511E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19.8</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87BE03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70.1</w:t>
            </w:r>
          </w:p>
        </w:tc>
      </w:tr>
      <w:tr w:rsidR="00592E0C" w:rsidRPr="00592E0C" w14:paraId="2055B985"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89C2BFB"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Rice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A503F8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16.8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3A22E4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4FD64CE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9.2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B5053F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83.2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03B1163A"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Dairy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BAE623F"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20.8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BFBE70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9DBA13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13.8</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9C5478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79.2</w:t>
            </w:r>
          </w:p>
        </w:tc>
      </w:tr>
      <w:tr w:rsidR="00592E0C" w:rsidRPr="00592E0C" w14:paraId="07681840" w14:textId="77777777" w:rsidTr="000442BC">
        <w:trPr>
          <w:trHeight w:val="301"/>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3BAF511"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Wheat and burley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658472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21.6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3AF2D1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9.7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261977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11.9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4FD388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78.4</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16D7938"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Grain milling</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FD01056"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19.4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C0FBFE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34118B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35D252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80.6</w:t>
            </w:r>
          </w:p>
        </w:tc>
      </w:tr>
      <w:tr w:rsidR="00592E0C" w:rsidRPr="00592E0C" w14:paraId="7F5D12F6"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F770E1D"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cereals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65579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27.3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BDDE24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A3F380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6563EA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72.7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5ADCD0F"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Sugar refining</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7A063C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F1FE2D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54F2CE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979592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90.6</w:t>
            </w:r>
          </w:p>
        </w:tc>
      </w:tr>
      <w:tr w:rsidR="00592E0C" w:rsidRPr="00592E0C" w14:paraId="39FB6798"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0AD6E9D"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Pulses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87951A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37.1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13D6A1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16.6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C1C2E6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20.4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02CFFC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62.9</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595D77BE"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foods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1C796E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17.8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0F607B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9920C6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2F2DC5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82.2</w:t>
            </w:r>
          </w:p>
        </w:tc>
      </w:tr>
      <w:tr w:rsidR="00592E0C" w:rsidRPr="00592E0C" w14:paraId="2FB9674A"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CC20D55"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Groundnuts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B8661E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36.3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D67983E"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16.3</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A483F8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0B97F3F"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63.7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7537B11"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Animal feed</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8A4F33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41.0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B13A67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13.8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BE5745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27.2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CAC796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59.0</w:t>
            </w:r>
          </w:p>
        </w:tc>
      </w:tr>
      <w:tr w:rsidR="00592E0C" w:rsidRPr="00592E0C" w14:paraId="6A078341"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6BC4ED5"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 Oil seeds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129302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428011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5DBE6B1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D1EC00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65.5</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4FBA67C5"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Luxury foodstuff</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D2BE17C"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17.7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776219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9F4A6D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9B1EE1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82.3</w:t>
            </w:r>
          </w:p>
        </w:tc>
      </w:tr>
      <w:tr w:rsidR="00592E0C" w:rsidRPr="00592E0C" w14:paraId="259FA813"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D433678"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Cassava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68D7BF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48.9</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CD9EC4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21.9</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F49499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27.0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997EBE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51.1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34411D63"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Times New Roman" w:hAnsi="Century Gothic" w:cs="Times New Roman"/>
                <w:sz w:val="20"/>
                <w:szCs w:val="20"/>
              </w:rPr>
              <w:t>Paper and leather products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111221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33.8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9560FB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5A4E7C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22.4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25B5A3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66.2</w:t>
            </w:r>
          </w:p>
        </w:tc>
      </w:tr>
      <w:tr w:rsidR="00592E0C" w:rsidRPr="00592E0C" w14:paraId="07B59B5E"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8FFA310"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roots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1F859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63.6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E53BCC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28.5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3D7D10F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01480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36.4</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0633E12D"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Chemicals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F521F2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16.1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C82785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44FC0B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2A10E7C"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83.9</w:t>
            </w:r>
          </w:p>
        </w:tc>
      </w:tr>
      <w:tr w:rsidR="00592E0C" w:rsidRPr="00592E0C" w14:paraId="68C1FC56"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D162356"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Vegetables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556914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51128D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14.5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E5983B9"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17.8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B1F171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67.7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2C5A0C1"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Non metal minerals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2B4C5F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19.4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C1B2A89"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93B9E2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F2E92C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80.6</w:t>
            </w:r>
          </w:p>
        </w:tc>
      </w:tr>
      <w:tr w:rsidR="00592E0C" w:rsidRPr="00592E0C" w14:paraId="751136D3"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4FA6ED8"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Sugar cane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67B3B1F"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41.9</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097E869"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18.8</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5EBBB6F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23.1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266419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58.1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07EF6E2A"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Metal</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762041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29.0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643E775"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9.7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6134C1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D5A1CD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71.0</w:t>
            </w:r>
          </w:p>
        </w:tc>
      </w:tr>
      <w:tr w:rsidR="00592E0C" w:rsidRPr="00592E0C" w14:paraId="537B3AFB"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0712AE0"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Cotton and fibre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0868E5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49.9</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50F9DE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22.4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32ABD1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27.5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9A58D9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50.1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7F3609C9"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Manufacturing</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72267B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20.4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DF2CA7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6.9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64D833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13.6</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6B0460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79.6</w:t>
            </w:r>
          </w:p>
        </w:tc>
      </w:tr>
      <w:tr w:rsidR="00592E0C" w:rsidRPr="00592E0C" w14:paraId="44540D3D"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992911E"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Fruits and nuts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6D5EEE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36.0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83A3CC7"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16.1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D3A6E9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5B2727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64.0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79DD7174"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Machinery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F565A8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40.3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EDB38A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B19D33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26.7</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8C979D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59.7</w:t>
            </w:r>
          </w:p>
        </w:tc>
      </w:tr>
      <w:tr w:rsidR="00592E0C" w:rsidRPr="00592E0C" w14:paraId="5EC5BC2F"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78CB8B8"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Cash crops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C9769B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45.9</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7BEBF5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20.6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BC0034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25.3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04A0F4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54.1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743842CC"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Electricity, gas, and steam</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D67749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56.5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4EF73E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13D6817"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54.1</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BCEFCD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43.5</w:t>
            </w:r>
          </w:p>
        </w:tc>
      </w:tr>
      <w:tr w:rsidR="00592E0C" w:rsidRPr="00592E0C" w14:paraId="488E2C66"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2D1443E"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Tea leaves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133F15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51.2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0BD6E65"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23.0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4E40D47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28.2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82470F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48.8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90D8380"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Water supply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67A96F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45.3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7FDACC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9D98F6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32.5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A60399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54.7</w:t>
            </w:r>
          </w:p>
        </w:tc>
      </w:tr>
      <w:tr w:rsidR="00592E0C" w:rsidRPr="00592E0C" w14:paraId="09C0D72F"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14A1708"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Cut flowers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262367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28.0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CCF7127"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D34D8C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F6D54F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72.0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406229C7"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Construction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0E9962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74.1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C322E5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C29513E"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72.3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81E9ED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25.9</w:t>
            </w:r>
          </w:p>
        </w:tc>
      </w:tr>
      <w:tr w:rsidR="00592E0C" w:rsidRPr="00592E0C" w14:paraId="0230D9C2"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60BCC36"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crops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DA61EE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29.8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8FCD50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13.4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685DF4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16.4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8D2E64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70.2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3DD922EF"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Trade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E1E0F4D"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63.1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23DED1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CBC74D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36.4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4DA9FC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36.9</w:t>
            </w:r>
          </w:p>
        </w:tc>
      </w:tr>
      <w:tr w:rsidR="00592E0C" w:rsidRPr="00592E0C" w14:paraId="7DA1D77E"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71EA525"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lastRenderedPageBreak/>
              <w:t>Cattle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DB242B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34.0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AB6B29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DEDF63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D0C6284"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66.0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3F2C5292"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Transport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268851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41.6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EC71D0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7B13C3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40.5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55F8C9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58.4</w:t>
            </w:r>
          </w:p>
        </w:tc>
      </w:tr>
      <w:tr w:rsidR="00592E0C" w:rsidRPr="00592E0C" w14:paraId="7DDBDD4D"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4D4FE06"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Raw milk</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A2212C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39.6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836698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17.8</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A7A493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21.9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057842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60.4</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8764082"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Hotel and Restaurants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B95A1C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53.9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66D28D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4C575A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12.4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63EAF6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46.1</w:t>
            </w:r>
          </w:p>
        </w:tc>
      </w:tr>
      <w:tr w:rsidR="00592E0C" w:rsidRPr="00592E0C" w14:paraId="62354721"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6C5DFD6"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Small ruminants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029012A"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42.5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01E7BCD"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C80559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23.4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26168B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57.5</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5DF9FD0E"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Communication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A6DE91C"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23.9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594CE0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8AFFFB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18.8</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2F1D2E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76.1</w:t>
            </w:r>
          </w:p>
        </w:tc>
      </w:tr>
      <w:tr w:rsidR="00592E0C" w:rsidRPr="00592E0C" w14:paraId="08E042DF"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0F69AF3"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Poultry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FA32D9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32.2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2183D5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14.5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6F508E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17.8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163031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67.8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79A720"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Finance and insurance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C0D4B7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39.6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5141F9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00BDEA3"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21.0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268C87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60.4</w:t>
            </w:r>
          </w:p>
        </w:tc>
      </w:tr>
      <w:tr w:rsidR="00592E0C" w:rsidRPr="00592E0C" w14:paraId="45A30EE6"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E72283A"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livestock</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C7E00E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41.2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8F6096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1D2B3C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B48B4B4"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58.8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7F490477"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Real estate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F3D42B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C35589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594B190"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5.7</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46C9BD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92.4</w:t>
            </w:r>
          </w:p>
        </w:tc>
      </w:tr>
      <w:tr w:rsidR="00592E0C" w:rsidRPr="00592E0C" w14:paraId="12D46BCD"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B7F6333"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Forestry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10D669C"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80.6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A26224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36.2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3FE9D39"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44.4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9E24A0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19.4</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793EE2D4"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Business services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C90DB9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94.4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C463F4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DF72D0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79.3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E8797B9"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5.6</w:t>
            </w:r>
          </w:p>
        </w:tc>
      </w:tr>
      <w:tr w:rsidR="00592E0C" w:rsidRPr="00592E0C" w14:paraId="3B830D91" w14:textId="77777777" w:rsidTr="000442B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A3857E8"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 xml:space="preserve">Fishing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E91679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54.4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B3F5BD4"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24.4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8B29D4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74938D0"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45.6</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F1552FC"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Public administration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01D7C12"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96.6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62D6F05"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15.3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808DA4C"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81.3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6AB7A6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3.4</w:t>
            </w:r>
          </w:p>
        </w:tc>
      </w:tr>
      <w:tr w:rsidR="00592E0C" w:rsidRPr="00592E0C" w14:paraId="532AF01F" w14:textId="77777777" w:rsidTr="000442BC">
        <w:tc>
          <w:tcPr>
            <w:tcW w:w="1659" w:type="dxa"/>
            <w:tcBorders>
              <w:top w:val="single" w:sz="4" w:space="0" w:color="auto"/>
            </w:tcBorders>
            <w:shd w:val="clear" w:color="auto" w:fill="auto"/>
            <w:vAlign w:val="center"/>
          </w:tcPr>
          <w:p w14:paraId="2DAC5934"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Tuna fishing</w:t>
            </w:r>
          </w:p>
        </w:tc>
        <w:tc>
          <w:tcPr>
            <w:tcW w:w="1200" w:type="dxa"/>
            <w:tcBorders>
              <w:top w:val="single" w:sz="4" w:space="0" w:color="auto"/>
            </w:tcBorders>
            <w:shd w:val="clear" w:color="auto" w:fill="auto"/>
            <w:vAlign w:val="center"/>
          </w:tcPr>
          <w:p w14:paraId="47E6FE73"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57.6</w:t>
            </w:r>
          </w:p>
        </w:tc>
        <w:tc>
          <w:tcPr>
            <w:tcW w:w="1239" w:type="dxa"/>
            <w:tcBorders>
              <w:top w:val="single" w:sz="4" w:space="0" w:color="auto"/>
            </w:tcBorders>
            <w:shd w:val="clear" w:color="auto" w:fill="auto"/>
            <w:vAlign w:val="center"/>
          </w:tcPr>
          <w:p w14:paraId="03BC6476"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25.8</w:t>
            </w:r>
          </w:p>
        </w:tc>
        <w:tc>
          <w:tcPr>
            <w:tcW w:w="1111" w:type="dxa"/>
            <w:tcBorders>
              <w:top w:val="single" w:sz="4" w:space="0" w:color="auto"/>
            </w:tcBorders>
            <w:shd w:val="clear" w:color="auto" w:fill="auto"/>
            <w:vAlign w:val="center"/>
          </w:tcPr>
          <w:p w14:paraId="6D66BECF"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31.7</w:t>
            </w:r>
          </w:p>
        </w:tc>
        <w:tc>
          <w:tcPr>
            <w:tcW w:w="1200" w:type="dxa"/>
            <w:tcBorders>
              <w:top w:val="single" w:sz="4" w:space="0" w:color="auto"/>
            </w:tcBorders>
            <w:shd w:val="clear" w:color="auto" w:fill="auto"/>
            <w:vAlign w:val="center"/>
          </w:tcPr>
          <w:p w14:paraId="19B2F108"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42.4</w:t>
            </w:r>
          </w:p>
        </w:tc>
        <w:tc>
          <w:tcPr>
            <w:tcW w:w="1804" w:type="dxa"/>
            <w:tcBorders>
              <w:top w:val="single" w:sz="4" w:space="0" w:color="auto"/>
            </w:tcBorders>
            <w:shd w:val="clear" w:color="auto" w:fill="auto"/>
            <w:vAlign w:val="center"/>
          </w:tcPr>
          <w:p w14:paraId="00D56DB1"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Education</w:t>
            </w:r>
          </w:p>
        </w:tc>
        <w:tc>
          <w:tcPr>
            <w:tcW w:w="1200" w:type="dxa"/>
            <w:tcBorders>
              <w:top w:val="single" w:sz="4" w:space="0" w:color="auto"/>
            </w:tcBorders>
            <w:shd w:val="clear" w:color="auto" w:fill="auto"/>
            <w:vAlign w:val="center"/>
          </w:tcPr>
          <w:p w14:paraId="16DDD21B"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97.2</w:t>
            </w:r>
          </w:p>
        </w:tc>
        <w:tc>
          <w:tcPr>
            <w:tcW w:w="1261" w:type="dxa"/>
            <w:tcBorders>
              <w:top w:val="single" w:sz="4" w:space="0" w:color="auto"/>
            </w:tcBorders>
            <w:shd w:val="clear" w:color="auto" w:fill="auto"/>
            <w:vAlign w:val="center"/>
          </w:tcPr>
          <w:p w14:paraId="56D20F2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41.0</w:t>
            </w:r>
          </w:p>
        </w:tc>
        <w:tc>
          <w:tcPr>
            <w:tcW w:w="1200" w:type="dxa"/>
            <w:tcBorders>
              <w:top w:val="single" w:sz="4" w:space="0" w:color="auto"/>
            </w:tcBorders>
            <w:shd w:val="clear" w:color="auto" w:fill="auto"/>
            <w:vAlign w:val="center"/>
          </w:tcPr>
          <w:p w14:paraId="539B489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56.2</w:t>
            </w:r>
          </w:p>
        </w:tc>
        <w:tc>
          <w:tcPr>
            <w:tcW w:w="1588" w:type="dxa"/>
            <w:tcBorders>
              <w:top w:val="single" w:sz="4" w:space="0" w:color="auto"/>
            </w:tcBorders>
            <w:shd w:val="clear" w:color="auto" w:fill="auto"/>
            <w:vAlign w:val="center"/>
          </w:tcPr>
          <w:p w14:paraId="073D3BC7"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2.8</w:t>
            </w:r>
          </w:p>
        </w:tc>
      </w:tr>
      <w:tr w:rsidR="00592E0C" w:rsidRPr="00592E0C" w14:paraId="36DF5127" w14:textId="77777777" w:rsidTr="000442BC">
        <w:tc>
          <w:tcPr>
            <w:tcW w:w="1659" w:type="dxa"/>
            <w:shd w:val="clear" w:color="auto" w:fill="auto"/>
            <w:vAlign w:val="center"/>
          </w:tcPr>
          <w:p w14:paraId="314AC342"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Mining</w:t>
            </w:r>
          </w:p>
        </w:tc>
        <w:tc>
          <w:tcPr>
            <w:tcW w:w="1200" w:type="dxa"/>
            <w:shd w:val="clear" w:color="auto" w:fill="auto"/>
            <w:vAlign w:val="center"/>
          </w:tcPr>
          <w:p w14:paraId="1C318755"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22.5</w:t>
            </w:r>
          </w:p>
        </w:tc>
        <w:tc>
          <w:tcPr>
            <w:tcW w:w="1239" w:type="dxa"/>
            <w:shd w:val="clear" w:color="auto" w:fill="auto"/>
            <w:vAlign w:val="center"/>
          </w:tcPr>
          <w:p w14:paraId="33217EE1"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3.9</w:t>
            </w:r>
          </w:p>
        </w:tc>
        <w:tc>
          <w:tcPr>
            <w:tcW w:w="1111" w:type="dxa"/>
            <w:shd w:val="clear" w:color="auto" w:fill="auto"/>
            <w:vAlign w:val="center"/>
          </w:tcPr>
          <w:p w14:paraId="270D3DA7"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18.7</w:t>
            </w:r>
          </w:p>
        </w:tc>
        <w:tc>
          <w:tcPr>
            <w:tcW w:w="1200" w:type="dxa"/>
            <w:shd w:val="clear" w:color="auto" w:fill="auto"/>
            <w:vAlign w:val="center"/>
          </w:tcPr>
          <w:p w14:paraId="4203072F"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77.5</w:t>
            </w:r>
          </w:p>
        </w:tc>
        <w:tc>
          <w:tcPr>
            <w:tcW w:w="1804" w:type="dxa"/>
            <w:shd w:val="clear" w:color="auto" w:fill="auto"/>
            <w:vAlign w:val="center"/>
          </w:tcPr>
          <w:p w14:paraId="093775E9"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Health</w:t>
            </w:r>
          </w:p>
        </w:tc>
        <w:tc>
          <w:tcPr>
            <w:tcW w:w="1200" w:type="dxa"/>
            <w:shd w:val="clear" w:color="auto" w:fill="auto"/>
            <w:vAlign w:val="center"/>
          </w:tcPr>
          <w:p w14:paraId="2FB32B56"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97.2</w:t>
            </w:r>
          </w:p>
        </w:tc>
        <w:tc>
          <w:tcPr>
            <w:tcW w:w="1261" w:type="dxa"/>
            <w:shd w:val="clear" w:color="auto" w:fill="auto"/>
            <w:vAlign w:val="center"/>
          </w:tcPr>
          <w:p w14:paraId="079244DB"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47.9</w:t>
            </w:r>
          </w:p>
        </w:tc>
        <w:tc>
          <w:tcPr>
            <w:tcW w:w="1200" w:type="dxa"/>
            <w:shd w:val="clear" w:color="auto" w:fill="auto"/>
            <w:vAlign w:val="center"/>
          </w:tcPr>
          <w:p w14:paraId="11684B65"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49.3</w:t>
            </w:r>
          </w:p>
        </w:tc>
        <w:tc>
          <w:tcPr>
            <w:tcW w:w="1588" w:type="dxa"/>
            <w:shd w:val="clear" w:color="auto" w:fill="auto"/>
            <w:vAlign w:val="center"/>
          </w:tcPr>
          <w:p w14:paraId="69212041"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2.8</w:t>
            </w:r>
          </w:p>
        </w:tc>
      </w:tr>
      <w:tr w:rsidR="00592E0C" w:rsidRPr="00592E0C" w14:paraId="3EE9E6F1" w14:textId="77777777" w:rsidTr="000442BC">
        <w:tc>
          <w:tcPr>
            <w:tcW w:w="1659" w:type="dxa"/>
            <w:shd w:val="clear" w:color="auto" w:fill="auto"/>
            <w:vAlign w:val="center"/>
          </w:tcPr>
          <w:p w14:paraId="30392274" w14:textId="77777777" w:rsidR="00411CF7" w:rsidRPr="00592E0C" w:rsidRDefault="00411CF7" w:rsidP="000442BC">
            <w:pPr>
              <w:spacing w:after="0" w:line="240" w:lineRule="auto"/>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Meat processing</w:t>
            </w:r>
          </w:p>
        </w:tc>
        <w:tc>
          <w:tcPr>
            <w:tcW w:w="1200" w:type="dxa"/>
            <w:shd w:val="clear" w:color="auto" w:fill="auto"/>
            <w:vAlign w:val="center"/>
          </w:tcPr>
          <w:p w14:paraId="1AEB9B74"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8.7</w:t>
            </w:r>
          </w:p>
        </w:tc>
        <w:tc>
          <w:tcPr>
            <w:tcW w:w="1239" w:type="dxa"/>
            <w:shd w:val="clear" w:color="auto" w:fill="auto"/>
            <w:vAlign w:val="center"/>
          </w:tcPr>
          <w:p w14:paraId="5BB7666A"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2.9</w:t>
            </w:r>
          </w:p>
        </w:tc>
        <w:tc>
          <w:tcPr>
            <w:tcW w:w="1111" w:type="dxa"/>
            <w:shd w:val="clear" w:color="auto" w:fill="auto"/>
            <w:vAlign w:val="center"/>
          </w:tcPr>
          <w:p w14:paraId="25E0CFF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5.8</w:t>
            </w:r>
          </w:p>
        </w:tc>
        <w:tc>
          <w:tcPr>
            <w:tcW w:w="1200" w:type="dxa"/>
            <w:shd w:val="clear" w:color="auto" w:fill="auto"/>
            <w:vAlign w:val="center"/>
          </w:tcPr>
          <w:p w14:paraId="3C97204E"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91.3</w:t>
            </w:r>
          </w:p>
        </w:tc>
        <w:tc>
          <w:tcPr>
            <w:tcW w:w="1804" w:type="dxa"/>
            <w:shd w:val="clear" w:color="auto" w:fill="auto"/>
            <w:vAlign w:val="center"/>
          </w:tcPr>
          <w:p w14:paraId="0CBF278E" w14:textId="77777777" w:rsidR="00411CF7" w:rsidRPr="00592E0C" w:rsidRDefault="00411CF7" w:rsidP="000442BC">
            <w:pPr>
              <w:spacing w:after="0" w:line="240" w:lineRule="auto"/>
              <w:jc w:val="both"/>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Other services</w:t>
            </w:r>
          </w:p>
        </w:tc>
        <w:tc>
          <w:tcPr>
            <w:tcW w:w="1200" w:type="dxa"/>
            <w:shd w:val="clear" w:color="auto" w:fill="auto"/>
            <w:vAlign w:val="center"/>
          </w:tcPr>
          <w:p w14:paraId="1C5D368C"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69.8</w:t>
            </w:r>
          </w:p>
        </w:tc>
        <w:tc>
          <w:tcPr>
            <w:tcW w:w="1261" w:type="dxa"/>
            <w:shd w:val="clear" w:color="auto" w:fill="auto"/>
            <w:vAlign w:val="center"/>
          </w:tcPr>
          <w:p w14:paraId="3F026908"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42.3</w:t>
            </w:r>
          </w:p>
        </w:tc>
        <w:tc>
          <w:tcPr>
            <w:tcW w:w="1200" w:type="dxa"/>
            <w:shd w:val="clear" w:color="auto" w:fill="auto"/>
            <w:vAlign w:val="center"/>
          </w:tcPr>
          <w:p w14:paraId="5A843F62" w14:textId="77777777" w:rsidR="00411CF7" w:rsidRPr="00592E0C" w:rsidRDefault="00411CF7" w:rsidP="000442BC">
            <w:pPr>
              <w:spacing w:after="0" w:line="240" w:lineRule="auto"/>
              <w:jc w:val="center"/>
              <w:rPr>
                <w:rFonts w:ascii="Century Gothic" w:eastAsia="Times New Roman" w:hAnsi="Century Gothic" w:cs="Times New Roman"/>
                <w:i/>
                <w:sz w:val="20"/>
                <w:szCs w:val="20"/>
              </w:rPr>
            </w:pPr>
            <w:r w:rsidRPr="00592E0C">
              <w:rPr>
                <w:rFonts w:ascii="Century Gothic" w:eastAsia="Times New Roman" w:hAnsi="Century Gothic" w:cs="Times New Roman"/>
                <w:i/>
                <w:sz w:val="20"/>
                <w:szCs w:val="20"/>
              </w:rPr>
              <w:t>27.5</w:t>
            </w:r>
          </w:p>
        </w:tc>
        <w:tc>
          <w:tcPr>
            <w:tcW w:w="1588" w:type="dxa"/>
            <w:shd w:val="clear" w:color="auto" w:fill="auto"/>
            <w:vAlign w:val="center"/>
          </w:tcPr>
          <w:p w14:paraId="1E806686" w14:textId="77777777" w:rsidR="00411CF7" w:rsidRPr="00592E0C" w:rsidRDefault="00411CF7" w:rsidP="000442BC">
            <w:pPr>
              <w:spacing w:after="0" w:line="240" w:lineRule="auto"/>
              <w:jc w:val="center"/>
              <w:rPr>
                <w:rFonts w:ascii="Century Gothic" w:eastAsia="Times New Roman" w:hAnsi="Century Gothic" w:cs="Times New Roman"/>
                <w:sz w:val="20"/>
                <w:szCs w:val="20"/>
              </w:rPr>
            </w:pPr>
            <w:r w:rsidRPr="00592E0C">
              <w:rPr>
                <w:rFonts w:ascii="Century Gothic" w:eastAsia="Times New Roman" w:hAnsi="Century Gothic" w:cs="Times New Roman"/>
                <w:sz w:val="20"/>
                <w:szCs w:val="20"/>
              </w:rPr>
              <w:t>30.2</w:t>
            </w:r>
          </w:p>
        </w:tc>
      </w:tr>
    </w:tbl>
    <w:p w14:paraId="2E4D713C" w14:textId="77777777" w:rsidR="00411CF7" w:rsidRPr="00592E0C" w:rsidRDefault="00411CF7" w:rsidP="00411CF7">
      <w:pPr>
        <w:spacing w:after="0" w:line="240" w:lineRule="auto"/>
        <w:rPr>
          <w:rFonts w:ascii="Century Gothic" w:hAnsi="Century Gothic" w:cs="Times New Roman"/>
          <w:sz w:val="20"/>
          <w:szCs w:val="20"/>
        </w:rPr>
      </w:pPr>
      <w:r w:rsidRPr="00592E0C">
        <w:rPr>
          <w:rFonts w:ascii="Century Gothic" w:hAnsi="Century Gothic" w:cs="Times New Roman"/>
          <w:sz w:val="20"/>
          <w:szCs w:val="20"/>
        </w:rPr>
        <w:t>Source: author’s calculations based on the updated 2019 Tanzanian SAM (Randriamamonjy and Thurlow , 2017)</w:t>
      </w:r>
    </w:p>
    <w:p w14:paraId="6BFDE1C9" w14:textId="77777777" w:rsidR="00411CF7" w:rsidRPr="00592E0C" w:rsidRDefault="00411CF7" w:rsidP="00411CF7">
      <w:pPr>
        <w:spacing w:after="0" w:line="240" w:lineRule="auto"/>
        <w:outlineLvl w:val="0"/>
        <w:rPr>
          <w:rFonts w:ascii="Century Gothic" w:hAnsi="Century Gothic" w:cs="Times New Roman"/>
          <w:sz w:val="20"/>
          <w:szCs w:val="20"/>
        </w:rPr>
      </w:pPr>
    </w:p>
    <w:p w14:paraId="05CBD7CE" w14:textId="77777777" w:rsidR="00411CF7" w:rsidRPr="00592E0C" w:rsidRDefault="00411CF7" w:rsidP="00411CF7">
      <w:pPr>
        <w:spacing w:after="0" w:line="240" w:lineRule="auto"/>
        <w:outlineLvl w:val="0"/>
        <w:rPr>
          <w:rFonts w:ascii="Century Gothic" w:hAnsi="Century Gothic" w:cs="Times New Roman"/>
          <w:sz w:val="20"/>
          <w:szCs w:val="20"/>
        </w:rPr>
      </w:pPr>
    </w:p>
    <w:p w14:paraId="7822B002" w14:textId="77777777" w:rsidR="00411CF7" w:rsidRPr="00592E0C" w:rsidRDefault="00411CF7" w:rsidP="00411CF7">
      <w:pPr>
        <w:spacing w:after="0" w:line="240" w:lineRule="auto"/>
        <w:outlineLvl w:val="0"/>
        <w:rPr>
          <w:rFonts w:ascii="Century Gothic" w:hAnsi="Century Gothic" w:cs="Times New Roman"/>
          <w:sz w:val="20"/>
          <w:szCs w:val="20"/>
        </w:rPr>
        <w:sectPr w:rsidR="00411CF7" w:rsidRPr="00592E0C" w:rsidSect="000442BC">
          <w:pgSz w:w="16840" w:h="11900" w:orient="landscape"/>
          <w:pgMar w:top="1701" w:right="1134" w:bottom="850" w:left="1134" w:header="708" w:footer="708" w:gutter="0"/>
          <w:cols w:space="708"/>
          <w:docGrid w:linePitch="360"/>
        </w:sectPr>
      </w:pPr>
    </w:p>
    <w:p w14:paraId="65C72314" w14:textId="77777777" w:rsidR="00411CF7" w:rsidRPr="00A844F4" w:rsidRDefault="00411CF7" w:rsidP="00411CF7">
      <w:pPr>
        <w:spacing w:after="0" w:line="240" w:lineRule="auto"/>
        <w:outlineLvl w:val="0"/>
        <w:rPr>
          <w:rFonts w:ascii="Times New Roman" w:hAnsi="Times New Roman" w:cs="Times New Roman"/>
          <w:color w:val="323E4F" w:themeColor="text2" w:themeShade="BF"/>
        </w:rPr>
      </w:pPr>
    </w:p>
    <w:p w14:paraId="239994E7" w14:textId="77777777" w:rsidR="00411CF7" w:rsidRPr="00F4635D" w:rsidRDefault="00411CF7" w:rsidP="00F4635D">
      <w:pPr>
        <w:rPr>
          <w:rFonts w:ascii="Century Gothic" w:hAnsi="Century Gothic"/>
          <w:color w:val="0070C0"/>
        </w:rPr>
      </w:pPr>
      <w:bookmarkStart w:id="34" w:name="_Toc93491327"/>
      <w:bookmarkStart w:id="35" w:name="_Toc93491946"/>
      <w:bookmarkStart w:id="36" w:name="_Toc93501735"/>
      <w:bookmarkStart w:id="37" w:name="_Toc93502085"/>
      <w:r w:rsidRPr="00F4635D">
        <w:rPr>
          <w:rFonts w:ascii="Century Gothic" w:hAnsi="Century Gothic"/>
          <w:color w:val="0070C0"/>
        </w:rPr>
        <w:t xml:space="preserve">Appendix </w:t>
      </w:r>
      <w:bookmarkEnd w:id="34"/>
      <w:bookmarkEnd w:id="35"/>
      <w:bookmarkEnd w:id="36"/>
      <w:bookmarkEnd w:id="37"/>
      <w:r w:rsidRPr="00F4635D">
        <w:rPr>
          <w:rFonts w:ascii="Century Gothic" w:hAnsi="Century Gothic"/>
          <w:color w:val="0070C0"/>
        </w:rPr>
        <w:t>4</w:t>
      </w:r>
    </w:p>
    <w:p w14:paraId="55F22534" w14:textId="69CEDB95" w:rsidR="00411CF7" w:rsidRPr="00592E0C" w:rsidRDefault="00411CF7" w:rsidP="00592E0C">
      <w:pPr>
        <w:spacing w:after="0" w:line="240" w:lineRule="auto"/>
        <w:jc w:val="center"/>
        <w:rPr>
          <w:rFonts w:ascii="Century Gothic" w:hAnsi="Century Gothic" w:cs="Times New Roman"/>
          <w:b/>
          <w:bCs/>
          <w:color w:val="000000" w:themeColor="text1"/>
          <w:sz w:val="20"/>
          <w:szCs w:val="20"/>
        </w:rPr>
      </w:pPr>
      <w:r w:rsidRPr="00592E0C">
        <w:rPr>
          <w:rFonts w:ascii="Century Gothic" w:hAnsi="Century Gothic" w:cs="Times New Roman"/>
          <w:b/>
          <w:bCs/>
          <w:color w:val="000000" w:themeColor="text1"/>
          <w:sz w:val="20"/>
          <w:szCs w:val="20"/>
        </w:rPr>
        <w:t>Sectoral composition of factor earnings (%)</w:t>
      </w:r>
    </w:p>
    <w:tbl>
      <w:tblPr>
        <w:tblW w:w="9085" w:type="dxa"/>
        <w:tblLayout w:type="fixed"/>
        <w:tblLook w:val="04A0" w:firstRow="1" w:lastRow="0" w:firstColumn="1" w:lastColumn="0" w:noHBand="0" w:noVBand="1"/>
      </w:tblPr>
      <w:tblGrid>
        <w:gridCol w:w="1794"/>
        <w:gridCol w:w="1070"/>
        <w:gridCol w:w="992"/>
        <w:gridCol w:w="817"/>
        <w:gridCol w:w="1134"/>
        <w:gridCol w:w="851"/>
        <w:gridCol w:w="992"/>
        <w:gridCol w:w="1435"/>
      </w:tblGrid>
      <w:tr w:rsidR="00592E0C" w:rsidRPr="00592E0C" w14:paraId="121F14C5" w14:textId="77777777" w:rsidTr="00592E0C">
        <w:trPr>
          <w:trHeight w:val="300"/>
        </w:trPr>
        <w:tc>
          <w:tcPr>
            <w:tcW w:w="1794" w:type="dxa"/>
            <w:vMerge w:val="restart"/>
            <w:tcBorders>
              <w:top w:val="single" w:sz="4" w:space="0" w:color="auto"/>
              <w:left w:val="single" w:sz="4" w:space="0" w:color="auto"/>
              <w:right w:val="single" w:sz="4" w:space="0" w:color="auto"/>
            </w:tcBorders>
            <w:shd w:val="clear" w:color="auto" w:fill="F2F2F2"/>
            <w:noWrap/>
            <w:vAlign w:val="center"/>
            <w:hideMark/>
          </w:tcPr>
          <w:p w14:paraId="458A1A13"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Activity</w:t>
            </w:r>
          </w:p>
        </w:tc>
        <w:tc>
          <w:tcPr>
            <w:tcW w:w="2879" w:type="dxa"/>
            <w:gridSpan w:val="3"/>
            <w:tcBorders>
              <w:top w:val="single" w:sz="4" w:space="0" w:color="auto"/>
              <w:left w:val="nil"/>
              <w:bottom w:val="single" w:sz="4" w:space="0" w:color="auto"/>
              <w:right w:val="single" w:sz="4" w:space="0" w:color="auto"/>
            </w:tcBorders>
            <w:shd w:val="clear" w:color="auto" w:fill="F2F2F2"/>
            <w:noWrap/>
            <w:vAlign w:val="center"/>
            <w:hideMark/>
          </w:tcPr>
          <w:p w14:paraId="5E17311A"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Male</w:t>
            </w:r>
          </w:p>
        </w:tc>
        <w:tc>
          <w:tcPr>
            <w:tcW w:w="2977" w:type="dxa"/>
            <w:gridSpan w:val="3"/>
            <w:tcBorders>
              <w:top w:val="single" w:sz="4" w:space="0" w:color="auto"/>
              <w:left w:val="nil"/>
              <w:bottom w:val="single" w:sz="4" w:space="0" w:color="auto"/>
              <w:right w:val="single" w:sz="4" w:space="0" w:color="auto"/>
            </w:tcBorders>
            <w:shd w:val="clear" w:color="auto" w:fill="F2F2F2"/>
            <w:noWrap/>
            <w:vAlign w:val="center"/>
            <w:hideMark/>
          </w:tcPr>
          <w:p w14:paraId="3AC3A95B"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Female</w:t>
            </w:r>
          </w:p>
        </w:tc>
        <w:tc>
          <w:tcPr>
            <w:tcW w:w="1435" w:type="dxa"/>
            <w:vMerge w:val="restart"/>
            <w:tcBorders>
              <w:top w:val="single" w:sz="4" w:space="0" w:color="auto"/>
              <w:left w:val="single" w:sz="4" w:space="0" w:color="auto"/>
              <w:right w:val="single" w:sz="4" w:space="0" w:color="auto"/>
            </w:tcBorders>
            <w:shd w:val="clear" w:color="auto" w:fill="F2F2F2"/>
            <w:noWrap/>
            <w:vAlign w:val="center"/>
            <w:hideMark/>
          </w:tcPr>
          <w:p w14:paraId="7F44EC02"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Capital</w:t>
            </w:r>
          </w:p>
        </w:tc>
      </w:tr>
      <w:tr w:rsidR="00592E0C" w:rsidRPr="00592E0C" w14:paraId="4E93C889" w14:textId="77777777" w:rsidTr="00592E0C">
        <w:trPr>
          <w:trHeight w:val="300"/>
        </w:trPr>
        <w:tc>
          <w:tcPr>
            <w:tcW w:w="1794" w:type="dxa"/>
            <w:vMerge/>
            <w:tcBorders>
              <w:left w:val="single" w:sz="4" w:space="0" w:color="auto"/>
              <w:bottom w:val="single" w:sz="4" w:space="0" w:color="auto"/>
              <w:right w:val="single" w:sz="4" w:space="0" w:color="auto"/>
            </w:tcBorders>
            <w:shd w:val="clear" w:color="auto" w:fill="F2F2F2"/>
            <w:noWrap/>
            <w:vAlign w:val="center"/>
            <w:hideMark/>
          </w:tcPr>
          <w:p w14:paraId="4D6C8FC6"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p>
        </w:tc>
        <w:tc>
          <w:tcPr>
            <w:tcW w:w="1070" w:type="dxa"/>
            <w:tcBorders>
              <w:top w:val="nil"/>
              <w:left w:val="nil"/>
              <w:bottom w:val="single" w:sz="4" w:space="0" w:color="auto"/>
              <w:right w:val="single" w:sz="4" w:space="0" w:color="auto"/>
            </w:tcBorders>
            <w:shd w:val="clear" w:color="auto" w:fill="F2F2F2"/>
            <w:noWrap/>
            <w:vAlign w:val="center"/>
            <w:hideMark/>
          </w:tcPr>
          <w:p w14:paraId="58D48056"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Unskilled</w:t>
            </w:r>
          </w:p>
        </w:tc>
        <w:tc>
          <w:tcPr>
            <w:tcW w:w="992" w:type="dxa"/>
            <w:tcBorders>
              <w:top w:val="nil"/>
              <w:left w:val="nil"/>
              <w:bottom w:val="single" w:sz="4" w:space="0" w:color="auto"/>
              <w:right w:val="single" w:sz="4" w:space="0" w:color="auto"/>
            </w:tcBorders>
            <w:shd w:val="clear" w:color="auto" w:fill="F2F2F2"/>
            <w:noWrap/>
            <w:vAlign w:val="center"/>
            <w:hideMark/>
          </w:tcPr>
          <w:p w14:paraId="6B4C422D"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Semi-skilled</w:t>
            </w:r>
          </w:p>
        </w:tc>
        <w:tc>
          <w:tcPr>
            <w:tcW w:w="817" w:type="dxa"/>
            <w:tcBorders>
              <w:top w:val="nil"/>
              <w:left w:val="nil"/>
              <w:bottom w:val="single" w:sz="4" w:space="0" w:color="auto"/>
              <w:right w:val="single" w:sz="4" w:space="0" w:color="auto"/>
            </w:tcBorders>
            <w:shd w:val="clear" w:color="auto" w:fill="F2F2F2"/>
            <w:noWrap/>
            <w:vAlign w:val="center"/>
            <w:hideMark/>
          </w:tcPr>
          <w:p w14:paraId="67939781"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Skilled</w:t>
            </w:r>
          </w:p>
        </w:tc>
        <w:tc>
          <w:tcPr>
            <w:tcW w:w="1134" w:type="dxa"/>
            <w:tcBorders>
              <w:top w:val="nil"/>
              <w:left w:val="nil"/>
              <w:bottom w:val="single" w:sz="4" w:space="0" w:color="auto"/>
              <w:right w:val="single" w:sz="4" w:space="0" w:color="auto"/>
            </w:tcBorders>
            <w:shd w:val="clear" w:color="auto" w:fill="F2F2F2"/>
            <w:noWrap/>
            <w:vAlign w:val="center"/>
            <w:hideMark/>
          </w:tcPr>
          <w:p w14:paraId="24282414"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Unskilled</w:t>
            </w:r>
          </w:p>
        </w:tc>
        <w:tc>
          <w:tcPr>
            <w:tcW w:w="851" w:type="dxa"/>
            <w:tcBorders>
              <w:top w:val="nil"/>
              <w:left w:val="nil"/>
              <w:bottom w:val="single" w:sz="4" w:space="0" w:color="auto"/>
              <w:right w:val="single" w:sz="4" w:space="0" w:color="auto"/>
            </w:tcBorders>
            <w:shd w:val="clear" w:color="auto" w:fill="F2F2F2"/>
            <w:noWrap/>
            <w:vAlign w:val="center"/>
            <w:hideMark/>
          </w:tcPr>
          <w:p w14:paraId="32FCE28A"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Semi-skilled</w:t>
            </w:r>
          </w:p>
        </w:tc>
        <w:tc>
          <w:tcPr>
            <w:tcW w:w="992" w:type="dxa"/>
            <w:tcBorders>
              <w:top w:val="nil"/>
              <w:left w:val="nil"/>
              <w:bottom w:val="single" w:sz="4" w:space="0" w:color="auto"/>
              <w:right w:val="single" w:sz="4" w:space="0" w:color="auto"/>
            </w:tcBorders>
            <w:shd w:val="clear" w:color="auto" w:fill="F2F2F2"/>
            <w:noWrap/>
            <w:vAlign w:val="center"/>
            <w:hideMark/>
          </w:tcPr>
          <w:p w14:paraId="2A8BA8B8"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Skilled</w:t>
            </w:r>
          </w:p>
        </w:tc>
        <w:tc>
          <w:tcPr>
            <w:tcW w:w="1435" w:type="dxa"/>
            <w:vMerge/>
            <w:tcBorders>
              <w:left w:val="single" w:sz="4" w:space="0" w:color="auto"/>
              <w:bottom w:val="single" w:sz="4" w:space="0" w:color="auto"/>
              <w:right w:val="single" w:sz="4" w:space="0" w:color="auto"/>
            </w:tcBorders>
            <w:shd w:val="clear" w:color="auto" w:fill="F2F2F2"/>
            <w:vAlign w:val="center"/>
            <w:hideMark/>
          </w:tcPr>
          <w:p w14:paraId="4AD4537D"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p>
        </w:tc>
      </w:tr>
      <w:tr w:rsidR="00592E0C" w:rsidRPr="00592E0C" w14:paraId="43963DE5"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6811FB7"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Maize </w:t>
            </w:r>
          </w:p>
        </w:tc>
        <w:tc>
          <w:tcPr>
            <w:tcW w:w="1070" w:type="dxa"/>
            <w:tcBorders>
              <w:top w:val="nil"/>
              <w:left w:val="nil"/>
              <w:bottom w:val="single" w:sz="4" w:space="0" w:color="auto"/>
              <w:right w:val="single" w:sz="4" w:space="0" w:color="auto"/>
            </w:tcBorders>
            <w:shd w:val="clear" w:color="auto" w:fill="auto"/>
            <w:noWrap/>
            <w:vAlign w:val="center"/>
            <w:hideMark/>
          </w:tcPr>
          <w:p w14:paraId="72AA71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14:paraId="0FC54A1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817" w:type="dxa"/>
            <w:tcBorders>
              <w:top w:val="nil"/>
              <w:left w:val="nil"/>
              <w:bottom w:val="single" w:sz="4" w:space="0" w:color="auto"/>
              <w:right w:val="single" w:sz="4" w:space="0" w:color="auto"/>
            </w:tcBorders>
            <w:shd w:val="clear" w:color="auto" w:fill="auto"/>
            <w:noWrap/>
            <w:vAlign w:val="center"/>
            <w:hideMark/>
          </w:tcPr>
          <w:p w14:paraId="1EB8B77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134" w:type="dxa"/>
            <w:tcBorders>
              <w:top w:val="nil"/>
              <w:left w:val="nil"/>
              <w:bottom w:val="single" w:sz="4" w:space="0" w:color="auto"/>
              <w:right w:val="single" w:sz="4" w:space="0" w:color="auto"/>
            </w:tcBorders>
            <w:shd w:val="clear" w:color="auto" w:fill="auto"/>
            <w:noWrap/>
            <w:vAlign w:val="center"/>
            <w:hideMark/>
          </w:tcPr>
          <w:p w14:paraId="2F6318E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851" w:type="dxa"/>
            <w:tcBorders>
              <w:top w:val="nil"/>
              <w:left w:val="nil"/>
              <w:bottom w:val="single" w:sz="4" w:space="0" w:color="auto"/>
              <w:right w:val="single" w:sz="4" w:space="0" w:color="auto"/>
            </w:tcBorders>
            <w:shd w:val="clear" w:color="auto" w:fill="auto"/>
            <w:noWrap/>
            <w:vAlign w:val="center"/>
            <w:hideMark/>
          </w:tcPr>
          <w:p w14:paraId="07BF83D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14:paraId="5931260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1435" w:type="dxa"/>
            <w:tcBorders>
              <w:top w:val="nil"/>
              <w:left w:val="nil"/>
              <w:bottom w:val="single" w:sz="4" w:space="0" w:color="auto"/>
              <w:right w:val="single" w:sz="4" w:space="0" w:color="auto"/>
            </w:tcBorders>
            <w:shd w:val="clear" w:color="auto" w:fill="auto"/>
            <w:noWrap/>
            <w:vAlign w:val="center"/>
            <w:hideMark/>
          </w:tcPr>
          <w:p w14:paraId="4D8D5F8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5.7</w:t>
            </w:r>
          </w:p>
        </w:tc>
      </w:tr>
      <w:tr w:rsidR="00592E0C" w:rsidRPr="00592E0C" w14:paraId="578D13DB"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75D14617"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Sorghum and millet</w:t>
            </w:r>
          </w:p>
        </w:tc>
        <w:tc>
          <w:tcPr>
            <w:tcW w:w="1070" w:type="dxa"/>
            <w:tcBorders>
              <w:top w:val="nil"/>
              <w:left w:val="nil"/>
              <w:bottom w:val="single" w:sz="4" w:space="0" w:color="auto"/>
              <w:right w:val="single" w:sz="4" w:space="0" w:color="auto"/>
            </w:tcBorders>
            <w:shd w:val="clear" w:color="auto" w:fill="auto"/>
            <w:noWrap/>
            <w:vAlign w:val="center"/>
            <w:hideMark/>
          </w:tcPr>
          <w:p w14:paraId="787AE0A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1D087F7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6A0FDA1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D2F867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23466DB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5FEB709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664A9D9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r>
      <w:tr w:rsidR="00592E0C" w:rsidRPr="00592E0C" w14:paraId="391F247B"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5A3F9C83"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Rice </w:t>
            </w:r>
          </w:p>
        </w:tc>
        <w:tc>
          <w:tcPr>
            <w:tcW w:w="1070" w:type="dxa"/>
            <w:tcBorders>
              <w:top w:val="nil"/>
              <w:left w:val="nil"/>
              <w:bottom w:val="single" w:sz="4" w:space="0" w:color="auto"/>
              <w:right w:val="single" w:sz="4" w:space="0" w:color="auto"/>
            </w:tcBorders>
            <w:shd w:val="clear" w:color="auto" w:fill="auto"/>
            <w:noWrap/>
            <w:vAlign w:val="center"/>
            <w:hideMark/>
          </w:tcPr>
          <w:p w14:paraId="5564334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000FA43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731B12F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70B370C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14:paraId="2EFABB9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14:paraId="63FB715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435" w:type="dxa"/>
            <w:tcBorders>
              <w:top w:val="nil"/>
              <w:left w:val="nil"/>
              <w:bottom w:val="single" w:sz="4" w:space="0" w:color="auto"/>
              <w:right w:val="single" w:sz="4" w:space="0" w:color="auto"/>
            </w:tcBorders>
            <w:shd w:val="clear" w:color="auto" w:fill="auto"/>
            <w:noWrap/>
            <w:vAlign w:val="center"/>
            <w:hideMark/>
          </w:tcPr>
          <w:p w14:paraId="4037D62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2.4</w:t>
            </w:r>
          </w:p>
        </w:tc>
      </w:tr>
      <w:tr w:rsidR="00592E0C" w:rsidRPr="00592E0C" w14:paraId="3249DF9B"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7AC750C1"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Wheat and burley</w:t>
            </w:r>
          </w:p>
        </w:tc>
        <w:tc>
          <w:tcPr>
            <w:tcW w:w="1070" w:type="dxa"/>
            <w:tcBorders>
              <w:top w:val="nil"/>
              <w:left w:val="nil"/>
              <w:bottom w:val="single" w:sz="4" w:space="0" w:color="auto"/>
              <w:right w:val="single" w:sz="4" w:space="0" w:color="auto"/>
            </w:tcBorders>
            <w:shd w:val="clear" w:color="auto" w:fill="auto"/>
            <w:noWrap/>
            <w:vAlign w:val="center"/>
            <w:hideMark/>
          </w:tcPr>
          <w:p w14:paraId="4B7206A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0762F5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01026A4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4B3170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75884CF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08FCFBE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6C5920B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1FC087E0" w14:textId="77777777" w:rsidTr="00592E0C">
        <w:trPr>
          <w:trHeight w:val="267"/>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57141B58"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Other cereals</w:t>
            </w:r>
          </w:p>
        </w:tc>
        <w:tc>
          <w:tcPr>
            <w:tcW w:w="1070" w:type="dxa"/>
            <w:tcBorders>
              <w:top w:val="nil"/>
              <w:left w:val="nil"/>
              <w:bottom w:val="single" w:sz="4" w:space="0" w:color="auto"/>
              <w:right w:val="single" w:sz="4" w:space="0" w:color="auto"/>
            </w:tcBorders>
            <w:shd w:val="clear" w:color="auto" w:fill="auto"/>
            <w:noWrap/>
            <w:vAlign w:val="center"/>
            <w:hideMark/>
          </w:tcPr>
          <w:p w14:paraId="3969D73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2C72F19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50AAEAB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7FA9B6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7427EDF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3AE0339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4628A14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r>
      <w:tr w:rsidR="00592E0C" w:rsidRPr="00592E0C" w14:paraId="08DED222"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82956BF"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Pulses </w:t>
            </w:r>
          </w:p>
        </w:tc>
        <w:tc>
          <w:tcPr>
            <w:tcW w:w="1070" w:type="dxa"/>
            <w:tcBorders>
              <w:top w:val="nil"/>
              <w:left w:val="nil"/>
              <w:bottom w:val="single" w:sz="4" w:space="0" w:color="auto"/>
              <w:right w:val="single" w:sz="4" w:space="0" w:color="auto"/>
            </w:tcBorders>
            <w:shd w:val="clear" w:color="auto" w:fill="auto"/>
            <w:noWrap/>
            <w:vAlign w:val="center"/>
            <w:hideMark/>
          </w:tcPr>
          <w:p w14:paraId="24F1A3F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14:paraId="652C3EF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817" w:type="dxa"/>
            <w:tcBorders>
              <w:top w:val="nil"/>
              <w:left w:val="nil"/>
              <w:bottom w:val="single" w:sz="4" w:space="0" w:color="auto"/>
              <w:right w:val="single" w:sz="4" w:space="0" w:color="auto"/>
            </w:tcBorders>
            <w:shd w:val="clear" w:color="auto" w:fill="auto"/>
            <w:noWrap/>
            <w:vAlign w:val="center"/>
            <w:hideMark/>
          </w:tcPr>
          <w:p w14:paraId="6D78ED8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14:paraId="533C9B9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2.7</w:t>
            </w:r>
          </w:p>
        </w:tc>
        <w:tc>
          <w:tcPr>
            <w:tcW w:w="851" w:type="dxa"/>
            <w:tcBorders>
              <w:top w:val="nil"/>
              <w:left w:val="nil"/>
              <w:bottom w:val="single" w:sz="4" w:space="0" w:color="auto"/>
              <w:right w:val="single" w:sz="4" w:space="0" w:color="auto"/>
            </w:tcBorders>
            <w:shd w:val="clear" w:color="auto" w:fill="auto"/>
            <w:noWrap/>
            <w:vAlign w:val="center"/>
            <w:hideMark/>
          </w:tcPr>
          <w:p w14:paraId="572B054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14:paraId="2876E29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w:t>
            </w:r>
          </w:p>
        </w:tc>
        <w:tc>
          <w:tcPr>
            <w:tcW w:w="1435" w:type="dxa"/>
            <w:tcBorders>
              <w:top w:val="nil"/>
              <w:left w:val="nil"/>
              <w:bottom w:val="single" w:sz="4" w:space="0" w:color="auto"/>
              <w:right w:val="single" w:sz="4" w:space="0" w:color="auto"/>
            </w:tcBorders>
            <w:shd w:val="clear" w:color="auto" w:fill="auto"/>
            <w:noWrap/>
            <w:vAlign w:val="center"/>
            <w:hideMark/>
          </w:tcPr>
          <w:p w14:paraId="73E08F1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2.9</w:t>
            </w:r>
          </w:p>
        </w:tc>
      </w:tr>
      <w:tr w:rsidR="00592E0C" w:rsidRPr="00592E0C" w14:paraId="6580305E"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730153A"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Groundnuts</w:t>
            </w:r>
          </w:p>
        </w:tc>
        <w:tc>
          <w:tcPr>
            <w:tcW w:w="1070" w:type="dxa"/>
            <w:tcBorders>
              <w:top w:val="nil"/>
              <w:left w:val="nil"/>
              <w:bottom w:val="single" w:sz="4" w:space="0" w:color="auto"/>
              <w:right w:val="single" w:sz="4" w:space="0" w:color="auto"/>
            </w:tcBorders>
            <w:shd w:val="clear" w:color="auto" w:fill="auto"/>
            <w:noWrap/>
            <w:vAlign w:val="center"/>
            <w:hideMark/>
          </w:tcPr>
          <w:p w14:paraId="3AAB38B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14:paraId="55ABE53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17" w:type="dxa"/>
            <w:tcBorders>
              <w:top w:val="nil"/>
              <w:left w:val="nil"/>
              <w:bottom w:val="single" w:sz="4" w:space="0" w:color="auto"/>
              <w:right w:val="single" w:sz="4" w:space="0" w:color="auto"/>
            </w:tcBorders>
            <w:shd w:val="clear" w:color="auto" w:fill="auto"/>
            <w:noWrap/>
            <w:vAlign w:val="center"/>
            <w:hideMark/>
          </w:tcPr>
          <w:p w14:paraId="3E84C71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6D7B1D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51" w:type="dxa"/>
            <w:tcBorders>
              <w:top w:val="nil"/>
              <w:left w:val="nil"/>
              <w:bottom w:val="single" w:sz="4" w:space="0" w:color="auto"/>
              <w:right w:val="single" w:sz="4" w:space="0" w:color="auto"/>
            </w:tcBorders>
            <w:shd w:val="clear" w:color="auto" w:fill="auto"/>
            <w:noWrap/>
            <w:vAlign w:val="center"/>
            <w:hideMark/>
          </w:tcPr>
          <w:p w14:paraId="1BCDC30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992" w:type="dxa"/>
            <w:tcBorders>
              <w:top w:val="nil"/>
              <w:left w:val="nil"/>
              <w:bottom w:val="single" w:sz="4" w:space="0" w:color="auto"/>
              <w:right w:val="single" w:sz="4" w:space="0" w:color="auto"/>
            </w:tcBorders>
            <w:shd w:val="clear" w:color="auto" w:fill="auto"/>
            <w:noWrap/>
            <w:vAlign w:val="center"/>
            <w:hideMark/>
          </w:tcPr>
          <w:p w14:paraId="3FBF68B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435" w:type="dxa"/>
            <w:tcBorders>
              <w:top w:val="nil"/>
              <w:left w:val="nil"/>
              <w:bottom w:val="single" w:sz="4" w:space="0" w:color="auto"/>
              <w:right w:val="single" w:sz="4" w:space="0" w:color="auto"/>
            </w:tcBorders>
            <w:shd w:val="clear" w:color="auto" w:fill="auto"/>
            <w:noWrap/>
            <w:vAlign w:val="center"/>
            <w:hideMark/>
          </w:tcPr>
          <w:p w14:paraId="2D20FC6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r>
      <w:tr w:rsidR="00592E0C" w:rsidRPr="00592E0C" w14:paraId="182C2448"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1CC7964"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 Oil seeds</w:t>
            </w:r>
          </w:p>
        </w:tc>
        <w:tc>
          <w:tcPr>
            <w:tcW w:w="1070" w:type="dxa"/>
            <w:tcBorders>
              <w:top w:val="nil"/>
              <w:left w:val="nil"/>
              <w:bottom w:val="single" w:sz="4" w:space="0" w:color="auto"/>
              <w:right w:val="single" w:sz="4" w:space="0" w:color="auto"/>
            </w:tcBorders>
            <w:shd w:val="clear" w:color="auto" w:fill="auto"/>
            <w:noWrap/>
            <w:vAlign w:val="center"/>
            <w:hideMark/>
          </w:tcPr>
          <w:p w14:paraId="1C59B2B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14:paraId="382AEC7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17" w:type="dxa"/>
            <w:tcBorders>
              <w:top w:val="nil"/>
              <w:left w:val="nil"/>
              <w:bottom w:val="single" w:sz="4" w:space="0" w:color="auto"/>
              <w:right w:val="single" w:sz="4" w:space="0" w:color="auto"/>
            </w:tcBorders>
            <w:shd w:val="clear" w:color="auto" w:fill="auto"/>
            <w:noWrap/>
            <w:vAlign w:val="center"/>
            <w:hideMark/>
          </w:tcPr>
          <w:p w14:paraId="61BE0F4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535D21A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51" w:type="dxa"/>
            <w:tcBorders>
              <w:top w:val="nil"/>
              <w:left w:val="nil"/>
              <w:bottom w:val="single" w:sz="4" w:space="0" w:color="auto"/>
              <w:right w:val="single" w:sz="4" w:space="0" w:color="auto"/>
            </w:tcBorders>
            <w:shd w:val="clear" w:color="auto" w:fill="auto"/>
            <w:noWrap/>
            <w:vAlign w:val="center"/>
            <w:hideMark/>
          </w:tcPr>
          <w:p w14:paraId="36E033F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992" w:type="dxa"/>
            <w:tcBorders>
              <w:top w:val="nil"/>
              <w:left w:val="nil"/>
              <w:bottom w:val="single" w:sz="4" w:space="0" w:color="auto"/>
              <w:right w:val="single" w:sz="4" w:space="0" w:color="auto"/>
            </w:tcBorders>
            <w:shd w:val="clear" w:color="auto" w:fill="auto"/>
            <w:noWrap/>
            <w:vAlign w:val="center"/>
            <w:hideMark/>
          </w:tcPr>
          <w:p w14:paraId="52359A9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435" w:type="dxa"/>
            <w:tcBorders>
              <w:top w:val="nil"/>
              <w:left w:val="nil"/>
              <w:bottom w:val="single" w:sz="4" w:space="0" w:color="auto"/>
              <w:right w:val="single" w:sz="4" w:space="0" w:color="auto"/>
            </w:tcBorders>
            <w:shd w:val="clear" w:color="auto" w:fill="auto"/>
            <w:noWrap/>
            <w:vAlign w:val="center"/>
            <w:hideMark/>
          </w:tcPr>
          <w:p w14:paraId="6D77635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r>
      <w:tr w:rsidR="00592E0C" w:rsidRPr="00592E0C" w14:paraId="390398E5"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70789FDE"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Cassava </w:t>
            </w:r>
          </w:p>
        </w:tc>
        <w:tc>
          <w:tcPr>
            <w:tcW w:w="1070" w:type="dxa"/>
            <w:tcBorders>
              <w:top w:val="nil"/>
              <w:left w:val="nil"/>
              <w:bottom w:val="single" w:sz="4" w:space="0" w:color="auto"/>
              <w:right w:val="single" w:sz="4" w:space="0" w:color="auto"/>
            </w:tcBorders>
            <w:shd w:val="clear" w:color="auto" w:fill="auto"/>
            <w:noWrap/>
            <w:vAlign w:val="center"/>
            <w:hideMark/>
          </w:tcPr>
          <w:p w14:paraId="5E99ECF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14:paraId="5224164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817" w:type="dxa"/>
            <w:tcBorders>
              <w:top w:val="nil"/>
              <w:left w:val="nil"/>
              <w:bottom w:val="single" w:sz="4" w:space="0" w:color="auto"/>
              <w:right w:val="single" w:sz="4" w:space="0" w:color="auto"/>
            </w:tcBorders>
            <w:shd w:val="clear" w:color="auto" w:fill="auto"/>
            <w:noWrap/>
            <w:vAlign w:val="center"/>
            <w:hideMark/>
          </w:tcPr>
          <w:p w14:paraId="4D782A4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1134" w:type="dxa"/>
            <w:tcBorders>
              <w:top w:val="nil"/>
              <w:left w:val="nil"/>
              <w:bottom w:val="single" w:sz="4" w:space="0" w:color="auto"/>
              <w:right w:val="single" w:sz="4" w:space="0" w:color="auto"/>
            </w:tcBorders>
            <w:shd w:val="clear" w:color="auto" w:fill="auto"/>
            <w:noWrap/>
            <w:vAlign w:val="center"/>
            <w:hideMark/>
          </w:tcPr>
          <w:p w14:paraId="15FB3A1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2.1</w:t>
            </w:r>
          </w:p>
        </w:tc>
        <w:tc>
          <w:tcPr>
            <w:tcW w:w="851" w:type="dxa"/>
            <w:tcBorders>
              <w:top w:val="nil"/>
              <w:left w:val="nil"/>
              <w:bottom w:val="single" w:sz="4" w:space="0" w:color="auto"/>
              <w:right w:val="single" w:sz="4" w:space="0" w:color="auto"/>
            </w:tcBorders>
            <w:shd w:val="clear" w:color="auto" w:fill="auto"/>
            <w:noWrap/>
            <w:vAlign w:val="center"/>
            <w:hideMark/>
          </w:tcPr>
          <w:p w14:paraId="61EF683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w:t>
            </w:r>
          </w:p>
        </w:tc>
        <w:tc>
          <w:tcPr>
            <w:tcW w:w="992" w:type="dxa"/>
            <w:tcBorders>
              <w:top w:val="nil"/>
              <w:left w:val="nil"/>
              <w:bottom w:val="single" w:sz="4" w:space="0" w:color="auto"/>
              <w:right w:val="single" w:sz="4" w:space="0" w:color="auto"/>
            </w:tcBorders>
            <w:shd w:val="clear" w:color="auto" w:fill="auto"/>
            <w:noWrap/>
            <w:vAlign w:val="center"/>
            <w:hideMark/>
          </w:tcPr>
          <w:p w14:paraId="387D7E6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c>
          <w:tcPr>
            <w:tcW w:w="1435" w:type="dxa"/>
            <w:tcBorders>
              <w:top w:val="nil"/>
              <w:left w:val="nil"/>
              <w:bottom w:val="single" w:sz="4" w:space="0" w:color="auto"/>
              <w:right w:val="single" w:sz="4" w:space="0" w:color="auto"/>
            </w:tcBorders>
            <w:shd w:val="clear" w:color="auto" w:fill="auto"/>
            <w:noWrap/>
            <w:vAlign w:val="center"/>
            <w:hideMark/>
          </w:tcPr>
          <w:p w14:paraId="4167751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r>
      <w:tr w:rsidR="00592E0C" w:rsidRPr="00592E0C" w14:paraId="5A29B241"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5A0D631B"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Roots</w:t>
            </w:r>
          </w:p>
        </w:tc>
        <w:tc>
          <w:tcPr>
            <w:tcW w:w="1070" w:type="dxa"/>
            <w:tcBorders>
              <w:top w:val="nil"/>
              <w:left w:val="nil"/>
              <w:bottom w:val="single" w:sz="4" w:space="0" w:color="auto"/>
              <w:right w:val="single" w:sz="4" w:space="0" w:color="auto"/>
            </w:tcBorders>
            <w:shd w:val="clear" w:color="auto" w:fill="auto"/>
            <w:noWrap/>
            <w:vAlign w:val="center"/>
            <w:hideMark/>
          </w:tcPr>
          <w:p w14:paraId="4E9FDB7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14:paraId="65B2A00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17" w:type="dxa"/>
            <w:tcBorders>
              <w:top w:val="nil"/>
              <w:left w:val="nil"/>
              <w:bottom w:val="single" w:sz="4" w:space="0" w:color="auto"/>
              <w:right w:val="single" w:sz="4" w:space="0" w:color="auto"/>
            </w:tcBorders>
            <w:shd w:val="clear" w:color="auto" w:fill="auto"/>
            <w:noWrap/>
            <w:vAlign w:val="center"/>
            <w:hideMark/>
          </w:tcPr>
          <w:p w14:paraId="10B2BAF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14:paraId="33BB379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3.0</w:t>
            </w:r>
          </w:p>
        </w:tc>
        <w:tc>
          <w:tcPr>
            <w:tcW w:w="851" w:type="dxa"/>
            <w:tcBorders>
              <w:top w:val="nil"/>
              <w:left w:val="nil"/>
              <w:bottom w:val="single" w:sz="4" w:space="0" w:color="auto"/>
              <w:right w:val="single" w:sz="4" w:space="0" w:color="auto"/>
            </w:tcBorders>
            <w:shd w:val="clear" w:color="auto" w:fill="auto"/>
            <w:noWrap/>
            <w:vAlign w:val="center"/>
            <w:hideMark/>
          </w:tcPr>
          <w:p w14:paraId="3050C65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25D4F42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1435" w:type="dxa"/>
            <w:tcBorders>
              <w:top w:val="nil"/>
              <w:left w:val="nil"/>
              <w:bottom w:val="single" w:sz="4" w:space="0" w:color="auto"/>
              <w:right w:val="single" w:sz="4" w:space="0" w:color="auto"/>
            </w:tcBorders>
            <w:shd w:val="clear" w:color="auto" w:fill="auto"/>
            <w:noWrap/>
            <w:vAlign w:val="center"/>
            <w:hideMark/>
          </w:tcPr>
          <w:p w14:paraId="75A871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r>
      <w:tr w:rsidR="00592E0C" w:rsidRPr="00592E0C" w14:paraId="51957D36"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CA83C1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Vegetables</w:t>
            </w:r>
          </w:p>
        </w:tc>
        <w:tc>
          <w:tcPr>
            <w:tcW w:w="1070" w:type="dxa"/>
            <w:tcBorders>
              <w:top w:val="nil"/>
              <w:left w:val="nil"/>
              <w:bottom w:val="single" w:sz="4" w:space="0" w:color="auto"/>
              <w:right w:val="single" w:sz="4" w:space="0" w:color="auto"/>
            </w:tcBorders>
            <w:shd w:val="clear" w:color="auto" w:fill="auto"/>
            <w:noWrap/>
            <w:vAlign w:val="center"/>
            <w:hideMark/>
          </w:tcPr>
          <w:p w14:paraId="2D14DA2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992" w:type="dxa"/>
            <w:tcBorders>
              <w:top w:val="nil"/>
              <w:left w:val="nil"/>
              <w:bottom w:val="single" w:sz="4" w:space="0" w:color="auto"/>
              <w:right w:val="single" w:sz="4" w:space="0" w:color="auto"/>
            </w:tcBorders>
            <w:shd w:val="clear" w:color="auto" w:fill="auto"/>
            <w:noWrap/>
            <w:vAlign w:val="center"/>
            <w:hideMark/>
          </w:tcPr>
          <w:p w14:paraId="1400CCD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817" w:type="dxa"/>
            <w:tcBorders>
              <w:top w:val="nil"/>
              <w:left w:val="nil"/>
              <w:bottom w:val="single" w:sz="4" w:space="0" w:color="auto"/>
              <w:right w:val="single" w:sz="4" w:space="0" w:color="auto"/>
            </w:tcBorders>
            <w:shd w:val="clear" w:color="auto" w:fill="auto"/>
            <w:noWrap/>
            <w:vAlign w:val="center"/>
            <w:hideMark/>
          </w:tcPr>
          <w:p w14:paraId="7DBE944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34AD7D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1.7</w:t>
            </w:r>
          </w:p>
        </w:tc>
        <w:tc>
          <w:tcPr>
            <w:tcW w:w="851" w:type="dxa"/>
            <w:tcBorders>
              <w:top w:val="nil"/>
              <w:left w:val="nil"/>
              <w:bottom w:val="single" w:sz="4" w:space="0" w:color="auto"/>
              <w:right w:val="single" w:sz="4" w:space="0" w:color="auto"/>
            </w:tcBorders>
            <w:shd w:val="clear" w:color="auto" w:fill="auto"/>
            <w:noWrap/>
            <w:vAlign w:val="center"/>
            <w:hideMark/>
          </w:tcPr>
          <w:p w14:paraId="3946EC3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14:paraId="70E0815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1435" w:type="dxa"/>
            <w:tcBorders>
              <w:top w:val="nil"/>
              <w:left w:val="nil"/>
              <w:bottom w:val="single" w:sz="4" w:space="0" w:color="auto"/>
              <w:right w:val="single" w:sz="4" w:space="0" w:color="auto"/>
            </w:tcBorders>
            <w:shd w:val="clear" w:color="auto" w:fill="auto"/>
            <w:noWrap/>
            <w:vAlign w:val="center"/>
            <w:hideMark/>
          </w:tcPr>
          <w:p w14:paraId="6FCE1F5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2.2</w:t>
            </w:r>
          </w:p>
        </w:tc>
      </w:tr>
      <w:tr w:rsidR="00592E0C" w:rsidRPr="00592E0C" w14:paraId="4113EEDE"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EF15F66"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Sugar cane</w:t>
            </w:r>
          </w:p>
        </w:tc>
        <w:tc>
          <w:tcPr>
            <w:tcW w:w="1070" w:type="dxa"/>
            <w:tcBorders>
              <w:top w:val="nil"/>
              <w:left w:val="nil"/>
              <w:bottom w:val="single" w:sz="4" w:space="0" w:color="auto"/>
              <w:right w:val="single" w:sz="4" w:space="0" w:color="auto"/>
            </w:tcBorders>
            <w:shd w:val="clear" w:color="auto" w:fill="auto"/>
            <w:noWrap/>
            <w:vAlign w:val="center"/>
            <w:hideMark/>
          </w:tcPr>
          <w:p w14:paraId="3CE5C3A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558F408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73AB154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55BC19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14:paraId="2C1DDF3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110957B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2E77B2D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r>
      <w:tr w:rsidR="00592E0C" w:rsidRPr="00592E0C" w14:paraId="4EC98883" w14:textId="77777777" w:rsidTr="00592E0C">
        <w:trPr>
          <w:trHeight w:val="31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4BF868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Cotton and fibre</w:t>
            </w:r>
          </w:p>
        </w:tc>
        <w:tc>
          <w:tcPr>
            <w:tcW w:w="1070" w:type="dxa"/>
            <w:tcBorders>
              <w:top w:val="nil"/>
              <w:left w:val="nil"/>
              <w:bottom w:val="single" w:sz="4" w:space="0" w:color="auto"/>
              <w:right w:val="single" w:sz="4" w:space="0" w:color="auto"/>
            </w:tcBorders>
            <w:shd w:val="clear" w:color="auto" w:fill="auto"/>
            <w:noWrap/>
            <w:vAlign w:val="center"/>
            <w:hideMark/>
          </w:tcPr>
          <w:p w14:paraId="3299A92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4BFA7C5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6381845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ABE591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736D9C2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4F0B7BB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06964B0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45F60104" w14:textId="77777777" w:rsidTr="00592E0C">
        <w:trPr>
          <w:trHeight w:val="239"/>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2486E72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Fruits and nuts</w:t>
            </w:r>
          </w:p>
        </w:tc>
        <w:tc>
          <w:tcPr>
            <w:tcW w:w="1070" w:type="dxa"/>
            <w:tcBorders>
              <w:top w:val="nil"/>
              <w:left w:val="nil"/>
              <w:bottom w:val="single" w:sz="4" w:space="0" w:color="auto"/>
              <w:right w:val="single" w:sz="4" w:space="0" w:color="auto"/>
            </w:tcBorders>
            <w:shd w:val="clear" w:color="auto" w:fill="auto"/>
            <w:noWrap/>
            <w:vAlign w:val="center"/>
            <w:hideMark/>
          </w:tcPr>
          <w:p w14:paraId="665F7E2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2.5</w:t>
            </w:r>
          </w:p>
        </w:tc>
        <w:tc>
          <w:tcPr>
            <w:tcW w:w="992" w:type="dxa"/>
            <w:tcBorders>
              <w:top w:val="nil"/>
              <w:left w:val="nil"/>
              <w:bottom w:val="single" w:sz="4" w:space="0" w:color="auto"/>
              <w:right w:val="single" w:sz="4" w:space="0" w:color="auto"/>
            </w:tcBorders>
            <w:shd w:val="clear" w:color="auto" w:fill="auto"/>
            <w:noWrap/>
            <w:vAlign w:val="center"/>
            <w:hideMark/>
          </w:tcPr>
          <w:p w14:paraId="787802C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817" w:type="dxa"/>
            <w:tcBorders>
              <w:top w:val="nil"/>
              <w:left w:val="nil"/>
              <w:bottom w:val="single" w:sz="4" w:space="0" w:color="auto"/>
              <w:right w:val="single" w:sz="4" w:space="0" w:color="auto"/>
            </w:tcBorders>
            <w:shd w:val="clear" w:color="auto" w:fill="auto"/>
            <w:noWrap/>
            <w:vAlign w:val="center"/>
            <w:hideMark/>
          </w:tcPr>
          <w:p w14:paraId="2F0F46E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81F4E1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4.7</w:t>
            </w:r>
          </w:p>
        </w:tc>
        <w:tc>
          <w:tcPr>
            <w:tcW w:w="851" w:type="dxa"/>
            <w:tcBorders>
              <w:top w:val="nil"/>
              <w:left w:val="nil"/>
              <w:bottom w:val="single" w:sz="4" w:space="0" w:color="auto"/>
              <w:right w:val="single" w:sz="4" w:space="0" w:color="auto"/>
            </w:tcBorders>
            <w:shd w:val="clear" w:color="auto" w:fill="auto"/>
            <w:noWrap/>
            <w:vAlign w:val="center"/>
            <w:hideMark/>
          </w:tcPr>
          <w:p w14:paraId="64041AE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14:paraId="0C88F9A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2.2</w:t>
            </w:r>
          </w:p>
        </w:tc>
        <w:tc>
          <w:tcPr>
            <w:tcW w:w="1435" w:type="dxa"/>
            <w:tcBorders>
              <w:top w:val="nil"/>
              <w:left w:val="nil"/>
              <w:bottom w:val="single" w:sz="4" w:space="0" w:color="auto"/>
              <w:right w:val="single" w:sz="4" w:space="0" w:color="auto"/>
            </w:tcBorders>
            <w:shd w:val="clear" w:color="auto" w:fill="auto"/>
            <w:noWrap/>
            <w:vAlign w:val="center"/>
            <w:hideMark/>
          </w:tcPr>
          <w:p w14:paraId="7DDDEDB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5.2</w:t>
            </w:r>
          </w:p>
        </w:tc>
      </w:tr>
      <w:tr w:rsidR="00592E0C" w:rsidRPr="00592E0C" w14:paraId="3EBF1F73"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991C774"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Cash crops </w:t>
            </w:r>
          </w:p>
        </w:tc>
        <w:tc>
          <w:tcPr>
            <w:tcW w:w="1070" w:type="dxa"/>
            <w:tcBorders>
              <w:top w:val="nil"/>
              <w:left w:val="nil"/>
              <w:bottom w:val="single" w:sz="4" w:space="0" w:color="auto"/>
              <w:right w:val="single" w:sz="4" w:space="0" w:color="auto"/>
            </w:tcBorders>
            <w:shd w:val="clear" w:color="auto" w:fill="auto"/>
            <w:noWrap/>
            <w:vAlign w:val="center"/>
            <w:hideMark/>
          </w:tcPr>
          <w:p w14:paraId="389D6E2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0A98A7A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1D64ED2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3EA436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14:paraId="0D28077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53B3BD5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3173B3A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r>
      <w:tr w:rsidR="00592E0C" w:rsidRPr="00592E0C" w14:paraId="518FC92D"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45265133"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Tea leaves</w:t>
            </w:r>
          </w:p>
        </w:tc>
        <w:tc>
          <w:tcPr>
            <w:tcW w:w="1070" w:type="dxa"/>
            <w:tcBorders>
              <w:top w:val="nil"/>
              <w:left w:val="nil"/>
              <w:bottom w:val="single" w:sz="4" w:space="0" w:color="auto"/>
              <w:right w:val="single" w:sz="4" w:space="0" w:color="auto"/>
            </w:tcBorders>
            <w:shd w:val="clear" w:color="auto" w:fill="auto"/>
            <w:noWrap/>
            <w:vAlign w:val="center"/>
            <w:hideMark/>
          </w:tcPr>
          <w:p w14:paraId="6A05E3D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F03D3C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50DF629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4D6F03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64CB076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5BE82A4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74AAA52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r>
      <w:tr w:rsidR="00592E0C" w:rsidRPr="00592E0C" w14:paraId="61728C5E"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42599BE"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Cut flowers</w:t>
            </w:r>
          </w:p>
        </w:tc>
        <w:tc>
          <w:tcPr>
            <w:tcW w:w="1070" w:type="dxa"/>
            <w:tcBorders>
              <w:top w:val="nil"/>
              <w:left w:val="nil"/>
              <w:bottom w:val="single" w:sz="4" w:space="0" w:color="auto"/>
              <w:right w:val="single" w:sz="4" w:space="0" w:color="auto"/>
            </w:tcBorders>
            <w:shd w:val="clear" w:color="auto" w:fill="auto"/>
            <w:noWrap/>
            <w:vAlign w:val="center"/>
            <w:hideMark/>
          </w:tcPr>
          <w:p w14:paraId="0187D21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5292609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5490643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2614B6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9580F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6781241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6052BEE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5236C0C1"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27FD3EF"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Other crops</w:t>
            </w:r>
          </w:p>
        </w:tc>
        <w:tc>
          <w:tcPr>
            <w:tcW w:w="1070" w:type="dxa"/>
            <w:tcBorders>
              <w:top w:val="nil"/>
              <w:left w:val="nil"/>
              <w:bottom w:val="single" w:sz="4" w:space="0" w:color="auto"/>
              <w:right w:val="single" w:sz="4" w:space="0" w:color="auto"/>
            </w:tcBorders>
            <w:shd w:val="clear" w:color="auto" w:fill="auto"/>
            <w:noWrap/>
            <w:vAlign w:val="center"/>
            <w:hideMark/>
          </w:tcPr>
          <w:p w14:paraId="7CF22CD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1B057E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152A2C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DE848B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233B2A9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2FDEAC7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0C8B2C7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7BBA7DB4"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98D83EF"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Cattle</w:t>
            </w:r>
          </w:p>
        </w:tc>
        <w:tc>
          <w:tcPr>
            <w:tcW w:w="1070" w:type="dxa"/>
            <w:tcBorders>
              <w:top w:val="nil"/>
              <w:left w:val="nil"/>
              <w:bottom w:val="single" w:sz="4" w:space="0" w:color="auto"/>
              <w:right w:val="single" w:sz="4" w:space="0" w:color="auto"/>
            </w:tcBorders>
            <w:shd w:val="clear" w:color="auto" w:fill="auto"/>
            <w:noWrap/>
            <w:vAlign w:val="center"/>
            <w:hideMark/>
          </w:tcPr>
          <w:p w14:paraId="650B16C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14:paraId="7576B26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17" w:type="dxa"/>
            <w:tcBorders>
              <w:top w:val="nil"/>
              <w:left w:val="nil"/>
              <w:bottom w:val="single" w:sz="4" w:space="0" w:color="auto"/>
              <w:right w:val="single" w:sz="4" w:space="0" w:color="auto"/>
            </w:tcBorders>
            <w:shd w:val="clear" w:color="auto" w:fill="auto"/>
            <w:noWrap/>
            <w:vAlign w:val="center"/>
            <w:hideMark/>
          </w:tcPr>
          <w:p w14:paraId="65A703E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c>
          <w:tcPr>
            <w:tcW w:w="1134" w:type="dxa"/>
            <w:tcBorders>
              <w:top w:val="nil"/>
              <w:left w:val="nil"/>
              <w:bottom w:val="single" w:sz="4" w:space="0" w:color="auto"/>
              <w:right w:val="single" w:sz="4" w:space="0" w:color="auto"/>
            </w:tcBorders>
            <w:shd w:val="clear" w:color="auto" w:fill="auto"/>
            <w:noWrap/>
            <w:vAlign w:val="center"/>
            <w:hideMark/>
          </w:tcPr>
          <w:p w14:paraId="534D200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3.1</w:t>
            </w:r>
          </w:p>
        </w:tc>
        <w:tc>
          <w:tcPr>
            <w:tcW w:w="851" w:type="dxa"/>
            <w:tcBorders>
              <w:top w:val="nil"/>
              <w:left w:val="nil"/>
              <w:bottom w:val="single" w:sz="4" w:space="0" w:color="auto"/>
              <w:right w:val="single" w:sz="4" w:space="0" w:color="auto"/>
            </w:tcBorders>
            <w:shd w:val="clear" w:color="auto" w:fill="auto"/>
            <w:noWrap/>
            <w:vAlign w:val="center"/>
            <w:hideMark/>
          </w:tcPr>
          <w:p w14:paraId="50D1F94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2.0</w:t>
            </w:r>
          </w:p>
        </w:tc>
        <w:tc>
          <w:tcPr>
            <w:tcW w:w="992" w:type="dxa"/>
            <w:tcBorders>
              <w:top w:val="nil"/>
              <w:left w:val="nil"/>
              <w:bottom w:val="single" w:sz="4" w:space="0" w:color="auto"/>
              <w:right w:val="single" w:sz="4" w:space="0" w:color="auto"/>
            </w:tcBorders>
            <w:shd w:val="clear" w:color="auto" w:fill="auto"/>
            <w:noWrap/>
            <w:vAlign w:val="center"/>
            <w:hideMark/>
          </w:tcPr>
          <w:p w14:paraId="225582C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1.5</w:t>
            </w:r>
          </w:p>
        </w:tc>
        <w:tc>
          <w:tcPr>
            <w:tcW w:w="1435" w:type="dxa"/>
            <w:tcBorders>
              <w:top w:val="nil"/>
              <w:left w:val="nil"/>
              <w:bottom w:val="single" w:sz="4" w:space="0" w:color="auto"/>
              <w:right w:val="single" w:sz="4" w:space="0" w:color="auto"/>
            </w:tcBorders>
            <w:shd w:val="clear" w:color="auto" w:fill="auto"/>
            <w:noWrap/>
            <w:vAlign w:val="center"/>
            <w:hideMark/>
          </w:tcPr>
          <w:p w14:paraId="458789B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3.7</w:t>
            </w:r>
          </w:p>
        </w:tc>
      </w:tr>
      <w:tr w:rsidR="00592E0C" w:rsidRPr="00592E0C" w14:paraId="37427701"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C754EE3"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Raw milk</w:t>
            </w:r>
          </w:p>
        </w:tc>
        <w:tc>
          <w:tcPr>
            <w:tcW w:w="1070" w:type="dxa"/>
            <w:tcBorders>
              <w:top w:val="nil"/>
              <w:left w:val="nil"/>
              <w:bottom w:val="single" w:sz="4" w:space="0" w:color="auto"/>
              <w:right w:val="single" w:sz="4" w:space="0" w:color="auto"/>
            </w:tcBorders>
            <w:shd w:val="clear" w:color="auto" w:fill="auto"/>
            <w:noWrap/>
            <w:vAlign w:val="center"/>
            <w:hideMark/>
          </w:tcPr>
          <w:p w14:paraId="7B6034E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34DA64F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817" w:type="dxa"/>
            <w:tcBorders>
              <w:top w:val="nil"/>
              <w:left w:val="nil"/>
              <w:bottom w:val="single" w:sz="4" w:space="0" w:color="auto"/>
              <w:right w:val="single" w:sz="4" w:space="0" w:color="auto"/>
            </w:tcBorders>
            <w:shd w:val="clear" w:color="auto" w:fill="auto"/>
            <w:noWrap/>
            <w:vAlign w:val="center"/>
            <w:hideMark/>
          </w:tcPr>
          <w:p w14:paraId="3960836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c>
          <w:tcPr>
            <w:tcW w:w="1134" w:type="dxa"/>
            <w:tcBorders>
              <w:top w:val="nil"/>
              <w:left w:val="nil"/>
              <w:bottom w:val="single" w:sz="4" w:space="0" w:color="auto"/>
              <w:right w:val="single" w:sz="4" w:space="0" w:color="auto"/>
            </w:tcBorders>
            <w:shd w:val="clear" w:color="auto" w:fill="auto"/>
            <w:noWrap/>
            <w:vAlign w:val="center"/>
            <w:hideMark/>
          </w:tcPr>
          <w:p w14:paraId="469D727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3.4</w:t>
            </w:r>
          </w:p>
        </w:tc>
        <w:tc>
          <w:tcPr>
            <w:tcW w:w="851" w:type="dxa"/>
            <w:tcBorders>
              <w:top w:val="nil"/>
              <w:left w:val="nil"/>
              <w:bottom w:val="single" w:sz="4" w:space="0" w:color="auto"/>
              <w:right w:val="single" w:sz="4" w:space="0" w:color="auto"/>
            </w:tcBorders>
            <w:shd w:val="clear" w:color="auto" w:fill="auto"/>
            <w:noWrap/>
            <w:vAlign w:val="center"/>
            <w:hideMark/>
          </w:tcPr>
          <w:p w14:paraId="213DF31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2.2</w:t>
            </w:r>
          </w:p>
        </w:tc>
        <w:tc>
          <w:tcPr>
            <w:tcW w:w="992" w:type="dxa"/>
            <w:tcBorders>
              <w:top w:val="nil"/>
              <w:left w:val="nil"/>
              <w:bottom w:val="single" w:sz="4" w:space="0" w:color="auto"/>
              <w:right w:val="single" w:sz="4" w:space="0" w:color="auto"/>
            </w:tcBorders>
            <w:shd w:val="clear" w:color="auto" w:fill="auto"/>
            <w:noWrap/>
            <w:vAlign w:val="center"/>
            <w:hideMark/>
          </w:tcPr>
          <w:p w14:paraId="60A460D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1.6</w:t>
            </w:r>
          </w:p>
        </w:tc>
        <w:tc>
          <w:tcPr>
            <w:tcW w:w="1435" w:type="dxa"/>
            <w:tcBorders>
              <w:top w:val="nil"/>
              <w:left w:val="nil"/>
              <w:bottom w:val="single" w:sz="4" w:space="0" w:color="auto"/>
              <w:right w:val="single" w:sz="4" w:space="0" w:color="auto"/>
            </w:tcBorders>
            <w:shd w:val="clear" w:color="auto" w:fill="auto"/>
            <w:noWrap/>
            <w:vAlign w:val="center"/>
            <w:hideMark/>
          </w:tcPr>
          <w:p w14:paraId="1D2533D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3.2</w:t>
            </w:r>
          </w:p>
        </w:tc>
      </w:tr>
      <w:tr w:rsidR="00592E0C" w:rsidRPr="00592E0C" w14:paraId="6A67DF7A"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BDC282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Small ruminants</w:t>
            </w:r>
          </w:p>
        </w:tc>
        <w:tc>
          <w:tcPr>
            <w:tcW w:w="1070" w:type="dxa"/>
            <w:tcBorders>
              <w:top w:val="nil"/>
              <w:left w:val="nil"/>
              <w:bottom w:val="single" w:sz="4" w:space="0" w:color="auto"/>
              <w:right w:val="single" w:sz="4" w:space="0" w:color="auto"/>
            </w:tcBorders>
            <w:shd w:val="clear" w:color="auto" w:fill="auto"/>
            <w:noWrap/>
            <w:vAlign w:val="center"/>
            <w:hideMark/>
          </w:tcPr>
          <w:p w14:paraId="17FDEC6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03635C7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15DF701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7DCE06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851" w:type="dxa"/>
            <w:tcBorders>
              <w:top w:val="nil"/>
              <w:left w:val="nil"/>
              <w:bottom w:val="single" w:sz="4" w:space="0" w:color="auto"/>
              <w:right w:val="single" w:sz="4" w:space="0" w:color="auto"/>
            </w:tcBorders>
            <w:shd w:val="clear" w:color="auto" w:fill="auto"/>
            <w:noWrap/>
            <w:vAlign w:val="center"/>
            <w:hideMark/>
          </w:tcPr>
          <w:p w14:paraId="2F9A91E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57DC691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1435" w:type="dxa"/>
            <w:tcBorders>
              <w:top w:val="nil"/>
              <w:left w:val="nil"/>
              <w:bottom w:val="single" w:sz="4" w:space="0" w:color="auto"/>
              <w:right w:val="single" w:sz="4" w:space="0" w:color="auto"/>
            </w:tcBorders>
            <w:shd w:val="clear" w:color="auto" w:fill="auto"/>
            <w:noWrap/>
            <w:vAlign w:val="center"/>
            <w:hideMark/>
          </w:tcPr>
          <w:p w14:paraId="3DB8823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r>
      <w:tr w:rsidR="00592E0C" w:rsidRPr="00592E0C" w14:paraId="76F9DA7A"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2DF53C5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Poultry</w:t>
            </w:r>
          </w:p>
        </w:tc>
        <w:tc>
          <w:tcPr>
            <w:tcW w:w="1070" w:type="dxa"/>
            <w:tcBorders>
              <w:top w:val="nil"/>
              <w:left w:val="nil"/>
              <w:bottom w:val="single" w:sz="4" w:space="0" w:color="auto"/>
              <w:right w:val="single" w:sz="4" w:space="0" w:color="auto"/>
            </w:tcBorders>
            <w:shd w:val="clear" w:color="auto" w:fill="auto"/>
            <w:noWrap/>
            <w:vAlign w:val="center"/>
            <w:hideMark/>
          </w:tcPr>
          <w:p w14:paraId="34179F9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0952CF4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48E6CC0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92F193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851" w:type="dxa"/>
            <w:tcBorders>
              <w:top w:val="nil"/>
              <w:left w:val="nil"/>
              <w:bottom w:val="single" w:sz="4" w:space="0" w:color="auto"/>
              <w:right w:val="single" w:sz="4" w:space="0" w:color="auto"/>
            </w:tcBorders>
            <w:shd w:val="clear" w:color="auto" w:fill="auto"/>
            <w:noWrap/>
            <w:vAlign w:val="center"/>
            <w:hideMark/>
          </w:tcPr>
          <w:p w14:paraId="7EE63A0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614DE8F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04EF9A2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r>
      <w:tr w:rsidR="00592E0C" w:rsidRPr="00592E0C" w14:paraId="0D853E0A"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A3F746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Other livestock</w:t>
            </w:r>
          </w:p>
        </w:tc>
        <w:tc>
          <w:tcPr>
            <w:tcW w:w="1070" w:type="dxa"/>
            <w:tcBorders>
              <w:top w:val="nil"/>
              <w:left w:val="nil"/>
              <w:bottom w:val="single" w:sz="4" w:space="0" w:color="auto"/>
              <w:right w:val="single" w:sz="4" w:space="0" w:color="auto"/>
            </w:tcBorders>
            <w:shd w:val="clear" w:color="auto" w:fill="auto"/>
            <w:noWrap/>
            <w:vAlign w:val="center"/>
            <w:hideMark/>
          </w:tcPr>
          <w:p w14:paraId="1F60830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548FA2E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256A097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FFA94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14:paraId="7B0E341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6AF195A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5106D0C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r>
      <w:tr w:rsidR="00592E0C" w:rsidRPr="00592E0C" w14:paraId="1BE38789"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4BA9B8E2"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Forestry </w:t>
            </w:r>
          </w:p>
        </w:tc>
        <w:tc>
          <w:tcPr>
            <w:tcW w:w="1070" w:type="dxa"/>
            <w:tcBorders>
              <w:top w:val="nil"/>
              <w:left w:val="nil"/>
              <w:bottom w:val="single" w:sz="4" w:space="0" w:color="auto"/>
              <w:right w:val="single" w:sz="4" w:space="0" w:color="auto"/>
            </w:tcBorders>
            <w:shd w:val="clear" w:color="auto" w:fill="auto"/>
            <w:noWrap/>
            <w:vAlign w:val="center"/>
            <w:hideMark/>
          </w:tcPr>
          <w:p w14:paraId="4926993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4.9</w:t>
            </w:r>
          </w:p>
        </w:tc>
        <w:tc>
          <w:tcPr>
            <w:tcW w:w="992" w:type="dxa"/>
            <w:tcBorders>
              <w:top w:val="nil"/>
              <w:left w:val="nil"/>
              <w:bottom w:val="single" w:sz="4" w:space="0" w:color="auto"/>
              <w:right w:val="single" w:sz="4" w:space="0" w:color="auto"/>
            </w:tcBorders>
            <w:shd w:val="clear" w:color="auto" w:fill="auto"/>
            <w:noWrap/>
            <w:vAlign w:val="center"/>
            <w:hideMark/>
          </w:tcPr>
          <w:p w14:paraId="68D1522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2.8</w:t>
            </w:r>
          </w:p>
        </w:tc>
        <w:tc>
          <w:tcPr>
            <w:tcW w:w="817" w:type="dxa"/>
            <w:tcBorders>
              <w:top w:val="nil"/>
              <w:left w:val="nil"/>
              <w:bottom w:val="single" w:sz="4" w:space="0" w:color="auto"/>
              <w:right w:val="single" w:sz="4" w:space="0" w:color="auto"/>
            </w:tcBorders>
            <w:shd w:val="clear" w:color="auto" w:fill="auto"/>
            <w:noWrap/>
            <w:vAlign w:val="center"/>
            <w:hideMark/>
          </w:tcPr>
          <w:p w14:paraId="414AC88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CFC2C7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9.0</w:t>
            </w:r>
          </w:p>
        </w:tc>
        <w:tc>
          <w:tcPr>
            <w:tcW w:w="851" w:type="dxa"/>
            <w:tcBorders>
              <w:top w:val="nil"/>
              <w:left w:val="nil"/>
              <w:bottom w:val="single" w:sz="4" w:space="0" w:color="auto"/>
              <w:right w:val="single" w:sz="4" w:space="0" w:color="auto"/>
            </w:tcBorders>
            <w:shd w:val="clear" w:color="auto" w:fill="auto"/>
            <w:noWrap/>
            <w:vAlign w:val="center"/>
            <w:hideMark/>
          </w:tcPr>
          <w:p w14:paraId="21421B3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5.8</w:t>
            </w:r>
          </w:p>
        </w:tc>
        <w:tc>
          <w:tcPr>
            <w:tcW w:w="992" w:type="dxa"/>
            <w:tcBorders>
              <w:top w:val="nil"/>
              <w:left w:val="nil"/>
              <w:bottom w:val="single" w:sz="4" w:space="0" w:color="auto"/>
              <w:right w:val="single" w:sz="4" w:space="0" w:color="auto"/>
            </w:tcBorders>
            <w:shd w:val="clear" w:color="auto" w:fill="auto"/>
            <w:noWrap/>
            <w:vAlign w:val="center"/>
            <w:hideMark/>
          </w:tcPr>
          <w:p w14:paraId="001A9B9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4.3</w:t>
            </w:r>
          </w:p>
        </w:tc>
        <w:tc>
          <w:tcPr>
            <w:tcW w:w="1435" w:type="dxa"/>
            <w:tcBorders>
              <w:top w:val="nil"/>
              <w:left w:val="nil"/>
              <w:bottom w:val="single" w:sz="4" w:space="0" w:color="auto"/>
              <w:right w:val="single" w:sz="4" w:space="0" w:color="auto"/>
            </w:tcBorders>
            <w:shd w:val="clear" w:color="auto" w:fill="auto"/>
            <w:noWrap/>
            <w:vAlign w:val="center"/>
            <w:hideMark/>
          </w:tcPr>
          <w:p w14:paraId="17CFD9C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w:t>
            </w:r>
          </w:p>
        </w:tc>
      </w:tr>
      <w:tr w:rsidR="00592E0C" w:rsidRPr="00592E0C" w14:paraId="0E1C0269"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2D3507F"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Fishing </w:t>
            </w:r>
          </w:p>
        </w:tc>
        <w:tc>
          <w:tcPr>
            <w:tcW w:w="1070" w:type="dxa"/>
            <w:tcBorders>
              <w:top w:val="nil"/>
              <w:left w:val="nil"/>
              <w:bottom w:val="single" w:sz="4" w:space="0" w:color="auto"/>
              <w:right w:val="single" w:sz="4" w:space="0" w:color="auto"/>
            </w:tcBorders>
            <w:shd w:val="clear" w:color="auto" w:fill="auto"/>
            <w:noWrap/>
            <w:vAlign w:val="center"/>
            <w:hideMark/>
          </w:tcPr>
          <w:p w14:paraId="7FC3C6E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2.4</w:t>
            </w:r>
          </w:p>
        </w:tc>
        <w:tc>
          <w:tcPr>
            <w:tcW w:w="992" w:type="dxa"/>
            <w:tcBorders>
              <w:top w:val="nil"/>
              <w:left w:val="nil"/>
              <w:bottom w:val="single" w:sz="4" w:space="0" w:color="auto"/>
              <w:right w:val="single" w:sz="4" w:space="0" w:color="auto"/>
            </w:tcBorders>
            <w:shd w:val="clear" w:color="auto" w:fill="auto"/>
            <w:noWrap/>
            <w:vAlign w:val="center"/>
            <w:hideMark/>
          </w:tcPr>
          <w:p w14:paraId="14B1FFD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817" w:type="dxa"/>
            <w:tcBorders>
              <w:top w:val="nil"/>
              <w:left w:val="nil"/>
              <w:bottom w:val="single" w:sz="4" w:space="0" w:color="auto"/>
              <w:right w:val="single" w:sz="4" w:space="0" w:color="auto"/>
            </w:tcBorders>
            <w:shd w:val="clear" w:color="auto" w:fill="auto"/>
            <w:noWrap/>
            <w:vAlign w:val="center"/>
            <w:hideMark/>
          </w:tcPr>
          <w:p w14:paraId="0BB15C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E2499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4.5</w:t>
            </w:r>
          </w:p>
        </w:tc>
        <w:tc>
          <w:tcPr>
            <w:tcW w:w="851" w:type="dxa"/>
            <w:tcBorders>
              <w:top w:val="nil"/>
              <w:left w:val="nil"/>
              <w:bottom w:val="single" w:sz="4" w:space="0" w:color="auto"/>
              <w:right w:val="single" w:sz="4" w:space="0" w:color="auto"/>
            </w:tcBorders>
            <w:shd w:val="clear" w:color="auto" w:fill="auto"/>
            <w:noWrap/>
            <w:vAlign w:val="center"/>
            <w:hideMark/>
          </w:tcPr>
          <w:p w14:paraId="4D15B10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2.9</w:t>
            </w:r>
          </w:p>
        </w:tc>
        <w:tc>
          <w:tcPr>
            <w:tcW w:w="992" w:type="dxa"/>
            <w:tcBorders>
              <w:top w:val="nil"/>
              <w:left w:val="nil"/>
              <w:bottom w:val="single" w:sz="4" w:space="0" w:color="auto"/>
              <w:right w:val="single" w:sz="4" w:space="0" w:color="auto"/>
            </w:tcBorders>
            <w:shd w:val="clear" w:color="auto" w:fill="auto"/>
            <w:noWrap/>
            <w:vAlign w:val="center"/>
            <w:hideMark/>
          </w:tcPr>
          <w:p w14:paraId="5436787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2.1</w:t>
            </w:r>
          </w:p>
        </w:tc>
        <w:tc>
          <w:tcPr>
            <w:tcW w:w="1435" w:type="dxa"/>
            <w:tcBorders>
              <w:top w:val="nil"/>
              <w:left w:val="nil"/>
              <w:bottom w:val="single" w:sz="4" w:space="0" w:color="auto"/>
              <w:right w:val="single" w:sz="4" w:space="0" w:color="auto"/>
            </w:tcBorders>
            <w:shd w:val="clear" w:color="auto" w:fill="auto"/>
            <w:noWrap/>
            <w:vAlign w:val="center"/>
            <w:hideMark/>
          </w:tcPr>
          <w:p w14:paraId="48B9772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2.3</w:t>
            </w:r>
          </w:p>
        </w:tc>
      </w:tr>
      <w:tr w:rsidR="00592E0C" w:rsidRPr="00592E0C" w14:paraId="58B5AD0C"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63952C51"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Tuna fishing</w:t>
            </w:r>
          </w:p>
        </w:tc>
        <w:tc>
          <w:tcPr>
            <w:tcW w:w="1070" w:type="dxa"/>
            <w:tcBorders>
              <w:top w:val="nil"/>
              <w:left w:val="nil"/>
              <w:bottom w:val="single" w:sz="4" w:space="0" w:color="auto"/>
              <w:right w:val="single" w:sz="4" w:space="0" w:color="auto"/>
            </w:tcBorders>
            <w:shd w:val="clear" w:color="auto" w:fill="auto"/>
            <w:noWrap/>
            <w:vAlign w:val="center"/>
            <w:hideMark/>
          </w:tcPr>
          <w:p w14:paraId="6CD205C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503481C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09638B1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ADB6BA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14:paraId="5EBE13B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3D079E8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6859D10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r>
      <w:tr w:rsidR="00592E0C" w:rsidRPr="00592E0C" w14:paraId="7E3B4F7F"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4CBC9095"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Mining</w:t>
            </w:r>
          </w:p>
        </w:tc>
        <w:tc>
          <w:tcPr>
            <w:tcW w:w="1070" w:type="dxa"/>
            <w:tcBorders>
              <w:top w:val="nil"/>
              <w:left w:val="nil"/>
              <w:bottom w:val="single" w:sz="4" w:space="0" w:color="auto"/>
              <w:right w:val="single" w:sz="4" w:space="0" w:color="auto"/>
            </w:tcBorders>
            <w:shd w:val="clear" w:color="auto" w:fill="auto"/>
            <w:noWrap/>
            <w:vAlign w:val="center"/>
            <w:hideMark/>
          </w:tcPr>
          <w:p w14:paraId="79037B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3.1</w:t>
            </w:r>
          </w:p>
        </w:tc>
        <w:tc>
          <w:tcPr>
            <w:tcW w:w="992" w:type="dxa"/>
            <w:tcBorders>
              <w:top w:val="nil"/>
              <w:left w:val="nil"/>
              <w:bottom w:val="single" w:sz="4" w:space="0" w:color="auto"/>
              <w:right w:val="single" w:sz="4" w:space="0" w:color="auto"/>
            </w:tcBorders>
            <w:shd w:val="clear" w:color="auto" w:fill="auto"/>
            <w:noWrap/>
            <w:vAlign w:val="center"/>
            <w:hideMark/>
          </w:tcPr>
          <w:p w14:paraId="159A098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817" w:type="dxa"/>
            <w:tcBorders>
              <w:top w:val="nil"/>
              <w:left w:val="nil"/>
              <w:bottom w:val="single" w:sz="4" w:space="0" w:color="auto"/>
              <w:right w:val="single" w:sz="4" w:space="0" w:color="auto"/>
            </w:tcBorders>
            <w:shd w:val="clear" w:color="auto" w:fill="auto"/>
            <w:noWrap/>
            <w:vAlign w:val="center"/>
            <w:hideMark/>
          </w:tcPr>
          <w:p w14:paraId="516D3EB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70BB9C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w:t>
            </w:r>
          </w:p>
        </w:tc>
        <w:tc>
          <w:tcPr>
            <w:tcW w:w="851" w:type="dxa"/>
            <w:tcBorders>
              <w:top w:val="nil"/>
              <w:left w:val="nil"/>
              <w:bottom w:val="single" w:sz="4" w:space="0" w:color="auto"/>
              <w:right w:val="single" w:sz="4" w:space="0" w:color="auto"/>
            </w:tcBorders>
            <w:shd w:val="clear" w:color="auto" w:fill="auto"/>
            <w:noWrap/>
            <w:vAlign w:val="center"/>
            <w:hideMark/>
          </w:tcPr>
          <w:p w14:paraId="47E4376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14:paraId="192E584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1435" w:type="dxa"/>
            <w:tcBorders>
              <w:top w:val="nil"/>
              <w:left w:val="nil"/>
              <w:bottom w:val="single" w:sz="4" w:space="0" w:color="auto"/>
              <w:right w:val="single" w:sz="4" w:space="0" w:color="auto"/>
            </w:tcBorders>
            <w:shd w:val="clear" w:color="auto" w:fill="auto"/>
            <w:noWrap/>
            <w:vAlign w:val="center"/>
            <w:hideMark/>
          </w:tcPr>
          <w:p w14:paraId="21FCE71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8.4</w:t>
            </w:r>
          </w:p>
        </w:tc>
      </w:tr>
      <w:tr w:rsidR="00592E0C" w:rsidRPr="00592E0C" w14:paraId="16077358"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4465C707"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Meat processing</w:t>
            </w:r>
          </w:p>
        </w:tc>
        <w:tc>
          <w:tcPr>
            <w:tcW w:w="1070" w:type="dxa"/>
            <w:tcBorders>
              <w:top w:val="nil"/>
              <w:left w:val="nil"/>
              <w:bottom w:val="single" w:sz="4" w:space="0" w:color="auto"/>
              <w:right w:val="single" w:sz="4" w:space="0" w:color="auto"/>
            </w:tcBorders>
            <w:shd w:val="clear" w:color="auto" w:fill="auto"/>
            <w:noWrap/>
            <w:vAlign w:val="center"/>
            <w:hideMark/>
          </w:tcPr>
          <w:p w14:paraId="0F91362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50D845F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140225D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171CF7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7631E55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73375EB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2E3A84D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r>
      <w:tr w:rsidR="00592E0C" w:rsidRPr="00592E0C" w14:paraId="358411F1" w14:textId="77777777" w:rsidTr="00592E0C">
        <w:trPr>
          <w:trHeight w:val="84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6E0A9C5"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Fish and seafood processing</w:t>
            </w:r>
          </w:p>
        </w:tc>
        <w:tc>
          <w:tcPr>
            <w:tcW w:w="1070" w:type="dxa"/>
            <w:tcBorders>
              <w:top w:val="nil"/>
              <w:left w:val="nil"/>
              <w:bottom w:val="single" w:sz="4" w:space="0" w:color="auto"/>
              <w:right w:val="single" w:sz="4" w:space="0" w:color="auto"/>
            </w:tcBorders>
            <w:shd w:val="clear" w:color="auto" w:fill="auto"/>
            <w:noWrap/>
            <w:vAlign w:val="center"/>
            <w:hideMark/>
          </w:tcPr>
          <w:p w14:paraId="63DDCA3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4EA4D15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2400CE0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DEBC17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68691E6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23BF8BF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066A427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692DCA77" w14:textId="77777777" w:rsidTr="00592E0C">
        <w:trPr>
          <w:trHeight w:val="84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26B10E1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Fats and vegetable processing </w:t>
            </w:r>
          </w:p>
        </w:tc>
        <w:tc>
          <w:tcPr>
            <w:tcW w:w="1070" w:type="dxa"/>
            <w:tcBorders>
              <w:top w:val="nil"/>
              <w:left w:val="nil"/>
              <w:bottom w:val="single" w:sz="4" w:space="0" w:color="auto"/>
              <w:right w:val="single" w:sz="4" w:space="0" w:color="auto"/>
            </w:tcBorders>
            <w:shd w:val="clear" w:color="auto" w:fill="auto"/>
            <w:noWrap/>
            <w:vAlign w:val="center"/>
            <w:hideMark/>
          </w:tcPr>
          <w:p w14:paraId="7175488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3B6CAFF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53A7B53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3DF6C3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0D489D5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35C9783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0D1491E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r>
      <w:tr w:rsidR="00592E0C" w:rsidRPr="00592E0C" w14:paraId="7DB5FE88"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CBD33F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Dairy </w:t>
            </w:r>
          </w:p>
        </w:tc>
        <w:tc>
          <w:tcPr>
            <w:tcW w:w="1070" w:type="dxa"/>
            <w:tcBorders>
              <w:top w:val="nil"/>
              <w:left w:val="nil"/>
              <w:bottom w:val="single" w:sz="4" w:space="0" w:color="auto"/>
              <w:right w:val="single" w:sz="4" w:space="0" w:color="auto"/>
            </w:tcBorders>
            <w:shd w:val="clear" w:color="auto" w:fill="auto"/>
            <w:noWrap/>
            <w:vAlign w:val="center"/>
            <w:hideMark/>
          </w:tcPr>
          <w:p w14:paraId="218034F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4E7BFF0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05F49F7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495865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474FC51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5A481A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1B3FE80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736C6866" w14:textId="77777777" w:rsidTr="00592E0C">
        <w:trPr>
          <w:trHeight w:val="212"/>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49F29002"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lastRenderedPageBreak/>
              <w:t xml:space="preserve">Grain milling </w:t>
            </w:r>
          </w:p>
        </w:tc>
        <w:tc>
          <w:tcPr>
            <w:tcW w:w="1070" w:type="dxa"/>
            <w:tcBorders>
              <w:top w:val="nil"/>
              <w:left w:val="nil"/>
              <w:bottom w:val="single" w:sz="4" w:space="0" w:color="auto"/>
              <w:right w:val="single" w:sz="4" w:space="0" w:color="auto"/>
            </w:tcBorders>
            <w:shd w:val="clear" w:color="auto" w:fill="auto"/>
            <w:noWrap/>
            <w:vAlign w:val="center"/>
            <w:hideMark/>
          </w:tcPr>
          <w:p w14:paraId="798B661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992" w:type="dxa"/>
            <w:tcBorders>
              <w:top w:val="nil"/>
              <w:left w:val="nil"/>
              <w:bottom w:val="single" w:sz="4" w:space="0" w:color="auto"/>
              <w:right w:val="single" w:sz="4" w:space="0" w:color="auto"/>
            </w:tcBorders>
            <w:shd w:val="clear" w:color="auto" w:fill="auto"/>
            <w:noWrap/>
            <w:vAlign w:val="center"/>
            <w:hideMark/>
          </w:tcPr>
          <w:p w14:paraId="73D806C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c>
          <w:tcPr>
            <w:tcW w:w="817" w:type="dxa"/>
            <w:tcBorders>
              <w:top w:val="nil"/>
              <w:left w:val="nil"/>
              <w:bottom w:val="single" w:sz="4" w:space="0" w:color="auto"/>
              <w:right w:val="single" w:sz="4" w:space="0" w:color="auto"/>
            </w:tcBorders>
            <w:shd w:val="clear" w:color="auto" w:fill="auto"/>
            <w:noWrap/>
            <w:vAlign w:val="center"/>
            <w:hideMark/>
          </w:tcPr>
          <w:p w14:paraId="4189B1E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c>
          <w:tcPr>
            <w:tcW w:w="1134" w:type="dxa"/>
            <w:tcBorders>
              <w:top w:val="nil"/>
              <w:left w:val="nil"/>
              <w:bottom w:val="single" w:sz="4" w:space="0" w:color="auto"/>
              <w:right w:val="single" w:sz="4" w:space="0" w:color="auto"/>
            </w:tcBorders>
            <w:shd w:val="clear" w:color="auto" w:fill="auto"/>
            <w:noWrap/>
            <w:vAlign w:val="center"/>
            <w:hideMark/>
          </w:tcPr>
          <w:p w14:paraId="5A7BA7A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14:paraId="54DB108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992" w:type="dxa"/>
            <w:tcBorders>
              <w:top w:val="nil"/>
              <w:left w:val="nil"/>
              <w:bottom w:val="single" w:sz="4" w:space="0" w:color="auto"/>
              <w:right w:val="single" w:sz="4" w:space="0" w:color="auto"/>
            </w:tcBorders>
            <w:shd w:val="clear" w:color="auto" w:fill="auto"/>
            <w:noWrap/>
            <w:vAlign w:val="center"/>
            <w:hideMark/>
          </w:tcPr>
          <w:p w14:paraId="7316C01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c>
          <w:tcPr>
            <w:tcW w:w="1435" w:type="dxa"/>
            <w:tcBorders>
              <w:top w:val="nil"/>
              <w:left w:val="nil"/>
              <w:bottom w:val="single" w:sz="4" w:space="0" w:color="auto"/>
              <w:right w:val="single" w:sz="4" w:space="0" w:color="auto"/>
            </w:tcBorders>
            <w:shd w:val="clear" w:color="auto" w:fill="auto"/>
            <w:noWrap/>
            <w:vAlign w:val="center"/>
            <w:hideMark/>
          </w:tcPr>
          <w:p w14:paraId="4AD5495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3.3</w:t>
            </w:r>
          </w:p>
        </w:tc>
      </w:tr>
      <w:tr w:rsidR="00592E0C" w:rsidRPr="00592E0C" w14:paraId="1DAAAD8F"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20EDF55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Sugar refining</w:t>
            </w:r>
          </w:p>
        </w:tc>
        <w:tc>
          <w:tcPr>
            <w:tcW w:w="1070" w:type="dxa"/>
            <w:tcBorders>
              <w:top w:val="nil"/>
              <w:left w:val="nil"/>
              <w:bottom w:val="single" w:sz="4" w:space="0" w:color="auto"/>
              <w:right w:val="single" w:sz="4" w:space="0" w:color="auto"/>
            </w:tcBorders>
            <w:shd w:val="clear" w:color="auto" w:fill="auto"/>
            <w:noWrap/>
            <w:vAlign w:val="center"/>
            <w:hideMark/>
          </w:tcPr>
          <w:p w14:paraId="63E8B30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71294A3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58111A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2320C76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14:paraId="3B8F799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0A394DC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1435" w:type="dxa"/>
            <w:tcBorders>
              <w:top w:val="nil"/>
              <w:left w:val="nil"/>
              <w:bottom w:val="single" w:sz="4" w:space="0" w:color="auto"/>
              <w:right w:val="single" w:sz="4" w:space="0" w:color="auto"/>
            </w:tcBorders>
            <w:shd w:val="clear" w:color="auto" w:fill="auto"/>
            <w:noWrap/>
            <w:vAlign w:val="center"/>
            <w:hideMark/>
          </w:tcPr>
          <w:p w14:paraId="5369D20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2.5</w:t>
            </w:r>
          </w:p>
        </w:tc>
      </w:tr>
      <w:tr w:rsidR="00592E0C" w:rsidRPr="00592E0C" w14:paraId="0571B4AF"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7D11314"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Other foods</w:t>
            </w:r>
          </w:p>
        </w:tc>
        <w:tc>
          <w:tcPr>
            <w:tcW w:w="1070" w:type="dxa"/>
            <w:tcBorders>
              <w:top w:val="nil"/>
              <w:left w:val="nil"/>
              <w:bottom w:val="single" w:sz="4" w:space="0" w:color="auto"/>
              <w:right w:val="single" w:sz="4" w:space="0" w:color="auto"/>
            </w:tcBorders>
            <w:shd w:val="clear" w:color="auto" w:fill="auto"/>
            <w:noWrap/>
            <w:vAlign w:val="center"/>
            <w:hideMark/>
          </w:tcPr>
          <w:p w14:paraId="6AD5AEB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229CBB7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71D15A9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78D24D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4CCAA81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159E5FD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1435" w:type="dxa"/>
            <w:tcBorders>
              <w:top w:val="nil"/>
              <w:left w:val="nil"/>
              <w:bottom w:val="single" w:sz="4" w:space="0" w:color="auto"/>
              <w:right w:val="single" w:sz="4" w:space="0" w:color="auto"/>
            </w:tcBorders>
            <w:shd w:val="clear" w:color="auto" w:fill="auto"/>
            <w:noWrap/>
            <w:vAlign w:val="center"/>
            <w:hideMark/>
          </w:tcPr>
          <w:p w14:paraId="77D0199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r>
      <w:tr w:rsidR="00592E0C" w:rsidRPr="00592E0C" w14:paraId="7B544D7A"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762D4B5A"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Animal feed</w:t>
            </w:r>
          </w:p>
        </w:tc>
        <w:tc>
          <w:tcPr>
            <w:tcW w:w="1070" w:type="dxa"/>
            <w:tcBorders>
              <w:top w:val="nil"/>
              <w:left w:val="nil"/>
              <w:bottom w:val="single" w:sz="4" w:space="0" w:color="auto"/>
              <w:right w:val="single" w:sz="4" w:space="0" w:color="auto"/>
            </w:tcBorders>
            <w:shd w:val="clear" w:color="auto" w:fill="auto"/>
            <w:noWrap/>
            <w:vAlign w:val="center"/>
            <w:hideMark/>
          </w:tcPr>
          <w:p w14:paraId="42B0BB3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110B598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17" w:type="dxa"/>
            <w:tcBorders>
              <w:top w:val="nil"/>
              <w:left w:val="nil"/>
              <w:bottom w:val="single" w:sz="4" w:space="0" w:color="auto"/>
              <w:right w:val="single" w:sz="4" w:space="0" w:color="auto"/>
            </w:tcBorders>
            <w:shd w:val="clear" w:color="auto" w:fill="auto"/>
            <w:noWrap/>
            <w:vAlign w:val="center"/>
            <w:hideMark/>
          </w:tcPr>
          <w:p w14:paraId="7B76E92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BDC990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E84DA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02F7056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1435" w:type="dxa"/>
            <w:tcBorders>
              <w:top w:val="nil"/>
              <w:left w:val="nil"/>
              <w:bottom w:val="single" w:sz="4" w:space="0" w:color="auto"/>
              <w:right w:val="single" w:sz="4" w:space="0" w:color="auto"/>
            </w:tcBorders>
            <w:shd w:val="clear" w:color="auto" w:fill="auto"/>
            <w:noWrap/>
            <w:vAlign w:val="center"/>
            <w:hideMark/>
          </w:tcPr>
          <w:p w14:paraId="5996700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r>
      <w:tr w:rsidR="00592E0C" w:rsidRPr="00592E0C" w14:paraId="19801C0B"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C2D341C"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Luxury foodstuff</w:t>
            </w:r>
          </w:p>
        </w:tc>
        <w:tc>
          <w:tcPr>
            <w:tcW w:w="1070" w:type="dxa"/>
            <w:tcBorders>
              <w:top w:val="nil"/>
              <w:left w:val="nil"/>
              <w:bottom w:val="single" w:sz="4" w:space="0" w:color="auto"/>
              <w:right w:val="single" w:sz="4" w:space="0" w:color="auto"/>
            </w:tcBorders>
            <w:shd w:val="clear" w:color="auto" w:fill="auto"/>
            <w:noWrap/>
            <w:vAlign w:val="center"/>
            <w:hideMark/>
          </w:tcPr>
          <w:p w14:paraId="1D34FA8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c>
          <w:tcPr>
            <w:tcW w:w="992" w:type="dxa"/>
            <w:tcBorders>
              <w:top w:val="nil"/>
              <w:left w:val="nil"/>
              <w:bottom w:val="single" w:sz="4" w:space="0" w:color="auto"/>
              <w:right w:val="single" w:sz="4" w:space="0" w:color="auto"/>
            </w:tcBorders>
            <w:shd w:val="clear" w:color="auto" w:fill="auto"/>
            <w:noWrap/>
            <w:vAlign w:val="center"/>
            <w:hideMark/>
          </w:tcPr>
          <w:p w14:paraId="147AE2B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817" w:type="dxa"/>
            <w:tcBorders>
              <w:top w:val="nil"/>
              <w:left w:val="nil"/>
              <w:bottom w:val="single" w:sz="4" w:space="0" w:color="auto"/>
              <w:right w:val="single" w:sz="4" w:space="0" w:color="auto"/>
            </w:tcBorders>
            <w:shd w:val="clear" w:color="auto" w:fill="auto"/>
            <w:noWrap/>
            <w:vAlign w:val="center"/>
            <w:hideMark/>
          </w:tcPr>
          <w:p w14:paraId="4958FEC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c>
          <w:tcPr>
            <w:tcW w:w="1134" w:type="dxa"/>
            <w:tcBorders>
              <w:top w:val="nil"/>
              <w:left w:val="nil"/>
              <w:bottom w:val="single" w:sz="4" w:space="0" w:color="auto"/>
              <w:right w:val="single" w:sz="4" w:space="0" w:color="auto"/>
            </w:tcBorders>
            <w:shd w:val="clear" w:color="auto" w:fill="auto"/>
            <w:noWrap/>
            <w:vAlign w:val="center"/>
            <w:hideMark/>
          </w:tcPr>
          <w:p w14:paraId="763389E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51" w:type="dxa"/>
            <w:tcBorders>
              <w:top w:val="nil"/>
              <w:left w:val="nil"/>
              <w:bottom w:val="single" w:sz="4" w:space="0" w:color="auto"/>
              <w:right w:val="single" w:sz="4" w:space="0" w:color="auto"/>
            </w:tcBorders>
            <w:shd w:val="clear" w:color="auto" w:fill="auto"/>
            <w:noWrap/>
            <w:vAlign w:val="center"/>
            <w:hideMark/>
          </w:tcPr>
          <w:p w14:paraId="323F8E0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14:paraId="4B37CA0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1435" w:type="dxa"/>
            <w:tcBorders>
              <w:top w:val="nil"/>
              <w:left w:val="nil"/>
              <w:bottom w:val="single" w:sz="4" w:space="0" w:color="auto"/>
              <w:right w:val="single" w:sz="4" w:space="0" w:color="auto"/>
            </w:tcBorders>
            <w:shd w:val="clear" w:color="auto" w:fill="auto"/>
            <w:noWrap/>
            <w:vAlign w:val="center"/>
            <w:hideMark/>
          </w:tcPr>
          <w:p w14:paraId="364F411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4.2</w:t>
            </w:r>
          </w:p>
        </w:tc>
      </w:tr>
      <w:tr w:rsidR="00592E0C" w:rsidRPr="00592E0C" w14:paraId="36141992" w14:textId="77777777" w:rsidTr="00592E0C">
        <w:trPr>
          <w:trHeight w:val="84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2C096EE"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Paper. fiber and leather products</w:t>
            </w:r>
          </w:p>
        </w:tc>
        <w:tc>
          <w:tcPr>
            <w:tcW w:w="1070" w:type="dxa"/>
            <w:tcBorders>
              <w:top w:val="nil"/>
              <w:left w:val="nil"/>
              <w:bottom w:val="single" w:sz="4" w:space="0" w:color="auto"/>
              <w:right w:val="single" w:sz="4" w:space="0" w:color="auto"/>
            </w:tcBorders>
            <w:shd w:val="clear" w:color="auto" w:fill="auto"/>
            <w:noWrap/>
            <w:vAlign w:val="center"/>
            <w:hideMark/>
          </w:tcPr>
          <w:p w14:paraId="116B068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51E50E6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817" w:type="dxa"/>
            <w:tcBorders>
              <w:top w:val="nil"/>
              <w:left w:val="nil"/>
              <w:bottom w:val="single" w:sz="4" w:space="0" w:color="auto"/>
              <w:right w:val="single" w:sz="4" w:space="0" w:color="auto"/>
            </w:tcBorders>
            <w:shd w:val="clear" w:color="auto" w:fill="auto"/>
            <w:noWrap/>
            <w:vAlign w:val="center"/>
            <w:hideMark/>
          </w:tcPr>
          <w:p w14:paraId="5B665E3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134" w:type="dxa"/>
            <w:tcBorders>
              <w:top w:val="nil"/>
              <w:left w:val="nil"/>
              <w:bottom w:val="single" w:sz="4" w:space="0" w:color="auto"/>
              <w:right w:val="single" w:sz="4" w:space="0" w:color="auto"/>
            </w:tcBorders>
            <w:shd w:val="clear" w:color="auto" w:fill="auto"/>
            <w:noWrap/>
            <w:vAlign w:val="center"/>
            <w:hideMark/>
          </w:tcPr>
          <w:p w14:paraId="0138FA7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14:paraId="01ED473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14:paraId="06D2450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1435" w:type="dxa"/>
            <w:tcBorders>
              <w:top w:val="nil"/>
              <w:left w:val="nil"/>
              <w:bottom w:val="single" w:sz="4" w:space="0" w:color="auto"/>
              <w:right w:val="single" w:sz="4" w:space="0" w:color="auto"/>
            </w:tcBorders>
            <w:shd w:val="clear" w:color="auto" w:fill="auto"/>
            <w:noWrap/>
            <w:vAlign w:val="center"/>
            <w:hideMark/>
          </w:tcPr>
          <w:p w14:paraId="4BAFE5E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r>
      <w:tr w:rsidR="00592E0C" w:rsidRPr="00592E0C" w14:paraId="384BC5F8"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C25D56C"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Chemicals</w:t>
            </w:r>
          </w:p>
        </w:tc>
        <w:tc>
          <w:tcPr>
            <w:tcW w:w="1070" w:type="dxa"/>
            <w:tcBorders>
              <w:top w:val="nil"/>
              <w:left w:val="nil"/>
              <w:bottom w:val="single" w:sz="4" w:space="0" w:color="auto"/>
              <w:right w:val="single" w:sz="4" w:space="0" w:color="auto"/>
            </w:tcBorders>
            <w:shd w:val="clear" w:color="auto" w:fill="auto"/>
            <w:noWrap/>
            <w:vAlign w:val="center"/>
            <w:hideMark/>
          </w:tcPr>
          <w:p w14:paraId="127972D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58377D7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63D441F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60F4CDB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2A83FB6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244FB0A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2038A62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w:t>
            </w:r>
          </w:p>
        </w:tc>
      </w:tr>
      <w:tr w:rsidR="00592E0C" w:rsidRPr="00592E0C" w14:paraId="38BE856E"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4DF688B8"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Non metal minerals</w:t>
            </w:r>
          </w:p>
        </w:tc>
        <w:tc>
          <w:tcPr>
            <w:tcW w:w="1070" w:type="dxa"/>
            <w:tcBorders>
              <w:top w:val="nil"/>
              <w:left w:val="nil"/>
              <w:bottom w:val="single" w:sz="4" w:space="0" w:color="auto"/>
              <w:right w:val="single" w:sz="4" w:space="0" w:color="auto"/>
            </w:tcBorders>
            <w:shd w:val="clear" w:color="auto" w:fill="auto"/>
            <w:noWrap/>
            <w:vAlign w:val="center"/>
            <w:hideMark/>
          </w:tcPr>
          <w:p w14:paraId="05E7DB9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2ADF835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5BBECB3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4186EDA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7058C08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17DE6A6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1435" w:type="dxa"/>
            <w:tcBorders>
              <w:top w:val="nil"/>
              <w:left w:val="nil"/>
              <w:bottom w:val="single" w:sz="4" w:space="0" w:color="auto"/>
              <w:right w:val="single" w:sz="4" w:space="0" w:color="auto"/>
            </w:tcBorders>
            <w:shd w:val="clear" w:color="auto" w:fill="auto"/>
            <w:noWrap/>
            <w:vAlign w:val="center"/>
            <w:hideMark/>
          </w:tcPr>
          <w:p w14:paraId="4AA50BB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r>
      <w:tr w:rsidR="00592E0C" w:rsidRPr="00592E0C" w14:paraId="6D8CE129"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001197AB"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Metal </w:t>
            </w:r>
          </w:p>
        </w:tc>
        <w:tc>
          <w:tcPr>
            <w:tcW w:w="1070" w:type="dxa"/>
            <w:tcBorders>
              <w:top w:val="nil"/>
              <w:left w:val="nil"/>
              <w:bottom w:val="single" w:sz="4" w:space="0" w:color="auto"/>
              <w:right w:val="single" w:sz="4" w:space="0" w:color="auto"/>
            </w:tcBorders>
            <w:shd w:val="clear" w:color="auto" w:fill="auto"/>
            <w:noWrap/>
            <w:vAlign w:val="center"/>
            <w:hideMark/>
          </w:tcPr>
          <w:p w14:paraId="3DF4324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5C394EE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1D956A4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81B2EF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15E669C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437547F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0556C9E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r>
      <w:tr w:rsidR="00592E0C" w:rsidRPr="00592E0C" w14:paraId="6C888030"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50A6C2DA"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Manufacturing</w:t>
            </w:r>
          </w:p>
        </w:tc>
        <w:tc>
          <w:tcPr>
            <w:tcW w:w="1070" w:type="dxa"/>
            <w:tcBorders>
              <w:top w:val="nil"/>
              <w:left w:val="nil"/>
              <w:bottom w:val="single" w:sz="4" w:space="0" w:color="auto"/>
              <w:right w:val="single" w:sz="4" w:space="0" w:color="auto"/>
            </w:tcBorders>
            <w:shd w:val="clear" w:color="auto" w:fill="auto"/>
            <w:noWrap/>
            <w:vAlign w:val="center"/>
            <w:hideMark/>
          </w:tcPr>
          <w:p w14:paraId="288E00D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6AC2CAD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17" w:type="dxa"/>
            <w:tcBorders>
              <w:top w:val="nil"/>
              <w:left w:val="nil"/>
              <w:bottom w:val="single" w:sz="4" w:space="0" w:color="auto"/>
              <w:right w:val="single" w:sz="4" w:space="0" w:color="auto"/>
            </w:tcBorders>
            <w:shd w:val="clear" w:color="auto" w:fill="auto"/>
            <w:noWrap/>
            <w:vAlign w:val="center"/>
            <w:hideMark/>
          </w:tcPr>
          <w:p w14:paraId="4DEC5D5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14:paraId="7FC4C3A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3A9254E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992" w:type="dxa"/>
            <w:tcBorders>
              <w:top w:val="nil"/>
              <w:left w:val="nil"/>
              <w:bottom w:val="single" w:sz="4" w:space="0" w:color="auto"/>
              <w:right w:val="single" w:sz="4" w:space="0" w:color="auto"/>
            </w:tcBorders>
            <w:shd w:val="clear" w:color="auto" w:fill="auto"/>
            <w:noWrap/>
            <w:vAlign w:val="center"/>
            <w:hideMark/>
          </w:tcPr>
          <w:p w14:paraId="1ACFF22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368A23B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0.7</w:t>
            </w:r>
          </w:p>
        </w:tc>
      </w:tr>
      <w:tr w:rsidR="00592E0C" w:rsidRPr="00592E0C" w14:paraId="4A655998"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4BAA9C6F"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Machinery </w:t>
            </w:r>
          </w:p>
        </w:tc>
        <w:tc>
          <w:tcPr>
            <w:tcW w:w="1070" w:type="dxa"/>
            <w:tcBorders>
              <w:top w:val="nil"/>
              <w:left w:val="nil"/>
              <w:bottom w:val="single" w:sz="4" w:space="0" w:color="auto"/>
              <w:right w:val="single" w:sz="4" w:space="0" w:color="auto"/>
            </w:tcBorders>
            <w:shd w:val="clear" w:color="auto" w:fill="auto"/>
            <w:noWrap/>
            <w:vAlign w:val="center"/>
            <w:hideMark/>
          </w:tcPr>
          <w:p w14:paraId="6B4036D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19850B9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201A2A9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6DFFBE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79CFB71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30AFD5F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64AFE15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7B7D0714"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2D2AE786"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Electrisity. gas. and steam</w:t>
            </w:r>
          </w:p>
        </w:tc>
        <w:tc>
          <w:tcPr>
            <w:tcW w:w="1070" w:type="dxa"/>
            <w:tcBorders>
              <w:top w:val="nil"/>
              <w:left w:val="nil"/>
              <w:bottom w:val="single" w:sz="4" w:space="0" w:color="auto"/>
              <w:right w:val="single" w:sz="4" w:space="0" w:color="auto"/>
            </w:tcBorders>
            <w:shd w:val="clear" w:color="auto" w:fill="auto"/>
            <w:noWrap/>
            <w:vAlign w:val="center"/>
            <w:hideMark/>
          </w:tcPr>
          <w:p w14:paraId="6200C83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530D92D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817" w:type="dxa"/>
            <w:tcBorders>
              <w:top w:val="nil"/>
              <w:left w:val="nil"/>
              <w:bottom w:val="single" w:sz="4" w:space="0" w:color="auto"/>
              <w:right w:val="single" w:sz="4" w:space="0" w:color="auto"/>
            </w:tcBorders>
            <w:shd w:val="clear" w:color="auto" w:fill="auto"/>
            <w:noWrap/>
            <w:vAlign w:val="center"/>
            <w:hideMark/>
          </w:tcPr>
          <w:p w14:paraId="4AC7FA8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14:paraId="74E4045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14:paraId="6A8811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0102A1C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435" w:type="dxa"/>
            <w:tcBorders>
              <w:top w:val="nil"/>
              <w:left w:val="nil"/>
              <w:bottom w:val="single" w:sz="4" w:space="0" w:color="auto"/>
              <w:right w:val="single" w:sz="4" w:space="0" w:color="auto"/>
            </w:tcBorders>
            <w:shd w:val="clear" w:color="auto" w:fill="auto"/>
            <w:noWrap/>
            <w:vAlign w:val="center"/>
            <w:hideMark/>
          </w:tcPr>
          <w:p w14:paraId="5D03F28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r>
      <w:tr w:rsidR="00592E0C" w:rsidRPr="00592E0C" w14:paraId="482D5151" w14:textId="77777777" w:rsidTr="00592E0C">
        <w:trPr>
          <w:trHeight w:val="352"/>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685793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Water supply and sewage</w:t>
            </w:r>
          </w:p>
        </w:tc>
        <w:tc>
          <w:tcPr>
            <w:tcW w:w="1070" w:type="dxa"/>
            <w:tcBorders>
              <w:top w:val="nil"/>
              <w:left w:val="nil"/>
              <w:bottom w:val="single" w:sz="4" w:space="0" w:color="auto"/>
              <w:right w:val="single" w:sz="4" w:space="0" w:color="auto"/>
            </w:tcBorders>
            <w:shd w:val="clear" w:color="auto" w:fill="auto"/>
            <w:noWrap/>
            <w:vAlign w:val="center"/>
            <w:hideMark/>
          </w:tcPr>
          <w:p w14:paraId="4988CD1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20309A1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17" w:type="dxa"/>
            <w:tcBorders>
              <w:top w:val="nil"/>
              <w:left w:val="nil"/>
              <w:bottom w:val="single" w:sz="4" w:space="0" w:color="auto"/>
              <w:right w:val="single" w:sz="4" w:space="0" w:color="auto"/>
            </w:tcBorders>
            <w:shd w:val="clear" w:color="auto" w:fill="auto"/>
            <w:noWrap/>
            <w:vAlign w:val="center"/>
            <w:hideMark/>
          </w:tcPr>
          <w:p w14:paraId="03950B3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7DB740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08FE00F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c>
          <w:tcPr>
            <w:tcW w:w="992" w:type="dxa"/>
            <w:tcBorders>
              <w:top w:val="nil"/>
              <w:left w:val="nil"/>
              <w:bottom w:val="single" w:sz="4" w:space="0" w:color="auto"/>
              <w:right w:val="single" w:sz="4" w:space="0" w:color="auto"/>
            </w:tcBorders>
            <w:shd w:val="clear" w:color="auto" w:fill="auto"/>
            <w:noWrap/>
            <w:vAlign w:val="center"/>
            <w:hideMark/>
          </w:tcPr>
          <w:p w14:paraId="1378AD5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1435" w:type="dxa"/>
            <w:tcBorders>
              <w:top w:val="nil"/>
              <w:left w:val="nil"/>
              <w:bottom w:val="single" w:sz="4" w:space="0" w:color="auto"/>
              <w:right w:val="single" w:sz="4" w:space="0" w:color="auto"/>
            </w:tcBorders>
            <w:shd w:val="clear" w:color="auto" w:fill="auto"/>
            <w:noWrap/>
            <w:vAlign w:val="center"/>
            <w:hideMark/>
          </w:tcPr>
          <w:p w14:paraId="179EF51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r>
      <w:tr w:rsidR="00592E0C" w:rsidRPr="00592E0C" w14:paraId="5EF4842E" w14:textId="77777777" w:rsidTr="00592E0C">
        <w:trPr>
          <w:trHeight w:val="225"/>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D9561BA"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Construction </w:t>
            </w:r>
          </w:p>
        </w:tc>
        <w:tc>
          <w:tcPr>
            <w:tcW w:w="1070" w:type="dxa"/>
            <w:tcBorders>
              <w:top w:val="nil"/>
              <w:left w:val="nil"/>
              <w:bottom w:val="single" w:sz="4" w:space="0" w:color="auto"/>
              <w:right w:val="single" w:sz="4" w:space="0" w:color="auto"/>
            </w:tcBorders>
            <w:shd w:val="clear" w:color="auto" w:fill="auto"/>
            <w:noWrap/>
            <w:vAlign w:val="center"/>
            <w:hideMark/>
          </w:tcPr>
          <w:p w14:paraId="36D2D31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23.5</w:t>
            </w:r>
          </w:p>
        </w:tc>
        <w:tc>
          <w:tcPr>
            <w:tcW w:w="992" w:type="dxa"/>
            <w:tcBorders>
              <w:top w:val="nil"/>
              <w:left w:val="nil"/>
              <w:bottom w:val="single" w:sz="4" w:space="0" w:color="auto"/>
              <w:right w:val="single" w:sz="4" w:space="0" w:color="auto"/>
            </w:tcBorders>
            <w:shd w:val="clear" w:color="auto" w:fill="auto"/>
            <w:noWrap/>
            <w:vAlign w:val="center"/>
            <w:hideMark/>
          </w:tcPr>
          <w:p w14:paraId="50FA08B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28.1</w:t>
            </w:r>
          </w:p>
        </w:tc>
        <w:tc>
          <w:tcPr>
            <w:tcW w:w="817" w:type="dxa"/>
            <w:tcBorders>
              <w:top w:val="nil"/>
              <w:left w:val="nil"/>
              <w:bottom w:val="single" w:sz="4" w:space="0" w:color="auto"/>
              <w:right w:val="single" w:sz="4" w:space="0" w:color="auto"/>
            </w:tcBorders>
            <w:shd w:val="clear" w:color="auto" w:fill="auto"/>
            <w:noWrap/>
            <w:vAlign w:val="center"/>
            <w:hideMark/>
          </w:tcPr>
          <w:p w14:paraId="232DB7D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29.9</w:t>
            </w:r>
          </w:p>
        </w:tc>
        <w:tc>
          <w:tcPr>
            <w:tcW w:w="1134" w:type="dxa"/>
            <w:tcBorders>
              <w:top w:val="nil"/>
              <w:left w:val="nil"/>
              <w:bottom w:val="single" w:sz="4" w:space="0" w:color="auto"/>
              <w:right w:val="single" w:sz="4" w:space="0" w:color="auto"/>
            </w:tcBorders>
            <w:shd w:val="clear" w:color="auto" w:fill="auto"/>
            <w:noWrap/>
            <w:vAlign w:val="center"/>
            <w:hideMark/>
          </w:tcPr>
          <w:p w14:paraId="2BF1842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851" w:type="dxa"/>
            <w:tcBorders>
              <w:top w:val="nil"/>
              <w:left w:val="nil"/>
              <w:bottom w:val="single" w:sz="4" w:space="0" w:color="auto"/>
              <w:right w:val="single" w:sz="4" w:space="0" w:color="auto"/>
            </w:tcBorders>
            <w:shd w:val="clear" w:color="auto" w:fill="auto"/>
            <w:noWrap/>
            <w:vAlign w:val="center"/>
            <w:hideMark/>
          </w:tcPr>
          <w:p w14:paraId="6B677A9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7BD8174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2.0</w:t>
            </w:r>
          </w:p>
        </w:tc>
        <w:tc>
          <w:tcPr>
            <w:tcW w:w="1435" w:type="dxa"/>
            <w:tcBorders>
              <w:top w:val="nil"/>
              <w:left w:val="nil"/>
              <w:bottom w:val="single" w:sz="4" w:space="0" w:color="auto"/>
              <w:right w:val="single" w:sz="4" w:space="0" w:color="auto"/>
            </w:tcBorders>
            <w:shd w:val="clear" w:color="auto" w:fill="auto"/>
            <w:noWrap/>
            <w:vAlign w:val="center"/>
            <w:hideMark/>
          </w:tcPr>
          <w:p w14:paraId="2C01DFD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7.5</w:t>
            </w:r>
          </w:p>
        </w:tc>
      </w:tr>
      <w:tr w:rsidR="00592E0C" w:rsidRPr="00592E0C" w14:paraId="1FFE1377" w14:textId="77777777" w:rsidTr="00592E0C">
        <w:trPr>
          <w:trHeight w:val="323"/>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57FD371"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Wholesale and retail trade</w:t>
            </w:r>
          </w:p>
        </w:tc>
        <w:tc>
          <w:tcPr>
            <w:tcW w:w="1070" w:type="dxa"/>
            <w:tcBorders>
              <w:top w:val="nil"/>
              <w:left w:val="nil"/>
              <w:bottom w:val="single" w:sz="4" w:space="0" w:color="auto"/>
              <w:right w:val="single" w:sz="4" w:space="0" w:color="auto"/>
            </w:tcBorders>
            <w:shd w:val="clear" w:color="auto" w:fill="auto"/>
            <w:noWrap/>
            <w:vAlign w:val="center"/>
            <w:hideMark/>
          </w:tcPr>
          <w:p w14:paraId="73DF841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11.7</w:t>
            </w:r>
          </w:p>
        </w:tc>
        <w:tc>
          <w:tcPr>
            <w:tcW w:w="992" w:type="dxa"/>
            <w:tcBorders>
              <w:top w:val="nil"/>
              <w:left w:val="nil"/>
              <w:bottom w:val="single" w:sz="4" w:space="0" w:color="auto"/>
              <w:right w:val="single" w:sz="4" w:space="0" w:color="auto"/>
            </w:tcBorders>
            <w:shd w:val="clear" w:color="auto" w:fill="auto"/>
            <w:noWrap/>
            <w:vAlign w:val="center"/>
            <w:hideMark/>
          </w:tcPr>
          <w:p w14:paraId="60DC6C9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13.5</w:t>
            </w:r>
          </w:p>
        </w:tc>
        <w:tc>
          <w:tcPr>
            <w:tcW w:w="817" w:type="dxa"/>
            <w:tcBorders>
              <w:top w:val="nil"/>
              <w:left w:val="nil"/>
              <w:bottom w:val="single" w:sz="4" w:space="0" w:color="auto"/>
              <w:right w:val="single" w:sz="4" w:space="0" w:color="auto"/>
            </w:tcBorders>
            <w:shd w:val="clear" w:color="auto" w:fill="auto"/>
            <w:noWrap/>
            <w:vAlign w:val="center"/>
            <w:hideMark/>
          </w:tcPr>
          <w:p w14:paraId="033E695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14.2</w:t>
            </w:r>
          </w:p>
        </w:tc>
        <w:tc>
          <w:tcPr>
            <w:tcW w:w="1134" w:type="dxa"/>
            <w:tcBorders>
              <w:top w:val="nil"/>
              <w:left w:val="nil"/>
              <w:bottom w:val="single" w:sz="4" w:space="0" w:color="auto"/>
              <w:right w:val="single" w:sz="4" w:space="0" w:color="auto"/>
            </w:tcBorders>
            <w:shd w:val="clear" w:color="auto" w:fill="auto"/>
            <w:noWrap/>
            <w:vAlign w:val="center"/>
            <w:hideMark/>
          </w:tcPr>
          <w:p w14:paraId="0C5D21C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21.4</w:t>
            </w:r>
          </w:p>
        </w:tc>
        <w:tc>
          <w:tcPr>
            <w:tcW w:w="851" w:type="dxa"/>
            <w:tcBorders>
              <w:top w:val="nil"/>
              <w:left w:val="nil"/>
              <w:bottom w:val="single" w:sz="4" w:space="0" w:color="auto"/>
              <w:right w:val="single" w:sz="4" w:space="0" w:color="auto"/>
            </w:tcBorders>
            <w:shd w:val="clear" w:color="auto" w:fill="auto"/>
            <w:noWrap/>
            <w:vAlign w:val="center"/>
            <w:hideMark/>
          </w:tcPr>
          <w:p w14:paraId="6BE6897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26.7</w:t>
            </w:r>
          </w:p>
        </w:tc>
        <w:tc>
          <w:tcPr>
            <w:tcW w:w="992" w:type="dxa"/>
            <w:tcBorders>
              <w:top w:val="nil"/>
              <w:left w:val="nil"/>
              <w:bottom w:val="single" w:sz="4" w:space="0" w:color="auto"/>
              <w:right w:val="single" w:sz="4" w:space="0" w:color="auto"/>
            </w:tcBorders>
            <w:shd w:val="clear" w:color="auto" w:fill="auto"/>
            <w:noWrap/>
            <w:vAlign w:val="center"/>
            <w:hideMark/>
          </w:tcPr>
          <w:p w14:paraId="0634A2D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29.1</w:t>
            </w:r>
          </w:p>
        </w:tc>
        <w:tc>
          <w:tcPr>
            <w:tcW w:w="1435" w:type="dxa"/>
            <w:tcBorders>
              <w:top w:val="nil"/>
              <w:left w:val="nil"/>
              <w:bottom w:val="single" w:sz="4" w:space="0" w:color="auto"/>
              <w:right w:val="single" w:sz="4" w:space="0" w:color="auto"/>
            </w:tcBorders>
            <w:shd w:val="clear" w:color="auto" w:fill="auto"/>
            <w:noWrap/>
            <w:vAlign w:val="center"/>
            <w:hideMark/>
          </w:tcPr>
          <w:p w14:paraId="2C56FB9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10.4</w:t>
            </w:r>
          </w:p>
        </w:tc>
      </w:tr>
      <w:tr w:rsidR="00592E0C" w:rsidRPr="00592E0C" w14:paraId="5D9E379B"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713D86A2"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Transport and storage</w:t>
            </w:r>
          </w:p>
        </w:tc>
        <w:tc>
          <w:tcPr>
            <w:tcW w:w="1070" w:type="dxa"/>
            <w:tcBorders>
              <w:top w:val="nil"/>
              <w:left w:val="nil"/>
              <w:bottom w:val="single" w:sz="4" w:space="0" w:color="auto"/>
              <w:right w:val="single" w:sz="4" w:space="0" w:color="auto"/>
            </w:tcBorders>
            <w:shd w:val="clear" w:color="auto" w:fill="auto"/>
            <w:noWrap/>
            <w:vAlign w:val="center"/>
            <w:hideMark/>
          </w:tcPr>
          <w:p w14:paraId="6062DCD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4.7</w:t>
            </w:r>
          </w:p>
        </w:tc>
        <w:tc>
          <w:tcPr>
            <w:tcW w:w="992" w:type="dxa"/>
            <w:tcBorders>
              <w:top w:val="nil"/>
              <w:left w:val="nil"/>
              <w:bottom w:val="single" w:sz="4" w:space="0" w:color="auto"/>
              <w:right w:val="single" w:sz="4" w:space="0" w:color="auto"/>
            </w:tcBorders>
            <w:shd w:val="clear" w:color="auto" w:fill="auto"/>
            <w:noWrap/>
            <w:vAlign w:val="center"/>
            <w:hideMark/>
          </w:tcPr>
          <w:p w14:paraId="4BBF758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5.7</w:t>
            </w:r>
          </w:p>
        </w:tc>
        <w:tc>
          <w:tcPr>
            <w:tcW w:w="817" w:type="dxa"/>
            <w:tcBorders>
              <w:top w:val="nil"/>
              <w:left w:val="nil"/>
              <w:bottom w:val="single" w:sz="4" w:space="0" w:color="auto"/>
              <w:right w:val="single" w:sz="4" w:space="0" w:color="auto"/>
            </w:tcBorders>
            <w:shd w:val="clear" w:color="auto" w:fill="auto"/>
            <w:noWrap/>
            <w:vAlign w:val="center"/>
            <w:hideMark/>
          </w:tcPr>
          <w:p w14:paraId="0B0CB02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6.1</w:t>
            </w:r>
          </w:p>
        </w:tc>
        <w:tc>
          <w:tcPr>
            <w:tcW w:w="1134" w:type="dxa"/>
            <w:tcBorders>
              <w:top w:val="nil"/>
              <w:left w:val="nil"/>
              <w:bottom w:val="single" w:sz="4" w:space="0" w:color="auto"/>
              <w:right w:val="single" w:sz="4" w:space="0" w:color="auto"/>
            </w:tcBorders>
            <w:shd w:val="clear" w:color="auto" w:fill="auto"/>
            <w:noWrap/>
            <w:vAlign w:val="center"/>
            <w:hideMark/>
          </w:tcPr>
          <w:p w14:paraId="00CFC36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14:paraId="3D8744F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096CB0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435" w:type="dxa"/>
            <w:tcBorders>
              <w:top w:val="nil"/>
              <w:left w:val="nil"/>
              <w:bottom w:val="single" w:sz="4" w:space="0" w:color="auto"/>
              <w:right w:val="single" w:sz="4" w:space="0" w:color="auto"/>
            </w:tcBorders>
            <w:shd w:val="clear" w:color="auto" w:fill="auto"/>
            <w:noWrap/>
            <w:vAlign w:val="center"/>
            <w:hideMark/>
          </w:tcPr>
          <w:p w14:paraId="29AFF030"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6.0</w:t>
            </w:r>
          </w:p>
        </w:tc>
      </w:tr>
      <w:tr w:rsidR="00592E0C" w:rsidRPr="00592E0C" w14:paraId="4ACE4B0D" w14:textId="77777777" w:rsidTr="00592E0C">
        <w:trPr>
          <w:trHeight w:val="617"/>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9C80ACE"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Accommodation and food services</w:t>
            </w:r>
          </w:p>
        </w:tc>
        <w:tc>
          <w:tcPr>
            <w:tcW w:w="1070" w:type="dxa"/>
            <w:tcBorders>
              <w:top w:val="nil"/>
              <w:left w:val="nil"/>
              <w:bottom w:val="single" w:sz="4" w:space="0" w:color="auto"/>
              <w:right w:val="single" w:sz="4" w:space="0" w:color="auto"/>
            </w:tcBorders>
            <w:shd w:val="clear" w:color="auto" w:fill="auto"/>
            <w:noWrap/>
            <w:vAlign w:val="center"/>
            <w:hideMark/>
          </w:tcPr>
          <w:p w14:paraId="2A533D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567D820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817" w:type="dxa"/>
            <w:tcBorders>
              <w:top w:val="nil"/>
              <w:left w:val="nil"/>
              <w:bottom w:val="single" w:sz="4" w:space="0" w:color="auto"/>
              <w:right w:val="single" w:sz="4" w:space="0" w:color="auto"/>
            </w:tcBorders>
            <w:shd w:val="clear" w:color="auto" w:fill="auto"/>
            <w:noWrap/>
            <w:vAlign w:val="center"/>
            <w:hideMark/>
          </w:tcPr>
          <w:p w14:paraId="27F30B9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0.5</w:t>
            </w:r>
          </w:p>
        </w:tc>
        <w:tc>
          <w:tcPr>
            <w:tcW w:w="1134" w:type="dxa"/>
            <w:tcBorders>
              <w:top w:val="nil"/>
              <w:left w:val="nil"/>
              <w:bottom w:val="single" w:sz="4" w:space="0" w:color="auto"/>
              <w:right w:val="single" w:sz="4" w:space="0" w:color="auto"/>
            </w:tcBorders>
            <w:shd w:val="clear" w:color="auto" w:fill="auto"/>
            <w:noWrap/>
            <w:vAlign w:val="center"/>
            <w:hideMark/>
          </w:tcPr>
          <w:p w14:paraId="32102B5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3.1</w:t>
            </w:r>
          </w:p>
        </w:tc>
        <w:tc>
          <w:tcPr>
            <w:tcW w:w="851" w:type="dxa"/>
            <w:tcBorders>
              <w:top w:val="nil"/>
              <w:left w:val="nil"/>
              <w:bottom w:val="single" w:sz="4" w:space="0" w:color="auto"/>
              <w:right w:val="single" w:sz="4" w:space="0" w:color="auto"/>
            </w:tcBorders>
            <w:shd w:val="clear" w:color="auto" w:fill="auto"/>
            <w:noWrap/>
            <w:vAlign w:val="center"/>
            <w:hideMark/>
          </w:tcPr>
          <w:p w14:paraId="315ABA9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3.9</w:t>
            </w:r>
          </w:p>
        </w:tc>
        <w:tc>
          <w:tcPr>
            <w:tcW w:w="992" w:type="dxa"/>
            <w:tcBorders>
              <w:top w:val="nil"/>
              <w:left w:val="nil"/>
              <w:bottom w:val="single" w:sz="4" w:space="0" w:color="auto"/>
              <w:right w:val="single" w:sz="4" w:space="0" w:color="auto"/>
            </w:tcBorders>
            <w:shd w:val="clear" w:color="auto" w:fill="auto"/>
            <w:noWrap/>
            <w:vAlign w:val="center"/>
            <w:hideMark/>
          </w:tcPr>
          <w:p w14:paraId="00B5DA0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4.3</w:t>
            </w:r>
          </w:p>
        </w:tc>
        <w:tc>
          <w:tcPr>
            <w:tcW w:w="1435" w:type="dxa"/>
            <w:tcBorders>
              <w:top w:val="nil"/>
              <w:left w:val="nil"/>
              <w:bottom w:val="single" w:sz="4" w:space="0" w:color="auto"/>
              <w:right w:val="single" w:sz="4" w:space="0" w:color="auto"/>
            </w:tcBorders>
            <w:shd w:val="clear" w:color="auto" w:fill="auto"/>
            <w:noWrap/>
            <w:vAlign w:val="center"/>
            <w:hideMark/>
          </w:tcPr>
          <w:p w14:paraId="5B78F7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1.2</w:t>
            </w:r>
          </w:p>
        </w:tc>
      </w:tr>
      <w:tr w:rsidR="00592E0C" w:rsidRPr="00592E0C" w14:paraId="7B8C6F75" w14:textId="77777777" w:rsidTr="00592E0C">
        <w:trPr>
          <w:trHeight w:val="407"/>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722021E"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Information and communication</w:t>
            </w:r>
          </w:p>
        </w:tc>
        <w:tc>
          <w:tcPr>
            <w:tcW w:w="1070" w:type="dxa"/>
            <w:tcBorders>
              <w:top w:val="nil"/>
              <w:left w:val="nil"/>
              <w:bottom w:val="single" w:sz="4" w:space="0" w:color="auto"/>
              <w:right w:val="single" w:sz="4" w:space="0" w:color="auto"/>
            </w:tcBorders>
            <w:shd w:val="clear" w:color="auto" w:fill="auto"/>
            <w:noWrap/>
            <w:vAlign w:val="center"/>
            <w:hideMark/>
          </w:tcPr>
          <w:p w14:paraId="1EB8354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992" w:type="dxa"/>
            <w:tcBorders>
              <w:top w:val="nil"/>
              <w:left w:val="nil"/>
              <w:bottom w:val="single" w:sz="4" w:space="0" w:color="auto"/>
              <w:right w:val="single" w:sz="4" w:space="0" w:color="auto"/>
            </w:tcBorders>
            <w:shd w:val="clear" w:color="auto" w:fill="auto"/>
            <w:noWrap/>
            <w:vAlign w:val="center"/>
            <w:hideMark/>
          </w:tcPr>
          <w:p w14:paraId="1BE0D2B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1.2</w:t>
            </w:r>
          </w:p>
        </w:tc>
        <w:tc>
          <w:tcPr>
            <w:tcW w:w="817" w:type="dxa"/>
            <w:tcBorders>
              <w:top w:val="nil"/>
              <w:left w:val="nil"/>
              <w:bottom w:val="single" w:sz="4" w:space="0" w:color="auto"/>
              <w:right w:val="single" w:sz="4" w:space="0" w:color="auto"/>
            </w:tcBorders>
            <w:shd w:val="clear" w:color="auto" w:fill="auto"/>
            <w:noWrap/>
            <w:vAlign w:val="center"/>
            <w:hideMark/>
          </w:tcPr>
          <w:p w14:paraId="1B007BD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14:paraId="7C9CAEC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c>
          <w:tcPr>
            <w:tcW w:w="851" w:type="dxa"/>
            <w:tcBorders>
              <w:top w:val="nil"/>
              <w:left w:val="nil"/>
              <w:bottom w:val="single" w:sz="4" w:space="0" w:color="auto"/>
              <w:right w:val="single" w:sz="4" w:space="0" w:color="auto"/>
            </w:tcBorders>
            <w:shd w:val="clear" w:color="auto" w:fill="auto"/>
            <w:noWrap/>
            <w:vAlign w:val="center"/>
            <w:hideMark/>
          </w:tcPr>
          <w:p w14:paraId="21E97B1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992" w:type="dxa"/>
            <w:tcBorders>
              <w:top w:val="nil"/>
              <w:left w:val="nil"/>
              <w:bottom w:val="single" w:sz="4" w:space="0" w:color="auto"/>
              <w:right w:val="single" w:sz="4" w:space="0" w:color="auto"/>
            </w:tcBorders>
            <w:shd w:val="clear" w:color="auto" w:fill="auto"/>
            <w:noWrap/>
            <w:vAlign w:val="center"/>
            <w:hideMark/>
          </w:tcPr>
          <w:p w14:paraId="152495D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w:t>
            </w:r>
          </w:p>
        </w:tc>
        <w:tc>
          <w:tcPr>
            <w:tcW w:w="1435" w:type="dxa"/>
            <w:tcBorders>
              <w:top w:val="nil"/>
              <w:left w:val="nil"/>
              <w:bottom w:val="single" w:sz="4" w:space="0" w:color="auto"/>
              <w:right w:val="single" w:sz="4" w:space="0" w:color="auto"/>
            </w:tcBorders>
            <w:shd w:val="clear" w:color="auto" w:fill="auto"/>
            <w:noWrap/>
            <w:vAlign w:val="center"/>
            <w:hideMark/>
          </w:tcPr>
          <w:p w14:paraId="379573E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3.5</w:t>
            </w:r>
          </w:p>
        </w:tc>
      </w:tr>
      <w:tr w:rsidR="00592E0C" w:rsidRPr="00592E0C" w14:paraId="4E180A7B" w14:textId="77777777" w:rsidTr="00592E0C">
        <w:trPr>
          <w:trHeight w:val="351"/>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559CD616"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Finance and insurance</w:t>
            </w:r>
          </w:p>
        </w:tc>
        <w:tc>
          <w:tcPr>
            <w:tcW w:w="1070" w:type="dxa"/>
            <w:tcBorders>
              <w:top w:val="nil"/>
              <w:left w:val="nil"/>
              <w:bottom w:val="single" w:sz="4" w:space="0" w:color="auto"/>
              <w:right w:val="single" w:sz="4" w:space="0" w:color="auto"/>
            </w:tcBorders>
            <w:shd w:val="clear" w:color="auto" w:fill="auto"/>
            <w:noWrap/>
            <w:vAlign w:val="center"/>
            <w:hideMark/>
          </w:tcPr>
          <w:p w14:paraId="7CCDEA1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14:paraId="029BA9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1.6</w:t>
            </w:r>
          </w:p>
        </w:tc>
        <w:tc>
          <w:tcPr>
            <w:tcW w:w="817" w:type="dxa"/>
            <w:tcBorders>
              <w:top w:val="nil"/>
              <w:left w:val="nil"/>
              <w:bottom w:val="single" w:sz="4" w:space="0" w:color="auto"/>
              <w:right w:val="single" w:sz="4" w:space="0" w:color="auto"/>
            </w:tcBorders>
            <w:shd w:val="clear" w:color="auto" w:fill="auto"/>
            <w:noWrap/>
            <w:vAlign w:val="center"/>
            <w:hideMark/>
          </w:tcPr>
          <w:p w14:paraId="28B66F1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9D0278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2.7</w:t>
            </w:r>
          </w:p>
        </w:tc>
        <w:tc>
          <w:tcPr>
            <w:tcW w:w="851" w:type="dxa"/>
            <w:tcBorders>
              <w:top w:val="nil"/>
              <w:left w:val="nil"/>
              <w:bottom w:val="single" w:sz="4" w:space="0" w:color="auto"/>
              <w:right w:val="single" w:sz="4" w:space="0" w:color="auto"/>
            </w:tcBorders>
            <w:shd w:val="clear" w:color="auto" w:fill="auto"/>
            <w:noWrap/>
            <w:vAlign w:val="center"/>
            <w:hideMark/>
          </w:tcPr>
          <w:p w14:paraId="4189985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3.9</w:t>
            </w:r>
          </w:p>
        </w:tc>
        <w:tc>
          <w:tcPr>
            <w:tcW w:w="992" w:type="dxa"/>
            <w:tcBorders>
              <w:top w:val="nil"/>
              <w:left w:val="nil"/>
              <w:bottom w:val="single" w:sz="4" w:space="0" w:color="auto"/>
              <w:right w:val="single" w:sz="4" w:space="0" w:color="auto"/>
            </w:tcBorders>
            <w:shd w:val="clear" w:color="auto" w:fill="auto"/>
            <w:noWrap/>
            <w:vAlign w:val="center"/>
            <w:hideMark/>
          </w:tcPr>
          <w:p w14:paraId="56A75A0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4.4</w:t>
            </w:r>
          </w:p>
        </w:tc>
        <w:tc>
          <w:tcPr>
            <w:tcW w:w="1435" w:type="dxa"/>
            <w:tcBorders>
              <w:top w:val="nil"/>
              <w:left w:val="nil"/>
              <w:bottom w:val="single" w:sz="4" w:space="0" w:color="auto"/>
              <w:right w:val="single" w:sz="4" w:space="0" w:color="auto"/>
            </w:tcBorders>
            <w:shd w:val="clear" w:color="auto" w:fill="auto"/>
            <w:noWrap/>
            <w:vAlign w:val="center"/>
            <w:hideMark/>
          </w:tcPr>
          <w:p w14:paraId="6D36103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3.3</w:t>
            </w:r>
          </w:p>
        </w:tc>
      </w:tr>
      <w:tr w:rsidR="00592E0C" w:rsidRPr="00592E0C" w14:paraId="2E410DFA"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0B56F311"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Real estate activities</w:t>
            </w:r>
          </w:p>
        </w:tc>
        <w:tc>
          <w:tcPr>
            <w:tcW w:w="1070" w:type="dxa"/>
            <w:tcBorders>
              <w:top w:val="nil"/>
              <w:left w:val="nil"/>
              <w:bottom w:val="single" w:sz="4" w:space="0" w:color="auto"/>
              <w:right w:val="single" w:sz="4" w:space="0" w:color="auto"/>
            </w:tcBorders>
            <w:shd w:val="clear" w:color="auto" w:fill="auto"/>
            <w:noWrap/>
            <w:vAlign w:val="center"/>
            <w:hideMark/>
          </w:tcPr>
          <w:p w14:paraId="21B7999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1B8CC59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817" w:type="dxa"/>
            <w:tcBorders>
              <w:top w:val="nil"/>
              <w:left w:val="nil"/>
              <w:bottom w:val="single" w:sz="4" w:space="0" w:color="auto"/>
              <w:right w:val="single" w:sz="4" w:space="0" w:color="auto"/>
            </w:tcBorders>
            <w:shd w:val="clear" w:color="auto" w:fill="auto"/>
            <w:noWrap/>
            <w:vAlign w:val="center"/>
            <w:hideMark/>
          </w:tcPr>
          <w:p w14:paraId="0286375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14:paraId="7205982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14:paraId="5BAB466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14:paraId="54B87804"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c>
          <w:tcPr>
            <w:tcW w:w="1435" w:type="dxa"/>
            <w:tcBorders>
              <w:top w:val="nil"/>
              <w:left w:val="nil"/>
              <w:bottom w:val="single" w:sz="4" w:space="0" w:color="auto"/>
              <w:right w:val="single" w:sz="4" w:space="0" w:color="auto"/>
            </w:tcBorders>
            <w:shd w:val="clear" w:color="auto" w:fill="auto"/>
            <w:noWrap/>
            <w:vAlign w:val="center"/>
            <w:hideMark/>
          </w:tcPr>
          <w:p w14:paraId="43E11DC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4.5</w:t>
            </w:r>
          </w:p>
        </w:tc>
      </w:tr>
      <w:tr w:rsidR="00592E0C" w:rsidRPr="00592E0C" w14:paraId="068883EF"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10C1F4C2"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Business services</w:t>
            </w:r>
          </w:p>
        </w:tc>
        <w:tc>
          <w:tcPr>
            <w:tcW w:w="1070" w:type="dxa"/>
            <w:tcBorders>
              <w:top w:val="nil"/>
              <w:left w:val="nil"/>
              <w:bottom w:val="single" w:sz="4" w:space="0" w:color="auto"/>
              <w:right w:val="single" w:sz="4" w:space="0" w:color="auto"/>
            </w:tcBorders>
            <w:shd w:val="clear" w:color="auto" w:fill="auto"/>
            <w:noWrap/>
            <w:vAlign w:val="center"/>
            <w:hideMark/>
          </w:tcPr>
          <w:p w14:paraId="7BD76E2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11.0</w:t>
            </w:r>
          </w:p>
        </w:tc>
        <w:tc>
          <w:tcPr>
            <w:tcW w:w="992" w:type="dxa"/>
            <w:tcBorders>
              <w:top w:val="nil"/>
              <w:left w:val="nil"/>
              <w:bottom w:val="single" w:sz="4" w:space="0" w:color="auto"/>
              <w:right w:val="single" w:sz="4" w:space="0" w:color="auto"/>
            </w:tcBorders>
            <w:shd w:val="clear" w:color="auto" w:fill="auto"/>
            <w:noWrap/>
            <w:vAlign w:val="center"/>
            <w:hideMark/>
          </w:tcPr>
          <w:p w14:paraId="12A9801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11.5</w:t>
            </w:r>
          </w:p>
        </w:tc>
        <w:tc>
          <w:tcPr>
            <w:tcW w:w="817" w:type="dxa"/>
            <w:tcBorders>
              <w:top w:val="nil"/>
              <w:left w:val="nil"/>
              <w:bottom w:val="single" w:sz="4" w:space="0" w:color="auto"/>
              <w:right w:val="single" w:sz="4" w:space="0" w:color="auto"/>
            </w:tcBorders>
            <w:shd w:val="clear" w:color="auto" w:fill="auto"/>
            <w:noWrap/>
            <w:vAlign w:val="center"/>
            <w:hideMark/>
          </w:tcPr>
          <w:p w14:paraId="0BA30B7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11.7</w:t>
            </w:r>
          </w:p>
        </w:tc>
        <w:tc>
          <w:tcPr>
            <w:tcW w:w="1134" w:type="dxa"/>
            <w:tcBorders>
              <w:top w:val="nil"/>
              <w:left w:val="nil"/>
              <w:bottom w:val="single" w:sz="4" w:space="0" w:color="auto"/>
              <w:right w:val="single" w:sz="4" w:space="0" w:color="auto"/>
            </w:tcBorders>
            <w:shd w:val="clear" w:color="auto" w:fill="auto"/>
            <w:noWrap/>
            <w:vAlign w:val="center"/>
            <w:hideMark/>
          </w:tcPr>
          <w:p w14:paraId="08FC387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4.9</w:t>
            </w:r>
          </w:p>
        </w:tc>
        <w:tc>
          <w:tcPr>
            <w:tcW w:w="851" w:type="dxa"/>
            <w:tcBorders>
              <w:top w:val="nil"/>
              <w:left w:val="nil"/>
              <w:bottom w:val="single" w:sz="4" w:space="0" w:color="auto"/>
              <w:right w:val="single" w:sz="4" w:space="0" w:color="auto"/>
            </w:tcBorders>
            <w:shd w:val="clear" w:color="auto" w:fill="auto"/>
            <w:noWrap/>
            <w:vAlign w:val="center"/>
            <w:hideMark/>
          </w:tcPr>
          <w:p w14:paraId="4F0EEB5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6.4</w:t>
            </w:r>
          </w:p>
        </w:tc>
        <w:tc>
          <w:tcPr>
            <w:tcW w:w="992" w:type="dxa"/>
            <w:tcBorders>
              <w:top w:val="nil"/>
              <w:left w:val="nil"/>
              <w:bottom w:val="single" w:sz="4" w:space="0" w:color="auto"/>
              <w:right w:val="single" w:sz="4" w:space="0" w:color="auto"/>
            </w:tcBorders>
            <w:shd w:val="clear" w:color="auto" w:fill="auto"/>
            <w:noWrap/>
            <w:vAlign w:val="center"/>
            <w:hideMark/>
          </w:tcPr>
          <w:p w14:paraId="0A677F11"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7.0</w:t>
            </w:r>
          </w:p>
        </w:tc>
        <w:tc>
          <w:tcPr>
            <w:tcW w:w="1435" w:type="dxa"/>
            <w:tcBorders>
              <w:top w:val="nil"/>
              <w:left w:val="nil"/>
              <w:bottom w:val="single" w:sz="4" w:space="0" w:color="auto"/>
              <w:right w:val="single" w:sz="4" w:space="0" w:color="auto"/>
            </w:tcBorders>
            <w:shd w:val="clear" w:color="auto" w:fill="auto"/>
            <w:noWrap/>
            <w:vAlign w:val="center"/>
            <w:hideMark/>
          </w:tcPr>
          <w:p w14:paraId="3F82587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0.6</w:t>
            </w:r>
          </w:p>
        </w:tc>
      </w:tr>
      <w:tr w:rsidR="00592E0C" w:rsidRPr="00592E0C" w14:paraId="4DA5DD71" w14:textId="77777777" w:rsidTr="00592E0C">
        <w:trPr>
          <w:trHeight w:val="379"/>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3E3A0BDD"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Public administration</w:t>
            </w:r>
          </w:p>
        </w:tc>
        <w:tc>
          <w:tcPr>
            <w:tcW w:w="1070" w:type="dxa"/>
            <w:tcBorders>
              <w:top w:val="nil"/>
              <w:left w:val="nil"/>
              <w:bottom w:val="single" w:sz="4" w:space="0" w:color="auto"/>
              <w:right w:val="single" w:sz="4" w:space="0" w:color="auto"/>
            </w:tcBorders>
            <w:shd w:val="clear" w:color="auto" w:fill="auto"/>
            <w:noWrap/>
            <w:vAlign w:val="center"/>
            <w:hideMark/>
          </w:tcPr>
          <w:p w14:paraId="53E6054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11.2</w:t>
            </w:r>
          </w:p>
        </w:tc>
        <w:tc>
          <w:tcPr>
            <w:tcW w:w="992" w:type="dxa"/>
            <w:tcBorders>
              <w:top w:val="nil"/>
              <w:left w:val="nil"/>
              <w:bottom w:val="single" w:sz="4" w:space="0" w:color="auto"/>
              <w:right w:val="single" w:sz="4" w:space="0" w:color="auto"/>
            </w:tcBorders>
            <w:shd w:val="clear" w:color="auto" w:fill="auto"/>
            <w:noWrap/>
            <w:vAlign w:val="center"/>
            <w:hideMark/>
          </w:tcPr>
          <w:p w14:paraId="3A659FD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12.8</w:t>
            </w:r>
          </w:p>
        </w:tc>
        <w:tc>
          <w:tcPr>
            <w:tcW w:w="817" w:type="dxa"/>
            <w:tcBorders>
              <w:top w:val="nil"/>
              <w:left w:val="nil"/>
              <w:bottom w:val="single" w:sz="4" w:space="0" w:color="auto"/>
              <w:right w:val="single" w:sz="4" w:space="0" w:color="auto"/>
            </w:tcBorders>
            <w:shd w:val="clear" w:color="auto" w:fill="auto"/>
            <w:noWrap/>
            <w:vAlign w:val="center"/>
            <w:hideMark/>
          </w:tcPr>
          <w:p w14:paraId="67B2625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13.5</w:t>
            </w:r>
          </w:p>
        </w:tc>
        <w:tc>
          <w:tcPr>
            <w:tcW w:w="1134" w:type="dxa"/>
            <w:tcBorders>
              <w:top w:val="nil"/>
              <w:left w:val="nil"/>
              <w:bottom w:val="single" w:sz="4" w:space="0" w:color="auto"/>
              <w:right w:val="single" w:sz="4" w:space="0" w:color="auto"/>
            </w:tcBorders>
            <w:shd w:val="clear" w:color="auto" w:fill="auto"/>
            <w:noWrap/>
            <w:vAlign w:val="center"/>
            <w:hideMark/>
          </w:tcPr>
          <w:p w14:paraId="4173458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5.0</w:t>
            </w:r>
          </w:p>
        </w:tc>
        <w:tc>
          <w:tcPr>
            <w:tcW w:w="851" w:type="dxa"/>
            <w:tcBorders>
              <w:top w:val="nil"/>
              <w:left w:val="nil"/>
              <w:bottom w:val="single" w:sz="4" w:space="0" w:color="auto"/>
              <w:right w:val="single" w:sz="4" w:space="0" w:color="auto"/>
            </w:tcBorders>
            <w:shd w:val="clear" w:color="auto" w:fill="auto"/>
            <w:noWrap/>
            <w:vAlign w:val="center"/>
            <w:hideMark/>
          </w:tcPr>
          <w:p w14:paraId="7E3FF08F"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7.0</w:t>
            </w:r>
          </w:p>
        </w:tc>
        <w:tc>
          <w:tcPr>
            <w:tcW w:w="992" w:type="dxa"/>
            <w:tcBorders>
              <w:top w:val="nil"/>
              <w:left w:val="nil"/>
              <w:bottom w:val="single" w:sz="4" w:space="0" w:color="auto"/>
              <w:right w:val="single" w:sz="4" w:space="0" w:color="auto"/>
            </w:tcBorders>
            <w:shd w:val="clear" w:color="auto" w:fill="auto"/>
            <w:noWrap/>
            <w:vAlign w:val="center"/>
            <w:hideMark/>
          </w:tcPr>
          <w:p w14:paraId="75FCA2F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7.9</w:t>
            </w:r>
          </w:p>
        </w:tc>
        <w:tc>
          <w:tcPr>
            <w:tcW w:w="1435" w:type="dxa"/>
            <w:tcBorders>
              <w:top w:val="nil"/>
              <w:left w:val="nil"/>
              <w:bottom w:val="single" w:sz="4" w:space="0" w:color="auto"/>
              <w:right w:val="single" w:sz="4" w:space="0" w:color="auto"/>
            </w:tcBorders>
            <w:shd w:val="clear" w:color="auto" w:fill="auto"/>
            <w:noWrap/>
            <w:vAlign w:val="center"/>
            <w:hideMark/>
          </w:tcPr>
          <w:p w14:paraId="780407A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0.4</w:t>
            </w:r>
          </w:p>
        </w:tc>
      </w:tr>
      <w:tr w:rsidR="00592E0C" w:rsidRPr="00592E0C" w14:paraId="14F003E2"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6F2D212C"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 xml:space="preserve">Education </w:t>
            </w:r>
          </w:p>
        </w:tc>
        <w:tc>
          <w:tcPr>
            <w:tcW w:w="1070" w:type="dxa"/>
            <w:tcBorders>
              <w:top w:val="nil"/>
              <w:left w:val="nil"/>
              <w:bottom w:val="single" w:sz="4" w:space="0" w:color="auto"/>
              <w:right w:val="single" w:sz="4" w:space="0" w:color="auto"/>
            </w:tcBorders>
            <w:shd w:val="clear" w:color="auto" w:fill="auto"/>
            <w:noWrap/>
            <w:vAlign w:val="center"/>
            <w:hideMark/>
          </w:tcPr>
          <w:p w14:paraId="315E8F1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3.7</w:t>
            </w:r>
          </w:p>
        </w:tc>
        <w:tc>
          <w:tcPr>
            <w:tcW w:w="992" w:type="dxa"/>
            <w:tcBorders>
              <w:top w:val="nil"/>
              <w:left w:val="nil"/>
              <w:bottom w:val="single" w:sz="4" w:space="0" w:color="auto"/>
              <w:right w:val="single" w:sz="4" w:space="0" w:color="auto"/>
            </w:tcBorders>
            <w:shd w:val="clear" w:color="auto" w:fill="auto"/>
            <w:noWrap/>
            <w:vAlign w:val="center"/>
            <w:hideMark/>
          </w:tcPr>
          <w:p w14:paraId="13A54EBD"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3.5</w:t>
            </w:r>
          </w:p>
        </w:tc>
        <w:tc>
          <w:tcPr>
            <w:tcW w:w="817" w:type="dxa"/>
            <w:tcBorders>
              <w:top w:val="nil"/>
              <w:left w:val="nil"/>
              <w:bottom w:val="single" w:sz="4" w:space="0" w:color="auto"/>
              <w:right w:val="single" w:sz="4" w:space="0" w:color="auto"/>
            </w:tcBorders>
            <w:shd w:val="clear" w:color="auto" w:fill="auto"/>
            <w:noWrap/>
            <w:vAlign w:val="center"/>
            <w:hideMark/>
          </w:tcPr>
          <w:p w14:paraId="47CA5E29"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14:paraId="398B18E5"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6.3</w:t>
            </w:r>
          </w:p>
        </w:tc>
        <w:tc>
          <w:tcPr>
            <w:tcW w:w="851" w:type="dxa"/>
            <w:tcBorders>
              <w:top w:val="nil"/>
              <w:left w:val="nil"/>
              <w:bottom w:val="single" w:sz="4" w:space="0" w:color="auto"/>
              <w:right w:val="single" w:sz="4" w:space="0" w:color="auto"/>
            </w:tcBorders>
            <w:shd w:val="clear" w:color="auto" w:fill="auto"/>
            <w:noWrap/>
            <w:vAlign w:val="center"/>
            <w:hideMark/>
          </w:tcPr>
          <w:p w14:paraId="2846E667"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7.1</w:t>
            </w:r>
          </w:p>
        </w:tc>
        <w:tc>
          <w:tcPr>
            <w:tcW w:w="992" w:type="dxa"/>
            <w:tcBorders>
              <w:top w:val="nil"/>
              <w:left w:val="nil"/>
              <w:bottom w:val="single" w:sz="4" w:space="0" w:color="auto"/>
              <w:right w:val="single" w:sz="4" w:space="0" w:color="auto"/>
            </w:tcBorders>
            <w:shd w:val="clear" w:color="auto" w:fill="auto"/>
            <w:noWrap/>
            <w:vAlign w:val="center"/>
            <w:hideMark/>
          </w:tcPr>
          <w:p w14:paraId="4301D5C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7.5</w:t>
            </w:r>
          </w:p>
        </w:tc>
        <w:tc>
          <w:tcPr>
            <w:tcW w:w="1435" w:type="dxa"/>
            <w:tcBorders>
              <w:top w:val="nil"/>
              <w:left w:val="nil"/>
              <w:bottom w:val="single" w:sz="4" w:space="0" w:color="auto"/>
              <w:right w:val="single" w:sz="4" w:space="0" w:color="auto"/>
            </w:tcBorders>
            <w:shd w:val="clear" w:color="auto" w:fill="auto"/>
            <w:noWrap/>
            <w:vAlign w:val="center"/>
            <w:hideMark/>
          </w:tcPr>
          <w:p w14:paraId="3872533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6AD95B8B" w14:textId="77777777" w:rsidTr="00592E0C">
        <w:trPr>
          <w:trHeight w:val="56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56D1BBD5"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Health and social work</w:t>
            </w:r>
          </w:p>
        </w:tc>
        <w:tc>
          <w:tcPr>
            <w:tcW w:w="1070" w:type="dxa"/>
            <w:tcBorders>
              <w:top w:val="nil"/>
              <w:left w:val="nil"/>
              <w:bottom w:val="single" w:sz="4" w:space="0" w:color="auto"/>
              <w:right w:val="single" w:sz="4" w:space="0" w:color="auto"/>
            </w:tcBorders>
            <w:shd w:val="clear" w:color="auto" w:fill="auto"/>
            <w:noWrap/>
            <w:vAlign w:val="center"/>
            <w:hideMark/>
          </w:tcPr>
          <w:p w14:paraId="471FC63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14:paraId="29037A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1.9</w:t>
            </w:r>
          </w:p>
        </w:tc>
        <w:tc>
          <w:tcPr>
            <w:tcW w:w="817" w:type="dxa"/>
            <w:tcBorders>
              <w:top w:val="nil"/>
              <w:left w:val="nil"/>
              <w:bottom w:val="single" w:sz="4" w:space="0" w:color="auto"/>
              <w:right w:val="single" w:sz="4" w:space="0" w:color="auto"/>
            </w:tcBorders>
            <w:shd w:val="clear" w:color="auto" w:fill="auto"/>
            <w:noWrap/>
            <w:vAlign w:val="center"/>
            <w:hideMark/>
          </w:tcPr>
          <w:p w14:paraId="0591AA9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404AB15C"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4.4</w:t>
            </w:r>
          </w:p>
        </w:tc>
        <w:tc>
          <w:tcPr>
            <w:tcW w:w="851" w:type="dxa"/>
            <w:tcBorders>
              <w:top w:val="nil"/>
              <w:left w:val="nil"/>
              <w:bottom w:val="single" w:sz="4" w:space="0" w:color="auto"/>
              <w:right w:val="single" w:sz="4" w:space="0" w:color="auto"/>
            </w:tcBorders>
            <w:shd w:val="clear" w:color="auto" w:fill="auto"/>
            <w:noWrap/>
            <w:vAlign w:val="center"/>
            <w:hideMark/>
          </w:tcPr>
          <w:p w14:paraId="0C82E0F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14:paraId="13FDA66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5.2</w:t>
            </w:r>
          </w:p>
        </w:tc>
        <w:tc>
          <w:tcPr>
            <w:tcW w:w="1435" w:type="dxa"/>
            <w:tcBorders>
              <w:top w:val="nil"/>
              <w:left w:val="nil"/>
              <w:bottom w:val="single" w:sz="4" w:space="0" w:color="auto"/>
              <w:right w:val="single" w:sz="4" w:space="0" w:color="auto"/>
            </w:tcBorders>
            <w:shd w:val="clear" w:color="auto" w:fill="auto"/>
            <w:noWrap/>
            <w:vAlign w:val="center"/>
            <w:hideMark/>
          </w:tcPr>
          <w:p w14:paraId="04E546CA"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0.1</w:t>
            </w:r>
          </w:p>
        </w:tc>
      </w:tr>
      <w:tr w:rsidR="00592E0C" w:rsidRPr="00592E0C" w14:paraId="203BFEFA" w14:textId="77777777" w:rsidTr="00592E0C">
        <w:trPr>
          <w:trHeight w:val="240"/>
        </w:trPr>
        <w:tc>
          <w:tcPr>
            <w:tcW w:w="1794" w:type="dxa"/>
            <w:tcBorders>
              <w:top w:val="nil"/>
              <w:left w:val="single" w:sz="4" w:space="0" w:color="auto"/>
              <w:bottom w:val="single" w:sz="4" w:space="0" w:color="auto"/>
              <w:right w:val="single" w:sz="4" w:space="0" w:color="auto"/>
            </w:tcBorders>
            <w:shd w:val="clear" w:color="auto" w:fill="auto"/>
            <w:vAlign w:val="center"/>
            <w:hideMark/>
          </w:tcPr>
          <w:p w14:paraId="2F99CB20" w14:textId="77777777" w:rsidR="00411CF7" w:rsidRPr="00592E0C" w:rsidRDefault="00411CF7" w:rsidP="000442BC">
            <w:pPr>
              <w:spacing w:after="0" w:line="240" w:lineRule="auto"/>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Other services</w:t>
            </w:r>
          </w:p>
        </w:tc>
        <w:tc>
          <w:tcPr>
            <w:tcW w:w="1070" w:type="dxa"/>
            <w:tcBorders>
              <w:top w:val="nil"/>
              <w:left w:val="nil"/>
              <w:bottom w:val="single" w:sz="4" w:space="0" w:color="auto"/>
              <w:right w:val="single" w:sz="4" w:space="0" w:color="auto"/>
            </w:tcBorders>
            <w:shd w:val="clear" w:color="auto" w:fill="auto"/>
            <w:noWrap/>
            <w:vAlign w:val="center"/>
            <w:hideMark/>
          </w:tcPr>
          <w:p w14:paraId="3A124632"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992" w:type="dxa"/>
            <w:tcBorders>
              <w:top w:val="nil"/>
              <w:left w:val="nil"/>
              <w:bottom w:val="single" w:sz="4" w:space="0" w:color="auto"/>
              <w:right w:val="single" w:sz="4" w:space="0" w:color="auto"/>
            </w:tcBorders>
            <w:shd w:val="clear" w:color="auto" w:fill="auto"/>
            <w:noWrap/>
            <w:vAlign w:val="center"/>
            <w:hideMark/>
          </w:tcPr>
          <w:p w14:paraId="6A1BAF2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817" w:type="dxa"/>
            <w:tcBorders>
              <w:top w:val="nil"/>
              <w:left w:val="nil"/>
              <w:bottom w:val="single" w:sz="4" w:space="0" w:color="auto"/>
              <w:right w:val="single" w:sz="4" w:space="0" w:color="auto"/>
            </w:tcBorders>
            <w:shd w:val="clear" w:color="auto" w:fill="auto"/>
            <w:noWrap/>
            <w:vAlign w:val="center"/>
            <w:hideMark/>
          </w:tcPr>
          <w:p w14:paraId="431B2D7B"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0.9</w:t>
            </w:r>
          </w:p>
        </w:tc>
        <w:tc>
          <w:tcPr>
            <w:tcW w:w="1134" w:type="dxa"/>
            <w:tcBorders>
              <w:top w:val="nil"/>
              <w:left w:val="nil"/>
              <w:bottom w:val="single" w:sz="4" w:space="0" w:color="auto"/>
              <w:right w:val="single" w:sz="4" w:space="0" w:color="auto"/>
            </w:tcBorders>
            <w:shd w:val="clear" w:color="auto" w:fill="auto"/>
            <w:noWrap/>
            <w:vAlign w:val="center"/>
            <w:hideMark/>
          </w:tcPr>
          <w:p w14:paraId="04AC9803"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3.0</w:t>
            </w:r>
          </w:p>
        </w:tc>
        <w:tc>
          <w:tcPr>
            <w:tcW w:w="851" w:type="dxa"/>
            <w:tcBorders>
              <w:top w:val="nil"/>
              <w:left w:val="nil"/>
              <w:bottom w:val="single" w:sz="4" w:space="0" w:color="auto"/>
              <w:right w:val="single" w:sz="4" w:space="0" w:color="auto"/>
            </w:tcBorders>
            <w:shd w:val="clear" w:color="auto" w:fill="auto"/>
            <w:noWrap/>
            <w:vAlign w:val="center"/>
            <w:hideMark/>
          </w:tcPr>
          <w:p w14:paraId="6C5053C6"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4.1</w:t>
            </w:r>
          </w:p>
        </w:tc>
        <w:tc>
          <w:tcPr>
            <w:tcW w:w="992" w:type="dxa"/>
            <w:tcBorders>
              <w:top w:val="nil"/>
              <w:left w:val="nil"/>
              <w:bottom w:val="single" w:sz="4" w:space="0" w:color="auto"/>
              <w:right w:val="single" w:sz="4" w:space="0" w:color="auto"/>
            </w:tcBorders>
            <w:shd w:val="clear" w:color="auto" w:fill="auto"/>
            <w:noWrap/>
            <w:vAlign w:val="center"/>
            <w:hideMark/>
          </w:tcPr>
          <w:p w14:paraId="60AAC4F8"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4.6</w:t>
            </w:r>
          </w:p>
        </w:tc>
        <w:tc>
          <w:tcPr>
            <w:tcW w:w="1435" w:type="dxa"/>
            <w:tcBorders>
              <w:top w:val="nil"/>
              <w:left w:val="nil"/>
              <w:bottom w:val="single" w:sz="4" w:space="0" w:color="auto"/>
              <w:right w:val="single" w:sz="4" w:space="0" w:color="auto"/>
            </w:tcBorders>
            <w:shd w:val="clear" w:color="auto" w:fill="auto"/>
            <w:noWrap/>
            <w:vAlign w:val="center"/>
            <w:hideMark/>
          </w:tcPr>
          <w:p w14:paraId="1253499E" w14:textId="77777777" w:rsidR="00411CF7" w:rsidRPr="00592E0C" w:rsidRDefault="00411CF7" w:rsidP="000442BC">
            <w:pPr>
              <w:spacing w:after="0" w:line="240" w:lineRule="auto"/>
              <w:jc w:val="center"/>
              <w:rPr>
                <w:rFonts w:ascii="Century Gothic" w:eastAsia="Times New Roman" w:hAnsi="Century Gothic" w:cs="Times New Roman"/>
                <w:color w:val="000000" w:themeColor="text1"/>
                <w:sz w:val="20"/>
                <w:szCs w:val="20"/>
              </w:rPr>
            </w:pPr>
            <w:r w:rsidRPr="00592E0C">
              <w:rPr>
                <w:rFonts w:ascii="Century Gothic" w:eastAsia="Times New Roman" w:hAnsi="Century Gothic" w:cs="Times New Roman"/>
                <w:color w:val="000000" w:themeColor="text1"/>
                <w:sz w:val="20"/>
                <w:szCs w:val="20"/>
              </w:rPr>
              <w:t>0.8</w:t>
            </w:r>
          </w:p>
        </w:tc>
      </w:tr>
      <w:tr w:rsidR="00592E0C" w:rsidRPr="00592E0C" w14:paraId="111E0630" w14:textId="77777777" w:rsidTr="00592E0C">
        <w:trPr>
          <w:trHeight w:val="30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38B188B9" w14:textId="77777777" w:rsidR="00411CF7" w:rsidRPr="00592E0C" w:rsidRDefault="00411CF7" w:rsidP="000442BC">
            <w:pPr>
              <w:spacing w:after="0" w:line="240" w:lineRule="auto"/>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Total</w:t>
            </w:r>
          </w:p>
        </w:tc>
        <w:tc>
          <w:tcPr>
            <w:tcW w:w="1070" w:type="dxa"/>
            <w:tcBorders>
              <w:top w:val="nil"/>
              <w:left w:val="nil"/>
              <w:bottom w:val="single" w:sz="4" w:space="0" w:color="auto"/>
              <w:right w:val="single" w:sz="4" w:space="0" w:color="auto"/>
            </w:tcBorders>
            <w:shd w:val="clear" w:color="auto" w:fill="auto"/>
            <w:noWrap/>
            <w:vAlign w:val="center"/>
            <w:hideMark/>
          </w:tcPr>
          <w:p w14:paraId="0DD6FB20"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0B6CACE8"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817" w:type="dxa"/>
            <w:tcBorders>
              <w:top w:val="nil"/>
              <w:left w:val="nil"/>
              <w:bottom w:val="single" w:sz="4" w:space="0" w:color="auto"/>
              <w:right w:val="single" w:sz="4" w:space="0" w:color="auto"/>
            </w:tcBorders>
            <w:shd w:val="clear" w:color="auto" w:fill="auto"/>
            <w:noWrap/>
            <w:vAlign w:val="center"/>
            <w:hideMark/>
          </w:tcPr>
          <w:p w14:paraId="6331EF2F"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DB1D30A"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79F9EEDC"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044D7206"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c>
          <w:tcPr>
            <w:tcW w:w="1435" w:type="dxa"/>
            <w:tcBorders>
              <w:top w:val="nil"/>
              <w:left w:val="nil"/>
              <w:bottom w:val="single" w:sz="4" w:space="0" w:color="auto"/>
              <w:right w:val="single" w:sz="4" w:space="0" w:color="auto"/>
            </w:tcBorders>
            <w:shd w:val="clear" w:color="auto" w:fill="auto"/>
            <w:noWrap/>
            <w:vAlign w:val="center"/>
            <w:hideMark/>
          </w:tcPr>
          <w:p w14:paraId="2A1C0CA6" w14:textId="77777777" w:rsidR="00411CF7" w:rsidRPr="00592E0C" w:rsidRDefault="00411CF7" w:rsidP="000442BC">
            <w:pPr>
              <w:spacing w:after="0" w:line="240" w:lineRule="auto"/>
              <w:jc w:val="center"/>
              <w:rPr>
                <w:rFonts w:ascii="Century Gothic" w:eastAsia="Times New Roman" w:hAnsi="Century Gothic" w:cs="Times New Roman"/>
                <w:b/>
                <w:color w:val="000000" w:themeColor="text1"/>
                <w:sz w:val="20"/>
                <w:szCs w:val="20"/>
              </w:rPr>
            </w:pPr>
            <w:r w:rsidRPr="00592E0C">
              <w:rPr>
                <w:rFonts w:ascii="Century Gothic" w:eastAsia="Times New Roman" w:hAnsi="Century Gothic" w:cs="Times New Roman"/>
                <w:b/>
                <w:color w:val="000000" w:themeColor="text1"/>
                <w:sz w:val="20"/>
                <w:szCs w:val="20"/>
              </w:rPr>
              <w:t>100.0</w:t>
            </w:r>
          </w:p>
        </w:tc>
      </w:tr>
    </w:tbl>
    <w:p w14:paraId="47E016A9" w14:textId="77777777" w:rsidR="00411CF7" w:rsidRPr="00592E0C" w:rsidRDefault="00411CF7" w:rsidP="00592E0C">
      <w:pPr>
        <w:spacing w:after="0" w:line="240" w:lineRule="auto"/>
        <w:ind w:right="1196"/>
        <w:rPr>
          <w:rFonts w:ascii="Century Gothic" w:hAnsi="Century Gothic" w:cs="Times New Roman"/>
          <w:color w:val="000000" w:themeColor="text1"/>
          <w:sz w:val="20"/>
          <w:szCs w:val="20"/>
        </w:rPr>
      </w:pPr>
      <w:r w:rsidRPr="00592E0C">
        <w:rPr>
          <w:rFonts w:ascii="Century Gothic" w:hAnsi="Century Gothic" w:cs="Times New Roman"/>
          <w:color w:val="000000" w:themeColor="text1"/>
          <w:sz w:val="20"/>
          <w:szCs w:val="20"/>
        </w:rPr>
        <w:t>Source: author’s calculations based on the updated 2019 Tanzanian SAM (Randriamamonjy and Thurlow , 2017)</w:t>
      </w:r>
    </w:p>
    <w:p w14:paraId="7AD22636" w14:textId="77777777" w:rsidR="00951128" w:rsidRPr="00592E0C" w:rsidRDefault="00951128" w:rsidP="00951128">
      <w:pPr>
        <w:spacing w:after="120" w:line="240" w:lineRule="auto"/>
        <w:jc w:val="both"/>
        <w:rPr>
          <w:rFonts w:ascii="Century Gothic" w:hAnsi="Century Gothic"/>
          <w:color w:val="000000" w:themeColor="text1"/>
          <w:sz w:val="20"/>
          <w:szCs w:val="20"/>
        </w:rPr>
      </w:pPr>
    </w:p>
    <w:sectPr w:rsidR="00951128" w:rsidRPr="00592E0C" w:rsidSect="00CC01E1">
      <w:footerReference w:type="default" r:id="rId50"/>
      <w:pgSz w:w="11906" w:h="16838"/>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E98F" w14:textId="77777777" w:rsidR="00537BE4" w:rsidRDefault="00537BE4" w:rsidP="00D952E5">
      <w:pPr>
        <w:spacing w:after="0" w:line="240" w:lineRule="auto"/>
      </w:pPr>
      <w:r>
        <w:separator/>
      </w:r>
    </w:p>
  </w:endnote>
  <w:endnote w:type="continuationSeparator" w:id="0">
    <w:p w14:paraId="68292B2A" w14:textId="77777777" w:rsidR="00537BE4" w:rsidRDefault="00537BE4" w:rsidP="00D95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albaum Display Light">
    <w:altName w:val="Times New Roman"/>
    <w:panose1 w:val="02070303090703020303"/>
    <w:charset w:val="00"/>
    <w:family w:val="roman"/>
    <w:pitch w:val="variable"/>
    <w:sig w:usb0="8000002F" w:usb1="0000000A"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UI">
    <w:altName w:val="Calibri"/>
    <w:panose1 w:val="020B0604020202020204"/>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Droid Sans Fallback">
    <w:altName w:val="Times New Roman"/>
    <w:panose1 w:val="020B0604020202020204"/>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New Roman;Times New Roman">
    <w:altName w:val="Segoe Print"/>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950465"/>
      <w:docPartObj>
        <w:docPartGallery w:val="Page Numbers (Bottom of Page)"/>
        <w:docPartUnique/>
      </w:docPartObj>
    </w:sdtPr>
    <w:sdtEndPr>
      <w:rPr>
        <w:noProof/>
      </w:rPr>
    </w:sdtEndPr>
    <w:sdtContent>
      <w:p w14:paraId="06CAE26A" w14:textId="16D39C83" w:rsidR="001841BA" w:rsidRDefault="001841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117889" w14:textId="77C6201D" w:rsidR="00592E0C" w:rsidRDefault="00592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589142"/>
      <w:docPartObj>
        <w:docPartGallery w:val="Page Numbers (Bottom of Page)"/>
        <w:docPartUnique/>
      </w:docPartObj>
    </w:sdtPr>
    <w:sdtEndPr>
      <w:rPr>
        <w:noProof/>
      </w:rPr>
    </w:sdtEndPr>
    <w:sdtContent>
      <w:p w14:paraId="6FB314E4" w14:textId="77777777" w:rsidR="00592E0C" w:rsidRDefault="00592E0C" w:rsidP="00D363A3">
        <w:pPr>
          <w:pStyle w:val="Footer"/>
          <w:jc w:val="right"/>
        </w:pPr>
        <w:r>
          <w:fldChar w:fldCharType="begin"/>
        </w:r>
        <w:r>
          <w:instrText xml:space="preserve"> PAGE   \* MERGEFORMAT </w:instrText>
        </w:r>
        <w:r>
          <w:fldChar w:fldCharType="separate"/>
        </w:r>
        <w:r w:rsidR="008C28A9">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B73C" w14:textId="77777777" w:rsidR="00537BE4" w:rsidRDefault="00537BE4" w:rsidP="00D952E5">
      <w:pPr>
        <w:spacing w:after="0" w:line="240" w:lineRule="auto"/>
      </w:pPr>
      <w:r>
        <w:separator/>
      </w:r>
    </w:p>
  </w:footnote>
  <w:footnote w:type="continuationSeparator" w:id="0">
    <w:p w14:paraId="6F898D8A" w14:textId="77777777" w:rsidR="00537BE4" w:rsidRDefault="00537BE4" w:rsidP="00D952E5">
      <w:pPr>
        <w:spacing w:after="0" w:line="240" w:lineRule="auto"/>
      </w:pPr>
      <w:r>
        <w:continuationSeparator/>
      </w:r>
    </w:p>
  </w:footnote>
  <w:footnote w:id="1">
    <w:p w14:paraId="226E549D" w14:textId="77777777" w:rsidR="00592E0C" w:rsidRPr="001B2974" w:rsidRDefault="00592E0C" w:rsidP="00737A97">
      <w:pPr>
        <w:pStyle w:val="FootnoteText"/>
        <w:rPr>
          <w:lang w:val="en-US"/>
        </w:rPr>
      </w:pPr>
      <w:r>
        <w:rPr>
          <w:rStyle w:val="FootnoteReference"/>
        </w:rPr>
        <w:footnoteRef/>
      </w:r>
      <w:r>
        <w:t xml:space="preserve"> </w:t>
      </w:r>
      <w:hyperlink r:id="rId1" w:history="1">
        <w:r w:rsidRPr="001B2974">
          <w:rPr>
            <w:rStyle w:val="Hyperlink"/>
          </w:rPr>
          <w:t>World Bank Document</w:t>
        </w:r>
      </w:hyperlink>
    </w:p>
  </w:footnote>
  <w:footnote w:id="2">
    <w:p w14:paraId="7DB0CF71" w14:textId="77777777" w:rsidR="00592E0C" w:rsidRPr="005E346C" w:rsidRDefault="00592E0C" w:rsidP="00737A97">
      <w:pPr>
        <w:pStyle w:val="FootnoteText"/>
        <w:rPr>
          <w:lang w:val="en-US"/>
        </w:rPr>
      </w:pPr>
      <w:r>
        <w:rPr>
          <w:rStyle w:val="FootnoteReference"/>
        </w:rPr>
        <w:footnoteRef/>
      </w:r>
      <w:r>
        <w:t xml:space="preserve"> </w:t>
      </w:r>
      <w:hyperlink r:id="rId2" w:history="1">
        <w:r w:rsidRPr="005E346C">
          <w:rPr>
            <w:rStyle w:val="Hyperlink"/>
          </w:rPr>
          <w:t>clinton.pdf (un.org)</w:t>
        </w:r>
      </w:hyperlink>
    </w:p>
  </w:footnote>
  <w:footnote w:id="3">
    <w:p w14:paraId="0313278A" w14:textId="77777777" w:rsidR="00592E0C" w:rsidRPr="006F671A" w:rsidRDefault="00592E0C" w:rsidP="00737A97">
      <w:pPr>
        <w:pStyle w:val="FootnoteText"/>
        <w:rPr>
          <w:lang w:val="en-US"/>
        </w:rPr>
      </w:pPr>
      <w:r>
        <w:rPr>
          <w:rStyle w:val="FootnoteReference"/>
        </w:rPr>
        <w:footnoteRef/>
      </w:r>
      <w:r>
        <w:t xml:space="preserve"> </w:t>
      </w:r>
      <w:hyperlink r:id="rId3" w:history="1">
        <w:r w:rsidRPr="006F671A">
          <w:rPr>
            <w:rStyle w:val="Hyperlink"/>
          </w:rPr>
          <w:t>World Bank Document</w:t>
        </w:r>
      </w:hyperlink>
    </w:p>
  </w:footnote>
  <w:footnote w:id="4">
    <w:p w14:paraId="10E09035" w14:textId="77777777" w:rsidR="00592E0C" w:rsidRPr="00A04747" w:rsidRDefault="00592E0C" w:rsidP="00737A97">
      <w:pPr>
        <w:pStyle w:val="FootnoteText"/>
        <w:rPr>
          <w:lang w:val="en-US"/>
        </w:rPr>
      </w:pPr>
      <w:r>
        <w:rPr>
          <w:rStyle w:val="FootnoteReference"/>
        </w:rPr>
        <w:footnoteRef/>
      </w:r>
      <w:r>
        <w:t xml:space="preserve"> </w:t>
      </w:r>
      <w:hyperlink r:id="rId4" w:history="1">
        <w:r w:rsidRPr="00A04747">
          <w:rPr>
            <w:rStyle w:val="Hyperlink"/>
          </w:rPr>
          <w:t>Agriculture: Sector Results Profile (worldbank.org)</w:t>
        </w:r>
      </w:hyperlink>
    </w:p>
  </w:footnote>
  <w:footnote w:id="5">
    <w:p w14:paraId="12090824" w14:textId="77777777" w:rsidR="00592E0C" w:rsidRPr="00A04747" w:rsidRDefault="00592E0C" w:rsidP="00737A97">
      <w:pPr>
        <w:pStyle w:val="FootnoteText"/>
        <w:rPr>
          <w:lang w:val="en-US"/>
        </w:rPr>
      </w:pPr>
      <w:r>
        <w:rPr>
          <w:rStyle w:val="FootnoteReference"/>
        </w:rPr>
        <w:footnoteRef/>
      </w:r>
      <w:bookmarkStart w:id="11" w:name="_Hlk130900395"/>
      <w:r>
        <w:t xml:space="preserve"> </w:t>
      </w:r>
      <w:hyperlink r:id="rId5" w:history="1">
        <w:r w:rsidRPr="00A04747">
          <w:rPr>
            <w:rStyle w:val="Hyperlink"/>
          </w:rPr>
          <w:t>The State of Food and Agriculture 2016 (SOFA): Climate change, agriculture and food security (fao.org)</w:t>
        </w:r>
      </w:hyperlink>
      <w:bookmarkEnd w:id="11"/>
    </w:p>
  </w:footnote>
  <w:footnote w:id="6">
    <w:p w14:paraId="7F8A111C" w14:textId="77777777" w:rsidR="00592E0C" w:rsidRPr="00A04747" w:rsidRDefault="00592E0C" w:rsidP="00737A97">
      <w:pPr>
        <w:pStyle w:val="FootnoteText"/>
        <w:rPr>
          <w:lang w:val="en-US"/>
        </w:rPr>
      </w:pPr>
      <w:r>
        <w:rPr>
          <w:rStyle w:val="FootnoteReference"/>
        </w:rPr>
        <w:footnoteRef/>
      </w:r>
      <w:r>
        <w:t xml:space="preserve"> </w:t>
      </w:r>
      <w:hyperlink r:id="rId6" w:history="1">
        <w:r w:rsidRPr="00A04747">
          <w:rPr>
            <w:rStyle w:val="Hyperlink"/>
          </w:rPr>
          <w:t>World Bank Document</w:t>
        </w:r>
      </w:hyperlink>
    </w:p>
  </w:footnote>
  <w:footnote w:id="7">
    <w:p w14:paraId="6EBF5CAD" w14:textId="77777777" w:rsidR="00592E0C" w:rsidRPr="00A04747" w:rsidRDefault="00592E0C" w:rsidP="00737A97">
      <w:pPr>
        <w:pStyle w:val="FootnoteText"/>
        <w:rPr>
          <w:lang w:val="en-US"/>
        </w:rPr>
      </w:pPr>
      <w:r>
        <w:rPr>
          <w:rStyle w:val="FootnoteReference"/>
        </w:rPr>
        <w:footnoteRef/>
      </w:r>
      <w:r>
        <w:t xml:space="preserve"> Ibid</w:t>
      </w:r>
    </w:p>
  </w:footnote>
  <w:footnote w:id="8">
    <w:p w14:paraId="3E533C47" w14:textId="77777777" w:rsidR="00592E0C" w:rsidRPr="00A04747" w:rsidRDefault="00592E0C" w:rsidP="00737A97">
      <w:pPr>
        <w:pStyle w:val="FootnoteText"/>
        <w:rPr>
          <w:lang w:val="en-US"/>
        </w:rPr>
      </w:pPr>
      <w:r>
        <w:rPr>
          <w:rStyle w:val="FootnoteReference"/>
        </w:rPr>
        <w:footnoteRef/>
      </w:r>
      <w:r>
        <w:t xml:space="preserve"> </w:t>
      </w:r>
      <w:r w:rsidRPr="00F0418E">
        <w:t xml:space="preserve"> </w:t>
      </w:r>
      <w:hyperlink r:id="rId7" w:history="1">
        <w:r w:rsidRPr="00F0418E">
          <w:rPr>
            <w:rStyle w:val="Hyperlink"/>
          </w:rPr>
          <w:t>The State of Food and Agriculture 2016 (SOFA): Climate change, agriculture and food security (fao.org)</w:t>
        </w:r>
      </w:hyperlink>
    </w:p>
  </w:footnote>
  <w:footnote w:id="9">
    <w:p w14:paraId="1A3C4B22" w14:textId="77777777" w:rsidR="00592E0C" w:rsidRPr="00AC3279" w:rsidRDefault="00592E0C" w:rsidP="00737A97">
      <w:pPr>
        <w:pStyle w:val="FootnoteText"/>
        <w:rPr>
          <w:lang w:val="en-US"/>
        </w:rPr>
      </w:pPr>
      <w:r>
        <w:rPr>
          <w:rStyle w:val="FootnoteReference"/>
        </w:rPr>
        <w:footnoteRef/>
      </w:r>
      <w:r>
        <w:t xml:space="preserve"> </w:t>
      </w:r>
      <w:hyperlink r:id="rId8" w:history="1">
        <w:r w:rsidRPr="00F54F52">
          <w:rPr>
            <w:rStyle w:val="Hyperlink"/>
          </w:rPr>
          <w:t>Empower Women - Effective Approaches to Women’s Economic Empowerment in Agriculture</w:t>
        </w:r>
      </w:hyperlink>
    </w:p>
  </w:footnote>
  <w:footnote w:id="10">
    <w:p w14:paraId="161B1AF1" w14:textId="77777777" w:rsidR="00592E0C" w:rsidRPr="00707906" w:rsidRDefault="00592E0C" w:rsidP="00737A97">
      <w:pPr>
        <w:pStyle w:val="FootnoteText"/>
        <w:rPr>
          <w:rFonts w:ascii="Century Gothic" w:hAnsi="Century Gothic"/>
          <w:sz w:val="18"/>
          <w:szCs w:val="18"/>
          <w:lang w:val="en-US"/>
        </w:rPr>
      </w:pPr>
      <w:r w:rsidRPr="00707906">
        <w:rPr>
          <w:rStyle w:val="FootnoteReference"/>
          <w:rFonts w:ascii="Century Gothic" w:hAnsi="Century Gothic"/>
          <w:sz w:val="18"/>
          <w:szCs w:val="18"/>
        </w:rPr>
        <w:footnoteRef/>
      </w:r>
      <w:r w:rsidRPr="00707906">
        <w:rPr>
          <w:rFonts w:ascii="Century Gothic" w:hAnsi="Century Gothic"/>
          <w:sz w:val="18"/>
          <w:szCs w:val="18"/>
        </w:rPr>
        <w:t xml:space="preserve"> </w:t>
      </w:r>
      <w:hyperlink r:id="rId9" w:history="1">
        <w:r w:rsidRPr="00707906">
          <w:rPr>
            <w:rStyle w:val="Hyperlink"/>
            <w:rFonts w:ascii="Century Gothic" w:hAnsi="Century Gothic"/>
            <w:sz w:val="18"/>
            <w:szCs w:val="18"/>
          </w:rPr>
          <w:t>World Bank Document</w:t>
        </w:r>
      </w:hyperlink>
    </w:p>
  </w:footnote>
  <w:footnote w:id="11">
    <w:p w14:paraId="5E89A62A" w14:textId="77777777" w:rsidR="00592E0C" w:rsidRPr="00707906" w:rsidRDefault="00592E0C" w:rsidP="00707906">
      <w:pPr>
        <w:pStyle w:val="FootnoteText"/>
        <w:rPr>
          <w:rFonts w:ascii="Century Gothic" w:hAnsi="Century Gothic"/>
          <w:sz w:val="18"/>
          <w:szCs w:val="18"/>
          <w:lang w:val="en-US"/>
        </w:rPr>
      </w:pPr>
      <w:r w:rsidRPr="00707906">
        <w:rPr>
          <w:rStyle w:val="FootnoteReference"/>
          <w:rFonts w:ascii="Century Gothic" w:hAnsi="Century Gothic"/>
          <w:sz w:val="18"/>
          <w:szCs w:val="18"/>
        </w:rPr>
        <w:footnoteRef/>
      </w:r>
      <w:r w:rsidRPr="00707906">
        <w:rPr>
          <w:rFonts w:ascii="Century Gothic" w:hAnsi="Century Gothic"/>
          <w:sz w:val="18"/>
          <w:szCs w:val="18"/>
        </w:rPr>
        <w:t xml:space="preserve"> </w:t>
      </w:r>
      <w:hyperlink r:id="rId10" w:history="1">
        <w:r w:rsidRPr="00707906">
          <w:rPr>
            <w:rStyle w:val="Hyperlink"/>
            <w:rFonts w:ascii="Century Gothic" w:hAnsi="Century Gothic"/>
            <w:sz w:val="18"/>
            <w:szCs w:val="18"/>
          </w:rPr>
          <w:t>Samia launches major 'Kilimo' campaign today | The Citizen</w:t>
        </w:r>
      </w:hyperlink>
    </w:p>
  </w:footnote>
  <w:footnote w:id="12">
    <w:p w14:paraId="61B881C8" w14:textId="77777777" w:rsidR="00592E0C" w:rsidRPr="00707906" w:rsidRDefault="00592E0C" w:rsidP="00707906">
      <w:pPr>
        <w:pStyle w:val="FootnoteText"/>
        <w:rPr>
          <w:rFonts w:ascii="Century Gothic" w:hAnsi="Century Gothic"/>
          <w:sz w:val="18"/>
          <w:szCs w:val="18"/>
          <w:lang w:val="en-US"/>
        </w:rPr>
      </w:pPr>
      <w:r w:rsidRPr="00707906">
        <w:rPr>
          <w:rStyle w:val="FootnoteReference"/>
          <w:rFonts w:ascii="Century Gothic" w:hAnsi="Century Gothic"/>
          <w:sz w:val="18"/>
          <w:szCs w:val="18"/>
        </w:rPr>
        <w:footnoteRef/>
      </w:r>
      <w:r w:rsidRPr="00707906">
        <w:rPr>
          <w:rFonts w:ascii="Century Gothic" w:hAnsi="Century Gothic"/>
          <w:sz w:val="18"/>
          <w:szCs w:val="18"/>
        </w:rPr>
        <w:t xml:space="preserve"> </w:t>
      </w:r>
      <w:bookmarkStart w:id="13" w:name="_Hlk131018060"/>
      <w:r w:rsidRPr="00707906">
        <w:rPr>
          <w:rFonts w:ascii="Century Gothic" w:hAnsi="Century Gothic"/>
          <w:sz w:val="18"/>
          <w:szCs w:val="18"/>
          <w:lang w:val="en-US"/>
        </w:rPr>
        <w:t>Special publication for the Africa Food Systems Forum 2023 summit launch in Tanzania, March 17, 2023.</w:t>
      </w:r>
    </w:p>
    <w:bookmarkEnd w:id="13"/>
  </w:footnote>
  <w:footnote w:id="13">
    <w:p w14:paraId="7E57BE67" w14:textId="77777777" w:rsidR="00592E0C" w:rsidRPr="00B4695E" w:rsidRDefault="00592E0C" w:rsidP="00707906">
      <w:pPr>
        <w:pStyle w:val="FootnoteText"/>
        <w:rPr>
          <w:lang w:val="en-US"/>
        </w:rPr>
      </w:pPr>
      <w:r>
        <w:rPr>
          <w:rStyle w:val="FootnoteReference"/>
        </w:rPr>
        <w:footnoteRef/>
      </w:r>
      <w:r>
        <w:t xml:space="preserve"> </w:t>
      </w:r>
      <w:r>
        <w:rPr>
          <w:lang w:val="en-US"/>
        </w:rPr>
        <w:t>UNCT CCA 2021.</w:t>
      </w:r>
    </w:p>
  </w:footnote>
  <w:footnote w:id="14">
    <w:p w14:paraId="07307314" w14:textId="77777777" w:rsidR="00592E0C" w:rsidRPr="00026A81" w:rsidRDefault="00592E0C" w:rsidP="00707906">
      <w:pPr>
        <w:pStyle w:val="FootnoteText"/>
        <w:rPr>
          <w:lang w:val="en-US"/>
        </w:rPr>
      </w:pPr>
      <w:r>
        <w:rPr>
          <w:rStyle w:val="FootnoteReference"/>
        </w:rPr>
        <w:footnoteRef/>
      </w:r>
      <w:r>
        <w:t xml:space="preserve"> Ministry of Agriculture; Building a Better Tomorrow: Youth Agribusiness Initiative 2022-2030.</w:t>
      </w:r>
    </w:p>
  </w:footnote>
  <w:footnote w:id="15">
    <w:p w14:paraId="7901194C" w14:textId="70080F4A" w:rsidR="00592E0C" w:rsidRPr="00026A81" w:rsidRDefault="00592E0C" w:rsidP="00707906">
      <w:pPr>
        <w:pStyle w:val="FootnoteText"/>
        <w:rPr>
          <w:lang w:val="en-US"/>
        </w:rPr>
      </w:pPr>
      <w:r>
        <w:rPr>
          <w:rStyle w:val="FootnoteReference"/>
        </w:rPr>
        <w:footnoteRef/>
      </w:r>
      <w:r>
        <w:t xml:space="preserve"> </w:t>
      </w:r>
      <w:r w:rsidRPr="00026A81">
        <w:rPr>
          <w:lang w:val="en-US"/>
        </w:rPr>
        <w:t>Special publication for the Africa Food Systems Forum 2023 summit laun</w:t>
      </w:r>
      <w:r w:rsidR="008C28A9">
        <w:rPr>
          <w:lang w:val="en-US"/>
        </w:rPr>
        <w:t>ch in Tanzania, March 17, 2023.</w:t>
      </w:r>
    </w:p>
  </w:footnote>
  <w:footnote w:id="16">
    <w:p w14:paraId="28E53CE2" w14:textId="77777777" w:rsidR="00592E0C" w:rsidRPr="00877877" w:rsidRDefault="00592E0C" w:rsidP="00737A97">
      <w:pPr>
        <w:pStyle w:val="FootnoteText"/>
        <w:rPr>
          <w:lang w:val="en-US"/>
        </w:rPr>
      </w:pPr>
      <w:r>
        <w:rPr>
          <w:rStyle w:val="FootnoteReference"/>
        </w:rPr>
        <w:footnoteRef/>
      </w:r>
      <w:r>
        <w:t xml:space="preserve"> </w:t>
      </w:r>
      <w:r>
        <w:rPr>
          <w:lang w:val="en-US"/>
        </w:rPr>
        <w:t>UNCT CCA 2021.</w:t>
      </w:r>
    </w:p>
  </w:footnote>
  <w:footnote w:id="17">
    <w:p w14:paraId="7D5D7FD1" w14:textId="77777777" w:rsidR="00592E0C" w:rsidRPr="002D70CF" w:rsidRDefault="00592E0C" w:rsidP="00737A97">
      <w:pPr>
        <w:pStyle w:val="FootnoteText"/>
        <w:rPr>
          <w:lang w:val="en-US"/>
        </w:rPr>
      </w:pPr>
      <w:r>
        <w:rPr>
          <w:rStyle w:val="FootnoteReference"/>
        </w:rPr>
        <w:footnoteRef/>
      </w:r>
      <w:r>
        <w:t xml:space="preserve"> </w:t>
      </w:r>
      <w:hyperlink r:id="rId11" w:history="1">
        <w:r w:rsidRPr="002D70CF">
          <w:rPr>
            <w:rStyle w:val="Hyperlink"/>
          </w:rPr>
          <w:t>Budget Books 2022/2023 | MoF - Ministry of Finance and Planning</w:t>
        </w:r>
      </w:hyperlink>
    </w:p>
  </w:footnote>
  <w:footnote w:id="18">
    <w:p w14:paraId="06FD6D57" w14:textId="77777777" w:rsidR="00592E0C" w:rsidRPr="007439B7" w:rsidRDefault="00592E0C" w:rsidP="00737A97">
      <w:pPr>
        <w:pStyle w:val="FootnoteText"/>
        <w:rPr>
          <w:lang w:val="en-US"/>
        </w:rPr>
      </w:pPr>
      <w:r>
        <w:rPr>
          <w:rStyle w:val="FootnoteReference"/>
        </w:rPr>
        <w:footnoteRef/>
      </w:r>
      <w:r>
        <w:t xml:space="preserve"> </w:t>
      </w:r>
      <w:r>
        <w:rPr>
          <w:lang w:val="en-US"/>
        </w:rPr>
        <w:t>UNCT CCA 2021.</w:t>
      </w:r>
    </w:p>
  </w:footnote>
  <w:footnote w:id="19">
    <w:p w14:paraId="4358522F" w14:textId="77777777" w:rsidR="00592E0C" w:rsidRPr="008C220B" w:rsidRDefault="00592E0C" w:rsidP="00737A97">
      <w:pPr>
        <w:pStyle w:val="FootnoteText"/>
        <w:rPr>
          <w:lang w:val="en-US"/>
        </w:rPr>
      </w:pPr>
      <w:r>
        <w:rPr>
          <w:rStyle w:val="FootnoteReference"/>
        </w:rPr>
        <w:footnoteRef/>
      </w:r>
      <w:r>
        <w:t xml:space="preserve"> </w:t>
      </w:r>
      <w:r>
        <w:rPr>
          <w:lang w:val="en-US"/>
        </w:rPr>
        <w:t>World Bank TEU, p.47.</w:t>
      </w:r>
    </w:p>
  </w:footnote>
  <w:footnote w:id="20">
    <w:p w14:paraId="2E55BC07" w14:textId="77777777" w:rsidR="00592E0C" w:rsidRPr="00484CF4" w:rsidRDefault="00592E0C" w:rsidP="00737A97">
      <w:pPr>
        <w:pStyle w:val="FootnoteText"/>
        <w:rPr>
          <w:lang w:val="en-US"/>
        </w:rPr>
      </w:pPr>
      <w:r>
        <w:rPr>
          <w:rStyle w:val="FootnoteReference"/>
        </w:rPr>
        <w:footnoteRef/>
      </w:r>
      <w:r>
        <w:t xml:space="preserve"> </w:t>
      </w:r>
      <w:r>
        <w:rPr>
          <w:lang w:val="en-US"/>
        </w:rPr>
        <w:t>UNCT CCA 2021.</w:t>
      </w:r>
    </w:p>
  </w:footnote>
  <w:footnote w:id="21">
    <w:p w14:paraId="2A1B220D" w14:textId="77777777" w:rsidR="00592E0C" w:rsidRPr="00F35E2B" w:rsidRDefault="00592E0C" w:rsidP="00737A97">
      <w:pPr>
        <w:pStyle w:val="FootnoteText"/>
        <w:rPr>
          <w:lang w:val="en-US"/>
        </w:rPr>
      </w:pPr>
      <w:r>
        <w:rPr>
          <w:rStyle w:val="FootnoteReference"/>
        </w:rPr>
        <w:footnoteRef/>
      </w:r>
      <w:r>
        <w:t xml:space="preserve"> </w:t>
      </w:r>
      <w:r>
        <w:rPr>
          <w:lang w:val="en-US"/>
        </w:rPr>
        <w:t>World Bank TEU.</w:t>
      </w:r>
    </w:p>
  </w:footnote>
  <w:footnote w:id="22">
    <w:p w14:paraId="6DF60777" w14:textId="77777777" w:rsidR="00592E0C" w:rsidRPr="00FF2616" w:rsidRDefault="00592E0C" w:rsidP="00737A97">
      <w:pPr>
        <w:pStyle w:val="FootnoteText"/>
        <w:rPr>
          <w:lang w:val="en-US"/>
        </w:rPr>
      </w:pPr>
      <w:r>
        <w:rPr>
          <w:rStyle w:val="FootnoteReference"/>
        </w:rPr>
        <w:footnoteRef/>
      </w:r>
      <w:r>
        <w:t xml:space="preserve"> </w:t>
      </w:r>
      <w:r>
        <w:rPr>
          <w:lang w:val="en-US"/>
        </w:rPr>
        <w:t>UNCT CCA 2021.</w:t>
      </w:r>
    </w:p>
  </w:footnote>
  <w:footnote w:id="23">
    <w:p w14:paraId="128949A8" w14:textId="77777777" w:rsidR="00592E0C" w:rsidRPr="000538EC" w:rsidRDefault="00592E0C" w:rsidP="00737A97">
      <w:pPr>
        <w:pStyle w:val="FootnoteText"/>
        <w:rPr>
          <w:lang w:val="en-US"/>
        </w:rPr>
      </w:pPr>
      <w:r>
        <w:rPr>
          <w:rStyle w:val="FootnoteReference"/>
        </w:rPr>
        <w:footnoteRef/>
      </w:r>
      <w:r>
        <w:t xml:space="preserve"> </w:t>
      </w:r>
      <w:hyperlink r:id="rId12" w:history="1">
        <w:r w:rsidRPr="000538EC">
          <w:rPr>
            <w:rStyle w:val="Hyperlink"/>
          </w:rPr>
          <w:t>World Bank Document</w:t>
        </w:r>
      </w:hyperlink>
    </w:p>
  </w:footnote>
  <w:footnote w:id="24">
    <w:p w14:paraId="37DB7B63" w14:textId="77777777" w:rsidR="00592E0C" w:rsidRPr="00F4635D" w:rsidRDefault="00592E0C" w:rsidP="00737A97">
      <w:pPr>
        <w:pStyle w:val="FootnoteText"/>
        <w:jc w:val="both"/>
        <w:rPr>
          <w:rFonts w:ascii="Times New Roman" w:hAnsi="Times New Roman"/>
          <w:color w:val="2E74B5" w:themeColor="accent1" w:themeShade="BF"/>
          <w:sz w:val="16"/>
          <w:szCs w:val="16"/>
        </w:rPr>
      </w:pPr>
      <w:r w:rsidRPr="00F4635D">
        <w:rPr>
          <w:rStyle w:val="FootnoteReference"/>
          <w:rFonts w:ascii="Times New Roman" w:hAnsi="Times New Roman"/>
          <w:color w:val="2E74B5" w:themeColor="accent1" w:themeShade="BF"/>
          <w:sz w:val="16"/>
          <w:szCs w:val="16"/>
        </w:rPr>
        <w:footnoteRef/>
      </w:r>
      <w:r w:rsidRPr="00F4635D">
        <w:rPr>
          <w:rFonts w:ascii="Times New Roman" w:hAnsi="Times New Roman"/>
          <w:color w:val="2E74B5" w:themeColor="accent1" w:themeShade="BF"/>
          <w:sz w:val="16"/>
          <w:szCs w:val="16"/>
        </w:rPr>
        <w:t xml:space="preserve"> https://openknowledge.worldbank.org/bitstream/handle/10986/22770/The0cost0of0th0Tanzania00and0Uganda.pdf?sequence=1</w:t>
      </w:r>
    </w:p>
  </w:footnote>
  <w:footnote w:id="25">
    <w:p w14:paraId="7A195822" w14:textId="3C466D70" w:rsidR="00592E0C" w:rsidRDefault="00592E0C" w:rsidP="00737A97">
      <w:pPr>
        <w:pStyle w:val="FootnoteText"/>
        <w:jc w:val="both"/>
        <w:rPr>
          <w:rFonts w:ascii="Arial" w:hAnsi="Arial" w:cs="Arial"/>
          <w:color w:val="0070C0"/>
          <w:sz w:val="16"/>
          <w:szCs w:val="16"/>
        </w:rPr>
      </w:pPr>
      <w:r>
        <w:rPr>
          <w:rStyle w:val="FootnoteReference"/>
          <w:rFonts w:ascii="Arial" w:hAnsi="Arial" w:cs="Arial"/>
          <w:color w:val="0070C0"/>
          <w:sz w:val="16"/>
          <w:szCs w:val="16"/>
        </w:rPr>
        <w:footnoteRef/>
      </w:r>
      <w:r>
        <w:rPr>
          <w:rFonts w:ascii="Arial" w:hAnsi="Arial" w:cs="Arial"/>
          <w:color w:val="0070C0"/>
          <w:sz w:val="16"/>
          <w:szCs w:val="16"/>
        </w:rPr>
        <w:t>https://assets.publishing.service.gov.uk/media/5b18ff6f40f0b634d557af84/Mapping_Womens_Economic_Exclusion_in_Tanzania.pdf</w:t>
      </w:r>
    </w:p>
  </w:footnote>
  <w:footnote w:id="26">
    <w:p w14:paraId="39570205" w14:textId="77777777" w:rsidR="00592E0C" w:rsidRPr="001B2974" w:rsidRDefault="00592E0C" w:rsidP="00737A97">
      <w:pPr>
        <w:pStyle w:val="FootnoteText"/>
        <w:rPr>
          <w:lang w:val="en-US"/>
        </w:rPr>
      </w:pPr>
      <w:r>
        <w:rPr>
          <w:rStyle w:val="FootnoteReference"/>
        </w:rPr>
        <w:footnoteRef/>
      </w:r>
      <w:r>
        <w:t xml:space="preserve"> </w:t>
      </w:r>
      <w:hyperlink r:id="rId13" w:history="1">
        <w:r w:rsidRPr="001B2974">
          <w:rPr>
            <w:rStyle w:val="Hyperlink"/>
          </w:rPr>
          <w:t>World Bank Document</w:t>
        </w:r>
      </w:hyperlink>
    </w:p>
  </w:footnote>
  <w:footnote w:id="27">
    <w:p w14:paraId="59F5426C" w14:textId="77777777" w:rsidR="00592E0C" w:rsidRPr="005E346C" w:rsidRDefault="00592E0C" w:rsidP="00737A97">
      <w:pPr>
        <w:pStyle w:val="FootnoteText"/>
        <w:rPr>
          <w:lang w:val="en-US"/>
        </w:rPr>
      </w:pPr>
      <w:r>
        <w:rPr>
          <w:rStyle w:val="FootnoteReference"/>
        </w:rPr>
        <w:footnoteRef/>
      </w:r>
      <w:r>
        <w:t xml:space="preserve"> </w:t>
      </w:r>
      <w:hyperlink r:id="rId14" w:history="1">
        <w:r w:rsidRPr="005E346C">
          <w:rPr>
            <w:rStyle w:val="Hyperlink"/>
          </w:rPr>
          <w:t>clinton.pdf (un.org)</w:t>
        </w:r>
      </w:hyperlink>
    </w:p>
  </w:footnote>
  <w:footnote w:id="28">
    <w:p w14:paraId="31020373" w14:textId="77777777" w:rsidR="00592E0C" w:rsidRPr="0023040C" w:rsidRDefault="00592E0C" w:rsidP="00737A97">
      <w:pPr>
        <w:pStyle w:val="FootnoteText"/>
        <w:rPr>
          <w:lang w:val="en-US"/>
        </w:rPr>
      </w:pPr>
      <w:r>
        <w:rPr>
          <w:rStyle w:val="FootnoteReference"/>
        </w:rPr>
        <w:footnoteRef/>
      </w:r>
      <w:r>
        <w:t xml:space="preserve"> </w:t>
      </w:r>
      <w:hyperlink r:id="rId15" w:history="1">
        <w:r w:rsidRPr="00E239E5">
          <w:rPr>
            <w:rStyle w:val="Hyperlink"/>
          </w:rPr>
          <w:t>Examining the relationship between women’s empowerment and gender-based violence: The case of the Nigeria For Women Project (worldbank.org)</w:t>
        </w:r>
      </w:hyperlink>
    </w:p>
  </w:footnote>
  <w:footnote w:id="29">
    <w:p w14:paraId="354B20EE" w14:textId="77777777" w:rsidR="00592E0C" w:rsidRPr="006F671A" w:rsidRDefault="00592E0C" w:rsidP="00737A97">
      <w:pPr>
        <w:pStyle w:val="FootnoteText"/>
        <w:rPr>
          <w:lang w:val="en-US"/>
        </w:rPr>
      </w:pPr>
      <w:r>
        <w:rPr>
          <w:rStyle w:val="FootnoteReference"/>
        </w:rPr>
        <w:footnoteRef/>
      </w:r>
      <w:r>
        <w:t xml:space="preserve"> </w:t>
      </w:r>
      <w:hyperlink r:id="rId16" w:history="1">
        <w:r w:rsidRPr="006F671A">
          <w:rPr>
            <w:rStyle w:val="Hyperlink"/>
          </w:rPr>
          <w:t>World Bank Document</w:t>
        </w:r>
      </w:hyperlink>
    </w:p>
  </w:footnote>
  <w:footnote w:id="30">
    <w:p w14:paraId="1E3B0F3F" w14:textId="77777777" w:rsidR="00592E0C" w:rsidRPr="00055721" w:rsidRDefault="00592E0C" w:rsidP="00737A97">
      <w:pPr>
        <w:pStyle w:val="FootnoteText"/>
        <w:rPr>
          <w:lang w:val="en-US"/>
        </w:rPr>
      </w:pPr>
      <w:r>
        <w:rPr>
          <w:rStyle w:val="FootnoteReference"/>
        </w:rPr>
        <w:footnoteRef/>
      </w:r>
      <w:r>
        <w:t xml:space="preserve"> </w:t>
      </w:r>
      <w:hyperlink r:id="rId17" w:history="1">
        <w:r w:rsidRPr="00055721">
          <w:rPr>
            <w:rStyle w:val="Hyperlink"/>
          </w:rPr>
          <w:t>World Bank Document</w:t>
        </w:r>
      </w:hyperlink>
    </w:p>
  </w:footnote>
  <w:footnote w:id="31">
    <w:p w14:paraId="5AC4B3FC" w14:textId="77777777" w:rsidR="00592E0C" w:rsidRPr="006716E5" w:rsidRDefault="00592E0C" w:rsidP="00737A97">
      <w:pPr>
        <w:pStyle w:val="FootnoteText"/>
        <w:rPr>
          <w:lang w:val="en-US"/>
        </w:rPr>
      </w:pPr>
      <w:r>
        <w:rPr>
          <w:rStyle w:val="FootnoteReference"/>
        </w:rPr>
        <w:footnoteRef/>
      </w:r>
      <w:r>
        <w:t xml:space="preserve"> </w:t>
      </w:r>
      <w:hyperlink r:id="rId18" w:history="1">
        <w:r w:rsidRPr="006716E5">
          <w:rPr>
            <w:rStyle w:val="Hyperlink"/>
          </w:rPr>
          <w:t>World Bank Document</w:t>
        </w:r>
      </w:hyperlink>
      <w:r>
        <w:t>; pp. 10 - 12</w:t>
      </w:r>
    </w:p>
  </w:footnote>
  <w:footnote w:id="32">
    <w:p w14:paraId="32E20779" w14:textId="77777777" w:rsidR="00592E0C" w:rsidRPr="00592E0C" w:rsidRDefault="00592E0C" w:rsidP="00370E0B">
      <w:pPr>
        <w:pStyle w:val="FootnoteText"/>
        <w:jc w:val="both"/>
        <w:rPr>
          <w:rFonts w:asciiTheme="minorHAnsi" w:hAnsiTheme="minorHAnsi" w:cstheme="minorHAnsi"/>
          <w:sz w:val="18"/>
          <w:szCs w:val="18"/>
          <w:lang w:val="en-US"/>
        </w:rPr>
      </w:pPr>
      <w:r w:rsidRPr="00241D27">
        <w:rPr>
          <w:rStyle w:val="FootnoteReference"/>
          <w:rFonts w:ascii="Century Gothic" w:hAnsi="Century Gothic"/>
          <w:color w:val="000000" w:themeColor="text1"/>
        </w:rPr>
        <w:footnoteRef/>
      </w:r>
      <w:r w:rsidRPr="00241D27">
        <w:rPr>
          <w:rFonts w:ascii="Century Gothic" w:hAnsi="Century Gothic"/>
          <w:color w:val="000000" w:themeColor="text1"/>
        </w:rPr>
        <w:t xml:space="preserve"> </w:t>
      </w:r>
      <w:r w:rsidRPr="00592E0C">
        <w:rPr>
          <w:rFonts w:asciiTheme="minorHAnsi" w:eastAsia="Droid Sans Fallback" w:hAnsiTheme="minorHAnsi" w:cstheme="minorHAnsi"/>
          <w:sz w:val="18"/>
          <w:szCs w:val="18"/>
        </w:rPr>
        <w:t xml:space="preserve">Randriamamonjy J. and Thurlow J. (2017). </w:t>
      </w:r>
      <w:r w:rsidRPr="00592E0C">
        <w:rPr>
          <w:rFonts w:asciiTheme="minorHAnsi" w:eastAsia="Droid Sans Fallback" w:hAnsiTheme="minorHAnsi" w:cstheme="minorHAnsi"/>
          <w:bCs/>
          <w:sz w:val="18"/>
          <w:szCs w:val="18"/>
        </w:rPr>
        <w:t xml:space="preserve">2015 Social Accounting Matrix for Tanzania </w:t>
      </w:r>
      <w:r w:rsidRPr="00592E0C">
        <w:rPr>
          <w:rFonts w:asciiTheme="minorHAnsi" w:eastAsia="Droid Sans Fallback" w:hAnsiTheme="minorHAnsi" w:cstheme="minorHAnsi"/>
          <w:sz w:val="18"/>
          <w:szCs w:val="18"/>
        </w:rPr>
        <w:t xml:space="preserve">a Nexus Project SAM. </w:t>
      </w:r>
      <w:r w:rsidRPr="00592E0C">
        <w:rPr>
          <w:rFonts w:asciiTheme="minorHAnsi" w:hAnsiTheme="minorHAnsi" w:cstheme="minorHAnsi"/>
          <w:sz w:val="18"/>
          <w:szCs w:val="18"/>
        </w:rPr>
        <w:t>Washington, DC: IFPRI</w:t>
      </w:r>
    </w:p>
  </w:footnote>
  <w:footnote w:id="33">
    <w:p w14:paraId="24457544" w14:textId="77777777" w:rsidR="00592E0C" w:rsidRPr="008C28A9" w:rsidRDefault="00592E0C" w:rsidP="00370E0B">
      <w:pPr>
        <w:spacing w:after="0" w:line="240" w:lineRule="auto"/>
        <w:jc w:val="both"/>
        <w:rPr>
          <w:rFonts w:cstheme="minorHAnsi"/>
          <w:color w:val="0070C0"/>
          <w:sz w:val="18"/>
          <w:szCs w:val="18"/>
        </w:rPr>
      </w:pPr>
      <w:r w:rsidRPr="00592E0C">
        <w:rPr>
          <w:rStyle w:val="FootnoteReference"/>
          <w:rFonts w:cstheme="minorHAnsi"/>
          <w:sz w:val="18"/>
          <w:szCs w:val="18"/>
        </w:rPr>
        <w:footnoteRef/>
      </w:r>
      <w:r w:rsidRPr="00592E0C">
        <w:rPr>
          <w:rFonts w:cstheme="minorHAnsi"/>
          <w:sz w:val="18"/>
          <w:szCs w:val="18"/>
        </w:rPr>
        <w:t xml:space="preserve"> Lemelin, A, Fofana, I and Cockburn, J (2013) Balancing a Social Accounting Matrix: Theory and Application, available of the PEP website (</w:t>
      </w:r>
      <w:hyperlink r:id="rId19" w:history="1">
        <w:r w:rsidRPr="008C28A9">
          <w:rPr>
            <w:rStyle w:val="Hyperlink"/>
            <w:rFonts w:cstheme="minorHAnsi"/>
            <w:color w:val="0070C0"/>
            <w:sz w:val="18"/>
            <w:szCs w:val="18"/>
          </w:rPr>
          <w:t>https://www.pep-net.org/sambal-gpcema)</w:t>
        </w:r>
      </w:hyperlink>
    </w:p>
  </w:footnote>
  <w:footnote w:id="34">
    <w:p w14:paraId="17B0700C" w14:textId="77777777" w:rsidR="00592E0C" w:rsidRPr="00E53A5F" w:rsidRDefault="00592E0C" w:rsidP="00370E0B">
      <w:pPr>
        <w:pStyle w:val="FootnoteText"/>
        <w:jc w:val="both"/>
        <w:rPr>
          <w:rFonts w:ascii="Century Gothic" w:hAnsi="Century Gothic"/>
          <w:lang w:val="en-US"/>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rPr>
        <w:t xml:space="preserve"> National Bureau of Statistics NBS (2014). Integrated Labour Force Survey, National Bureau of Statistics. Dar-es-Salaam</w:t>
      </w:r>
    </w:p>
  </w:footnote>
  <w:footnote w:id="35">
    <w:p w14:paraId="66C734A1" w14:textId="77777777" w:rsidR="00592E0C" w:rsidRPr="00592E0C" w:rsidRDefault="00592E0C" w:rsidP="00411CF7">
      <w:pPr>
        <w:spacing w:after="0" w:line="240" w:lineRule="auto"/>
        <w:jc w:val="both"/>
        <w:rPr>
          <w:rFonts w:cstheme="minorHAnsi"/>
          <w:sz w:val="18"/>
          <w:szCs w:val="18"/>
        </w:rPr>
      </w:pPr>
      <w:r w:rsidRPr="00592E0C">
        <w:rPr>
          <w:rStyle w:val="FootnoteReference"/>
          <w:rFonts w:cstheme="minorHAnsi"/>
          <w:sz w:val="18"/>
          <w:szCs w:val="18"/>
        </w:rPr>
        <w:footnoteRef/>
      </w:r>
      <w:r w:rsidRPr="00592E0C">
        <w:rPr>
          <w:rFonts w:cstheme="minorHAnsi"/>
          <w:sz w:val="18"/>
          <w:szCs w:val="18"/>
        </w:rPr>
        <w:t xml:space="preserve"> Decaluwé, B., Lemelin, A., Robichaud, V.,</w:t>
      </w:r>
      <w:r w:rsidRPr="00592E0C">
        <w:rPr>
          <w:rFonts w:eastAsia="Times New Roman" w:cstheme="minorHAnsi"/>
          <w:sz w:val="18"/>
          <w:szCs w:val="18"/>
          <w:shd w:val="clear" w:color="auto" w:fill="FFFFFF"/>
        </w:rPr>
        <w:t xml:space="preserve"> </w:t>
      </w:r>
      <w:r w:rsidRPr="00592E0C">
        <w:rPr>
          <w:rFonts w:cstheme="minorHAnsi"/>
          <w:sz w:val="18"/>
          <w:szCs w:val="18"/>
        </w:rPr>
        <w:t>Maisonnave, H. (2013). Pep-1-1: the PEP standard single-country, static CGE model. Partnership for Economic Policy</w:t>
      </w:r>
    </w:p>
    <w:p w14:paraId="033AEE24" w14:textId="77777777" w:rsidR="00592E0C" w:rsidRPr="00370E0B" w:rsidRDefault="00592E0C" w:rsidP="00411CF7">
      <w:pPr>
        <w:pStyle w:val="FootnoteText"/>
        <w:rPr>
          <w:color w:val="0070C0"/>
          <w:sz w:val="18"/>
          <w:szCs w:val="18"/>
        </w:rPr>
      </w:pPr>
    </w:p>
  </w:footnote>
  <w:footnote w:id="36">
    <w:p w14:paraId="06CE92E7" w14:textId="77777777" w:rsidR="00592E0C" w:rsidRPr="00592E0C" w:rsidRDefault="00592E0C" w:rsidP="00411CF7">
      <w:pPr>
        <w:pStyle w:val="Biblio"/>
        <w:spacing w:after="0"/>
        <w:ind w:left="0" w:firstLine="0"/>
        <w:rPr>
          <w:rFonts w:asciiTheme="minorHAnsi" w:hAnsiTheme="minorHAnsi" w:cstheme="minorHAnsi"/>
          <w:sz w:val="18"/>
          <w:szCs w:val="18"/>
        </w:rPr>
      </w:pPr>
      <w:r w:rsidRPr="00592E0C">
        <w:rPr>
          <w:rStyle w:val="FootnoteReference"/>
          <w:rFonts w:asciiTheme="minorHAnsi" w:hAnsiTheme="minorHAnsi" w:cstheme="minorHAnsi"/>
        </w:rPr>
        <w:footnoteRef/>
      </w:r>
      <w:r w:rsidRPr="00592E0C">
        <w:rPr>
          <w:rFonts w:asciiTheme="minorHAnsi" w:hAnsiTheme="minorHAnsi" w:cstheme="minorHAnsi"/>
        </w:rPr>
        <w:t xml:space="preserve"> </w:t>
      </w:r>
      <w:r w:rsidRPr="00592E0C">
        <w:rPr>
          <w:rFonts w:asciiTheme="minorHAnsi" w:hAnsiTheme="minorHAnsi" w:cstheme="minorHAnsi"/>
          <w:sz w:val="18"/>
          <w:szCs w:val="18"/>
        </w:rPr>
        <w:t xml:space="preserve">Kinyondo, G., and M. Mabugu (2009). ’The General Equilibrium Effects of a Productivity Increase on the Economy and Gender in South Africa’. </w:t>
      </w:r>
      <w:r w:rsidRPr="00592E0C">
        <w:rPr>
          <w:rFonts w:asciiTheme="minorHAnsi" w:hAnsiTheme="minorHAnsi" w:cstheme="minorHAnsi"/>
          <w:i/>
          <w:iCs/>
          <w:sz w:val="18"/>
          <w:szCs w:val="18"/>
        </w:rPr>
        <w:t>South African Journal of Economic and Management Sciences,</w:t>
      </w:r>
      <w:r w:rsidRPr="00592E0C">
        <w:rPr>
          <w:rFonts w:asciiTheme="minorHAnsi" w:hAnsiTheme="minorHAnsi" w:cstheme="minorHAnsi"/>
          <w:sz w:val="18"/>
          <w:szCs w:val="18"/>
        </w:rPr>
        <w:t xml:space="preserve"> 12(3): 307–26.</w:t>
      </w:r>
    </w:p>
  </w:footnote>
  <w:footnote w:id="37">
    <w:p w14:paraId="3DE667C2" w14:textId="77777777" w:rsidR="00592E0C" w:rsidRPr="00592E0C" w:rsidRDefault="00592E0C" w:rsidP="00411CF7">
      <w:pPr>
        <w:pStyle w:val="Biblio"/>
        <w:spacing w:after="0"/>
        <w:ind w:left="0" w:firstLine="0"/>
        <w:rPr>
          <w:rFonts w:asciiTheme="minorHAnsi" w:hAnsiTheme="minorHAnsi" w:cstheme="minorHAnsi"/>
          <w:lang w:val="fi-FI"/>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rPr>
        <w:t xml:space="preserve"> </w:t>
      </w:r>
      <w:r w:rsidRPr="00592E0C">
        <w:rPr>
          <w:rFonts w:asciiTheme="minorHAnsi" w:hAnsiTheme="minorHAnsi" w:cstheme="minorHAnsi"/>
          <w:sz w:val="18"/>
          <w:szCs w:val="18"/>
          <w:lang w:val="fi-FI"/>
        </w:rPr>
        <w:t xml:space="preserve">Maisonnave, H., and B. Decaluwe (2010). </w:t>
      </w:r>
      <w:r w:rsidRPr="00592E0C">
        <w:rPr>
          <w:rFonts w:asciiTheme="minorHAnsi" w:hAnsiTheme="minorHAnsi" w:cstheme="minorHAnsi"/>
          <w:i/>
          <w:iCs/>
          <w:sz w:val="18"/>
          <w:szCs w:val="18"/>
          <w:lang w:val="fi-FI"/>
        </w:rPr>
        <w:t>Is South Africa’s Affirmative Action Policy Efficient</w:t>
      </w:r>
      <w:r w:rsidRPr="00592E0C">
        <w:rPr>
          <w:rFonts w:asciiTheme="minorHAnsi" w:hAnsiTheme="minorHAnsi" w:cstheme="minorHAnsi"/>
          <w:sz w:val="18"/>
          <w:szCs w:val="18"/>
          <w:lang w:val="fi-FI"/>
        </w:rPr>
        <w:t xml:space="preserve">? Working paper 2010/23. Dakar: Consortium pour la recherche Economique et Sociale. </w:t>
      </w:r>
      <w:hyperlink r:id="rId20" w:history="1">
        <w:r w:rsidRPr="00592E0C">
          <w:rPr>
            <w:rStyle w:val="Hyperlink"/>
            <w:rFonts w:asciiTheme="minorHAnsi" w:hAnsiTheme="minorHAnsi" w:cstheme="minorHAnsi"/>
            <w:sz w:val="18"/>
            <w:szCs w:val="18"/>
            <w:lang w:val="fi-FI"/>
          </w:rPr>
          <w:t>https://media.africaportal.org/documents/south_africa_1.pdf</w:t>
        </w:r>
      </w:hyperlink>
    </w:p>
  </w:footnote>
  <w:footnote w:id="38">
    <w:p w14:paraId="4B276505" w14:textId="77777777" w:rsidR="00592E0C" w:rsidRPr="00592E0C" w:rsidRDefault="00592E0C" w:rsidP="00411CF7">
      <w:pPr>
        <w:pStyle w:val="FootnoteText"/>
        <w:jc w:val="both"/>
        <w:rPr>
          <w:rFonts w:asciiTheme="minorHAnsi" w:hAnsiTheme="minorHAnsi" w:cstheme="minorHAnsi"/>
          <w:sz w:val="16"/>
          <w:szCs w:val="16"/>
          <w:lang w:val="fi-FI"/>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lang w:val="fi-FI"/>
        </w:rPr>
        <w:t xml:space="preserve"> </w:t>
      </w:r>
      <w:r w:rsidRPr="00592E0C">
        <w:rPr>
          <w:rFonts w:asciiTheme="minorHAnsi" w:hAnsiTheme="minorHAnsi" w:cstheme="minorHAnsi"/>
          <w:color w:val="0070C0"/>
          <w:sz w:val="16"/>
          <w:szCs w:val="16"/>
          <w:lang w:val="fi-FI"/>
        </w:rPr>
        <w:t>https://www.mof.go.tz/uploads/documents/en-1655216926-BUDGET%20SPEECH%202022-23%20ENGLISH%20VERSION.pdf</w:t>
      </w:r>
    </w:p>
  </w:footnote>
  <w:footnote w:id="39">
    <w:p w14:paraId="415B3C6B" w14:textId="77777777" w:rsidR="00592E0C" w:rsidRPr="00592E0C" w:rsidRDefault="00592E0C" w:rsidP="00411CF7">
      <w:pPr>
        <w:pStyle w:val="FootnoteText"/>
        <w:jc w:val="both"/>
        <w:rPr>
          <w:rFonts w:asciiTheme="minorHAnsi" w:hAnsiTheme="minorHAnsi" w:cstheme="minorHAnsi"/>
          <w:sz w:val="16"/>
          <w:szCs w:val="16"/>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rPr>
        <w:t xml:space="preserve"> United Nations Conference on Trade and Development (2022). Enhancing productive capacities in the United Republic of Tanzania:  coherent and operational strategy. </w:t>
      </w:r>
    </w:p>
    <w:p w14:paraId="6429B946" w14:textId="77777777" w:rsidR="00592E0C" w:rsidRPr="00592E0C" w:rsidRDefault="00592E0C" w:rsidP="00411CF7">
      <w:pPr>
        <w:pStyle w:val="FootnoteText"/>
        <w:jc w:val="both"/>
        <w:rPr>
          <w:rFonts w:asciiTheme="minorHAnsi" w:hAnsiTheme="minorHAnsi" w:cstheme="minorHAnsi"/>
          <w:sz w:val="16"/>
          <w:szCs w:val="16"/>
        </w:rPr>
      </w:pPr>
      <w:r w:rsidRPr="00592E0C">
        <w:rPr>
          <w:rFonts w:asciiTheme="minorHAnsi" w:hAnsiTheme="minorHAnsi" w:cstheme="minorHAnsi"/>
          <w:sz w:val="16"/>
          <w:szCs w:val="16"/>
        </w:rPr>
        <w:t>Henseler M, Maisonnave H, Maskaeva A. Economic impacts of COVID-19 on the tourism sector in Tanzania. Annals of Tourism Research Empirical Insights. 2022 May;3(1):100042. doi: 10.1016/j.annale.2022.100042. Epub 2022 Feb 28. PMCID: PMC8882425.</w:t>
      </w:r>
    </w:p>
    <w:p w14:paraId="2FB59B8E" w14:textId="77777777" w:rsidR="00592E0C" w:rsidRPr="00592E0C" w:rsidRDefault="00592E0C" w:rsidP="00411CF7">
      <w:pPr>
        <w:pStyle w:val="FootnoteText"/>
        <w:jc w:val="both"/>
        <w:rPr>
          <w:rFonts w:asciiTheme="minorHAnsi" w:hAnsiTheme="minorHAnsi" w:cstheme="minorHAnsi"/>
          <w:sz w:val="16"/>
          <w:szCs w:val="16"/>
        </w:rPr>
      </w:pPr>
      <w:r w:rsidRPr="00592E0C">
        <w:rPr>
          <w:rFonts w:asciiTheme="minorHAnsi" w:hAnsiTheme="minorHAnsi" w:cstheme="minorHAnsi"/>
          <w:color w:val="0070C0"/>
          <w:sz w:val="16"/>
          <w:szCs w:val="16"/>
        </w:rPr>
        <w:t>https://www.theigc.org/publications/transportation-costs-food-markets-and-structural-transformation-tanzania-policy-brief</w:t>
      </w:r>
    </w:p>
  </w:footnote>
  <w:footnote w:id="40">
    <w:p w14:paraId="651D6A5B" w14:textId="77777777" w:rsidR="00592E0C" w:rsidRPr="00592E0C" w:rsidRDefault="00592E0C" w:rsidP="00411CF7">
      <w:pPr>
        <w:pStyle w:val="FootnoteText"/>
        <w:jc w:val="both"/>
        <w:rPr>
          <w:rFonts w:asciiTheme="minorHAnsi" w:hAnsiTheme="minorHAnsi" w:cstheme="minorHAnsi"/>
          <w:sz w:val="16"/>
          <w:szCs w:val="16"/>
          <w:lang w:val="en-US"/>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rPr>
        <w:t xml:space="preserve"> </w:t>
      </w:r>
      <w:r w:rsidRPr="00592E0C">
        <w:rPr>
          <w:rFonts w:asciiTheme="minorHAnsi" w:hAnsiTheme="minorHAnsi" w:cstheme="minorHAnsi"/>
          <w:color w:val="0070C0"/>
          <w:sz w:val="16"/>
          <w:szCs w:val="16"/>
        </w:rPr>
        <w:t>https://www.macrotrends.net/countries/TZA/tanzania/arable-land#:~:text=Tanzania%20arable%20land%20for%202020,a%201.42%25%20increase%20from%202016</w:t>
      </w:r>
    </w:p>
  </w:footnote>
  <w:footnote w:id="41">
    <w:p w14:paraId="348601BF" w14:textId="77777777" w:rsidR="00592E0C" w:rsidRPr="00592E0C" w:rsidRDefault="00592E0C" w:rsidP="00411CF7">
      <w:pPr>
        <w:pStyle w:val="FootnoteText"/>
        <w:jc w:val="both"/>
        <w:rPr>
          <w:rFonts w:asciiTheme="minorHAnsi" w:hAnsiTheme="minorHAnsi" w:cstheme="minorHAnsi"/>
          <w:sz w:val="16"/>
          <w:szCs w:val="16"/>
          <w:lang w:val="en-US"/>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rPr>
        <w:t xml:space="preserve"> </w:t>
      </w:r>
      <w:r w:rsidRPr="00592E0C">
        <w:rPr>
          <w:rFonts w:asciiTheme="minorHAnsi" w:hAnsiTheme="minorHAnsi" w:cstheme="minorHAnsi"/>
          <w:color w:val="0070C0"/>
          <w:sz w:val="16"/>
          <w:szCs w:val="16"/>
        </w:rPr>
        <w:t>https://data.worldbank.org/indicator/AG.LND.ARBL.ZS?locations=TZ</w:t>
      </w:r>
    </w:p>
  </w:footnote>
  <w:footnote w:id="42">
    <w:p w14:paraId="13FDCA51" w14:textId="77777777" w:rsidR="00592E0C" w:rsidRPr="00592E0C" w:rsidRDefault="00592E0C" w:rsidP="00411CF7">
      <w:pPr>
        <w:pStyle w:val="FootnoteText"/>
        <w:jc w:val="both"/>
        <w:rPr>
          <w:rFonts w:asciiTheme="minorHAnsi" w:hAnsiTheme="minorHAnsi" w:cstheme="minorHAnsi"/>
          <w:sz w:val="16"/>
          <w:szCs w:val="16"/>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rPr>
        <w:t xml:space="preserve"> What are the Factors Driving the Gender Gap in Agricultural Productivity in Tanzania? </w:t>
      </w:r>
      <w:r w:rsidRPr="00592E0C">
        <w:rPr>
          <w:rFonts w:asciiTheme="minorHAnsi" w:hAnsiTheme="minorHAnsi" w:cstheme="minorHAnsi"/>
          <w:color w:val="0070C0"/>
          <w:sz w:val="16"/>
          <w:szCs w:val="16"/>
        </w:rPr>
        <w:t>https://info.undp.org/docs/pdc/Documents/TZA/Final%20Report%20%20Gender%20Gap%20April%202018.pdf</w:t>
      </w:r>
    </w:p>
  </w:footnote>
  <w:footnote w:id="43">
    <w:p w14:paraId="0A47354F" w14:textId="77777777" w:rsidR="00592E0C" w:rsidRPr="00592E0C" w:rsidRDefault="00592E0C" w:rsidP="00411CF7">
      <w:pPr>
        <w:pStyle w:val="FootnoteText"/>
        <w:jc w:val="both"/>
        <w:rPr>
          <w:rFonts w:asciiTheme="minorHAnsi" w:hAnsiTheme="minorHAnsi" w:cstheme="minorHAnsi"/>
          <w:sz w:val="16"/>
          <w:szCs w:val="16"/>
        </w:rPr>
      </w:pPr>
      <w:r w:rsidRPr="00592E0C">
        <w:rPr>
          <w:rStyle w:val="FootnoteReference"/>
          <w:rFonts w:asciiTheme="minorHAnsi" w:hAnsiTheme="minorHAnsi" w:cstheme="minorHAnsi"/>
          <w:sz w:val="16"/>
          <w:szCs w:val="16"/>
        </w:rPr>
        <w:footnoteRef/>
      </w:r>
      <w:r w:rsidRPr="00592E0C">
        <w:rPr>
          <w:rFonts w:asciiTheme="minorHAnsi" w:hAnsiTheme="minorHAnsi" w:cstheme="minorHAnsi"/>
          <w:sz w:val="16"/>
          <w:szCs w:val="16"/>
        </w:rPr>
        <w:t xml:space="preserve"> </w:t>
      </w:r>
      <w:r w:rsidRPr="00592E0C">
        <w:rPr>
          <w:rFonts w:asciiTheme="minorHAnsi" w:hAnsiTheme="minorHAnsi" w:cstheme="minorHAnsi"/>
          <w:color w:val="333333"/>
          <w:sz w:val="16"/>
          <w:szCs w:val="16"/>
          <w:shd w:val="clear" w:color="auto" w:fill="FFFFFF"/>
        </w:rPr>
        <w:t xml:space="preserve">World Bank (2020). </w:t>
      </w:r>
      <w:r w:rsidRPr="00592E0C">
        <w:rPr>
          <w:rStyle w:val="Emphasis"/>
          <w:rFonts w:asciiTheme="minorHAnsi" w:hAnsiTheme="minorHAnsi" w:cstheme="minorHAnsi"/>
          <w:i w:val="0"/>
          <w:color w:val="333333"/>
          <w:sz w:val="16"/>
          <w:szCs w:val="16"/>
          <w:shd w:val="clear" w:color="auto" w:fill="FFFFFF"/>
        </w:rPr>
        <w:t>Tanzania Mainland Poverty Assessment</w:t>
      </w:r>
      <w:r w:rsidRPr="00592E0C">
        <w:rPr>
          <w:rFonts w:asciiTheme="minorHAnsi" w:hAnsiTheme="minorHAnsi" w:cstheme="minorHAnsi"/>
          <w:color w:val="333333"/>
          <w:sz w:val="16"/>
          <w:szCs w:val="16"/>
          <w:shd w:val="clear" w:color="auto" w:fill="FFFFFF"/>
        </w:rPr>
        <w:t>, World Bank, Washington, DC, </w:t>
      </w:r>
      <w:hyperlink r:id="rId21" w:tgtFrame="_blank" w:history="1">
        <w:r w:rsidRPr="00592E0C">
          <w:rPr>
            <w:rStyle w:val="Hyperlink"/>
            <w:rFonts w:asciiTheme="minorHAnsi" w:hAnsiTheme="minorHAnsi" w:cstheme="minorHAnsi"/>
            <w:color w:val="0068B6"/>
            <w:sz w:val="16"/>
            <w:szCs w:val="16"/>
            <w:shd w:val="clear" w:color="auto" w:fill="FFFFFF"/>
          </w:rPr>
          <w:t>https://doi.org/10.1596/33543</w:t>
        </w:r>
      </w:hyperlink>
      <w:r w:rsidRPr="00592E0C">
        <w:rPr>
          <w:rFonts w:asciiTheme="minorHAnsi" w:hAnsiTheme="minorHAnsi" w:cstheme="minorHAnsi"/>
          <w:color w:val="333333"/>
          <w:sz w:val="16"/>
          <w:szCs w:val="16"/>
          <w:shd w:val="clear" w:color="auto" w:fill="FFFFFF"/>
        </w:rPr>
        <w:t>.</w:t>
      </w:r>
    </w:p>
  </w:footnote>
  <w:footnote w:id="44">
    <w:p w14:paraId="68D4CDCC" w14:textId="77777777" w:rsidR="00592E0C" w:rsidRPr="00592E0C" w:rsidRDefault="00592E0C" w:rsidP="00411CF7">
      <w:pPr>
        <w:pStyle w:val="FootnoteText"/>
        <w:jc w:val="both"/>
        <w:rPr>
          <w:rFonts w:asciiTheme="minorHAnsi" w:hAnsiTheme="minorHAnsi" w:cstheme="minorHAnsi"/>
          <w:sz w:val="18"/>
          <w:szCs w:val="18"/>
        </w:rPr>
      </w:pPr>
      <w:r w:rsidRPr="00592E0C">
        <w:rPr>
          <w:rStyle w:val="FootnoteReference"/>
          <w:rFonts w:asciiTheme="minorHAnsi" w:hAnsiTheme="minorHAnsi" w:cstheme="minorHAnsi"/>
        </w:rPr>
        <w:footnoteRef/>
      </w:r>
      <w:r w:rsidRPr="00592E0C">
        <w:rPr>
          <w:rFonts w:asciiTheme="minorHAnsi" w:hAnsiTheme="minorHAnsi" w:cstheme="minorHAnsi"/>
        </w:rPr>
        <w:t xml:space="preserve"> </w:t>
      </w:r>
      <w:r w:rsidRPr="00592E0C">
        <w:rPr>
          <w:rFonts w:asciiTheme="minorHAnsi" w:hAnsiTheme="minorHAnsi" w:cstheme="minorHAnsi"/>
          <w:color w:val="0070C0"/>
          <w:sz w:val="18"/>
          <w:szCs w:val="18"/>
        </w:rPr>
        <w:t>https://www.mof.go.tz/uploads/documents/en-1655216926-BUDGET%20SPEECH%202022-23%20ENGLISH%20VERSION.pdf</w:t>
      </w:r>
    </w:p>
  </w:footnote>
  <w:footnote w:id="45">
    <w:p w14:paraId="46E7EA7E" w14:textId="77777777" w:rsidR="00592E0C" w:rsidRPr="00D70662" w:rsidRDefault="00592E0C" w:rsidP="00411CF7">
      <w:pPr>
        <w:pStyle w:val="FootnoteText"/>
        <w:jc w:val="both"/>
        <w:rPr>
          <w:color w:val="0070C0"/>
        </w:rPr>
      </w:pPr>
      <w:r w:rsidRPr="00D70662">
        <w:rPr>
          <w:rStyle w:val="FootnoteReference"/>
          <w:rFonts w:ascii="Century Gothic" w:hAnsi="Century Gothic"/>
          <w:sz w:val="18"/>
          <w:szCs w:val="18"/>
        </w:rPr>
        <w:footnoteRef/>
      </w:r>
      <w:r w:rsidRPr="00D70662">
        <w:rPr>
          <w:rFonts w:ascii="Century Gothic" w:hAnsi="Century Gothic"/>
          <w:sz w:val="18"/>
          <w:szCs w:val="18"/>
        </w:rPr>
        <w:t xml:space="preserve"> World Bank (2022). Tanzania Agriculture Public Expenditure Review. </w:t>
      </w:r>
      <w:r w:rsidRPr="00D70662">
        <w:rPr>
          <w:rFonts w:ascii="Century Gothic" w:hAnsi="Century Gothic"/>
          <w:color w:val="0070C0"/>
          <w:sz w:val="18"/>
          <w:szCs w:val="18"/>
        </w:rPr>
        <w:t>https://elibrary.worldbank.org/doi/abs/10.1596/37991</w:t>
      </w:r>
    </w:p>
  </w:footnote>
  <w:footnote w:id="46">
    <w:p w14:paraId="4CC4851B" w14:textId="77777777" w:rsidR="00592E0C" w:rsidRPr="003F5823" w:rsidRDefault="00592E0C" w:rsidP="003F5823">
      <w:pPr>
        <w:pStyle w:val="FootnoteText"/>
        <w:jc w:val="both"/>
        <w:rPr>
          <w:rFonts w:ascii="Century Gothic" w:hAnsi="Century Gothic"/>
          <w:sz w:val="16"/>
          <w:szCs w:val="16"/>
        </w:rPr>
      </w:pPr>
      <w:r w:rsidRPr="003F5823">
        <w:rPr>
          <w:rStyle w:val="FootnoteReference"/>
          <w:rFonts w:ascii="Century Gothic" w:hAnsi="Century Gothic"/>
          <w:sz w:val="16"/>
          <w:szCs w:val="16"/>
        </w:rPr>
        <w:footnoteRef/>
      </w:r>
      <w:r w:rsidRPr="003F5823">
        <w:rPr>
          <w:rFonts w:ascii="Century Gothic" w:hAnsi="Century Gothic"/>
          <w:sz w:val="16"/>
          <w:szCs w:val="16"/>
        </w:rPr>
        <w:t xml:space="preserve"> </w:t>
      </w:r>
      <w:r w:rsidRPr="003F5823">
        <w:rPr>
          <w:rFonts w:ascii="Century Gothic" w:hAnsi="Century Gothic" w:cstheme="majorHAnsi"/>
          <w:sz w:val="16"/>
          <w:szCs w:val="16"/>
        </w:rPr>
        <w:t xml:space="preserve">Food and Agriculture Organization of the United Nations (FAO) (2011). Women in Agriculture: closing the gender gap for development. Rome. </w:t>
      </w:r>
      <w:r w:rsidRPr="003F5823">
        <w:rPr>
          <w:rFonts w:ascii="Century Gothic" w:hAnsi="Century Gothic" w:cstheme="majorHAnsi"/>
          <w:color w:val="0070C0"/>
          <w:sz w:val="16"/>
          <w:szCs w:val="16"/>
        </w:rPr>
        <w:t>https://www.fao.org/publications/sofa/2010-11/en/</w:t>
      </w:r>
    </w:p>
  </w:footnote>
  <w:footnote w:id="47">
    <w:p w14:paraId="2A332916" w14:textId="77777777" w:rsidR="00592E0C" w:rsidRPr="00592E0C" w:rsidRDefault="00592E0C" w:rsidP="003F5823">
      <w:pPr>
        <w:pStyle w:val="FootnoteText"/>
        <w:jc w:val="both"/>
        <w:rPr>
          <w:rFonts w:asciiTheme="minorHAnsi" w:hAnsiTheme="minorHAnsi" w:cstheme="minorHAnsi"/>
          <w:sz w:val="18"/>
          <w:szCs w:val="18"/>
          <w:lang w:val="en-US"/>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rPr>
        <w:t xml:space="preserve"> Joshi, C.L., Maisonnave, H., Baroki, R.L. and Mariam, A.B. (2023), "Pro-gender policies and the empowerment of women in the DRC", Journal of Agribusiness in Developing and Emerging Economies, Vol. ahead-of-print No. ahead-of-print.</w:t>
      </w:r>
      <w:r w:rsidRPr="00592E0C">
        <w:rPr>
          <w:rFonts w:asciiTheme="minorHAnsi" w:hAnsiTheme="minorHAnsi" w:cstheme="minorHAnsi"/>
          <w:color w:val="0070C0"/>
          <w:sz w:val="18"/>
          <w:szCs w:val="18"/>
        </w:rPr>
        <w:t xml:space="preserve"> https://doi.org/10.1108/JADEE-01-2022-0016</w:t>
      </w:r>
    </w:p>
  </w:footnote>
  <w:footnote w:id="48">
    <w:p w14:paraId="07BC0763" w14:textId="77777777" w:rsidR="00592E0C" w:rsidRPr="003F5823" w:rsidRDefault="00592E0C" w:rsidP="003F5823">
      <w:pPr>
        <w:pStyle w:val="FootnoteText"/>
        <w:jc w:val="both"/>
        <w:rPr>
          <w:rFonts w:ascii="Century Gothic" w:hAnsi="Century Gothic"/>
          <w:sz w:val="16"/>
          <w:szCs w:val="16"/>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rPr>
        <w:t xml:space="preserve"> Rosetti N. and Kakande M. (2010). Modelling the contributions of reduced gender inequality to GDP growth prospects and poverty reduction. CPRC (Chronic Poverty Research Center) International Conference 2010</w:t>
      </w:r>
    </w:p>
  </w:footnote>
  <w:footnote w:id="49">
    <w:p w14:paraId="29BC4825" w14:textId="77777777" w:rsidR="00592E0C" w:rsidRPr="00592E0C" w:rsidRDefault="00592E0C" w:rsidP="003F5823">
      <w:pPr>
        <w:pStyle w:val="FootnoteText"/>
        <w:jc w:val="both"/>
        <w:rPr>
          <w:rFonts w:asciiTheme="majorHAnsi" w:hAnsiTheme="majorHAnsi" w:cstheme="majorHAnsi"/>
          <w:sz w:val="16"/>
          <w:szCs w:val="16"/>
        </w:rPr>
      </w:pPr>
      <w:r w:rsidRPr="00592E0C">
        <w:rPr>
          <w:rStyle w:val="FootnoteReference"/>
          <w:rFonts w:asciiTheme="majorHAnsi" w:hAnsiTheme="majorHAnsi" w:cstheme="majorHAnsi"/>
          <w:sz w:val="16"/>
          <w:szCs w:val="16"/>
        </w:rPr>
        <w:footnoteRef/>
      </w:r>
      <w:r w:rsidRPr="00592E0C">
        <w:rPr>
          <w:rFonts w:asciiTheme="majorHAnsi" w:hAnsiTheme="majorHAnsi" w:cstheme="majorHAnsi"/>
          <w:sz w:val="16"/>
          <w:szCs w:val="16"/>
        </w:rPr>
        <w:t xml:space="preserve"> World Bank (2003). Prospects for irrigated agriculture: whether irrigated area and irrigation water must increase to meet food needs in the future: Washington, DC 20433. </w:t>
      </w:r>
      <w:r w:rsidRPr="00592E0C">
        <w:rPr>
          <w:rFonts w:asciiTheme="majorHAnsi" w:hAnsiTheme="majorHAnsi" w:cstheme="majorHAnsi"/>
          <w:color w:val="0070C0"/>
          <w:sz w:val="16"/>
          <w:szCs w:val="16"/>
        </w:rPr>
        <w:t>http://web.worldbank.org/archive/website00660/WEB/PDF/260290PR.PDF</w:t>
      </w:r>
    </w:p>
  </w:footnote>
  <w:footnote w:id="50">
    <w:p w14:paraId="1ECEE5B6" w14:textId="77777777" w:rsidR="00592E0C" w:rsidRPr="00592E0C" w:rsidRDefault="00592E0C" w:rsidP="001D6FDA">
      <w:pPr>
        <w:pStyle w:val="FootnoteText"/>
        <w:rPr>
          <w:rFonts w:asciiTheme="minorHAnsi" w:hAnsiTheme="minorHAnsi" w:cstheme="minorHAnsi"/>
          <w:sz w:val="18"/>
          <w:szCs w:val="18"/>
          <w:lang w:val="en-US"/>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lang w:val="en-US"/>
        </w:rPr>
        <w:t xml:space="preserve"> National Accounts of Tanzania Mainland 2015 - 2021</w:t>
      </w:r>
    </w:p>
  </w:footnote>
  <w:footnote w:id="51">
    <w:p w14:paraId="024F3430" w14:textId="77777777" w:rsidR="00592E0C" w:rsidRPr="00592E0C" w:rsidRDefault="00592E0C" w:rsidP="001D6FDA">
      <w:pPr>
        <w:pStyle w:val="FootnoteText"/>
        <w:rPr>
          <w:rFonts w:asciiTheme="minorHAnsi" w:hAnsiTheme="minorHAnsi" w:cstheme="minorHAnsi"/>
          <w:sz w:val="18"/>
          <w:szCs w:val="18"/>
          <w:lang w:val="en-US"/>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lang w:val="en-US"/>
        </w:rPr>
        <w:t xml:space="preserve"> Integrated Labour Force Survey 2020/2021: Analytical Report</w:t>
      </w:r>
    </w:p>
  </w:footnote>
  <w:footnote w:id="52">
    <w:p w14:paraId="3391CA57" w14:textId="77777777" w:rsidR="00592E0C" w:rsidRPr="00592E0C" w:rsidRDefault="00592E0C" w:rsidP="001D6FDA">
      <w:pPr>
        <w:pStyle w:val="FootnoteText"/>
        <w:jc w:val="both"/>
        <w:rPr>
          <w:rFonts w:asciiTheme="minorHAnsi" w:hAnsiTheme="minorHAnsi" w:cstheme="minorHAnsi"/>
          <w:sz w:val="18"/>
          <w:szCs w:val="18"/>
          <w:lang w:val="en-US"/>
        </w:rPr>
      </w:pPr>
      <w:r w:rsidRPr="00592E0C">
        <w:rPr>
          <w:rStyle w:val="FootnoteReference"/>
          <w:rFonts w:asciiTheme="minorHAnsi" w:hAnsiTheme="minorHAnsi" w:cstheme="minorHAnsi"/>
          <w:sz w:val="18"/>
          <w:szCs w:val="18"/>
        </w:rPr>
        <w:footnoteRef/>
      </w:r>
      <w:r w:rsidRPr="00592E0C">
        <w:rPr>
          <w:rFonts w:asciiTheme="minorHAnsi" w:hAnsiTheme="minorHAnsi" w:cstheme="minorHAnsi"/>
          <w:sz w:val="18"/>
          <w:szCs w:val="18"/>
          <w:lang w:val="en-US"/>
        </w:rPr>
        <w:t xml:space="preserve"> The estimate was made based on the updated 2019 SAM and included labour and land inputs</w:t>
      </w:r>
    </w:p>
  </w:footnote>
  <w:footnote w:id="53">
    <w:p w14:paraId="7B0C2839" w14:textId="77777777" w:rsidR="00592E0C" w:rsidRPr="00592E0C" w:rsidRDefault="00592E0C" w:rsidP="001D6FDA">
      <w:pPr>
        <w:spacing w:after="0" w:line="240" w:lineRule="auto"/>
        <w:jc w:val="both"/>
        <w:rPr>
          <w:rFonts w:cstheme="minorHAnsi"/>
          <w:sz w:val="18"/>
          <w:szCs w:val="18"/>
          <w:lang w:val="en-US"/>
        </w:rPr>
      </w:pPr>
      <w:r w:rsidRPr="00592E0C">
        <w:rPr>
          <w:rStyle w:val="FootnoteReference"/>
          <w:rFonts w:cstheme="minorHAnsi"/>
          <w:sz w:val="18"/>
          <w:szCs w:val="18"/>
        </w:rPr>
        <w:footnoteRef/>
      </w:r>
      <w:r w:rsidRPr="00592E0C">
        <w:rPr>
          <w:rFonts w:cstheme="minorHAnsi"/>
          <w:sz w:val="18"/>
          <w:szCs w:val="18"/>
          <w:lang w:val="en-US"/>
        </w:rPr>
        <w:t xml:space="preserve"> The single-policy simulation was used to show policymakers the effects of the shock in isolation and to emphasize the trade-offs between different policy interventions in the agricultural sector</w:t>
      </w:r>
    </w:p>
    <w:p w14:paraId="1C700187" w14:textId="77777777" w:rsidR="00592E0C" w:rsidRPr="007E189E" w:rsidRDefault="00592E0C" w:rsidP="001D6FD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B7AB" w14:textId="3FD5F7D3" w:rsidR="001841BA" w:rsidRDefault="001841BA">
    <w:pPr>
      <w:pStyle w:val="Header"/>
    </w:pPr>
    <w:r>
      <w:t>March 30, 2023</w:t>
    </w:r>
  </w:p>
  <w:p w14:paraId="68428997" w14:textId="77777777" w:rsidR="001841BA" w:rsidRDefault="00184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41269"/>
    <w:multiLevelType w:val="hybridMultilevel"/>
    <w:tmpl w:val="0ECAC41C"/>
    <w:lvl w:ilvl="0" w:tplc="56C0B9FA">
      <w:start w:val="1"/>
      <w:numFmt w:val="lowerRoman"/>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BE2E68"/>
    <w:multiLevelType w:val="hybridMultilevel"/>
    <w:tmpl w:val="BE3E078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208D0084"/>
    <w:multiLevelType w:val="hybridMultilevel"/>
    <w:tmpl w:val="94B69F80"/>
    <w:lvl w:ilvl="0" w:tplc="9EA240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F26CF"/>
    <w:multiLevelType w:val="hybridMultilevel"/>
    <w:tmpl w:val="26EA4C84"/>
    <w:lvl w:ilvl="0" w:tplc="04190005">
      <w:start w:val="1"/>
      <w:numFmt w:val="bullet"/>
      <w:lvlText w:val=""/>
      <w:lvlJc w:val="left"/>
      <w:pPr>
        <w:ind w:left="816" w:hanging="360"/>
      </w:pPr>
      <w:rPr>
        <w:rFonts w:ascii="Wingdings" w:hAnsi="Wingdings"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4" w15:restartNumberingAfterBreak="0">
    <w:nsid w:val="2C3A55C8"/>
    <w:multiLevelType w:val="multilevel"/>
    <w:tmpl w:val="B2329426"/>
    <w:lvl w:ilvl="0">
      <w:start w:val="1"/>
      <w:numFmt w:val="upperRoman"/>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3765548F"/>
    <w:multiLevelType w:val="hybridMultilevel"/>
    <w:tmpl w:val="09263E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D777EB"/>
    <w:multiLevelType w:val="hybridMultilevel"/>
    <w:tmpl w:val="0098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E707C1"/>
    <w:multiLevelType w:val="multilevel"/>
    <w:tmpl w:val="0B425544"/>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5F51246"/>
    <w:multiLevelType w:val="hybridMultilevel"/>
    <w:tmpl w:val="4066E19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AF53E9"/>
    <w:multiLevelType w:val="hybridMultilevel"/>
    <w:tmpl w:val="6960F7EA"/>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6803229"/>
    <w:multiLevelType w:val="multilevel"/>
    <w:tmpl w:val="F7E21D8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9D5108E"/>
    <w:multiLevelType w:val="multilevel"/>
    <w:tmpl w:val="8E22506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CE65A5"/>
    <w:multiLevelType w:val="hybridMultilevel"/>
    <w:tmpl w:val="4C84EE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88050A"/>
    <w:multiLevelType w:val="hybridMultilevel"/>
    <w:tmpl w:val="DB76FD20"/>
    <w:lvl w:ilvl="0" w:tplc="9020C4A8">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815A70"/>
    <w:multiLevelType w:val="multilevel"/>
    <w:tmpl w:val="A4AE2B86"/>
    <w:lvl w:ilvl="0">
      <w:start w:val="1"/>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61053AC2"/>
    <w:multiLevelType w:val="hybridMultilevel"/>
    <w:tmpl w:val="CEEA99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1C73C7"/>
    <w:multiLevelType w:val="hybridMultilevel"/>
    <w:tmpl w:val="781C4344"/>
    <w:lvl w:ilvl="0" w:tplc="EBB62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B14F99"/>
    <w:multiLevelType w:val="multilevel"/>
    <w:tmpl w:val="0B425544"/>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8B07477"/>
    <w:multiLevelType w:val="multilevel"/>
    <w:tmpl w:val="851E428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125184"/>
    <w:multiLevelType w:val="multilevel"/>
    <w:tmpl w:val="0B425544"/>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BFD1F5C"/>
    <w:multiLevelType w:val="hybridMultilevel"/>
    <w:tmpl w:val="A0EC0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0456B9"/>
    <w:multiLevelType w:val="hybridMultilevel"/>
    <w:tmpl w:val="6A32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C1F03"/>
    <w:multiLevelType w:val="hybridMultilevel"/>
    <w:tmpl w:val="F61AE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07559522">
    <w:abstractNumId w:val="4"/>
  </w:num>
  <w:num w:numId="2" w16cid:durableId="17727002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7236663">
    <w:abstractNumId w:val="17"/>
  </w:num>
  <w:num w:numId="4" w16cid:durableId="1052927134">
    <w:abstractNumId w:val="14"/>
  </w:num>
  <w:num w:numId="5" w16cid:durableId="1162546526">
    <w:abstractNumId w:val="19"/>
  </w:num>
  <w:num w:numId="6" w16cid:durableId="1160273700">
    <w:abstractNumId w:val="21"/>
  </w:num>
  <w:num w:numId="7" w16cid:durableId="1550413809">
    <w:abstractNumId w:val="2"/>
  </w:num>
  <w:num w:numId="8" w16cid:durableId="2047870927">
    <w:abstractNumId w:val="20"/>
  </w:num>
  <w:num w:numId="9" w16cid:durableId="366494334">
    <w:abstractNumId w:val="18"/>
  </w:num>
  <w:num w:numId="10" w16cid:durableId="1015963856">
    <w:abstractNumId w:val="0"/>
  </w:num>
  <w:num w:numId="11" w16cid:durableId="449857203">
    <w:abstractNumId w:val="10"/>
  </w:num>
  <w:num w:numId="12" w16cid:durableId="1754668567">
    <w:abstractNumId w:val="11"/>
  </w:num>
  <w:num w:numId="13" w16cid:durableId="1208297535">
    <w:abstractNumId w:val="16"/>
  </w:num>
  <w:num w:numId="14" w16cid:durableId="1645163548">
    <w:abstractNumId w:val="8"/>
  </w:num>
  <w:num w:numId="15" w16cid:durableId="26418597">
    <w:abstractNumId w:val="3"/>
  </w:num>
  <w:num w:numId="16" w16cid:durableId="1619139883">
    <w:abstractNumId w:val="15"/>
  </w:num>
  <w:num w:numId="17" w16cid:durableId="169835191">
    <w:abstractNumId w:val="22"/>
  </w:num>
  <w:num w:numId="18" w16cid:durableId="1127120761">
    <w:abstractNumId w:val="12"/>
  </w:num>
  <w:num w:numId="19" w16cid:durableId="1493788832">
    <w:abstractNumId w:val="9"/>
  </w:num>
  <w:num w:numId="20" w16cid:durableId="227114721">
    <w:abstractNumId w:val="5"/>
  </w:num>
  <w:num w:numId="21" w16cid:durableId="1976831200">
    <w:abstractNumId w:val="6"/>
  </w:num>
  <w:num w:numId="22" w16cid:durableId="538127859">
    <w:abstractNumId w:val="13"/>
  </w:num>
  <w:num w:numId="23" w16cid:durableId="1943686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SpellingError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A82"/>
    <w:rsid w:val="00026852"/>
    <w:rsid w:val="000302DC"/>
    <w:rsid w:val="000442BC"/>
    <w:rsid w:val="000504FF"/>
    <w:rsid w:val="000515A2"/>
    <w:rsid w:val="000517BD"/>
    <w:rsid w:val="00051A6E"/>
    <w:rsid w:val="00056B51"/>
    <w:rsid w:val="0006593D"/>
    <w:rsid w:val="00070FDD"/>
    <w:rsid w:val="0007118F"/>
    <w:rsid w:val="00072834"/>
    <w:rsid w:val="00094B97"/>
    <w:rsid w:val="000A3CB9"/>
    <w:rsid w:val="000A60EB"/>
    <w:rsid w:val="000B6452"/>
    <w:rsid w:val="000C1429"/>
    <w:rsid w:val="000C4765"/>
    <w:rsid w:val="000C5002"/>
    <w:rsid w:val="000D102F"/>
    <w:rsid w:val="000D5C14"/>
    <w:rsid w:val="000E1CC8"/>
    <w:rsid w:val="000F2CE0"/>
    <w:rsid w:val="000F36BD"/>
    <w:rsid w:val="000F532A"/>
    <w:rsid w:val="00106EC5"/>
    <w:rsid w:val="00114AB6"/>
    <w:rsid w:val="00121EEB"/>
    <w:rsid w:val="0012373B"/>
    <w:rsid w:val="00133B5E"/>
    <w:rsid w:val="001343B0"/>
    <w:rsid w:val="00147AFF"/>
    <w:rsid w:val="00155CD1"/>
    <w:rsid w:val="00161DCB"/>
    <w:rsid w:val="001711E2"/>
    <w:rsid w:val="0017252B"/>
    <w:rsid w:val="001725B7"/>
    <w:rsid w:val="00175A07"/>
    <w:rsid w:val="001767BF"/>
    <w:rsid w:val="00181728"/>
    <w:rsid w:val="0018216D"/>
    <w:rsid w:val="001841BA"/>
    <w:rsid w:val="00186054"/>
    <w:rsid w:val="00187410"/>
    <w:rsid w:val="00193408"/>
    <w:rsid w:val="001936A2"/>
    <w:rsid w:val="001A3134"/>
    <w:rsid w:val="001A6549"/>
    <w:rsid w:val="001B73D8"/>
    <w:rsid w:val="001C1CFB"/>
    <w:rsid w:val="001C27F5"/>
    <w:rsid w:val="001C2A47"/>
    <w:rsid w:val="001D0421"/>
    <w:rsid w:val="001D3466"/>
    <w:rsid w:val="001D6FDA"/>
    <w:rsid w:val="001D76E2"/>
    <w:rsid w:val="001E3927"/>
    <w:rsid w:val="001E5E7C"/>
    <w:rsid w:val="001F1988"/>
    <w:rsid w:val="001F609D"/>
    <w:rsid w:val="001F6BA9"/>
    <w:rsid w:val="002133ED"/>
    <w:rsid w:val="00213E43"/>
    <w:rsid w:val="00224F3F"/>
    <w:rsid w:val="00225DC9"/>
    <w:rsid w:val="00226D68"/>
    <w:rsid w:val="00232B53"/>
    <w:rsid w:val="00247C7D"/>
    <w:rsid w:val="00247C93"/>
    <w:rsid w:val="00254DD9"/>
    <w:rsid w:val="002571DE"/>
    <w:rsid w:val="00257406"/>
    <w:rsid w:val="002575FC"/>
    <w:rsid w:val="0026627E"/>
    <w:rsid w:val="002671BF"/>
    <w:rsid w:val="0026751C"/>
    <w:rsid w:val="0027000E"/>
    <w:rsid w:val="002708C6"/>
    <w:rsid w:val="00270CF9"/>
    <w:rsid w:val="00276276"/>
    <w:rsid w:val="00281B17"/>
    <w:rsid w:val="00282C2B"/>
    <w:rsid w:val="00285E0F"/>
    <w:rsid w:val="00287515"/>
    <w:rsid w:val="00296BE8"/>
    <w:rsid w:val="002A4CD2"/>
    <w:rsid w:val="002B559F"/>
    <w:rsid w:val="002D2335"/>
    <w:rsid w:val="002D6334"/>
    <w:rsid w:val="002F48F3"/>
    <w:rsid w:val="002F778F"/>
    <w:rsid w:val="002F7EE2"/>
    <w:rsid w:val="003037C7"/>
    <w:rsid w:val="0032716F"/>
    <w:rsid w:val="0033266A"/>
    <w:rsid w:val="00334216"/>
    <w:rsid w:val="0033532C"/>
    <w:rsid w:val="00337926"/>
    <w:rsid w:val="00337B46"/>
    <w:rsid w:val="00347572"/>
    <w:rsid w:val="00352C8E"/>
    <w:rsid w:val="00353D9D"/>
    <w:rsid w:val="00355249"/>
    <w:rsid w:val="00365E1B"/>
    <w:rsid w:val="00370E0B"/>
    <w:rsid w:val="00373A8D"/>
    <w:rsid w:val="0038333C"/>
    <w:rsid w:val="0038631D"/>
    <w:rsid w:val="00386D7E"/>
    <w:rsid w:val="00390677"/>
    <w:rsid w:val="0039081C"/>
    <w:rsid w:val="00390AA9"/>
    <w:rsid w:val="003934D1"/>
    <w:rsid w:val="00397847"/>
    <w:rsid w:val="003A2DFD"/>
    <w:rsid w:val="003B19B8"/>
    <w:rsid w:val="003D03E6"/>
    <w:rsid w:val="003D2970"/>
    <w:rsid w:val="003D7170"/>
    <w:rsid w:val="003E1D3B"/>
    <w:rsid w:val="003F0774"/>
    <w:rsid w:val="003F3A83"/>
    <w:rsid w:val="003F5823"/>
    <w:rsid w:val="003F66DC"/>
    <w:rsid w:val="003F7B77"/>
    <w:rsid w:val="0040073A"/>
    <w:rsid w:val="00400C2E"/>
    <w:rsid w:val="0040406C"/>
    <w:rsid w:val="00410666"/>
    <w:rsid w:val="00411CF7"/>
    <w:rsid w:val="00412E61"/>
    <w:rsid w:val="00416AD5"/>
    <w:rsid w:val="00417948"/>
    <w:rsid w:val="00423393"/>
    <w:rsid w:val="004233CF"/>
    <w:rsid w:val="0042428F"/>
    <w:rsid w:val="004256D5"/>
    <w:rsid w:val="00427846"/>
    <w:rsid w:val="004311A4"/>
    <w:rsid w:val="00434C1B"/>
    <w:rsid w:val="004350E4"/>
    <w:rsid w:val="00452613"/>
    <w:rsid w:val="00453189"/>
    <w:rsid w:val="00456B11"/>
    <w:rsid w:val="00456DCA"/>
    <w:rsid w:val="004633D8"/>
    <w:rsid w:val="00464F70"/>
    <w:rsid w:val="00485999"/>
    <w:rsid w:val="0049138E"/>
    <w:rsid w:val="0049349E"/>
    <w:rsid w:val="00497309"/>
    <w:rsid w:val="004A7068"/>
    <w:rsid w:val="004B470B"/>
    <w:rsid w:val="004B563A"/>
    <w:rsid w:val="004B5E73"/>
    <w:rsid w:val="004C3A82"/>
    <w:rsid w:val="004D0AFB"/>
    <w:rsid w:val="004E1234"/>
    <w:rsid w:val="004E4BD3"/>
    <w:rsid w:val="004E4CE9"/>
    <w:rsid w:val="004F722E"/>
    <w:rsid w:val="00500AA8"/>
    <w:rsid w:val="00500C5A"/>
    <w:rsid w:val="00502C01"/>
    <w:rsid w:val="005066A9"/>
    <w:rsid w:val="00507B3D"/>
    <w:rsid w:val="00514DEB"/>
    <w:rsid w:val="00520E38"/>
    <w:rsid w:val="00522C0C"/>
    <w:rsid w:val="00523A48"/>
    <w:rsid w:val="00533840"/>
    <w:rsid w:val="00535015"/>
    <w:rsid w:val="005374EC"/>
    <w:rsid w:val="00537BE4"/>
    <w:rsid w:val="0054320E"/>
    <w:rsid w:val="00557A14"/>
    <w:rsid w:val="00573172"/>
    <w:rsid w:val="005731CE"/>
    <w:rsid w:val="00574526"/>
    <w:rsid w:val="00585DC6"/>
    <w:rsid w:val="00590087"/>
    <w:rsid w:val="00592E0C"/>
    <w:rsid w:val="00593CF7"/>
    <w:rsid w:val="00595691"/>
    <w:rsid w:val="00596BAD"/>
    <w:rsid w:val="00597B60"/>
    <w:rsid w:val="005A26F3"/>
    <w:rsid w:val="005A7865"/>
    <w:rsid w:val="005A7D23"/>
    <w:rsid w:val="005B1827"/>
    <w:rsid w:val="005B28D3"/>
    <w:rsid w:val="005C2E6A"/>
    <w:rsid w:val="005D10DB"/>
    <w:rsid w:val="005D33E0"/>
    <w:rsid w:val="005E1A98"/>
    <w:rsid w:val="005E4F61"/>
    <w:rsid w:val="005E633B"/>
    <w:rsid w:val="005F5F1B"/>
    <w:rsid w:val="00602691"/>
    <w:rsid w:val="00604F36"/>
    <w:rsid w:val="0060559F"/>
    <w:rsid w:val="00611F6D"/>
    <w:rsid w:val="00615CF0"/>
    <w:rsid w:val="00623987"/>
    <w:rsid w:val="00625271"/>
    <w:rsid w:val="006257DE"/>
    <w:rsid w:val="00660129"/>
    <w:rsid w:val="0066175E"/>
    <w:rsid w:val="00662CAE"/>
    <w:rsid w:val="00667B58"/>
    <w:rsid w:val="00677AD9"/>
    <w:rsid w:val="006801A7"/>
    <w:rsid w:val="00680907"/>
    <w:rsid w:val="00683EE6"/>
    <w:rsid w:val="00685589"/>
    <w:rsid w:val="006973DE"/>
    <w:rsid w:val="006A0F4D"/>
    <w:rsid w:val="006A730C"/>
    <w:rsid w:val="006B7F77"/>
    <w:rsid w:val="006C4C79"/>
    <w:rsid w:val="006C4CC4"/>
    <w:rsid w:val="006C7F55"/>
    <w:rsid w:val="006D347B"/>
    <w:rsid w:val="006D37BF"/>
    <w:rsid w:val="006D53DA"/>
    <w:rsid w:val="006D7C01"/>
    <w:rsid w:val="006E595A"/>
    <w:rsid w:val="006E79B3"/>
    <w:rsid w:val="006F1AFF"/>
    <w:rsid w:val="006F5FD6"/>
    <w:rsid w:val="00700977"/>
    <w:rsid w:val="0070357E"/>
    <w:rsid w:val="00704B21"/>
    <w:rsid w:val="00707906"/>
    <w:rsid w:val="00711ADA"/>
    <w:rsid w:val="0072228E"/>
    <w:rsid w:val="007255BC"/>
    <w:rsid w:val="00730DA6"/>
    <w:rsid w:val="007312A9"/>
    <w:rsid w:val="00736117"/>
    <w:rsid w:val="00737A97"/>
    <w:rsid w:val="00744592"/>
    <w:rsid w:val="00744F59"/>
    <w:rsid w:val="00746E4C"/>
    <w:rsid w:val="00750C24"/>
    <w:rsid w:val="00751678"/>
    <w:rsid w:val="00755375"/>
    <w:rsid w:val="00755D9C"/>
    <w:rsid w:val="00756D81"/>
    <w:rsid w:val="00764DE3"/>
    <w:rsid w:val="007718A5"/>
    <w:rsid w:val="00774E36"/>
    <w:rsid w:val="007775FF"/>
    <w:rsid w:val="00786FE3"/>
    <w:rsid w:val="00790311"/>
    <w:rsid w:val="00795277"/>
    <w:rsid w:val="007B7FBD"/>
    <w:rsid w:val="007C1E6A"/>
    <w:rsid w:val="007C2487"/>
    <w:rsid w:val="007C2B03"/>
    <w:rsid w:val="007C713A"/>
    <w:rsid w:val="007E0A9A"/>
    <w:rsid w:val="007E5B00"/>
    <w:rsid w:val="007E64F2"/>
    <w:rsid w:val="007F03BE"/>
    <w:rsid w:val="007F0632"/>
    <w:rsid w:val="007F1931"/>
    <w:rsid w:val="007F3E68"/>
    <w:rsid w:val="007F494D"/>
    <w:rsid w:val="007F69C5"/>
    <w:rsid w:val="00812DBC"/>
    <w:rsid w:val="00827B9C"/>
    <w:rsid w:val="00832185"/>
    <w:rsid w:val="008341A2"/>
    <w:rsid w:val="0084572B"/>
    <w:rsid w:val="00846E10"/>
    <w:rsid w:val="00847249"/>
    <w:rsid w:val="0084796E"/>
    <w:rsid w:val="00847C6C"/>
    <w:rsid w:val="00850CB5"/>
    <w:rsid w:val="008600BB"/>
    <w:rsid w:val="0086510C"/>
    <w:rsid w:val="008673F0"/>
    <w:rsid w:val="00870605"/>
    <w:rsid w:val="00870950"/>
    <w:rsid w:val="008711FC"/>
    <w:rsid w:val="00871E07"/>
    <w:rsid w:val="0087205D"/>
    <w:rsid w:val="008802D5"/>
    <w:rsid w:val="00882757"/>
    <w:rsid w:val="00882FD9"/>
    <w:rsid w:val="00884A91"/>
    <w:rsid w:val="00884CAB"/>
    <w:rsid w:val="00894320"/>
    <w:rsid w:val="008A5445"/>
    <w:rsid w:val="008A598D"/>
    <w:rsid w:val="008B160D"/>
    <w:rsid w:val="008B30BE"/>
    <w:rsid w:val="008B3FAE"/>
    <w:rsid w:val="008B549A"/>
    <w:rsid w:val="008C1B68"/>
    <w:rsid w:val="008C28A9"/>
    <w:rsid w:val="008C3779"/>
    <w:rsid w:val="008D7A10"/>
    <w:rsid w:val="00902A06"/>
    <w:rsid w:val="00905F98"/>
    <w:rsid w:val="009210FA"/>
    <w:rsid w:val="00921E6F"/>
    <w:rsid w:val="0092429A"/>
    <w:rsid w:val="0092737E"/>
    <w:rsid w:val="00927898"/>
    <w:rsid w:val="00932236"/>
    <w:rsid w:val="00937325"/>
    <w:rsid w:val="00937617"/>
    <w:rsid w:val="00937F7F"/>
    <w:rsid w:val="00943A0A"/>
    <w:rsid w:val="00951128"/>
    <w:rsid w:val="00954806"/>
    <w:rsid w:val="00956E48"/>
    <w:rsid w:val="009621AF"/>
    <w:rsid w:val="00963DFA"/>
    <w:rsid w:val="009657F6"/>
    <w:rsid w:val="009659CA"/>
    <w:rsid w:val="0097115E"/>
    <w:rsid w:val="00980308"/>
    <w:rsid w:val="0098671D"/>
    <w:rsid w:val="00987836"/>
    <w:rsid w:val="0099241D"/>
    <w:rsid w:val="00997AA4"/>
    <w:rsid w:val="00997EF8"/>
    <w:rsid w:val="009A2599"/>
    <w:rsid w:val="009A2A01"/>
    <w:rsid w:val="009A5B04"/>
    <w:rsid w:val="009A734E"/>
    <w:rsid w:val="009B1CC2"/>
    <w:rsid w:val="009B4BC9"/>
    <w:rsid w:val="009B4FDA"/>
    <w:rsid w:val="009B6655"/>
    <w:rsid w:val="009D1016"/>
    <w:rsid w:val="009D6072"/>
    <w:rsid w:val="009E0577"/>
    <w:rsid w:val="009E21E9"/>
    <w:rsid w:val="009E4013"/>
    <w:rsid w:val="009E6CC5"/>
    <w:rsid w:val="009F2CCD"/>
    <w:rsid w:val="00A04D73"/>
    <w:rsid w:val="00A06DD5"/>
    <w:rsid w:val="00A116B2"/>
    <w:rsid w:val="00A148A1"/>
    <w:rsid w:val="00A210AE"/>
    <w:rsid w:val="00A22F35"/>
    <w:rsid w:val="00A24393"/>
    <w:rsid w:val="00A24783"/>
    <w:rsid w:val="00A470C8"/>
    <w:rsid w:val="00A47305"/>
    <w:rsid w:val="00A57B86"/>
    <w:rsid w:val="00A60C16"/>
    <w:rsid w:val="00A7365F"/>
    <w:rsid w:val="00A7542D"/>
    <w:rsid w:val="00A80D22"/>
    <w:rsid w:val="00A83C37"/>
    <w:rsid w:val="00A844F4"/>
    <w:rsid w:val="00A93DE5"/>
    <w:rsid w:val="00A95D22"/>
    <w:rsid w:val="00AB3299"/>
    <w:rsid w:val="00AB3957"/>
    <w:rsid w:val="00AB3C94"/>
    <w:rsid w:val="00AB73EE"/>
    <w:rsid w:val="00AB753D"/>
    <w:rsid w:val="00AC3F7E"/>
    <w:rsid w:val="00AD2694"/>
    <w:rsid w:val="00AE2C33"/>
    <w:rsid w:val="00AE421D"/>
    <w:rsid w:val="00AE7ED2"/>
    <w:rsid w:val="00AF2D36"/>
    <w:rsid w:val="00AF4FDC"/>
    <w:rsid w:val="00B00E66"/>
    <w:rsid w:val="00B07BC0"/>
    <w:rsid w:val="00B11399"/>
    <w:rsid w:val="00B13456"/>
    <w:rsid w:val="00B13A9D"/>
    <w:rsid w:val="00B17E26"/>
    <w:rsid w:val="00B2702F"/>
    <w:rsid w:val="00B300FE"/>
    <w:rsid w:val="00B42FD8"/>
    <w:rsid w:val="00B5597C"/>
    <w:rsid w:val="00B7022C"/>
    <w:rsid w:val="00B7282A"/>
    <w:rsid w:val="00B753FE"/>
    <w:rsid w:val="00B809E4"/>
    <w:rsid w:val="00B81359"/>
    <w:rsid w:val="00B85B17"/>
    <w:rsid w:val="00B86D00"/>
    <w:rsid w:val="00B9071E"/>
    <w:rsid w:val="00B96EA6"/>
    <w:rsid w:val="00BA6D0B"/>
    <w:rsid w:val="00BA717F"/>
    <w:rsid w:val="00BB0177"/>
    <w:rsid w:val="00BB3D90"/>
    <w:rsid w:val="00BB5578"/>
    <w:rsid w:val="00BC1002"/>
    <w:rsid w:val="00BC6988"/>
    <w:rsid w:val="00BD08E6"/>
    <w:rsid w:val="00BD26C7"/>
    <w:rsid w:val="00BD4A69"/>
    <w:rsid w:val="00BD75C0"/>
    <w:rsid w:val="00BE0CE3"/>
    <w:rsid w:val="00BF0B00"/>
    <w:rsid w:val="00C00429"/>
    <w:rsid w:val="00C2381A"/>
    <w:rsid w:val="00C25180"/>
    <w:rsid w:val="00C27B1A"/>
    <w:rsid w:val="00C315EA"/>
    <w:rsid w:val="00C326AA"/>
    <w:rsid w:val="00C36052"/>
    <w:rsid w:val="00C4016A"/>
    <w:rsid w:val="00C42688"/>
    <w:rsid w:val="00C464C3"/>
    <w:rsid w:val="00C55890"/>
    <w:rsid w:val="00C56EE5"/>
    <w:rsid w:val="00C623EE"/>
    <w:rsid w:val="00C632CF"/>
    <w:rsid w:val="00C76516"/>
    <w:rsid w:val="00C8008E"/>
    <w:rsid w:val="00C848A7"/>
    <w:rsid w:val="00C86E07"/>
    <w:rsid w:val="00C87C44"/>
    <w:rsid w:val="00C965E1"/>
    <w:rsid w:val="00CA172C"/>
    <w:rsid w:val="00CA676A"/>
    <w:rsid w:val="00CB1022"/>
    <w:rsid w:val="00CB2EBB"/>
    <w:rsid w:val="00CB511A"/>
    <w:rsid w:val="00CC01E1"/>
    <w:rsid w:val="00CF51AE"/>
    <w:rsid w:val="00D02903"/>
    <w:rsid w:val="00D11261"/>
    <w:rsid w:val="00D12516"/>
    <w:rsid w:val="00D14244"/>
    <w:rsid w:val="00D274A1"/>
    <w:rsid w:val="00D33A8E"/>
    <w:rsid w:val="00D3410E"/>
    <w:rsid w:val="00D363A3"/>
    <w:rsid w:val="00D45BD4"/>
    <w:rsid w:val="00D516D0"/>
    <w:rsid w:val="00D51C99"/>
    <w:rsid w:val="00D5241F"/>
    <w:rsid w:val="00D57E3E"/>
    <w:rsid w:val="00D633CE"/>
    <w:rsid w:val="00D63D7D"/>
    <w:rsid w:val="00D70662"/>
    <w:rsid w:val="00D737D2"/>
    <w:rsid w:val="00D77230"/>
    <w:rsid w:val="00D819CA"/>
    <w:rsid w:val="00D836F7"/>
    <w:rsid w:val="00D860A7"/>
    <w:rsid w:val="00D952E5"/>
    <w:rsid w:val="00DA33FD"/>
    <w:rsid w:val="00DA3A0A"/>
    <w:rsid w:val="00DA4166"/>
    <w:rsid w:val="00DA4B01"/>
    <w:rsid w:val="00DB5544"/>
    <w:rsid w:val="00DB5A6F"/>
    <w:rsid w:val="00DB76D4"/>
    <w:rsid w:val="00DB7F89"/>
    <w:rsid w:val="00DC3885"/>
    <w:rsid w:val="00DD6445"/>
    <w:rsid w:val="00DD6488"/>
    <w:rsid w:val="00DE0881"/>
    <w:rsid w:val="00DE1362"/>
    <w:rsid w:val="00DE1DC9"/>
    <w:rsid w:val="00DE30AB"/>
    <w:rsid w:val="00DE5E3C"/>
    <w:rsid w:val="00DF1155"/>
    <w:rsid w:val="00DF56C9"/>
    <w:rsid w:val="00DF5A2E"/>
    <w:rsid w:val="00DF6173"/>
    <w:rsid w:val="00E0335B"/>
    <w:rsid w:val="00E0378C"/>
    <w:rsid w:val="00E17EFD"/>
    <w:rsid w:val="00E2085B"/>
    <w:rsid w:val="00E24134"/>
    <w:rsid w:val="00E25F37"/>
    <w:rsid w:val="00E302FB"/>
    <w:rsid w:val="00E320D3"/>
    <w:rsid w:val="00E32777"/>
    <w:rsid w:val="00E32CB5"/>
    <w:rsid w:val="00E33AF7"/>
    <w:rsid w:val="00E353F6"/>
    <w:rsid w:val="00E62282"/>
    <w:rsid w:val="00E71018"/>
    <w:rsid w:val="00E766AC"/>
    <w:rsid w:val="00E82096"/>
    <w:rsid w:val="00E876E8"/>
    <w:rsid w:val="00E87D6D"/>
    <w:rsid w:val="00E91538"/>
    <w:rsid w:val="00E9598D"/>
    <w:rsid w:val="00EA3EFD"/>
    <w:rsid w:val="00EA46FB"/>
    <w:rsid w:val="00EB43C6"/>
    <w:rsid w:val="00EC220D"/>
    <w:rsid w:val="00EC2231"/>
    <w:rsid w:val="00ED3DDA"/>
    <w:rsid w:val="00ED7700"/>
    <w:rsid w:val="00EE01E2"/>
    <w:rsid w:val="00EE13A7"/>
    <w:rsid w:val="00EE3BED"/>
    <w:rsid w:val="00EF3C08"/>
    <w:rsid w:val="00EF5335"/>
    <w:rsid w:val="00F02B44"/>
    <w:rsid w:val="00F32A86"/>
    <w:rsid w:val="00F40C0F"/>
    <w:rsid w:val="00F41EC5"/>
    <w:rsid w:val="00F4635D"/>
    <w:rsid w:val="00F532C5"/>
    <w:rsid w:val="00F54580"/>
    <w:rsid w:val="00F558B4"/>
    <w:rsid w:val="00F65BA0"/>
    <w:rsid w:val="00F73B5A"/>
    <w:rsid w:val="00F81906"/>
    <w:rsid w:val="00F84224"/>
    <w:rsid w:val="00F86AD9"/>
    <w:rsid w:val="00F875C1"/>
    <w:rsid w:val="00F926CE"/>
    <w:rsid w:val="00F93991"/>
    <w:rsid w:val="00F953AA"/>
    <w:rsid w:val="00F9638E"/>
    <w:rsid w:val="00FA0071"/>
    <w:rsid w:val="00FA448F"/>
    <w:rsid w:val="00FA7AE8"/>
    <w:rsid w:val="00FB0E33"/>
    <w:rsid w:val="00FB1754"/>
    <w:rsid w:val="00FB3F8E"/>
    <w:rsid w:val="00FB4A44"/>
    <w:rsid w:val="00FB5618"/>
    <w:rsid w:val="00FB6C30"/>
    <w:rsid w:val="00FD1900"/>
    <w:rsid w:val="00FD40DC"/>
    <w:rsid w:val="00FE3615"/>
    <w:rsid w:val="00FE3AA4"/>
    <w:rsid w:val="00FE48A1"/>
    <w:rsid w:val="00FE787E"/>
    <w:rsid w:val="00FF499B"/>
    <w:rsid w:val="00FF64A4"/>
    <w:rsid w:val="00FF70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616E8"/>
  <w15:chartTrackingRefBased/>
  <w15:docId w15:val="{788CB507-88AA-4624-AA03-972BC9CD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A01"/>
    <w:rPr>
      <w:rFonts w:eastAsiaTheme="minorHAnsi"/>
      <w:lang w:val="en-GB" w:eastAsia="en-US"/>
    </w:rPr>
  </w:style>
  <w:style w:type="paragraph" w:styleId="Heading1">
    <w:name w:val="heading 1"/>
    <w:basedOn w:val="Normal"/>
    <w:next w:val="Normal"/>
    <w:link w:val="Heading1Char"/>
    <w:uiPriority w:val="9"/>
    <w:qFormat/>
    <w:rsid w:val="00456D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456DCA"/>
    <w:pPr>
      <w:keepNext w:val="0"/>
      <w:keepLines w:val="0"/>
      <w:tabs>
        <w:tab w:val="left" w:pos="567"/>
      </w:tabs>
      <w:suppressAutoHyphens/>
      <w:spacing w:after="240" w:line="240" w:lineRule="auto"/>
      <w:ind w:left="567" w:hanging="567"/>
      <w:jc w:val="both"/>
      <w:outlineLvl w:val="1"/>
    </w:pPr>
    <w:rPr>
      <w:b/>
      <w:color w:val="auto"/>
      <w:sz w:val="24"/>
      <w:szCs w:val="26"/>
    </w:rPr>
  </w:style>
  <w:style w:type="paragraph" w:styleId="Heading3">
    <w:name w:val="heading 3"/>
    <w:basedOn w:val="Heading2"/>
    <w:next w:val="Normal"/>
    <w:link w:val="Heading3Char"/>
    <w:qFormat/>
    <w:rsid w:val="00456DCA"/>
    <w:pPr>
      <w:ind w:left="0" w:firstLine="0"/>
      <w:outlineLvl w:val="2"/>
    </w:pPr>
    <w:rPr>
      <w:b w:val="0"/>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32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link w:val="Table-titleChar"/>
    <w:qFormat/>
    <w:rsid w:val="000D102F"/>
    <w:pPr>
      <w:spacing w:before="120" w:after="120" w:line="240" w:lineRule="auto"/>
    </w:pPr>
    <w:rPr>
      <w:rFonts w:ascii="Arial" w:eastAsia="Calibri" w:hAnsi="Arial" w:cs="Times New Roman"/>
      <w:sz w:val="18"/>
      <w:lang w:val="en-GB" w:eastAsia="en-US"/>
    </w:rPr>
  </w:style>
  <w:style w:type="character" w:customStyle="1" w:styleId="Table-titleChar">
    <w:name w:val="Table-title Char"/>
    <w:link w:val="Table-title"/>
    <w:rsid w:val="000D102F"/>
    <w:rPr>
      <w:rFonts w:ascii="Arial" w:eastAsia="Calibri" w:hAnsi="Arial" w:cs="Times New Roman"/>
      <w:sz w:val="18"/>
      <w:lang w:val="en-GB" w:eastAsia="en-US"/>
    </w:rPr>
  </w:style>
  <w:style w:type="paragraph" w:styleId="ListParagraph">
    <w:name w:val="List Paragraph"/>
    <w:basedOn w:val="Normal"/>
    <w:link w:val="ListParagraphChar"/>
    <w:uiPriority w:val="34"/>
    <w:qFormat/>
    <w:rsid w:val="00D952E5"/>
    <w:pPr>
      <w:spacing w:line="256" w:lineRule="auto"/>
      <w:ind w:left="720"/>
      <w:contextualSpacing/>
    </w:pPr>
    <w:rPr>
      <w:rFonts w:ascii="Calibri" w:eastAsia="Calibri" w:hAnsi="Calibri" w:cs="Times New Roman"/>
    </w:rPr>
  </w:style>
  <w:style w:type="paragraph" w:styleId="FootnoteText">
    <w:name w:val="footnote text"/>
    <w:basedOn w:val="Normal"/>
    <w:link w:val="FootnoteTextChar"/>
    <w:unhideWhenUsed/>
    <w:qFormat/>
    <w:rsid w:val="00D952E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D952E5"/>
    <w:rPr>
      <w:rFonts w:ascii="Calibri" w:eastAsia="Calibri" w:hAnsi="Calibri" w:cs="Times New Roman"/>
      <w:sz w:val="20"/>
      <w:szCs w:val="20"/>
      <w:lang w:val="en-GB" w:eastAsia="en-US"/>
    </w:rPr>
  </w:style>
  <w:style w:type="character" w:styleId="FootnoteReference">
    <w:name w:val="footnote reference"/>
    <w:basedOn w:val="DefaultParagraphFont"/>
    <w:unhideWhenUsed/>
    <w:qFormat/>
    <w:rsid w:val="00D952E5"/>
    <w:rPr>
      <w:vertAlign w:val="superscript"/>
    </w:rPr>
  </w:style>
  <w:style w:type="character" w:customStyle="1" w:styleId="ListParagraphChar">
    <w:name w:val="List Paragraph Char"/>
    <w:link w:val="ListParagraph"/>
    <w:uiPriority w:val="34"/>
    <w:locked/>
    <w:rsid w:val="00D952E5"/>
    <w:rPr>
      <w:rFonts w:ascii="Calibri" w:eastAsia="Calibri" w:hAnsi="Calibri" w:cs="Times New Roman"/>
      <w:lang w:val="en-GB" w:eastAsia="en-US"/>
    </w:rPr>
  </w:style>
  <w:style w:type="paragraph" w:customStyle="1" w:styleId="Default">
    <w:name w:val="Default"/>
    <w:rsid w:val="002F778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Heading2Char">
    <w:name w:val="Heading 2 Char"/>
    <w:basedOn w:val="DefaultParagraphFont"/>
    <w:link w:val="Heading2"/>
    <w:qFormat/>
    <w:rsid w:val="00456DCA"/>
    <w:rPr>
      <w:rFonts w:asciiTheme="majorHAnsi" w:eastAsiaTheme="majorEastAsia" w:hAnsiTheme="majorHAnsi" w:cstheme="majorBidi"/>
      <w:b/>
      <w:sz w:val="24"/>
      <w:szCs w:val="26"/>
      <w:lang w:val="en-GB" w:eastAsia="en-US"/>
    </w:rPr>
  </w:style>
  <w:style w:type="character" w:customStyle="1" w:styleId="Heading3Char">
    <w:name w:val="Heading 3 Char"/>
    <w:basedOn w:val="DefaultParagraphFont"/>
    <w:link w:val="Heading3"/>
    <w:qFormat/>
    <w:rsid w:val="00456DCA"/>
    <w:rPr>
      <w:rFonts w:asciiTheme="majorHAnsi" w:eastAsiaTheme="majorEastAsia" w:hAnsiTheme="majorHAnsi" w:cstheme="majorBidi"/>
      <w:bCs/>
      <w:i/>
      <w:sz w:val="24"/>
      <w:szCs w:val="26"/>
      <w:lang w:val="en-GB" w:eastAsia="en-US"/>
    </w:rPr>
  </w:style>
  <w:style w:type="character" w:customStyle="1" w:styleId="Heading1Char">
    <w:name w:val="Heading 1 Char"/>
    <w:basedOn w:val="DefaultParagraphFont"/>
    <w:link w:val="Heading1"/>
    <w:uiPriority w:val="9"/>
    <w:rsid w:val="00456DCA"/>
    <w:rPr>
      <w:rFonts w:asciiTheme="majorHAnsi" w:eastAsiaTheme="majorEastAsia" w:hAnsiTheme="majorHAnsi" w:cstheme="majorBidi"/>
      <w:color w:val="2E74B5" w:themeColor="accent1" w:themeShade="BF"/>
      <w:sz w:val="32"/>
      <w:szCs w:val="32"/>
      <w:lang w:val="en-GB" w:eastAsia="en-US"/>
    </w:rPr>
  </w:style>
  <w:style w:type="paragraph" w:styleId="Header">
    <w:name w:val="header"/>
    <w:basedOn w:val="Normal"/>
    <w:link w:val="HeaderChar"/>
    <w:uiPriority w:val="99"/>
    <w:unhideWhenUsed/>
    <w:rsid w:val="00D36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3A3"/>
    <w:rPr>
      <w:rFonts w:eastAsiaTheme="minorHAnsi"/>
      <w:lang w:val="en-GB" w:eastAsia="en-US"/>
    </w:rPr>
  </w:style>
  <w:style w:type="paragraph" w:styleId="Footer">
    <w:name w:val="footer"/>
    <w:basedOn w:val="Normal"/>
    <w:link w:val="FooterChar"/>
    <w:uiPriority w:val="99"/>
    <w:unhideWhenUsed/>
    <w:rsid w:val="00D36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A3"/>
    <w:rPr>
      <w:rFonts w:eastAsiaTheme="minorHAnsi"/>
      <w:lang w:val="en-GB" w:eastAsia="en-US"/>
    </w:rPr>
  </w:style>
  <w:style w:type="character" w:customStyle="1" w:styleId="fontstyle21">
    <w:name w:val="fontstyle21"/>
    <w:rsid w:val="005B1827"/>
    <w:rPr>
      <w:rFonts w:ascii="SegoeUI" w:hAnsi="SegoeUI" w:hint="default"/>
      <w:b w:val="0"/>
      <w:bCs w:val="0"/>
      <w:i w:val="0"/>
      <w:iCs w:val="0"/>
      <w:color w:val="000000"/>
      <w:sz w:val="22"/>
      <w:szCs w:val="22"/>
    </w:rPr>
  </w:style>
  <w:style w:type="paragraph" w:styleId="TOCHeading">
    <w:name w:val="TOC Heading"/>
    <w:basedOn w:val="Heading1"/>
    <w:next w:val="Normal"/>
    <w:uiPriority w:val="39"/>
    <w:unhideWhenUsed/>
    <w:qFormat/>
    <w:rsid w:val="005066A9"/>
    <w:pPr>
      <w:outlineLvl w:val="9"/>
    </w:pPr>
    <w:rPr>
      <w:lang w:val="en-US"/>
    </w:rPr>
  </w:style>
  <w:style w:type="paragraph" w:styleId="TOC1">
    <w:name w:val="toc 1"/>
    <w:basedOn w:val="Normal"/>
    <w:next w:val="Normal"/>
    <w:autoRedefine/>
    <w:uiPriority w:val="39"/>
    <w:unhideWhenUsed/>
    <w:rsid w:val="00F4635D"/>
    <w:pPr>
      <w:tabs>
        <w:tab w:val="right" w:leader="dot" w:pos="9442"/>
      </w:tabs>
      <w:spacing w:after="100"/>
      <w:jc w:val="both"/>
    </w:pPr>
    <w:rPr>
      <w:rFonts w:ascii="Century Gothic" w:hAnsi="Century Gothic"/>
      <w:b/>
      <w:noProof/>
      <w:color w:val="000000" w:themeColor="text1"/>
    </w:rPr>
  </w:style>
  <w:style w:type="paragraph" w:styleId="TOC2">
    <w:name w:val="toc 2"/>
    <w:basedOn w:val="Normal"/>
    <w:next w:val="Normal"/>
    <w:autoRedefine/>
    <w:uiPriority w:val="39"/>
    <w:unhideWhenUsed/>
    <w:rsid w:val="005066A9"/>
    <w:pPr>
      <w:spacing w:after="100"/>
      <w:ind w:left="220"/>
    </w:pPr>
  </w:style>
  <w:style w:type="character" w:styleId="Hyperlink">
    <w:name w:val="Hyperlink"/>
    <w:basedOn w:val="DefaultParagraphFont"/>
    <w:uiPriority w:val="99"/>
    <w:unhideWhenUsed/>
    <w:rsid w:val="005066A9"/>
    <w:rPr>
      <w:color w:val="0563C1" w:themeColor="hyperlink"/>
      <w:u w:val="single"/>
    </w:rPr>
  </w:style>
  <w:style w:type="paragraph" w:styleId="TOC3">
    <w:name w:val="toc 3"/>
    <w:basedOn w:val="Normal"/>
    <w:next w:val="Normal"/>
    <w:autoRedefine/>
    <w:uiPriority w:val="39"/>
    <w:unhideWhenUsed/>
    <w:rsid w:val="00ED7700"/>
    <w:pPr>
      <w:spacing w:after="100"/>
      <w:ind w:left="440"/>
    </w:pPr>
  </w:style>
  <w:style w:type="paragraph" w:styleId="NormalWeb">
    <w:name w:val="Normal (Web)"/>
    <w:basedOn w:val="Normal"/>
    <w:uiPriority w:val="99"/>
    <w:semiHidden/>
    <w:unhideWhenUsed/>
    <w:rsid w:val="00680907"/>
    <w:pPr>
      <w:spacing w:before="100" w:beforeAutospacing="1" w:after="100" w:afterAutospacing="1" w:line="240" w:lineRule="auto"/>
    </w:pPr>
    <w:rPr>
      <w:rFonts w:ascii="Times New Roman" w:eastAsia="Times New Roman" w:hAnsi="Times New Roman" w:cs="Times New Roman"/>
      <w:sz w:val="24"/>
      <w:szCs w:val="24"/>
      <w:lang w:val="ru-RU" w:eastAsia="zh-CN"/>
    </w:rPr>
  </w:style>
  <w:style w:type="character" w:customStyle="1" w:styleId="anchor-text">
    <w:name w:val="anchor-text"/>
    <w:basedOn w:val="DefaultParagraphFont"/>
    <w:rsid w:val="00680907"/>
  </w:style>
  <w:style w:type="character" w:styleId="Emphasis">
    <w:name w:val="Emphasis"/>
    <w:basedOn w:val="DefaultParagraphFont"/>
    <w:uiPriority w:val="20"/>
    <w:qFormat/>
    <w:rsid w:val="009B1CC2"/>
    <w:rPr>
      <w:i/>
      <w:iCs/>
    </w:rPr>
  </w:style>
  <w:style w:type="paragraph" w:customStyle="1" w:styleId="Biblio">
    <w:name w:val="Biblio"/>
    <w:qFormat/>
    <w:rsid w:val="00411CF7"/>
    <w:pPr>
      <w:suppressAutoHyphens/>
      <w:spacing w:after="120" w:line="240" w:lineRule="auto"/>
      <w:ind w:left="454" w:hanging="454"/>
      <w:jc w:val="both"/>
    </w:pPr>
    <w:rPr>
      <w:rFonts w:ascii="Garamond" w:eastAsiaTheme="minorHAnsi" w:hAnsi="Garamond"/>
      <w:lang w:val="en-GB" w:eastAsia="en-US"/>
    </w:rPr>
  </w:style>
  <w:style w:type="paragraph" w:styleId="Revision">
    <w:name w:val="Revision"/>
    <w:hidden/>
    <w:uiPriority w:val="99"/>
    <w:semiHidden/>
    <w:rsid w:val="00A844F4"/>
    <w:pPr>
      <w:spacing w:after="0" w:line="240" w:lineRule="auto"/>
    </w:pPr>
    <w:rPr>
      <w:rFonts w:eastAsiaTheme="minorHAnsi"/>
      <w:lang w:val="en-GB" w:eastAsia="en-US"/>
    </w:rPr>
  </w:style>
  <w:style w:type="character" w:styleId="CommentReference">
    <w:name w:val="annotation reference"/>
    <w:basedOn w:val="DefaultParagraphFont"/>
    <w:uiPriority w:val="99"/>
    <w:semiHidden/>
    <w:unhideWhenUsed/>
    <w:rsid w:val="00A844F4"/>
    <w:rPr>
      <w:sz w:val="16"/>
      <w:szCs w:val="16"/>
    </w:rPr>
  </w:style>
  <w:style w:type="paragraph" w:styleId="CommentText">
    <w:name w:val="annotation text"/>
    <w:basedOn w:val="Normal"/>
    <w:link w:val="CommentTextChar"/>
    <w:uiPriority w:val="99"/>
    <w:unhideWhenUsed/>
    <w:rsid w:val="00A844F4"/>
    <w:pPr>
      <w:spacing w:line="240" w:lineRule="auto"/>
    </w:pPr>
    <w:rPr>
      <w:sz w:val="20"/>
      <w:szCs w:val="20"/>
    </w:rPr>
  </w:style>
  <w:style w:type="character" w:customStyle="1" w:styleId="CommentTextChar">
    <w:name w:val="Comment Text Char"/>
    <w:basedOn w:val="DefaultParagraphFont"/>
    <w:link w:val="CommentText"/>
    <w:uiPriority w:val="99"/>
    <w:rsid w:val="00A844F4"/>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A844F4"/>
    <w:rPr>
      <w:b/>
      <w:bCs/>
    </w:rPr>
  </w:style>
  <w:style w:type="character" w:customStyle="1" w:styleId="CommentSubjectChar">
    <w:name w:val="Comment Subject Char"/>
    <w:basedOn w:val="CommentTextChar"/>
    <w:link w:val="CommentSubject"/>
    <w:uiPriority w:val="99"/>
    <w:semiHidden/>
    <w:rsid w:val="00A844F4"/>
    <w:rPr>
      <w:rFonts w:eastAsiaTheme="minorHAnsi"/>
      <w:b/>
      <w:bCs/>
      <w:sz w:val="20"/>
      <w:szCs w:val="20"/>
      <w:lang w:val="en-GB" w:eastAsia="en-US"/>
    </w:rPr>
  </w:style>
  <w:style w:type="paragraph" w:styleId="BalloonText">
    <w:name w:val="Balloon Text"/>
    <w:basedOn w:val="Normal"/>
    <w:link w:val="BalloonTextChar"/>
    <w:uiPriority w:val="99"/>
    <w:semiHidden/>
    <w:unhideWhenUsed/>
    <w:rsid w:val="00044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2BC"/>
    <w:rPr>
      <w:rFonts w:ascii="Segoe UI" w:eastAsiaTheme="minorHAnsi" w:hAnsi="Segoe UI" w:cs="Segoe UI"/>
      <w:sz w:val="18"/>
      <w:szCs w:val="18"/>
      <w:lang w:val="en-GB" w:eastAsia="en-US"/>
    </w:rPr>
  </w:style>
  <w:style w:type="character" w:styleId="FollowedHyperlink">
    <w:name w:val="FollowedHyperlink"/>
    <w:basedOn w:val="DefaultParagraphFont"/>
    <w:uiPriority w:val="99"/>
    <w:semiHidden/>
    <w:unhideWhenUsed/>
    <w:rsid w:val="008C28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8065">
      <w:bodyDiv w:val="1"/>
      <w:marLeft w:val="0"/>
      <w:marRight w:val="0"/>
      <w:marTop w:val="0"/>
      <w:marBottom w:val="0"/>
      <w:divBdr>
        <w:top w:val="none" w:sz="0" w:space="0" w:color="auto"/>
        <w:left w:val="none" w:sz="0" w:space="0" w:color="auto"/>
        <w:bottom w:val="none" w:sz="0" w:space="0" w:color="auto"/>
        <w:right w:val="none" w:sz="0" w:space="0" w:color="auto"/>
      </w:divBdr>
    </w:div>
    <w:div w:id="1137529005">
      <w:bodyDiv w:val="1"/>
      <w:marLeft w:val="0"/>
      <w:marRight w:val="0"/>
      <w:marTop w:val="0"/>
      <w:marBottom w:val="0"/>
      <w:divBdr>
        <w:top w:val="none" w:sz="0" w:space="0" w:color="auto"/>
        <w:left w:val="none" w:sz="0" w:space="0" w:color="auto"/>
        <w:bottom w:val="none" w:sz="0" w:space="0" w:color="auto"/>
        <w:right w:val="none" w:sz="0" w:space="0" w:color="auto"/>
      </w:divBdr>
      <w:divsChild>
        <w:div w:id="494105359">
          <w:marLeft w:val="0"/>
          <w:marRight w:val="0"/>
          <w:marTop w:val="0"/>
          <w:marBottom w:val="0"/>
          <w:divBdr>
            <w:top w:val="none" w:sz="0" w:space="0" w:color="auto"/>
            <w:left w:val="none" w:sz="0" w:space="0" w:color="auto"/>
            <w:bottom w:val="none" w:sz="0" w:space="0" w:color="auto"/>
            <w:right w:val="none" w:sz="0" w:space="0" w:color="auto"/>
          </w:divBdr>
          <w:divsChild>
            <w:div w:id="1784693811">
              <w:marLeft w:val="0"/>
              <w:marRight w:val="0"/>
              <w:marTop w:val="0"/>
              <w:marBottom w:val="0"/>
              <w:divBdr>
                <w:top w:val="none" w:sz="0" w:space="0" w:color="auto"/>
                <w:left w:val="none" w:sz="0" w:space="0" w:color="auto"/>
                <w:bottom w:val="none" w:sz="0" w:space="0" w:color="auto"/>
                <w:right w:val="none" w:sz="0" w:space="0" w:color="auto"/>
              </w:divBdr>
            </w:div>
            <w:div w:id="17703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1286">
      <w:bodyDiv w:val="1"/>
      <w:marLeft w:val="0"/>
      <w:marRight w:val="0"/>
      <w:marTop w:val="0"/>
      <w:marBottom w:val="0"/>
      <w:divBdr>
        <w:top w:val="none" w:sz="0" w:space="0" w:color="auto"/>
        <w:left w:val="none" w:sz="0" w:space="0" w:color="auto"/>
        <w:bottom w:val="none" w:sz="0" w:space="0" w:color="auto"/>
        <w:right w:val="none" w:sz="0" w:space="0" w:color="auto"/>
      </w:divBdr>
    </w:div>
    <w:div w:id="1248728466">
      <w:bodyDiv w:val="1"/>
      <w:marLeft w:val="0"/>
      <w:marRight w:val="0"/>
      <w:marTop w:val="0"/>
      <w:marBottom w:val="0"/>
      <w:divBdr>
        <w:top w:val="none" w:sz="0" w:space="0" w:color="auto"/>
        <w:left w:val="none" w:sz="0" w:space="0" w:color="auto"/>
        <w:bottom w:val="none" w:sz="0" w:space="0" w:color="auto"/>
        <w:right w:val="none" w:sz="0" w:space="0" w:color="auto"/>
      </w:divBdr>
      <w:divsChild>
        <w:div w:id="19628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yperlink" Target="https://www.pep-net.org/sambal-gpcema)" TargetMode="External"/><Relationship Id="rId47" Type="http://schemas.openxmlformats.org/officeDocument/2006/relationships/hyperlink" Target="http://dx.doi.org/10.1596/33543"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5.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hyperlink" Target="https://www.mof.go.tz/publications/budget-books-2022-202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yperlink" Target="https://www.empowerwomen.org/en/resources/documents/2016/10/effective-approaches-to-womens-economic-empowerment-in-agriculture?lang=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yperlink" Target="https://media.africaportal.org/documents/south_africa_1.pdf"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yperlink" Target="https://www.worldbank.org/en/results/2013/04/15/agriculture-results-profile" TargetMode="External"/><Relationship Id="rId20" Type="http://schemas.openxmlformats.org/officeDocument/2006/relationships/chart" Target="charts/chart6.xml"/><Relationship Id="rId41" Type="http://schemas.openxmlformats.org/officeDocument/2006/relationships/hyperlink" Target="https://www.fao.org/3/i6030e/i6030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empowerwomen.org/en/resources/documents/2016/10/effective-approaches-to-womens-economic-empowerment-in-agriculture?lang=en" TargetMode="External"/><Relationship Id="rId13" Type="http://schemas.openxmlformats.org/officeDocument/2006/relationships/hyperlink" Target="https://openknowledge.worldbank.org/server/api/core/bitstreams/2dc34f8e-4485-5fe8-bb58-cb98b7f17e54/content" TargetMode="External"/><Relationship Id="rId18" Type="http://schemas.openxmlformats.org/officeDocument/2006/relationships/hyperlink" Target="https://openknowledge.worldbank.org/server/api/core/bitstreams/2dc34f8e-4485-5fe8-bb58-cb98b7f17e54/content" TargetMode="External"/><Relationship Id="rId3" Type="http://schemas.openxmlformats.org/officeDocument/2006/relationships/hyperlink" Target="https://openknowledge.worldbank.org/server/api/core/bitstreams/2dc34f8e-4485-5fe8-bb58-cb98b7f17e54/content" TargetMode="External"/><Relationship Id="rId21" Type="http://schemas.openxmlformats.org/officeDocument/2006/relationships/hyperlink" Target="http://dx.doi.org/10.1596/33543" TargetMode="External"/><Relationship Id="rId7" Type="http://schemas.openxmlformats.org/officeDocument/2006/relationships/hyperlink" Target="https://www.fao.org/3/i6030e/i6030e.pdf" TargetMode="External"/><Relationship Id="rId12" Type="http://schemas.openxmlformats.org/officeDocument/2006/relationships/hyperlink" Target="https://documents1.worldbank.org/curated/en/099850002282226344/pdf/P174894034150b0080a42e081bd547a37b8.pdf" TargetMode="External"/><Relationship Id="rId17" Type="http://schemas.openxmlformats.org/officeDocument/2006/relationships/hyperlink" Target="https://openknowledge.worldbank.org/server/api/core/bitstreams/2dc34f8e-4485-5fe8-bb58-cb98b7f17e54/content" TargetMode="External"/><Relationship Id="rId2" Type="http://schemas.openxmlformats.org/officeDocument/2006/relationships/hyperlink" Target="https://www.un.org/en/ecosoc/phlntrpy/notes/clinton.pdf" TargetMode="External"/><Relationship Id="rId16" Type="http://schemas.openxmlformats.org/officeDocument/2006/relationships/hyperlink" Target="https://openknowledge.worldbank.org/server/api/core/bitstreams/2dc34f8e-4485-5fe8-bb58-cb98b7f17e54/content" TargetMode="External"/><Relationship Id="rId20" Type="http://schemas.openxmlformats.org/officeDocument/2006/relationships/hyperlink" Target="https://media.africaportal.org/documents/south_africa_1.pdf" TargetMode="External"/><Relationship Id="rId1" Type="http://schemas.openxmlformats.org/officeDocument/2006/relationships/hyperlink" Target="https://openknowledge.worldbank.org/server/api/core/bitstreams/2dc34f8e-4485-5fe8-bb58-cb98b7f17e54/content" TargetMode="External"/><Relationship Id="rId6" Type="http://schemas.openxmlformats.org/officeDocument/2006/relationships/hyperlink" Target="https://openknowledge.worldbank.org/server/api/core/bitstreams/2dc34f8e-4485-5fe8-bb58-cb98b7f17e54/content" TargetMode="External"/><Relationship Id="rId11" Type="http://schemas.openxmlformats.org/officeDocument/2006/relationships/hyperlink" Target="https://www.mof.go.tz/publications/budget-books-2022-2023" TargetMode="External"/><Relationship Id="rId5" Type="http://schemas.openxmlformats.org/officeDocument/2006/relationships/hyperlink" Target="https://www.fao.org/3/i6030e/i6030e.pdf" TargetMode="External"/><Relationship Id="rId15" Type="http://schemas.openxmlformats.org/officeDocument/2006/relationships/hyperlink" Target="https://blogs.worldbank.org/africacan/examining-relationship-between-women-empowerment-and-gender-based-violence-nigeria" TargetMode="External"/><Relationship Id="rId10" Type="http://schemas.openxmlformats.org/officeDocument/2006/relationships/hyperlink" Target="https://www.thecitizen.co.tz/tanzania/news/national/samia-launches-major-kilimo-campaign-today-3770694" TargetMode="External"/><Relationship Id="rId19" Type="http://schemas.openxmlformats.org/officeDocument/2006/relationships/hyperlink" Target="https://www.pep-net.org/sambal-gpcema)" TargetMode="External"/><Relationship Id="rId4" Type="http://schemas.openxmlformats.org/officeDocument/2006/relationships/hyperlink" Target="https://www.worldbank.org/en/results/2013/04/15/agriculture-results-profile" TargetMode="External"/><Relationship Id="rId9" Type="http://schemas.openxmlformats.org/officeDocument/2006/relationships/hyperlink" Target="https://openknowledge.worldbank.org/server/api/core/bitstreams/2dc34f8e-4485-5fe8-bb58-cb98b7f17e54/content" TargetMode="External"/><Relationship Id="rId14" Type="http://schemas.openxmlformats.org/officeDocument/2006/relationships/hyperlink" Target="https://www.un.org/en/ecosoc/phlntrpy/notes/clint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NDP-WOMEN-TNZ\UNDP-Women-2022\Charts-UNDP-REPORT-8032023%20(&#1040;&#1074;&#1090;&#1086;&#1089;&#1086;&#1093;&#1088;&#1072;&#1085;&#1077;&#1085;&#1085;&#1099;&#1081;).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istrator\Desktop\UNDP-WOMEN-TNZ\UNDP-WEE-REPORT\Charts-UNDP-REPORT-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Tanzania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Male</c:v>
                </c:pt>
                <c:pt idx="1">
                  <c:v>Female</c:v>
                </c:pt>
                <c:pt idx="2">
                  <c:v>Overall</c:v>
                </c:pt>
              </c:strCache>
            </c:strRef>
          </c:cat>
          <c:val>
            <c:numRef>
              <c:f>Sheet1!$B$4:$D$4</c:f>
              <c:numCache>
                <c:formatCode>General</c:formatCode>
                <c:ptCount val="3"/>
                <c:pt idx="0">
                  <c:v>87</c:v>
                </c:pt>
                <c:pt idx="1">
                  <c:v>80</c:v>
                </c:pt>
                <c:pt idx="2">
                  <c:v>83</c:v>
                </c:pt>
              </c:numCache>
            </c:numRef>
          </c:val>
          <c:extLst>
            <c:ext xmlns:c16="http://schemas.microsoft.com/office/drawing/2014/chart" uri="{C3380CC4-5D6E-409C-BE32-E72D297353CC}">
              <c16:uniqueId val="{00000000-23A6-4639-98BE-270E50860204}"/>
            </c:ext>
          </c:extLst>
        </c:ser>
        <c:ser>
          <c:idx val="1"/>
          <c:order val="1"/>
          <c:tx>
            <c:strRef>
              <c:f>Sheet1!$A$5</c:f>
              <c:strCache>
                <c:ptCount val="1"/>
                <c:pt idx="0">
                  <c:v>Sub-saharan Africa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Male</c:v>
                </c:pt>
                <c:pt idx="1">
                  <c:v>Female</c:v>
                </c:pt>
                <c:pt idx="2">
                  <c:v>Overall</c:v>
                </c:pt>
              </c:strCache>
            </c:strRef>
          </c:cat>
          <c:val>
            <c:numRef>
              <c:f>Sheet1!$B$5:$D$5</c:f>
              <c:numCache>
                <c:formatCode>General</c:formatCode>
                <c:ptCount val="3"/>
                <c:pt idx="0">
                  <c:v>73</c:v>
                </c:pt>
                <c:pt idx="1">
                  <c:v>63</c:v>
                </c:pt>
                <c:pt idx="2">
                  <c:v>68</c:v>
                </c:pt>
              </c:numCache>
            </c:numRef>
          </c:val>
          <c:extLst>
            <c:ext xmlns:c16="http://schemas.microsoft.com/office/drawing/2014/chart" uri="{C3380CC4-5D6E-409C-BE32-E72D297353CC}">
              <c16:uniqueId val="{00000001-23A6-4639-98BE-270E50860204}"/>
            </c:ext>
          </c:extLst>
        </c:ser>
        <c:ser>
          <c:idx val="2"/>
          <c:order val="2"/>
          <c:tx>
            <c:strRef>
              <c:f>Sheet1!$A$6</c:f>
              <c:strCache>
                <c:ptCount val="1"/>
                <c:pt idx="0">
                  <c:v>World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Male</c:v>
                </c:pt>
                <c:pt idx="1">
                  <c:v>Female</c:v>
                </c:pt>
                <c:pt idx="2">
                  <c:v>Overall</c:v>
                </c:pt>
              </c:strCache>
            </c:strRef>
          </c:cat>
          <c:val>
            <c:numRef>
              <c:f>Sheet1!$B$6:$D$6</c:f>
              <c:numCache>
                <c:formatCode>General</c:formatCode>
                <c:ptCount val="3"/>
                <c:pt idx="0">
                  <c:v>74</c:v>
                </c:pt>
                <c:pt idx="1">
                  <c:v>47</c:v>
                </c:pt>
                <c:pt idx="2">
                  <c:v>61</c:v>
                </c:pt>
              </c:numCache>
            </c:numRef>
          </c:val>
          <c:extLst>
            <c:ext xmlns:c16="http://schemas.microsoft.com/office/drawing/2014/chart" uri="{C3380CC4-5D6E-409C-BE32-E72D297353CC}">
              <c16:uniqueId val="{00000002-23A6-4639-98BE-270E50860204}"/>
            </c:ext>
          </c:extLst>
        </c:ser>
        <c:ser>
          <c:idx val="3"/>
          <c:order val="3"/>
          <c:tx>
            <c:strRef>
              <c:f>Sheet1!$A$7</c:f>
              <c:strCache>
                <c:ptCount val="1"/>
                <c:pt idx="0">
                  <c:v>World, lower-middle income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Male</c:v>
                </c:pt>
                <c:pt idx="1">
                  <c:v>Female</c:v>
                </c:pt>
                <c:pt idx="2">
                  <c:v>Overall</c:v>
                </c:pt>
              </c:strCache>
            </c:strRef>
          </c:cat>
          <c:val>
            <c:numRef>
              <c:f>Sheet1!$B$7:$D$7</c:f>
              <c:numCache>
                <c:formatCode>General</c:formatCode>
                <c:ptCount val="3"/>
                <c:pt idx="0">
                  <c:v>76</c:v>
                </c:pt>
                <c:pt idx="1">
                  <c:v>34</c:v>
                </c:pt>
                <c:pt idx="2">
                  <c:v>55</c:v>
                </c:pt>
              </c:numCache>
            </c:numRef>
          </c:val>
          <c:extLst>
            <c:ext xmlns:c16="http://schemas.microsoft.com/office/drawing/2014/chart" uri="{C3380CC4-5D6E-409C-BE32-E72D297353CC}">
              <c16:uniqueId val="{00000003-23A6-4639-98BE-270E50860204}"/>
            </c:ext>
          </c:extLst>
        </c:ser>
        <c:dLbls>
          <c:dLblPos val="outEnd"/>
          <c:showLegendKey val="0"/>
          <c:showVal val="1"/>
          <c:showCatName val="0"/>
          <c:showSerName val="0"/>
          <c:showPercent val="0"/>
          <c:showBubbleSize val="0"/>
        </c:dLbls>
        <c:gapWidth val="219"/>
        <c:overlap val="-27"/>
        <c:axId val="601099032"/>
        <c:axId val="601097072"/>
      </c:barChart>
      <c:catAx>
        <c:axId val="60109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7072"/>
        <c:crosses val="autoZero"/>
        <c:auto val="1"/>
        <c:lblAlgn val="ctr"/>
        <c:lblOffset val="100"/>
        <c:noMultiLvlLbl val="0"/>
      </c:catAx>
      <c:valAx>
        <c:axId val="60109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'Sim-BAU'!$E$253</c:f>
              <c:strCache>
                <c:ptCount val="1"/>
                <c:pt idx="0">
                  <c:v>2023</c:v>
                </c:pt>
              </c:strCache>
            </c:strRef>
          </c:tx>
          <c:spPr>
            <a:solidFill>
              <a:srgbClr val="00B050"/>
            </a:solidFill>
            <a:ln w="15875">
              <a:solidFill>
                <a:srgbClr val="00B050"/>
              </a:solidFill>
            </a:ln>
            <a:effectLst/>
          </c:spPr>
          <c:invertIfNegative val="0"/>
          <c:cat>
            <c:strRef>
              <c:f>'Sim-BAU'!$D$254:$D$270</c:f>
              <c:strCache>
                <c:ptCount val="17"/>
                <c:pt idx="0">
                  <c:v>Maize </c:v>
                </c:pt>
                <c:pt idx="1">
                  <c:v>Sorghum and millet</c:v>
                </c:pt>
                <c:pt idx="2">
                  <c:v>Rice </c:v>
                </c:pt>
                <c:pt idx="3">
                  <c:v>Wheat and barley</c:v>
                </c:pt>
                <c:pt idx="4">
                  <c:v>Pulses </c:v>
                </c:pt>
                <c:pt idx="5">
                  <c:v>Groundnuts</c:v>
                </c:pt>
                <c:pt idx="6">
                  <c:v>Other Oil seeds</c:v>
                </c:pt>
                <c:pt idx="7">
                  <c:v>Cassava </c:v>
                </c:pt>
                <c:pt idx="8">
                  <c:v>Other roots</c:v>
                </c:pt>
                <c:pt idx="9">
                  <c:v>Vegetables</c:v>
                </c:pt>
                <c:pt idx="10">
                  <c:v>Sugar cane</c:v>
                </c:pt>
                <c:pt idx="11">
                  <c:v>Cotton and fibre</c:v>
                </c:pt>
                <c:pt idx="12">
                  <c:v>Fruits and nuts</c:v>
                </c:pt>
                <c:pt idx="13">
                  <c:v>Cash crops</c:v>
                </c:pt>
                <c:pt idx="14">
                  <c:v>Tea leaves</c:v>
                </c:pt>
                <c:pt idx="15">
                  <c:v>Cut flowers</c:v>
                </c:pt>
                <c:pt idx="16">
                  <c:v>Other crops</c:v>
                </c:pt>
              </c:strCache>
            </c:strRef>
          </c:cat>
          <c:val>
            <c:numRef>
              <c:f>'Sim-BAU'!$E$254:$E$270</c:f>
              <c:numCache>
                <c:formatCode>General</c:formatCode>
                <c:ptCount val="17"/>
                <c:pt idx="0">
                  <c:v>-0.26327538710131382</c:v>
                </c:pt>
                <c:pt idx="1">
                  <c:v>-2.7641825014401711E-2</c:v>
                </c:pt>
                <c:pt idx="2">
                  <c:v>-0.99022998356959047</c:v>
                </c:pt>
                <c:pt idx="3">
                  <c:v>-2.1528029809796512</c:v>
                </c:pt>
                <c:pt idx="4">
                  <c:v>4.6816151683337637E-3</c:v>
                </c:pt>
                <c:pt idx="5">
                  <c:v>1.2303708971985516</c:v>
                </c:pt>
                <c:pt idx="6">
                  <c:v>-2.1120301042748202</c:v>
                </c:pt>
                <c:pt idx="7">
                  <c:v>-0.33356854394355206</c:v>
                </c:pt>
                <c:pt idx="8">
                  <c:v>0.13711519407364481</c:v>
                </c:pt>
                <c:pt idx="9">
                  <c:v>-1.305112426744548</c:v>
                </c:pt>
                <c:pt idx="10">
                  <c:v>-1.3723864551786535</c:v>
                </c:pt>
                <c:pt idx="11">
                  <c:v>-3.2395706034284655</c:v>
                </c:pt>
                <c:pt idx="12">
                  <c:v>0.16769145202362168</c:v>
                </c:pt>
                <c:pt idx="13">
                  <c:v>-2.1342730698813983</c:v>
                </c:pt>
                <c:pt idx="14">
                  <c:v>-2.6531950595779064</c:v>
                </c:pt>
                <c:pt idx="15">
                  <c:v>-0.56829537191919188</c:v>
                </c:pt>
                <c:pt idx="16">
                  <c:v>-0.72681124054422286</c:v>
                </c:pt>
              </c:numCache>
            </c:numRef>
          </c:val>
          <c:extLst>
            <c:ext xmlns:c16="http://schemas.microsoft.com/office/drawing/2014/chart" uri="{C3380CC4-5D6E-409C-BE32-E72D297353CC}">
              <c16:uniqueId val="{00000000-5F73-45E0-B6FD-41F7BF3DE323}"/>
            </c:ext>
          </c:extLst>
        </c:ser>
        <c:ser>
          <c:idx val="1"/>
          <c:order val="1"/>
          <c:tx>
            <c:strRef>
              <c:f>'Sim-BAU'!$F$253</c:f>
              <c:strCache>
                <c:ptCount val="1"/>
                <c:pt idx="0">
                  <c:v>2025</c:v>
                </c:pt>
              </c:strCache>
            </c:strRef>
          </c:tx>
          <c:spPr>
            <a:solidFill>
              <a:srgbClr val="C00000"/>
            </a:solidFill>
            <a:ln w="15875">
              <a:solidFill>
                <a:srgbClr val="C00000"/>
              </a:solidFill>
            </a:ln>
            <a:effectLst/>
          </c:spPr>
          <c:invertIfNegative val="0"/>
          <c:cat>
            <c:strRef>
              <c:f>'Sim-BAU'!$D$254:$D$270</c:f>
              <c:strCache>
                <c:ptCount val="17"/>
                <c:pt idx="0">
                  <c:v>Maize </c:v>
                </c:pt>
                <c:pt idx="1">
                  <c:v>Sorghum and millet</c:v>
                </c:pt>
                <c:pt idx="2">
                  <c:v>Rice </c:v>
                </c:pt>
                <c:pt idx="3">
                  <c:v>Wheat and barley</c:v>
                </c:pt>
                <c:pt idx="4">
                  <c:v>Pulses </c:v>
                </c:pt>
                <c:pt idx="5">
                  <c:v>Groundnuts</c:v>
                </c:pt>
                <c:pt idx="6">
                  <c:v>Other Oil seeds</c:v>
                </c:pt>
                <c:pt idx="7">
                  <c:v>Cassava </c:v>
                </c:pt>
                <c:pt idx="8">
                  <c:v>Other roots</c:v>
                </c:pt>
                <c:pt idx="9">
                  <c:v>Vegetables</c:v>
                </c:pt>
                <c:pt idx="10">
                  <c:v>Sugar cane</c:v>
                </c:pt>
                <c:pt idx="11">
                  <c:v>Cotton and fibre</c:v>
                </c:pt>
                <c:pt idx="12">
                  <c:v>Fruits and nuts</c:v>
                </c:pt>
                <c:pt idx="13">
                  <c:v>Cash crops</c:v>
                </c:pt>
                <c:pt idx="14">
                  <c:v>Tea leaves</c:v>
                </c:pt>
                <c:pt idx="15">
                  <c:v>Cut flowers</c:v>
                </c:pt>
                <c:pt idx="16">
                  <c:v>Other crops</c:v>
                </c:pt>
              </c:strCache>
            </c:strRef>
          </c:cat>
          <c:val>
            <c:numRef>
              <c:f>'Sim-BAU'!$F$254:$F$270</c:f>
              <c:numCache>
                <c:formatCode>General</c:formatCode>
                <c:ptCount val="17"/>
                <c:pt idx="0">
                  <c:v>-0.52197961662604486</c:v>
                </c:pt>
                <c:pt idx="1">
                  <c:v>-0.47444403219575326</c:v>
                </c:pt>
                <c:pt idx="2">
                  <c:v>-1.0124062925885857</c:v>
                </c:pt>
                <c:pt idx="3">
                  <c:v>-2.2622722913210991</c:v>
                </c:pt>
                <c:pt idx="4">
                  <c:v>-3.9381876510413694E-2</c:v>
                </c:pt>
                <c:pt idx="5">
                  <c:v>1.1339741980273876</c:v>
                </c:pt>
                <c:pt idx="6">
                  <c:v>-2.3699097734398267</c:v>
                </c:pt>
                <c:pt idx="7">
                  <c:v>-0.38018481723802733</c:v>
                </c:pt>
                <c:pt idx="8">
                  <c:v>8.673753588548383E-2</c:v>
                </c:pt>
                <c:pt idx="9">
                  <c:v>-1.3194951533630594</c:v>
                </c:pt>
                <c:pt idx="10">
                  <c:v>-1.7008796647256075</c:v>
                </c:pt>
                <c:pt idx="11">
                  <c:v>-3.1215903308160708</c:v>
                </c:pt>
                <c:pt idx="12">
                  <c:v>0.10464175614082194</c:v>
                </c:pt>
                <c:pt idx="13">
                  <c:v>-2.3476351215368396</c:v>
                </c:pt>
                <c:pt idx="14">
                  <c:v>-2.6081073829950618</c:v>
                </c:pt>
                <c:pt idx="15">
                  <c:v>-0.60761901064473323</c:v>
                </c:pt>
                <c:pt idx="16">
                  <c:v>-0.74478486923178489</c:v>
                </c:pt>
              </c:numCache>
            </c:numRef>
          </c:val>
          <c:extLst>
            <c:ext xmlns:c16="http://schemas.microsoft.com/office/drawing/2014/chart" uri="{C3380CC4-5D6E-409C-BE32-E72D297353CC}">
              <c16:uniqueId val="{00000001-5F73-45E0-B6FD-41F7BF3DE323}"/>
            </c:ext>
          </c:extLst>
        </c:ser>
        <c:dLbls>
          <c:showLegendKey val="0"/>
          <c:showVal val="0"/>
          <c:showCatName val="0"/>
          <c:showSerName val="0"/>
          <c:showPercent val="0"/>
          <c:showBubbleSize val="0"/>
        </c:dLbls>
        <c:gapWidth val="219"/>
        <c:overlap val="-27"/>
        <c:axId val="520405816"/>
        <c:axId val="520405424"/>
      </c:barChart>
      <c:lineChart>
        <c:grouping val="standard"/>
        <c:varyColors val="0"/>
        <c:ser>
          <c:idx val="2"/>
          <c:order val="2"/>
          <c:tx>
            <c:strRef>
              <c:f>'Sim-BAU'!$G$253</c:f>
              <c:strCache>
                <c:ptCount val="1"/>
                <c:pt idx="0">
                  <c:v>2030</c:v>
                </c:pt>
              </c:strCache>
            </c:strRef>
          </c:tx>
          <c:spPr>
            <a:ln w="22225" cap="rnd">
              <a:solidFill>
                <a:srgbClr val="00B0F0"/>
              </a:solidFill>
              <a:round/>
            </a:ln>
            <a:effectLst/>
          </c:spPr>
          <c:marker>
            <c:symbol val="none"/>
          </c:marker>
          <c:cat>
            <c:strRef>
              <c:f>'Sim-BAU'!$D$254:$D$270</c:f>
              <c:strCache>
                <c:ptCount val="17"/>
                <c:pt idx="0">
                  <c:v>Maize </c:v>
                </c:pt>
                <c:pt idx="1">
                  <c:v>Sorghum and millet</c:v>
                </c:pt>
                <c:pt idx="2">
                  <c:v>Rice </c:v>
                </c:pt>
                <c:pt idx="3">
                  <c:v>Wheat and barley</c:v>
                </c:pt>
                <c:pt idx="4">
                  <c:v>Pulses </c:v>
                </c:pt>
                <c:pt idx="5">
                  <c:v>Groundnuts</c:v>
                </c:pt>
                <c:pt idx="6">
                  <c:v>Other Oil seeds</c:v>
                </c:pt>
                <c:pt idx="7">
                  <c:v>Cassava </c:v>
                </c:pt>
                <c:pt idx="8">
                  <c:v>Other roots</c:v>
                </c:pt>
                <c:pt idx="9">
                  <c:v>Vegetables</c:v>
                </c:pt>
                <c:pt idx="10">
                  <c:v>Sugar cane</c:v>
                </c:pt>
                <c:pt idx="11">
                  <c:v>Cotton and fibre</c:v>
                </c:pt>
                <c:pt idx="12">
                  <c:v>Fruits and nuts</c:v>
                </c:pt>
                <c:pt idx="13">
                  <c:v>Cash crops</c:v>
                </c:pt>
                <c:pt idx="14">
                  <c:v>Tea leaves</c:v>
                </c:pt>
                <c:pt idx="15">
                  <c:v>Cut flowers</c:v>
                </c:pt>
                <c:pt idx="16">
                  <c:v>Other crops</c:v>
                </c:pt>
              </c:strCache>
            </c:strRef>
          </c:cat>
          <c:val>
            <c:numRef>
              <c:f>'Sim-BAU'!$G$254:$G$270</c:f>
              <c:numCache>
                <c:formatCode>General</c:formatCode>
                <c:ptCount val="17"/>
                <c:pt idx="0">
                  <c:v>-0.87329496695485176</c:v>
                </c:pt>
                <c:pt idx="1">
                  <c:v>-1.1192825835355413</c:v>
                </c:pt>
                <c:pt idx="2">
                  <c:v>-0.94038122287704029</c:v>
                </c:pt>
                <c:pt idx="3">
                  <c:v>-2.3941598666287867</c:v>
                </c:pt>
                <c:pt idx="4">
                  <c:v>-8.4894803703217114E-2</c:v>
                </c:pt>
                <c:pt idx="5">
                  <c:v>1.0126873731472807</c:v>
                </c:pt>
                <c:pt idx="6">
                  <c:v>-2.7228499064423817</c:v>
                </c:pt>
                <c:pt idx="7">
                  <c:v>-0.45114016161312831</c:v>
                </c:pt>
                <c:pt idx="8">
                  <c:v>8.5353442069946439E-3</c:v>
                </c:pt>
                <c:pt idx="9">
                  <c:v>-1.3082731488008648</c:v>
                </c:pt>
                <c:pt idx="10">
                  <c:v>-1.9576699947622123</c:v>
                </c:pt>
                <c:pt idx="11">
                  <c:v>-2.9203977271174963</c:v>
                </c:pt>
                <c:pt idx="12">
                  <c:v>3.4220647245675195E-2</c:v>
                </c:pt>
                <c:pt idx="13">
                  <c:v>-2.6302969388193209</c:v>
                </c:pt>
                <c:pt idx="14">
                  <c:v>-2.5019942755177493</c:v>
                </c:pt>
                <c:pt idx="15">
                  <c:v>-0.67090731337563492</c:v>
                </c:pt>
                <c:pt idx="16">
                  <c:v>-0.77395093893503075</c:v>
                </c:pt>
              </c:numCache>
            </c:numRef>
          </c:val>
          <c:smooth val="0"/>
          <c:extLst>
            <c:ext xmlns:c16="http://schemas.microsoft.com/office/drawing/2014/chart" uri="{C3380CC4-5D6E-409C-BE32-E72D297353CC}">
              <c16:uniqueId val="{00000002-5F73-45E0-B6FD-41F7BF3DE323}"/>
            </c:ext>
          </c:extLst>
        </c:ser>
        <c:dLbls>
          <c:showLegendKey val="0"/>
          <c:showVal val="0"/>
          <c:showCatName val="0"/>
          <c:showSerName val="0"/>
          <c:showPercent val="0"/>
          <c:showBubbleSize val="0"/>
        </c:dLbls>
        <c:marker val="1"/>
        <c:smooth val="0"/>
        <c:axId val="520409736"/>
        <c:axId val="520403464"/>
      </c:lineChart>
      <c:catAx>
        <c:axId val="52040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5424"/>
        <c:crosses val="autoZero"/>
        <c:auto val="1"/>
        <c:lblAlgn val="ctr"/>
        <c:lblOffset val="100"/>
        <c:noMultiLvlLbl val="0"/>
      </c:catAx>
      <c:valAx>
        <c:axId val="52040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5816"/>
        <c:crosses val="autoZero"/>
        <c:crossBetween val="between"/>
      </c:valAx>
      <c:valAx>
        <c:axId val="5204034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9736"/>
        <c:crosses val="max"/>
        <c:crossBetween val="between"/>
      </c:valAx>
      <c:catAx>
        <c:axId val="520409736"/>
        <c:scaling>
          <c:orientation val="minMax"/>
        </c:scaling>
        <c:delete val="1"/>
        <c:axPos val="b"/>
        <c:numFmt formatCode="General" sourceLinked="1"/>
        <c:majorTickMark val="out"/>
        <c:minorTickMark val="none"/>
        <c:tickLblPos val="nextTo"/>
        <c:crossAx val="520403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'Sim-BAU'!$B$118</c:f>
              <c:strCache>
                <c:ptCount val="1"/>
                <c:pt idx="0">
                  <c:v>Capital income</c:v>
                </c:pt>
              </c:strCache>
            </c:strRef>
          </c:tx>
          <c:spPr>
            <a:solidFill>
              <a:schemeClr val="accent6"/>
            </a:solidFill>
            <a:ln>
              <a:noFill/>
            </a:ln>
            <a:effectLst/>
          </c:spPr>
          <c:invertIfNegative val="0"/>
          <c:dLbls>
            <c:dLbl>
              <c:idx val="6"/>
              <c:layout>
                <c:manualLayout>
                  <c:x val="7.0825271576390926E-17"/>
                  <c:y val="0.179404377466810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B3-4190-B88D-74DFB210C3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'Sim-BAU'!$C$117:$M$117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'Sim-BAU'!$C$118:$M$118</c:f>
              <c:numCache>
                <c:formatCode>0.00</c:formatCode>
                <c:ptCount val="11"/>
                <c:pt idx="0">
                  <c:v>0.60999521175828519</c:v>
                </c:pt>
                <c:pt idx="1">
                  <c:v>0.42472047217594344</c:v>
                </c:pt>
                <c:pt idx="2">
                  <c:v>0.29126348830268434</c:v>
                </c:pt>
                <c:pt idx="3">
                  <c:v>0.18489507420740292</c:v>
                </c:pt>
                <c:pt idx="4">
                  <c:v>9.4790906139818887E-2</c:v>
                </c:pt>
                <c:pt idx="5">
                  <c:v>1.6454202287929931E-2</c:v>
                </c:pt>
                <c:pt idx="6">
                  <c:v>-5.2446279576601196E-2</c:v>
                </c:pt>
                <c:pt idx="7">
                  <c:v>-0.11346107470079358</c:v>
                </c:pt>
                <c:pt idx="8">
                  <c:v>-0.16778085825284172</c:v>
                </c:pt>
                <c:pt idx="9">
                  <c:v>-0.2163760991374053</c:v>
                </c:pt>
                <c:pt idx="10">
                  <c:v>-0.26005558987459709</c:v>
                </c:pt>
              </c:numCache>
            </c:numRef>
          </c:val>
          <c:extLst>
            <c:ext xmlns:c16="http://schemas.microsoft.com/office/drawing/2014/chart" uri="{C3380CC4-5D6E-409C-BE32-E72D297353CC}">
              <c16:uniqueId val="{00000001-BFB3-4190-B88D-74DFB210C3B7}"/>
            </c:ext>
          </c:extLst>
        </c:ser>
        <c:dLbls>
          <c:showLegendKey val="0"/>
          <c:showVal val="0"/>
          <c:showCatName val="0"/>
          <c:showSerName val="0"/>
          <c:showPercent val="0"/>
          <c:showBubbleSize val="0"/>
        </c:dLbls>
        <c:gapWidth val="219"/>
        <c:overlap val="-27"/>
        <c:axId val="520406208"/>
        <c:axId val="520404248"/>
      </c:barChart>
      <c:catAx>
        <c:axId val="5204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4248"/>
        <c:crosses val="autoZero"/>
        <c:auto val="1"/>
        <c:lblAlgn val="ctr"/>
        <c:lblOffset val="100"/>
        <c:noMultiLvlLbl val="0"/>
      </c:catAx>
      <c:valAx>
        <c:axId val="520404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6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'Sim-BAU'!$B$111</c:f>
              <c:strCache>
                <c:ptCount val="1"/>
                <c:pt idx="0">
                  <c:v>Labour income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'Sim-BAU'!$C$110:$M$110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'Sim-BAU'!$C$111:$M$111</c:f>
              <c:numCache>
                <c:formatCode>0.00</c:formatCode>
                <c:ptCount val="11"/>
                <c:pt idx="0">
                  <c:v>-0.65567764873085876</c:v>
                </c:pt>
                <c:pt idx="1">
                  <c:v>-0.6622962384314357</c:v>
                </c:pt>
                <c:pt idx="2">
                  <c:v>-0.65539999999999998</c:v>
                </c:pt>
                <c:pt idx="3">
                  <c:v>-0.63735406907655845</c:v>
                </c:pt>
                <c:pt idx="4">
                  <c:v>-0.64248544602309232</c:v>
                </c:pt>
                <c:pt idx="5">
                  <c:v>-0.6321</c:v>
                </c:pt>
                <c:pt idx="6">
                  <c:v>-0.61666113413649448</c:v>
                </c:pt>
                <c:pt idx="7">
                  <c:v>-0.62102361072337642</c:v>
                </c:pt>
                <c:pt idx="8">
                  <c:v>-0.60109999999999997</c:v>
                </c:pt>
                <c:pt idx="9">
                  <c:v>-0.59422285262376418</c:v>
                </c:pt>
                <c:pt idx="10">
                  <c:v>-0.59801482098576786</c:v>
                </c:pt>
              </c:numCache>
            </c:numRef>
          </c:val>
          <c:extLst>
            <c:ext xmlns:c16="http://schemas.microsoft.com/office/drawing/2014/chart" uri="{C3380CC4-5D6E-409C-BE32-E72D297353CC}">
              <c16:uniqueId val="{00000000-441E-4431-953E-C261ED15EAE5}"/>
            </c:ext>
          </c:extLst>
        </c:ser>
        <c:dLbls>
          <c:showLegendKey val="0"/>
          <c:showVal val="0"/>
          <c:showCatName val="0"/>
          <c:showSerName val="0"/>
          <c:showPercent val="0"/>
          <c:showBubbleSize val="0"/>
        </c:dLbls>
        <c:gapWidth val="219"/>
        <c:overlap val="-27"/>
        <c:axId val="520405032"/>
        <c:axId val="520407384"/>
      </c:barChart>
      <c:catAx>
        <c:axId val="5204050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7384"/>
        <c:crosses val="autoZero"/>
        <c:auto val="1"/>
        <c:lblAlgn val="ctr"/>
        <c:lblOffset val="100"/>
        <c:noMultiLvlLbl val="0"/>
      </c:catAx>
      <c:valAx>
        <c:axId val="520407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05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83814523184616E-2"/>
          <c:y val="5.0925925925925923E-2"/>
          <c:w val="0.88890507436570432"/>
          <c:h val="0.89814814814814814"/>
        </c:manualLayout>
      </c:layout>
      <c:barChart>
        <c:barDir val="col"/>
        <c:grouping val="clustered"/>
        <c:varyColors val="0"/>
        <c:ser>
          <c:idx val="0"/>
          <c:order val="0"/>
          <c:tx>
            <c:strRef>
              <c:f>'Sim-BAU'!$B$132</c:f>
              <c:strCache>
                <c:ptCount val="1"/>
                <c:pt idx="0">
                  <c:v>Total income</c:v>
                </c:pt>
              </c:strCache>
            </c:strRef>
          </c:tx>
          <c:spPr>
            <a:solidFill>
              <a:srgbClr val="C00000"/>
            </a:solidFill>
            <a:ln>
              <a:noFill/>
            </a:ln>
            <a:effectLst/>
          </c:spPr>
          <c:invertIfNegative val="0"/>
          <c:cat>
            <c:numRef>
              <c:f>'Sim-BAU'!$C$131:$M$131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'Sim-BAU'!$D$132:$M$132</c:f>
              <c:numCache>
                <c:formatCode>0.000</c:formatCode>
                <c:ptCount val="10"/>
                <c:pt idx="0">
                  <c:v>-0.65741054381300723</c:v>
                </c:pt>
                <c:pt idx="1">
                  <c:v>-0.65782081950853444</c:v>
                </c:pt>
                <c:pt idx="2">
                  <c:v>-0.65816831714437873</c:v>
                </c:pt>
                <c:pt idx="3">
                  <c:v>-0.65846619609777945</c:v>
                </c:pt>
                <c:pt idx="4">
                  <c:v>-0.65872256896578285</c:v>
                </c:pt>
                <c:pt idx="5">
                  <c:v>-0.65894343309404779</c:v>
                </c:pt>
                <c:pt idx="6">
                  <c:v>-0.65913368407148221</c:v>
                </c:pt>
                <c:pt idx="7">
                  <c:v>-0.65929747477506251</c:v>
                </c:pt>
                <c:pt idx="8">
                  <c:v>-0.65943837621640489</c:v>
                </c:pt>
                <c:pt idx="9">
                  <c:v>-0.65955947409734883</c:v>
                </c:pt>
              </c:numCache>
            </c:numRef>
          </c:val>
          <c:extLst>
            <c:ext xmlns:c16="http://schemas.microsoft.com/office/drawing/2014/chart" uri="{C3380CC4-5D6E-409C-BE32-E72D297353CC}">
              <c16:uniqueId val="{00000000-4066-4D48-A4E0-BD8569555579}"/>
            </c:ext>
          </c:extLst>
        </c:ser>
        <c:dLbls>
          <c:showLegendKey val="0"/>
          <c:showVal val="0"/>
          <c:showCatName val="0"/>
          <c:showSerName val="0"/>
          <c:showPercent val="0"/>
          <c:showBubbleSize val="0"/>
        </c:dLbls>
        <c:gapWidth val="219"/>
        <c:overlap val="-27"/>
        <c:axId val="520408560"/>
        <c:axId val="520408952"/>
      </c:barChart>
      <c:catAx>
        <c:axId val="52040856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408952"/>
        <c:crosses val="autoZero"/>
        <c:auto val="1"/>
        <c:lblAlgn val="ctr"/>
        <c:lblOffset val="100"/>
        <c:noMultiLvlLbl val="0"/>
      </c:catAx>
      <c:valAx>
        <c:axId val="52040895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408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percentStacked"/>
        <c:varyColors val="0"/>
        <c:ser>
          <c:idx val="0"/>
          <c:order val="0"/>
          <c:tx>
            <c:strRef>
              <c:f>'Sim-BAU'!$B$152</c:f>
              <c:strCache>
                <c:ptCount val="1"/>
                <c:pt idx="0">
                  <c:v>Consumption budget of household</c:v>
                </c:pt>
              </c:strCache>
            </c:strRef>
          </c:tx>
          <c:spPr>
            <a:ln w="22225" cap="rnd">
              <a:solidFill>
                <a:srgbClr val="00B050"/>
              </a:solidFill>
              <a:round/>
            </a:ln>
            <a:effectLst/>
          </c:spPr>
          <c:marker>
            <c:symbol val="none"/>
          </c:marker>
          <c:cat>
            <c:numRef>
              <c:f>'Sim-BAU'!$C$151:$M$151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'Sim-BAU'!$C$152:$M$152</c:f>
              <c:numCache>
                <c:formatCode>General</c:formatCode>
                <c:ptCount val="11"/>
                <c:pt idx="0">
                  <c:v>3.2690361370241172</c:v>
                </c:pt>
                <c:pt idx="1">
                  <c:v>3.1194263122847898</c:v>
                </c:pt>
                <c:pt idx="2">
                  <c:v>2.9959333279311107</c:v>
                </c:pt>
                <c:pt idx="3">
                  <c:v>2.8913365395419666</c:v>
                </c:pt>
                <c:pt idx="4">
                  <c:v>2.8016749745683356</c:v>
                </c:pt>
                <c:pt idx="5">
                  <c:v>2.7245067412993151</c:v>
                </c:pt>
                <c:pt idx="6">
                  <c:v>2.6580266386915907</c:v>
                </c:pt>
                <c:pt idx="7">
                  <c:v>2.6007610944838833</c:v>
                </c:pt>
                <c:pt idx="8">
                  <c:v>2.5514600927061482</c:v>
                </c:pt>
                <c:pt idx="9">
                  <c:v>2.5090487588621091</c:v>
                </c:pt>
                <c:pt idx="10">
                  <c:v>2.4725982966979476</c:v>
                </c:pt>
              </c:numCache>
            </c:numRef>
          </c:val>
          <c:smooth val="0"/>
          <c:extLst>
            <c:ext xmlns:c16="http://schemas.microsoft.com/office/drawing/2014/chart" uri="{C3380CC4-5D6E-409C-BE32-E72D297353CC}">
              <c16:uniqueId val="{00000000-989E-429F-A468-3D8A7B86E39E}"/>
            </c:ext>
          </c:extLst>
        </c:ser>
        <c:ser>
          <c:idx val="1"/>
          <c:order val="1"/>
          <c:tx>
            <c:strRef>
              <c:f>'Sim-BAU'!$B$153</c:f>
              <c:strCache>
                <c:ptCount val="1"/>
                <c:pt idx="0">
                  <c:v>Real consumption budget of household</c:v>
                </c:pt>
              </c:strCache>
            </c:strRef>
          </c:tx>
          <c:spPr>
            <a:ln w="19050" cap="rnd">
              <a:solidFill>
                <a:srgbClr val="C00000"/>
              </a:solidFill>
              <a:round/>
            </a:ln>
            <a:effectLst/>
          </c:spPr>
          <c:marker>
            <c:symbol val="none"/>
          </c:marker>
          <c:cat>
            <c:numRef>
              <c:f>'Sim-BAU'!$C$151:$M$151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'Sim-BAU'!$C$153:$M$153</c:f>
              <c:numCache>
                <c:formatCode>General</c:formatCode>
                <c:ptCount val="11"/>
                <c:pt idx="0">
                  <c:v>0.21315130705577001</c:v>
                </c:pt>
                <c:pt idx="1">
                  <c:v>6.6063804034932616E-2</c:v>
                </c:pt>
                <c:pt idx="2">
                  <c:v>-4.8177996461684636E-2</c:v>
                </c:pt>
                <c:pt idx="3">
                  <c:v>-0.1438537935530726</c:v>
                </c:pt>
                <c:pt idx="4">
                  <c:v>-0.22747385622081673</c:v>
                </c:pt>
                <c:pt idx="5">
                  <c:v>-0.30191661713255824</c:v>
                </c:pt>
                <c:pt idx="6">
                  <c:v>-0.36878493448010419</c:v>
                </c:pt>
                <c:pt idx="7">
                  <c:v>-0.42919752098509178</c:v>
                </c:pt>
                <c:pt idx="8">
                  <c:v>-0.48403383727937399</c:v>
                </c:pt>
                <c:pt idx="9">
                  <c:v>-0.5340191634371938</c:v>
                </c:pt>
                <c:pt idx="10">
                  <c:v>-0.57976294942777562</c:v>
                </c:pt>
              </c:numCache>
            </c:numRef>
          </c:val>
          <c:smooth val="0"/>
          <c:extLst>
            <c:ext xmlns:c16="http://schemas.microsoft.com/office/drawing/2014/chart" uri="{C3380CC4-5D6E-409C-BE32-E72D297353CC}">
              <c16:uniqueId val="{00000001-989E-429F-A468-3D8A7B86E39E}"/>
            </c:ext>
          </c:extLst>
        </c:ser>
        <c:dLbls>
          <c:showLegendKey val="0"/>
          <c:showVal val="0"/>
          <c:showCatName val="0"/>
          <c:showSerName val="0"/>
          <c:showPercent val="0"/>
          <c:showBubbleSize val="0"/>
        </c:dLbls>
        <c:smooth val="0"/>
        <c:axId val="394101032"/>
        <c:axId val="394105736"/>
      </c:lineChart>
      <c:catAx>
        <c:axId val="39410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394105736"/>
        <c:crosses val="autoZero"/>
        <c:auto val="1"/>
        <c:lblAlgn val="ctr"/>
        <c:lblOffset val="100"/>
        <c:noMultiLvlLbl val="0"/>
      </c:catAx>
      <c:valAx>
        <c:axId val="39410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39410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sz="1000">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'Sim-land'!$C$64</c:f>
              <c:strCache>
                <c:ptCount val="1"/>
                <c:pt idx="0">
                  <c:v>sim</c:v>
                </c:pt>
              </c:strCache>
            </c:strRef>
          </c:tx>
          <c:spPr>
            <a:solidFill>
              <a:srgbClr val="92D050"/>
            </a:solidFill>
            <a:ln w="34925">
              <a:solidFill>
                <a:srgbClr val="92D050"/>
              </a:solidFill>
              <a:prstDash val="solid"/>
            </a:ln>
            <a:effectLst/>
          </c:spPr>
          <c:invertIfNegative val="0"/>
          <c:trendline>
            <c:spPr>
              <a:ln w="19050" cap="rnd">
                <a:solidFill>
                  <a:srgbClr val="FF0000"/>
                </a:solidFill>
                <a:prstDash val="sysDot"/>
              </a:ln>
              <a:effectLst/>
            </c:spPr>
            <c:trendlineType val="poly"/>
            <c:order val="2"/>
            <c:dispRSqr val="0"/>
            <c:dispEq val="0"/>
          </c:trendline>
          <c:cat>
            <c:strRef>
              <c:f>'Sim-land'!$B$65:$B$98</c:f>
              <c:strCache>
                <c:ptCount val="34"/>
                <c:pt idx="0">
                  <c:v>Maize </c:v>
                </c:pt>
                <c:pt idx="1">
                  <c:v>Sorghum and millet</c:v>
                </c:pt>
                <c:pt idx="2">
                  <c:v>Rice </c:v>
                </c:pt>
                <c:pt idx="3">
                  <c:v>Wheat and barley</c:v>
                </c:pt>
                <c:pt idx="4">
                  <c:v>Pulses </c:v>
                </c:pt>
                <c:pt idx="5">
                  <c:v>Other Oil seeds</c:v>
                </c:pt>
                <c:pt idx="6">
                  <c:v>Cassava </c:v>
                </c:pt>
                <c:pt idx="7">
                  <c:v>Other roots</c:v>
                </c:pt>
                <c:pt idx="8">
                  <c:v>Vegetables</c:v>
                </c:pt>
                <c:pt idx="9">
                  <c:v>Sugar cane</c:v>
                </c:pt>
                <c:pt idx="10">
                  <c:v>Fruits and nuts</c:v>
                </c:pt>
                <c:pt idx="11">
                  <c:v>Cash crops</c:v>
                </c:pt>
                <c:pt idx="12">
                  <c:v>Cattle</c:v>
                </c:pt>
                <c:pt idx="13">
                  <c:v>Poultry</c:v>
                </c:pt>
                <c:pt idx="14">
                  <c:v>Other livestock</c:v>
                </c:pt>
                <c:pt idx="15">
                  <c:v>Forestry </c:v>
                </c:pt>
                <c:pt idx="16">
                  <c:v>Other fishing</c:v>
                </c:pt>
                <c:pt idx="17">
                  <c:v>Meat processing</c:v>
                </c:pt>
                <c:pt idx="19">
                  <c:v>Beverages</c:v>
                </c:pt>
                <c:pt idx="20">
                  <c:v>Non-metal minerals</c:v>
                </c:pt>
                <c:pt idx="21">
                  <c:v>Metals and metal products</c:v>
                </c:pt>
                <c:pt idx="22">
                  <c:v>Other manufacturing</c:v>
                </c:pt>
                <c:pt idx="23">
                  <c:v>Machinery and other equipment</c:v>
                </c:pt>
                <c:pt idx="24">
                  <c:v>Electricity, gas and steam</c:v>
                </c:pt>
                <c:pt idx="25">
                  <c:v>Water supply and sewage</c:v>
                </c:pt>
                <c:pt idx="26">
                  <c:v>Wholesale and retail trade</c:v>
                </c:pt>
                <c:pt idx="27">
                  <c:v>Transportation and storage</c:v>
                </c:pt>
                <c:pt idx="28">
                  <c:v>Accommodation and food services</c:v>
                </c:pt>
                <c:pt idx="29">
                  <c:v>Information and communication</c:v>
                </c:pt>
                <c:pt idx="30">
                  <c:v>Business services</c:v>
                </c:pt>
                <c:pt idx="31">
                  <c:v>Education</c:v>
                </c:pt>
                <c:pt idx="32">
                  <c:v>Health and social work</c:v>
                </c:pt>
                <c:pt idx="33">
                  <c:v>Other services</c:v>
                </c:pt>
              </c:strCache>
            </c:strRef>
          </c:cat>
          <c:val>
            <c:numRef>
              <c:f>'Sim-land'!$C$65:$C$98</c:f>
              <c:numCache>
                <c:formatCode>General</c:formatCode>
                <c:ptCount val="34"/>
                <c:pt idx="0">
                  <c:v>7.4921695180907077</c:v>
                </c:pt>
                <c:pt idx="1">
                  <c:v>-0.38791185388129534</c:v>
                </c:pt>
                <c:pt idx="2">
                  <c:v>0.45313058391167615</c:v>
                </c:pt>
                <c:pt idx="3">
                  <c:v>-0.13446506060511565</c:v>
                </c:pt>
                <c:pt idx="4">
                  <c:v>-0.58385367364449658</c:v>
                </c:pt>
                <c:pt idx="5">
                  <c:v>-0.48015092938538118</c:v>
                </c:pt>
                <c:pt idx="6">
                  <c:v>-0.4094755401898742</c:v>
                </c:pt>
                <c:pt idx="7">
                  <c:v>-0.3382324522211877</c:v>
                </c:pt>
                <c:pt idx="8">
                  <c:v>-0.45216351583707848</c:v>
                </c:pt>
                <c:pt idx="9">
                  <c:v>1.7581786314549763</c:v>
                </c:pt>
                <c:pt idx="10">
                  <c:v>-0.58112430830534745</c:v>
                </c:pt>
                <c:pt idx="11">
                  <c:v>0.91536882780192119</c:v>
                </c:pt>
                <c:pt idx="12">
                  <c:v>-1.295613136926832E-2</c:v>
                </c:pt>
                <c:pt idx="13">
                  <c:v>0.39958341358456995</c:v>
                </c:pt>
                <c:pt idx="14">
                  <c:v>0.76714049529842399</c:v>
                </c:pt>
                <c:pt idx="15">
                  <c:v>-6.1444333461879719E-2</c:v>
                </c:pt>
                <c:pt idx="16">
                  <c:v>-7.6055061239310717E-2</c:v>
                </c:pt>
                <c:pt idx="17">
                  <c:v>-3.183501468942973E-2</c:v>
                </c:pt>
                <c:pt idx="18">
                  <c:v>4.3863926711873447E-2</c:v>
                </c:pt>
                <c:pt idx="19">
                  <c:v>-6.8793225518015699E-2</c:v>
                </c:pt>
                <c:pt idx="20">
                  <c:v>-0.14371955059079289</c:v>
                </c:pt>
                <c:pt idx="21">
                  <c:v>-0.13827759069494627</c:v>
                </c:pt>
                <c:pt idx="22">
                  <c:v>-0.13832382662946063</c:v>
                </c:pt>
                <c:pt idx="23">
                  <c:v>-0.13705296846240334</c:v>
                </c:pt>
                <c:pt idx="24">
                  <c:v>-0.13113390259030799</c:v>
                </c:pt>
                <c:pt idx="25">
                  <c:v>-0.14343090345368958</c:v>
                </c:pt>
                <c:pt idx="26">
                  <c:v>-0.12677527366142805</c:v>
                </c:pt>
                <c:pt idx="27">
                  <c:v>-0.14067746007369042</c:v>
                </c:pt>
                <c:pt idx="28">
                  <c:v>-8.5100106858870816E-2</c:v>
                </c:pt>
                <c:pt idx="29">
                  <c:v>-0.15621453672163277</c:v>
                </c:pt>
                <c:pt idx="30">
                  <c:v>-0.11603628790057829</c:v>
                </c:pt>
                <c:pt idx="31">
                  <c:v>-6.1110293135724358E-2</c:v>
                </c:pt>
                <c:pt idx="32">
                  <c:v>-6.2865396742306512E-2</c:v>
                </c:pt>
                <c:pt idx="33">
                  <c:v>-0.11673450829998711</c:v>
                </c:pt>
              </c:numCache>
            </c:numRef>
          </c:val>
          <c:extLst>
            <c:ext xmlns:c16="http://schemas.microsoft.com/office/drawing/2014/chart" uri="{C3380CC4-5D6E-409C-BE32-E72D297353CC}">
              <c16:uniqueId val="{00000001-0319-490D-B515-B76E84778384}"/>
            </c:ext>
          </c:extLst>
        </c:ser>
        <c:dLbls>
          <c:showLegendKey val="0"/>
          <c:showVal val="0"/>
          <c:showCatName val="0"/>
          <c:showSerName val="0"/>
          <c:showPercent val="0"/>
          <c:showBubbleSize val="0"/>
        </c:dLbls>
        <c:gapWidth val="150"/>
        <c:axId val="394098680"/>
        <c:axId val="394110440"/>
      </c:barChart>
      <c:catAx>
        <c:axId val="39409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394110440"/>
        <c:crosses val="autoZero"/>
        <c:auto val="1"/>
        <c:lblAlgn val="ctr"/>
        <c:lblOffset val="100"/>
        <c:noMultiLvlLbl val="0"/>
      </c:catAx>
      <c:valAx>
        <c:axId val="3941104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394098680"/>
        <c:crosses val="autoZero"/>
        <c:crossBetween val="between"/>
      </c:valAx>
      <c:spPr>
        <a:noFill/>
        <a:ln>
          <a:noFill/>
        </a:ln>
        <a:effectLst/>
      </c:spPr>
    </c:plotArea>
    <c:plotVisOnly val="1"/>
    <c:dispBlanksAs val="zero"/>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'Sim-land'!$C$131</c:f>
              <c:strCache>
                <c:ptCount val="1"/>
                <c:pt idx="0">
                  <c:v>Agricultural output</c:v>
                </c:pt>
              </c:strCache>
            </c:strRef>
          </c:tx>
          <c:spPr>
            <a:solidFill>
              <a:srgbClr val="00B0F0"/>
            </a:solidFill>
            <a:ln w="57150">
              <a:solidFill>
                <a:srgbClr val="00B0F0"/>
              </a:solidFill>
            </a:ln>
            <a:effectLst/>
          </c:spPr>
          <c:invertIfNegative val="0"/>
          <c:trendline>
            <c:spPr>
              <a:ln w="19050" cap="rnd">
                <a:solidFill>
                  <a:srgbClr val="00B0F0"/>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'Sim-land'!$C$132:$C$157</c:f>
              <c:numCache>
                <c:formatCode>General</c:formatCode>
                <c:ptCount val="26"/>
                <c:pt idx="0">
                  <c:v>5.8031132346794356</c:v>
                </c:pt>
                <c:pt idx="1">
                  <c:v>7.7535745753820606E-2</c:v>
                </c:pt>
                <c:pt idx="2">
                  <c:v>0.40739918881884662</c:v>
                </c:pt>
                <c:pt idx="3">
                  <c:v>-0.58363771946713383</c:v>
                </c:pt>
                <c:pt idx="4">
                  <c:v>-0.12751191043376409</c:v>
                </c:pt>
                <c:pt idx="5">
                  <c:v>-0.63122981580286952</c:v>
                </c:pt>
                <c:pt idx="6">
                  <c:v>-7.7958196918803679E-3</c:v>
                </c:pt>
                <c:pt idx="7">
                  <c:v>-0.35094051621494815</c:v>
                </c:pt>
                <c:pt idx="8">
                  <c:v>-0.40102215419324239</c:v>
                </c:pt>
                <c:pt idx="9">
                  <c:v>-0.33664243776054814</c:v>
                </c:pt>
                <c:pt idx="10">
                  <c:v>-0.42787585646338888</c:v>
                </c:pt>
                <c:pt idx="11">
                  <c:v>0.12612382437104941</c:v>
                </c:pt>
                <c:pt idx="12">
                  <c:v>-0.53476440000824743</c:v>
                </c:pt>
                <c:pt idx="13">
                  <c:v>-0.59917844012468136</c:v>
                </c:pt>
                <c:pt idx="14">
                  <c:v>1.5002555623039093</c:v>
                </c:pt>
                <c:pt idx="15">
                  <c:v>1.299195320806068</c:v>
                </c:pt>
                <c:pt idx="16">
                  <c:v>-0.95803940749452643</c:v>
                </c:pt>
                <c:pt idx="17">
                  <c:v>11.235018955413523</c:v>
                </c:pt>
                <c:pt idx="18">
                  <c:v>3.7187944444716514E-2</c:v>
                </c:pt>
                <c:pt idx="19">
                  <c:v>2.1265488202359961E-3</c:v>
                </c:pt>
                <c:pt idx="20">
                  <c:v>7.6502101975517434E-4</c:v>
                </c:pt>
                <c:pt idx="21">
                  <c:v>0.70046577664555354</c:v>
                </c:pt>
                <c:pt idx="22">
                  <c:v>1.8098458402220352</c:v>
                </c:pt>
                <c:pt idx="23">
                  <c:v>-1.3141483593259728E-2</c:v>
                </c:pt>
                <c:pt idx="24">
                  <c:v>-6.2021418183222377E-2</c:v>
                </c:pt>
                <c:pt idx="25">
                  <c:v>9.3494992212228567E-3</c:v>
                </c:pt>
              </c:numCache>
            </c:numRef>
          </c:val>
          <c:extLst>
            <c:ext xmlns:c16="http://schemas.microsoft.com/office/drawing/2014/chart" uri="{C3380CC4-5D6E-409C-BE32-E72D297353CC}">
              <c16:uniqueId val="{00000001-9F69-42BD-AC51-21875221E33B}"/>
            </c:ext>
          </c:extLst>
        </c:ser>
        <c:ser>
          <c:idx val="1"/>
          <c:order val="1"/>
          <c:tx>
            <c:strRef>
              <c:f>'Sim-land'!$D$131</c:f>
              <c:strCache>
                <c:ptCount val="1"/>
                <c:pt idx="0">
                  <c:v>Demand for Labour</c:v>
                </c:pt>
              </c:strCache>
            </c:strRef>
          </c:tx>
          <c:spPr>
            <a:solidFill>
              <a:srgbClr val="E60A44"/>
            </a:solidFill>
            <a:ln w="44450">
              <a:solidFill>
                <a:srgbClr val="E60A44"/>
              </a:solidFill>
            </a:ln>
            <a:effectLst/>
          </c:spPr>
          <c:invertIfNegative val="0"/>
          <c:trendline>
            <c:spPr>
              <a:ln w="19050" cap="rnd">
                <a:solidFill>
                  <a:srgbClr val="FF0000"/>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'Sim-land'!$D$132:$D$157</c:f>
              <c:numCache>
                <c:formatCode>General</c:formatCode>
                <c:ptCount val="26"/>
                <c:pt idx="0">
                  <c:v>-10.607097870917903</c:v>
                </c:pt>
                <c:pt idx="1">
                  <c:v>0.86335940480162243</c:v>
                </c:pt>
                <c:pt idx="2">
                  <c:v>-0.87791168627340266</c:v>
                </c:pt>
                <c:pt idx="3">
                  <c:v>0.73577939161704187</c:v>
                </c:pt>
                <c:pt idx="4">
                  <c:v>2.7690634372041778</c:v>
                </c:pt>
                <c:pt idx="5">
                  <c:v>0.56643375402896101</c:v>
                </c:pt>
                <c:pt idx="6">
                  <c:v>1.1698231571555473</c:v>
                </c:pt>
                <c:pt idx="7">
                  <c:v>0.46060864924606371</c:v>
                </c:pt>
                <c:pt idx="8">
                  <c:v>0.57022911470379078</c:v>
                </c:pt>
                <c:pt idx="9">
                  <c:v>0.36875167922025831</c:v>
                </c:pt>
                <c:pt idx="10">
                  <c:v>0.86459281623649797</c:v>
                </c:pt>
                <c:pt idx="11">
                  <c:v>-4.3189065041557733</c:v>
                </c:pt>
                <c:pt idx="12">
                  <c:v>0.44282963659367791</c:v>
                </c:pt>
                <c:pt idx="13">
                  <c:v>0.61015272442634938</c:v>
                </c:pt>
                <c:pt idx="14">
                  <c:v>-2.8342474875000634</c:v>
                </c:pt>
                <c:pt idx="15">
                  <c:v>-0.98869640560231842</c:v>
                </c:pt>
                <c:pt idx="16">
                  <c:v>0.75860786812502745</c:v>
                </c:pt>
                <c:pt idx="17">
                  <c:v>1.6802593458931092E-2</c:v>
                </c:pt>
                <c:pt idx="18">
                  <c:v>0.25471171089088696</c:v>
                </c:pt>
                <c:pt idx="19">
                  <c:v>0.20079494705407264</c:v>
                </c:pt>
                <c:pt idx="20">
                  <c:v>0.18937347634668811</c:v>
                </c:pt>
                <c:pt idx="21">
                  <c:v>0.92622789958609619</c:v>
                </c:pt>
                <c:pt idx="22">
                  <c:v>2.0071795770857825</c:v>
                </c:pt>
                <c:pt idx="23">
                  <c:v>2.5375674591576747E-2</c:v>
                </c:pt>
                <c:pt idx="24">
                  <c:v>2.8571288564016584E-2</c:v>
                </c:pt>
                <c:pt idx="25">
                  <c:v>9.4805478213921823E-2</c:v>
                </c:pt>
              </c:numCache>
            </c:numRef>
          </c:val>
          <c:extLst>
            <c:ext xmlns:c16="http://schemas.microsoft.com/office/drawing/2014/chart" uri="{C3380CC4-5D6E-409C-BE32-E72D297353CC}">
              <c16:uniqueId val="{00000003-9F69-42BD-AC51-21875221E33B}"/>
            </c:ext>
          </c:extLst>
        </c:ser>
        <c:ser>
          <c:idx val="2"/>
          <c:order val="2"/>
          <c:tx>
            <c:strRef>
              <c:f>'Sim-land'!$E$131</c:f>
              <c:strCache>
                <c:ptCount val="1"/>
                <c:pt idx="0">
                  <c:v>Demand for capital</c:v>
                </c:pt>
              </c:strCache>
            </c:strRef>
          </c:tx>
          <c:spPr>
            <a:solidFill>
              <a:schemeClr val="accent3"/>
            </a:solidFill>
            <a:ln w="41275">
              <a:solidFill>
                <a:schemeClr val="bg1">
                  <a:lumMod val="85000"/>
                </a:schemeClr>
              </a:solidFill>
            </a:ln>
            <a:effectLst/>
          </c:spPr>
          <c:invertIfNegative val="0"/>
          <c:trendline>
            <c:spPr>
              <a:ln w="19050" cap="rnd">
                <a:solidFill>
                  <a:schemeClr val="accent3"/>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'Sim-land'!$E$132:$E$157</c:f>
              <c:numCache>
                <c:formatCode>General</c:formatCode>
                <c:ptCount val="26"/>
                <c:pt idx="0">
                  <c:v>9.4482703592293493</c:v>
                </c:pt>
                <c:pt idx="1">
                  <c:v>-4.1989708003020709E-2</c:v>
                </c:pt>
                <c:pt idx="2">
                  <c:v>0.667293996312468</c:v>
                </c:pt>
                <c:pt idx="3">
                  <c:v>-0.92950172873180748</c:v>
                </c:pt>
                <c:pt idx="4">
                  <c:v>-0.99933569068314521</c:v>
                </c:pt>
                <c:pt idx="5">
                  <c:v>-1.3309881535440216</c:v>
                </c:pt>
                <c:pt idx="6">
                  <c:v>-0.6781023545409659</c:v>
                </c:pt>
                <c:pt idx="7">
                  <c:v>-0.77642935291399873</c:v>
                </c:pt>
                <c:pt idx="8">
                  <c:v>-1.3249688857901121</c:v>
                </c:pt>
                <c:pt idx="9">
                  <c:v>-1.5585461406722789</c:v>
                </c:pt>
                <c:pt idx="10">
                  <c:v>-1.0396381713664749</c:v>
                </c:pt>
                <c:pt idx="11">
                  <c:v>3.4176873784492523</c:v>
                </c:pt>
                <c:pt idx="12">
                  <c:v>-1.5240553879586227</c:v>
                </c:pt>
                <c:pt idx="13">
                  <c:v>-1.2749787983431293</c:v>
                </c:pt>
                <c:pt idx="14">
                  <c:v>5.2769008647245208</c:v>
                </c:pt>
                <c:pt idx="15">
                  <c:v>3.6017083599460431</c:v>
                </c:pt>
                <c:pt idx="16">
                  <c:v>-1.5828215096094223</c:v>
                </c:pt>
                <c:pt idx="17">
                  <c:v>15.985717992825577</c:v>
                </c:pt>
                <c:pt idx="18">
                  <c:v>-7.4742281721340564E-2</c:v>
                </c:pt>
                <c:pt idx="19">
                  <c:v>-0.12826934483431973</c:v>
                </c:pt>
                <c:pt idx="20">
                  <c:v>-0.13861795985511405</c:v>
                </c:pt>
                <c:pt idx="21">
                  <c:v>0.59373758077521099</c:v>
                </c:pt>
                <c:pt idx="22">
                  <c:v>1.6714799338476194</c:v>
                </c:pt>
                <c:pt idx="23">
                  <c:v>-0.17307553376124662</c:v>
                </c:pt>
                <c:pt idx="24">
                  <c:v>-0.16983374299947007</c:v>
                </c:pt>
                <c:pt idx="25">
                  <c:v>-0.10575033478942286</c:v>
                </c:pt>
              </c:numCache>
            </c:numRef>
          </c:val>
          <c:extLst>
            <c:ext xmlns:c16="http://schemas.microsoft.com/office/drawing/2014/chart" uri="{C3380CC4-5D6E-409C-BE32-E72D297353CC}">
              <c16:uniqueId val="{00000005-9F69-42BD-AC51-21875221E33B}"/>
            </c:ext>
          </c:extLst>
        </c:ser>
        <c:dLbls>
          <c:showLegendKey val="0"/>
          <c:showVal val="0"/>
          <c:showCatName val="0"/>
          <c:showSerName val="0"/>
          <c:showPercent val="0"/>
          <c:showBubbleSize val="0"/>
        </c:dLbls>
        <c:gapWidth val="219"/>
        <c:overlap val="-27"/>
        <c:axId val="394102208"/>
        <c:axId val="394107304"/>
      </c:barChart>
      <c:catAx>
        <c:axId val="3941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107304"/>
        <c:crosses val="autoZero"/>
        <c:auto val="1"/>
        <c:lblAlgn val="ctr"/>
        <c:lblOffset val="100"/>
        <c:noMultiLvlLbl val="0"/>
      </c:catAx>
      <c:valAx>
        <c:axId val="39410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102208"/>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'Sim-land'!$D$196</c:f>
              <c:strCache>
                <c:ptCount val="1"/>
                <c:pt idx="0">
                  <c:v>Intermediate demand</c:v>
                </c:pt>
              </c:strCache>
            </c:strRef>
          </c:tx>
          <c:spPr>
            <a:solidFill>
              <a:srgbClr val="00B050"/>
            </a:solidFill>
            <a:ln w="130175">
              <a:solidFill>
                <a:srgbClr val="00B050"/>
              </a:solidFill>
            </a:ln>
            <a:effectLst/>
          </c:spPr>
          <c:invertIfNegative val="0"/>
          <c:cat>
            <c:strRef>
              <c:f>'Sim-land'!$C$197:$C$223</c:f>
              <c:strCache>
                <c:ptCount val="27"/>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Fertilizers</c:v>
                </c:pt>
              </c:strCache>
            </c:strRef>
          </c:cat>
          <c:val>
            <c:numRef>
              <c:f>'Sim-land'!$D$197:$D$223</c:f>
              <c:numCache>
                <c:formatCode>General</c:formatCode>
                <c:ptCount val="27"/>
                <c:pt idx="0">
                  <c:v>5.8031132346794356</c:v>
                </c:pt>
                <c:pt idx="1">
                  <c:v>7.7535745753820606E-2</c:v>
                </c:pt>
                <c:pt idx="2">
                  <c:v>0.40739918881884662</c:v>
                </c:pt>
                <c:pt idx="3">
                  <c:v>-0.58363771946713383</c:v>
                </c:pt>
                <c:pt idx="4">
                  <c:v>-0.12751191043376409</c:v>
                </c:pt>
                <c:pt idx="5">
                  <c:v>-0.63122981580286952</c:v>
                </c:pt>
                <c:pt idx="6">
                  <c:v>-7.7958196918692657E-3</c:v>
                </c:pt>
                <c:pt idx="7">
                  <c:v>-0.35094051621493705</c:v>
                </c:pt>
                <c:pt idx="8">
                  <c:v>-0.40102215419324239</c:v>
                </c:pt>
                <c:pt idx="9">
                  <c:v>-0.33664243776055924</c:v>
                </c:pt>
                <c:pt idx="10">
                  <c:v>-0.42787585646337778</c:v>
                </c:pt>
                <c:pt idx="11">
                  <c:v>0.12612382437104941</c:v>
                </c:pt>
                <c:pt idx="12">
                  <c:v>-0.53476440000825853</c:v>
                </c:pt>
                <c:pt idx="13">
                  <c:v>-0.59917844012469246</c:v>
                </c:pt>
                <c:pt idx="14">
                  <c:v>1.5002555623039093</c:v>
                </c:pt>
                <c:pt idx="15">
                  <c:v>1.2991953208060458</c:v>
                </c:pt>
                <c:pt idx="16">
                  <c:v>-0.95803940749450422</c:v>
                </c:pt>
                <c:pt idx="17">
                  <c:v>11.235018955413523</c:v>
                </c:pt>
                <c:pt idx="18">
                  <c:v>3.7187944444716514E-2</c:v>
                </c:pt>
                <c:pt idx="19">
                  <c:v>2.1265488202137917E-3</c:v>
                </c:pt>
                <c:pt idx="20">
                  <c:v>7.6502101975517434E-4</c:v>
                </c:pt>
                <c:pt idx="21">
                  <c:v>0.70046577664555354</c:v>
                </c:pt>
                <c:pt idx="22">
                  <c:v>1.8098458402220352</c:v>
                </c:pt>
                <c:pt idx="23">
                  <c:v>-1.3141483593259728E-2</c:v>
                </c:pt>
                <c:pt idx="24">
                  <c:v>-6.2021418183222377E-2</c:v>
                </c:pt>
                <c:pt idx="25">
                  <c:v>9.3494992212450612E-3</c:v>
                </c:pt>
                <c:pt idx="26">
                  <c:v>0.65</c:v>
                </c:pt>
              </c:numCache>
            </c:numRef>
          </c:val>
          <c:extLst>
            <c:ext xmlns:c16="http://schemas.microsoft.com/office/drawing/2014/chart" uri="{C3380CC4-5D6E-409C-BE32-E72D297353CC}">
              <c16:uniqueId val="{00000000-FA31-4892-85A7-4F358B687FCC}"/>
            </c:ext>
          </c:extLst>
        </c:ser>
        <c:dLbls>
          <c:showLegendKey val="0"/>
          <c:showVal val="0"/>
          <c:showCatName val="0"/>
          <c:showSerName val="0"/>
          <c:showPercent val="0"/>
          <c:showBubbleSize val="0"/>
        </c:dLbls>
        <c:gapWidth val="219"/>
        <c:overlap val="-27"/>
        <c:axId val="394104952"/>
        <c:axId val="481587048"/>
      </c:barChart>
      <c:lineChart>
        <c:grouping val="standard"/>
        <c:varyColors val="0"/>
        <c:ser>
          <c:idx val="1"/>
          <c:order val="1"/>
          <c:tx>
            <c:strRef>
              <c:f>'Sim-land'!$E$196</c:f>
              <c:strCache>
                <c:ptCount val="1"/>
                <c:pt idx="0">
                  <c:v>Intermediate consumption price index of industry</c:v>
                </c:pt>
              </c:strCache>
            </c:strRef>
          </c:tx>
          <c:spPr>
            <a:ln w="25400" cap="rnd">
              <a:solidFill>
                <a:srgbClr val="E60A44"/>
              </a:solidFill>
              <a:round/>
            </a:ln>
            <a:effectLst/>
          </c:spPr>
          <c:marker>
            <c:symbol val="none"/>
          </c:marker>
          <c:cat>
            <c:strRef>
              <c:f>'Sim-land'!$C$197:$C$223</c:f>
              <c:strCache>
                <c:ptCount val="27"/>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Fertilizers</c:v>
                </c:pt>
              </c:strCache>
            </c:strRef>
          </c:cat>
          <c:val>
            <c:numRef>
              <c:f>'Sim-land'!$E$197:$E$223</c:f>
              <c:numCache>
                <c:formatCode>General</c:formatCode>
                <c:ptCount val="27"/>
                <c:pt idx="0">
                  <c:v>-2.5437403734422492</c:v>
                </c:pt>
                <c:pt idx="1">
                  <c:v>2.7671185198507864E-2</c:v>
                </c:pt>
                <c:pt idx="2">
                  <c:v>-0.42124313673451708</c:v>
                </c:pt>
                <c:pt idx="3">
                  <c:v>1.0273618691925002E-2</c:v>
                </c:pt>
                <c:pt idx="4">
                  <c:v>0.31554609746211604</c:v>
                </c:pt>
                <c:pt idx="5">
                  <c:v>0.43432338745061916</c:v>
                </c:pt>
                <c:pt idx="6">
                  <c:v>0.37094093646119486</c:v>
                </c:pt>
                <c:pt idx="7">
                  <c:v>0.27776832960382247</c:v>
                </c:pt>
                <c:pt idx="8">
                  <c:v>0.30147576852310731</c:v>
                </c:pt>
                <c:pt idx="9">
                  <c:v>0.22301129743500514</c:v>
                </c:pt>
                <c:pt idx="10">
                  <c:v>0.18029551740994521</c:v>
                </c:pt>
                <c:pt idx="11">
                  <c:v>-1.274055221104009</c:v>
                </c:pt>
                <c:pt idx="12">
                  <c:v>8.6549898522747526E-3</c:v>
                </c:pt>
                <c:pt idx="13">
                  <c:v>0.1634482746728505</c:v>
                </c:pt>
                <c:pt idx="14">
                  <c:v>-0.33164544956789666</c:v>
                </c:pt>
                <c:pt idx="15">
                  <c:v>-3.4812751412371945E-2</c:v>
                </c:pt>
                <c:pt idx="16">
                  <c:v>2.7613578068574895E-5</c:v>
                </c:pt>
                <c:pt idx="17">
                  <c:v>-0.23339812316135466</c:v>
                </c:pt>
                <c:pt idx="18">
                  <c:v>-1.0121138951731612</c:v>
                </c:pt>
                <c:pt idx="19">
                  <c:v>-0.89065243778887471</c:v>
                </c:pt>
                <c:pt idx="20">
                  <c:v>3.4112640768158009E-2</c:v>
                </c:pt>
                <c:pt idx="21">
                  <c:v>-3.1472362511738794</c:v>
                </c:pt>
                <c:pt idx="22">
                  <c:v>-2.7938648040830683</c:v>
                </c:pt>
                <c:pt idx="23">
                  <c:v>1.7902487769871911E-2</c:v>
                </c:pt>
                <c:pt idx="24">
                  <c:v>4.9883442958531532E-4</c:v>
                </c:pt>
                <c:pt idx="25">
                  <c:v>-5.2925527263436578E-3</c:v>
                </c:pt>
                <c:pt idx="26">
                  <c:v>-1.050192932059435E-2</c:v>
                </c:pt>
              </c:numCache>
            </c:numRef>
          </c:val>
          <c:smooth val="0"/>
          <c:extLst>
            <c:ext xmlns:c16="http://schemas.microsoft.com/office/drawing/2014/chart" uri="{C3380CC4-5D6E-409C-BE32-E72D297353CC}">
              <c16:uniqueId val="{00000001-FA31-4892-85A7-4F358B687FCC}"/>
            </c:ext>
          </c:extLst>
        </c:ser>
        <c:dLbls>
          <c:showLegendKey val="0"/>
          <c:showVal val="0"/>
          <c:showCatName val="0"/>
          <c:showSerName val="0"/>
          <c:showPercent val="0"/>
          <c:showBubbleSize val="0"/>
        </c:dLbls>
        <c:marker val="1"/>
        <c:smooth val="0"/>
        <c:axId val="481588224"/>
        <c:axId val="481587832"/>
      </c:lineChart>
      <c:catAx>
        <c:axId val="39410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81587048"/>
        <c:crosses val="autoZero"/>
        <c:auto val="1"/>
        <c:lblAlgn val="ctr"/>
        <c:lblOffset val="100"/>
        <c:noMultiLvlLbl val="0"/>
      </c:catAx>
      <c:valAx>
        <c:axId val="48158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394104952"/>
        <c:crosses val="autoZero"/>
        <c:crossBetween val="between"/>
      </c:valAx>
      <c:valAx>
        <c:axId val="4815878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81588224"/>
        <c:crosses val="max"/>
        <c:crossBetween val="between"/>
      </c:valAx>
      <c:catAx>
        <c:axId val="481588224"/>
        <c:scaling>
          <c:orientation val="minMax"/>
        </c:scaling>
        <c:delete val="1"/>
        <c:axPos val="b"/>
        <c:numFmt formatCode="General" sourceLinked="1"/>
        <c:majorTickMark val="out"/>
        <c:minorTickMark val="none"/>
        <c:tickLblPos val="nextTo"/>
        <c:crossAx val="481587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'Sim-land'!$E$172</c:f>
              <c:strCache>
                <c:ptCount val="1"/>
                <c:pt idx="0">
                  <c:v>Female</c:v>
                </c:pt>
              </c:strCache>
            </c:strRef>
          </c:tx>
          <c:spPr>
            <a:solidFill>
              <a:srgbClr val="00B0F0"/>
            </a:solidFill>
            <a:ln w="28575">
              <a:solidFill>
                <a:srgbClr val="00B0F0"/>
              </a:solidFill>
            </a:ln>
            <a:effectLst/>
          </c:spPr>
          <c:invertIfNegative val="0"/>
          <c:trendline>
            <c:spPr>
              <a:ln w="19050" cap="rnd">
                <a:solidFill>
                  <a:schemeClr val="accent1"/>
                </a:solidFill>
                <a:prstDash val="sysDot"/>
              </a:ln>
              <a:effectLst/>
            </c:spPr>
            <c:trendlineType val="linear"/>
            <c:dispRSqr val="0"/>
            <c:dispEq val="0"/>
          </c:trendline>
          <c:cat>
            <c:strRef>
              <c:f>'Sim-land'!$D$173:$D$189</c:f>
              <c:strCache>
                <c:ptCount val="17"/>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strCache>
            </c:strRef>
          </c:cat>
          <c:val>
            <c:numRef>
              <c:f>'Sim-land'!$E$173:$E$187</c:f>
              <c:numCache>
                <c:formatCode>General</c:formatCode>
                <c:ptCount val="15"/>
                <c:pt idx="0">
                  <c:v>16.091627988406088</c:v>
                </c:pt>
                <c:pt idx="1">
                  <c:v>9.0561640810542521</c:v>
                </c:pt>
                <c:pt idx="2">
                  <c:v>9.4726200153507421</c:v>
                </c:pt>
                <c:pt idx="3">
                  <c:v>8.1974215774622152</c:v>
                </c:pt>
                <c:pt idx="5">
                  <c:v>7.7944321709839226</c:v>
                </c:pt>
                <c:pt idx="6">
                  <c:v>8.4989255115383919</c:v>
                </c:pt>
                <c:pt idx="7">
                  <c:v>8.3041931565517313</c:v>
                </c:pt>
                <c:pt idx="8">
                  <c:v>7.8006704250375147</c:v>
                </c:pt>
                <c:pt idx="9">
                  <c:v>7.5507355531538867</c:v>
                </c:pt>
                <c:pt idx="10">
                  <c:v>8.1129281700172093</c:v>
                </c:pt>
                <c:pt idx="11">
                  <c:v>11.53322979853435</c:v>
                </c:pt>
                <c:pt idx="12">
                  <c:v>7.593737132071543</c:v>
                </c:pt>
                <c:pt idx="13">
                  <c:v>7.8537230508805456</c:v>
                </c:pt>
                <c:pt idx="14">
                  <c:v>13.501741302063408</c:v>
                </c:pt>
              </c:numCache>
            </c:numRef>
          </c:val>
          <c:extLst>
            <c:ext xmlns:c16="http://schemas.microsoft.com/office/drawing/2014/chart" uri="{C3380CC4-5D6E-409C-BE32-E72D297353CC}">
              <c16:uniqueId val="{00000001-D15F-4C38-91E7-F5C2D9161E6D}"/>
            </c:ext>
          </c:extLst>
        </c:ser>
        <c:ser>
          <c:idx val="1"/>
          <c:order val="1"/>
          <c:tx>
            <c:strRef>
              <c:f>'Sim-land'!$F$172</c:f>
              <c:strCache>
                <c:ptCount val="1"/>
                <c:pt idx="0">
                  <c:v>Male</c:v>
                </c:pt>
              </c:strCache>
            </c:strRef>
          </c:tx>
          <c:spPr>
            <a:solidFill>
              <a:srgbClr val="E60A44"/>
            </a:solidFill>
            <a:ln>
              <a:solidFill>
                <a:srgbClr val="E60A44"/>
              </a:solidFill>
            </a:ln>
            <a:effectLst/>
          </c:spPr>
          <c:invertIfNegative val="0"/>
          <c:trendline>
            <c:spPr>
              <a:ln w="19050" cap="rnd">
                <a:solidFill>
                  <a:schemeClr val="accent2"/>
                </a:solidFill>
                <a:prstDash val="sysDot"/>
              </a:ln>
              <a:effectLst/>
            </c:spPr>
            <c:trendlineType val="linear"/>
            <c:dispRSqr val="0"/>
            <c:dispEq val="0"/>
          </c:trendline>
          <c:cat>
            <c:strRef>
              <c:f>'Sim-land'!$D$173:$D$189</c:f>
              <c:strCache>
                <c:ptCount val="17"/>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strCache>
            </c:strRef>
          </c:cat>
          <c:val>
            <c:numRef>
              <c:f>'Sim-land'!$F$173:$F$187</c:f>
              <c:numCache>
                <c:formatCode>General</c:formatCode>
                <c:ptCount val="15"/>
                <c:pt idx="0">
                  <c:v>5.7543526477662699</c:v>
                </c:pt>
                <c:pt idx="1">
                  <c:v>-0.65464465652568249</c:v>
                </c:pt>
                <c:pt idx="2">
                  <c:v>-0.27527166907375111</c:v>
                </c:pt>
                <c:pt idx="3">
                  <c:v>-1.4369212006973275</c:v>
                </c:pt>
                <c:pt idx="4">
                  <c:v>-1.2331134443142489</c:v>
                </c:pt>
                <c:pt idx="5">
                  <c:v>-1.8040267755050965</c:v>
                </c:pt>
                <c:pt idx="6">
                  <c:v>-1.162264415518155</c:v>
                </c:pt>
                <c:pt idx="7">
                  <c:v>-1.3396570016640075</c:v>
                </c:pt>
                <c:pt idx="8">
                  <c:v>-1.798344001123231</c:v>
                </c:pt>
                <c:pt idx="9">
                  <c:v>-2.0260236455232117</c:v>
                </c:pt>
                <c:pt idx="10">
                  <c:v>-1.5138909683125368</c:v>
                </c:pt>
                <c:pt idx="11">
                  <c:v>1.6018529561931505</c:v>
                </c:pt>
                <c:pt idx="12">
                  <c:v>-1.9868511041410963</c:v>
                </c:pt>
                <c:pt idx="13">
                  <c:v>-1.7500153990936074</c:v>
                </c:pt>
                <c:pt idx="14">
                  <c:v>3.3950801110822271</c:v>
                </c:pt>
              </c:numCache>
            </c:numRef>
          </c:val>
          <c:extLst>
            <c:ext xmlns:c16="http://schemas.microsoft.com/office/drawing/2014/chart" uri="{C3380CC4-5D6E-409C-BE32-E72D297353CC}">
              <c16:uniqueId val="{00000003-D15F-4C38-91E7-F5C2D9161E6D}"/>
            </c:ext>
          </c:extLst>
        </c:ser>
        <c:ser>
          <c:idx val="2"/>
          <c:order val="2"/>
          <c:tx>
            <c:strRef>
              <c:f>'Sim-land'!$G$172</c:f>
              <c:strCache>
                <c:ptCount val="1"/>
                <c:pt idx="0">
                  <c:v>Rental rate of land</c:v>
                </c:pt>
              </c:strCache>
            </c:strRef>
          </c:tx>
          <c:spPr>
            <a:solidFill>
              <a:srgbClr val="92D050"/>
            </a:solidFill>
            <a:ln>
              <a:solidFill>
                <a:srgbClr val="92D050"/>
              </a:solidFill>
            </a:ln>
            <a:effectLst/>
          </c:spPr>
          <c:invertIfNegative val="0"/>
          <c:trendline>
            <c:spPr>
              <a:ln w="19050" cap="rnd">
                <a:solidFill>
                  <a:schemeClr val="accent3"/>
                </a:solidFill>
                <a:prstDash val="sysDot"/>
              </a:ln>
              <a:effectLst/>
            </c:spPr>
            <c:trendlineType val="linear"/>
            <c:dispRSqr val="0"/>
            <c:dispEq val="0"/>
          </c:trendline>
          <c:cat>
            <c:strRef>
              <c:f>'Sim-land'!$D$173:$D$189</c:f>
              <c:strCache>
                <c:ptCount val="17"/>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strCache>
            </c:strRef>
          </c:cat>
          <c:val>
            <c:numRef>
              <c:f>'Sim-land'!$G$173:$G$187</c:f>
              <c:numCache>
                <c:formatCode>General</c:formatCode>
                <c:ptCount val="15"/>
                <c:pt idx="0">
                  <c:v>-12.691657972810654</c:v>
                </c:pt>
                <c:pt idx="1">
                  <c:v>0.52146811006605898</c:v>
                </c:pt>
                <c:pt idx="2">
                  <c:v>-1.1034059337121316</c:v>
                </c:pt>
                <c:pt idx="3">
                  <c:v>1.0319109888780931</c:v>
                </c:pt>
                <c:pt idx="4">
                  <c:v>2.4413452986651096</c:v>
                </c:pt>
                <c:pt idx="5">
                  <c:v>1.1983656383377506</c:v>
                </c:pt>
                <c:pt idx="6">
                  <c:v>1.1574541188166698</c:v>
                </c:pt>
                <c:pt idx="7">
                  <c:v>0.75064763146028834</c:v>
                </c:pt>
                <c:pt idx="8">
                  <c:v>1.1967805352718797</c:v>
                </c:pt>
                <c:pt idx="9">
                  <c:v>1.2214551755545644</c:v>
                </c:pt>
                <c:pt idx="10">
                  <c:v>1.1993038593366645</c:v>
                </c:pt>
                <c:pt idx="11">
                  <c:v>-5.1269130706119714</c:v>
                </c:pt>
                <c:pt idx="12">
                  <c:v>1.2464798383207798</c:v>
                </c:pt>
                <c:pt idx="13">
                  <c:v>1.1894593175472368</c:v>
                </c:pt>
                <c:pt idx="14">
                  <c:v>-5.2797336836412967</c:v>
                </c:pt>
              </c:numCache>
            </c:numRef>
          </c:val>
          <c:extLst>
            <c:ext xmlns:c16="http://schemas.microsoft.com/office/drawing/2014/chart" uri="{C3380CC4-5D6E-409C-BE32-E72D297353CC}">
              <c16:uniqueId val="{00000005-D15F-4C38-91E7-F5C2D9161E6D}"/>
            </c:ext>
          </c:extLst>
        </c:ser>
        <c:dLbls>
          <c:showLegendKey val="0"/>
          <c:showVal val="0"/>
          <c:showCatName val="0"/>
          <c:showSerName val="0"/>
          <c:showPercent val="0"/>
          <c:showBubbleSize val="0"/>
        </c:dLbls>
        <c:gapWidth val="32"/>
        <c:overlap val="2"/>
        <c:axId val="481590576"/>
        <c:axId val="481589400"/>
      </c:barChart>
      <c:catAx>
        <c:axId val="48159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81589400"/>
        <c:crosses val="autoZero"/>
        <c:auto val="1"/>
        <c:lblAlgn val="ctr"/>
        <c:lblOffset val="100"/>
        <c:tickLblSkip val="1"/>
        <c:noMultiLvlLbl val="0"/>
      </c:catAx>
      <c:valAx>
        <c:axId val="48158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590576"/>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'Sim-land'!$C$131</c:f>
              <c:strCache>
                <c:ptCount val="1"/>
                <c:pt idx="0">
                  <c:v>Agricultural output</c:v>
                </c:pt>
              </c:strCache>
            </c:strRef>
          </c:tx>
          <c:spPr>
            <a:solidFill>
              <a:srgbClr val="00B0F0"/>
            </a:solidFill>
            <a:ln w="57150">
              <a:solidFill>
                <a:srgbClr val="00B0F0"/>
              </a:solidFill>
            </a:ln>
            <a:effectLst/>
          </c:spPr>
          <c:invertIfNegative val="0"/>
          <c:trendline>
            <c:spPr>
              <a:ln w="19050" cap="rnd">
                <a:solidFill>
                  <a:srgbClr val="00B0F0"/>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'Sim-land'!$C$132:$C$157</c:f>
              <c:numCache>
                <c:formatCode>General</c:formatCode>
                <c:ptCount val="26"/>
                <c:pt idx="0">
                  <c:v>5.8031132346794356</c:v>
                </c:pt>
                <c:pt idx="1">
                  <c:v>7.7535745753820606E-2</c:v>
                </c:pt>
                <c:pt idx="2">
                  <c:v>0.40739918881884662</c:v>
                </c:pt>
                <c:pt idx="3">
                  <c:v>-0.58363771946713383</c:v>
                </c:pt>
                <c:pt idx="4">
                  <c:v>-0.12751191043376409</c:v>
                </c:pt>
                <c:pt idx="5">
                  <c:v>-0.63122981580286952</c:v>
                </c:pt>
                <c:pt idx="6">
                  <c:v>-7.7958196918803679E-3</c:v>
                </c:pt>
                <c:pt idx="7">
                  <c:v>-0.35094051621494815</c:v>
                </c:pt>
                <c:pt idx="8">
                  <c:v>-0.40102215419324239</c:v>
                </c:pt>
                <c:pt idx="9">
                  <c:v>-0.33664243776054814</c:v>
                </c:pt>
                <c:pt idx="10">
                  <c:v>-0.42787585646338888</c:v>
                </c:pt>
                <c:pt idx="11">
                  <c:v>0.12612382437104941</c:v>
                </c:pt>
                <c:pt idx="12">
                  <c:v>-0.53476440000824743</c:v>
                </c:pt>
                <c:pt idx="13">
                  <c:v>-0.59917844012468136</c:v>
                </c:pt>
                <c:pt idx="14">
                  <c:v>1.5002555623039093</c:v>
                </c:pt>
                <c:pt idx="15">
                  <c:v>1.299195320806068</c:v>
                </c:pt>
                <c:pt idx="16">
                  <c:v>-0.95803940749452643</c:v>
                </c:pt>
                <c:pt idx="17">
                  <c:v>11.235018955413523</c:v>
                </c:pt>
                <c:pt idx="18">
                  <c:v>3.7187944444716514E-2</c:v>
                </c:pt>
                <c:pt idx="19">
                  <c:v>2.1265488202359961E-3</c:v>
                </c:pt>
                <c:pt idx="20">
                  <c:v>7.6502101975517434E-4</c:v>
                </c:pt>
                <c:pt idx="21">
                  <c:v>0.70046577664555354</c:v>
                </c:pt>
                <c:pt idx="22">
                  <c:v>1.8098458402220352</c:v>
                </c:pt>
                <c:pt idx="23">
                  <c:v>-1.3141483593259728E-2</c:v>
                </c:pt>
                <c:pt idx="24">
                  <c:v>-6.2021418183222377E-2</c:v>
                </c:pt>
                <c:pt idx="25">
                  <c:v>9.3494992212228567E-3</c:v>
                </c:pt>
              </c:numCache>
            </c:numRef>
          </c:val>
          <c:extLst>
            <c:ext xmlns:c16="http://schemas.microsoft.com/office/drawing/2014/chart" uri="{C3380CC4-5D6E-409C-BE32-E72D297353CC}">
              <c16:uniqueId val="{00000001-BBEE-4645-B4EA-BE3CFBB5C5C3}"/>
            </c:ext>
          </c:extLst>
        </c:ser>
        <c:ser>
          <c:idx val="1"/>
          <c:order val="1"/>
          <c:tx>
            <c:strRef>
              <c:f>'Sim-land'!$D$131</c:f>
              <c:strCache>
                <c:ptCount val="1"/>
                <c:pt idx="0">
                  <c:v>Demand for Labour</c:v>
                </c:pt>
              </c:strCache>
            </c:strRef>
          </c:tx>
          <c:spPr>
            <a:solidFill>
              <a:srgbClr val="E60A44"/>
            </a:solidFill>
            <a:ln w="44450">
              <a:solidFill>
                <a:srgbClr val="E60A44"/>
              </a:solidFill>
            </a:ln>
            <a:effectLst/>
          </c:spPr>
          <c:invertIfNegative val="0"/>
          <c:trendline>
            <c:spPr>
              <a:ln w="19050" cap="rnd">
                <a:solidFill>
                  <a:srgbClr val="FF0000"/>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'Sim-land'!$D$132:$D$157</c:f>
              <c:numCache>
                <c:formatCode>General</c:formatCode>
                <c:ptCount val="26"/>
                <c:pt idx="0">
                  <c:v>-10.607097870917903</c:v>
                </c:pt>
                <c:pt idx="1">
                  <c:v>0.86335940480162243</c:v>
                </c:pt>
                <c:pt idx="2">
                  <c:v>-0.87791168627340266</c:v>
                </c:pt>
                <c:pt idx="3">
                  <c:v>0.73577939161704187</c:v>
                </c:pt>
                <c:pt idx="4">
                  <c:v>2.7690634372041778</c:v>
                </c:pt>
                <c:pt idx="5">
                  <c:v>0.56643375402896101</c:v>
                </c:pt>
                <c:pt idx="6">
                  <c:v>1.1698231571555473</c:v>
                </c:pt>
                <c:pt idx="7">
                  <c:v>0.46060864924606371</c:v>
                </c:pt>
                <c:pt idx="8">
                  <c:v>0.57022911470379078</c:v>
                </c:pt>
                <c:pt idx="9">
                  <c:v>0.36875167922025831</c:v>
                </c:pt>
                <c:pt idx="10">
                  <c:v>0.86459281623649797</c:v>
                </c:pt>
                <c:pt idx="11">
                  <c:v>-4.3189065041557733</c:v>
                </c:pt>
                <c:pt idx="12">
                  <c:v>0.44282963659367791</c:v>
                </c:pt>
                <c:pt idx="13">
                  <c:v>0.61015272442634938</c:v>
                </c:pt>
                <c:pt idx="14">
                  <c:v>-2.8342474875000634</c:v>
                </c:pt>
                <c:pt idx="15">
                  <c:v>-0.98869640560231842</c:v>
                </c:pt>
                <c:pt idx="16">
                  <c:v>0.75860786812502745</c:v>
                </c:pt>
                <c:pt idx="17">
                  <c:v>1.6802593458931092E-2</c:v>
                </c:pt>
                <c:pt idx="18">
                  <c:v>0.25471171089088696</c:v>
                </c:pt>
                <c:pt idx="19">
                  <c:v>0.20079494705407264</c:v>
                </c:pt>
                <c:pt idx="20">
                  <c:v>0.18937347634668811</c:v>
                </c:pt>
                <c:pt idx="21">
                  <c:v>0.92622789958609619</c:v>
                </c:pt>
                <c:pt idx="22">
                  <c:v>2.0071795770857825</c:v>
                </c:pt>
                <c:pt idx="23">
                  <c:v>2.5375674591576747E-2</c:v>
                </c:pt>
                <c:pt idx="24">
                  <c:v>2.8571288564016584E-2</c:v>
                </c:pt>
                <c:pt idx="25">
                  <c:v>9.4805478213921823E-2</c:v>
                </c:pt>
              </c:numCache>
            </c:numRef>
          </c:val>
          <c:extLst>
            <c:ext xmlns:c16="http://schemas.microsoft.com/office/drawing/2014/chart" uri="{C3380CC4-5D6E-409C-BE32-E72D297353CC}">
              <c16:uniqueId val="{00000003-BBEE-4645-B4EA-BE3CFBB5C5C3}"/>
            </c:ext>
          </c:extLst>
        </c:ser>
        <c:ser>
          <c:idx val="2"/>
          <c:order val="2"/>
          <c:tx>
            <c:strRef>
              <c:f>'Sim-land'!$E$131</c:f>
              <c:strCache>
                <c:ptCount val="1"/>
                <c:pt idx="0">
                  <c:v>Demand for capital</c:v>
                </c:pt>
              </c:strCache>
            </c:strRef>
          </c:tx>
          <c:spPr>
            <a:solidFill>
              <a:schemeClr val="accent3"/>
            </a:solidFill>
            <a:ln w="41275">
              <a:solidFill>
                <a:schemeClr val="bg1">
                  <a:lumMod val="85000"/>
                </a:schemeClr>
              </a:solidFill>
            </a:ln>
            <a:effectLst/>
          </c:spPr>
          <c:invertIfNegative val="0"/>
          <c:trendline>
            <c:spPr>
              <a:ln w="19050" cap="rnd">
                <a:solidFill>
                  <a:schemeClr val="accent3"/>
                </a:solidFill>
                <a:prstDash val="sysDot"/>
              </a:ln>
              <a:effectLst/>
            </c:spPr>
            <c:trendlineType val="linear"/>
            <c:dispRSqr val="0"/>
            <c:dispEq val="0"/>
          </c:trendline>
          <c:cat>
            <c:strRef>
              <c:f>'Sim-land'!$B$132:$B$157</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'Sim-land'!$E$132:$E$157</c:f>
              <c:numCache>
                <c:formatCode>General</c:formatCode>
                <c:ptCount val="26"/>
                <c:pt idx="0">
                  <c:v>9.4482703592293493</c:v>
                </c:pt>
                <c:pt idx="1">
                  <c:v>-4.1989708003020709E-2</c:v>
                </c:pt>
                <c:pt idx="2">
                  <c:v>0.667293996312468</c:v>
                </c:pt>
                <c:pt idx="3">
                  <c:v>-0.92950172873180748</c:v>
                </c:pt>
                <c:pt idx="4">
                  <c:v>-0.99933569068314521</c:v>
                </c:pt>
                <c:pt idx="5">
                  <c:v>-1.3309881535440216</c:v>
                </c:pt>
                <c:pt idx="6">
                  <c:v>-0.6781023545409659</c:v>
                </c:pt>
                <c:pt idx="7">
                  <c:v>-0.77642935291399873</c:v>
                </c:pt>
                <c:pt idx="8">
                  <c:v>-1.3249688857901121</c:v>
                </c:pt>
                <c:pt idx="9">
                  <c:v>-1.5585461406722789</c:v>
                </c:pt>
                <c:pt idx="10">
                  <c:v>-1.0396381713664749</c:v>
                </c:pt>
                <c:pt idx="11">
                  <c:v>3.4176873784492523</c:v>
                </c:pt>
                <c:pt idx="12">
                  <c:v>-1.5240553879586227</c:v>
                </c:pt>
                <c:pt idx="13">
                  <c:v>-1.2749787983431293</c:v>
                </c:pt>
                <c:pt idx="14">
                  <c:v>5.2769008647245208</c:v>
                </c:pt>
                <c:pt idx="15">
                  <c:v>3.6017083599460431</c:v>
                </c:pt>
                <c:pt idx="16">
                  <c:v>-1.5828215096094223</c:v>
                </c:pt>
                <c:pt idx="17">
                  <c:v>15.985717992825577</c:v>
                </c:pt>
                <c:pt idx="18">
                  <c:v>-7.4742281721340564E-2</c:v>
                </c:pt>
                <c:pt idx="19">
                  <c:v>-0.12826934483431973</c:v>
                </c:pt>
                <c:pt idx="20">
                  <c:v>-0.13861795985511405</c:v>
                </c:pt>
                <c:pt idx="21">
                  <c:v>0.59373758077521099</c:v>
                </c:pt>
                <c:pt idx="22">
                  <c:v>1.6714799338476194</c:v>
                </c:pt>
                <c:pt idx="23">
                  <c:v>-0.17307553376124662</c:v>
                </c:pt>
                <c:pt idx="24">
                  <c:v>-0.16983374299947007</c:v>
                </c:pt>
                <c:pt idx="25">
                  <c:v>-0.10575033478942286</c:v>
                </c:pt>
              </c:numCache>
            </c:numRef>
          </c:val>
          <c:extLst>
            <c:ext xmlns:c16="http://schemas.microsoft.com/office/drawing/2014/chart" uri="{C3380CC4-5D6E-409C-BE32-E72D297353CC}">
              <c16:uniqueId val="{00000005-BBEE-4645-B4EA-BE3CFBB5C5C3}"/>
            </c:ext>
          </c:extLst>
        </c:ser>
        <c:dLbls>
          <c:showLegendKey val="0"/>
          <c:showVal val="0"/>
          <c:showCatName val="0"/>
          <c:showSerName val="0"/>
          <c:showPercent val="0"/>
          <c:showBubbleSize val="0"/>
        </c:dLbls>
        <c:gapWidth val="219"/>
        <c:overlap val="-27"/>
        <c:axId val="481588616"/>
        <c:axId val="233659064"/>
      </c:barChart>
      <c:catAx>
        <c:axId val="48158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33659064"/>
        <c:crosses val="autoZero"/>
        <c:auto val="1"/>
        <c:lblAlgn val="ctr"/>
        <c:lblOffset val="100"/>
        <c:noMultiLvlLbl val="0"/>
      </c:catAx>
      <c:valAx>
        <c:axId val="23365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588616"/>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Sheet1!$E$16</c:f>
              <c:strCache>
                <c:ptCount val="1"/>
                <c:pt idx="0">
                  <c:v>Women</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Sheet1!$D$17:$D$23</c:f>
              <c:strCache>
                <c:ptCount val="7"/>
                <c:pt idx="0">
                  <c:v>General crop production</c:v>
                </c:pt>
                <c:pt idx="1">
                  <c:v>Food crop production</c:v>
                </c:pt>
                <c:pt idx="2">
                  <c:v>Land tilling</c:v>
                </c:pt>
                <c:pt idx="3">
                  <c:v>Sowing</c:v>
                </c:pt>
                <c:pt idx="4">
                  <c:v>Weeding</c:v>
                </c:pt>
                <c:pt idx="5">
                  <c:v>Harvesting</c:v>
                </c:pt>
                <c:pt idx="6">
                  <c:v>Marketing</c:v>
                </c:pt>
              </c:strCache>
            </c:strRef>
          </c:cat>
          <c:val>
            <c:numRef>
              <c:f>Sheet1!$E$17:$E$23</c:f>
              <c:numCache>
                <c:formatCode>General</c:formatCode>
                <c:ptCount val="7"/>
                <c:pt idx="0">
                  <c:v>56</c:v>
                </c:pt>
                <c:pt idx="1">
                  <c:v>75</c:v>
                </c:pt>
                <c:pt idx="2">
                  <c:v>56</c:v>
                </c:pt>
                <c:pt idx="3">
                  <c:v>74</c:v>
                </c:pt>
                <c:pt idx="4">
                  <c:v>70</c:v>
                </c:pt>
                <c:pt idx="5">
                  <c:v>71</c:v>
                </c:pt>
                <c:pt idx="6">
                  <c:v>73</c:v>
                </c:pt>
              </c:numCache>
            </c:numRef>
          </c:val>
          <c:extLst>
            <c:ext xmlns:c16="http://schemas.microsoft.com/office/drawing/2014/chart" uri="{C3380CC4-5D6E-409C-BE32-E72D297353CC}">
              <c16:uniqueId val="{00000000-9567-43C0-B364-ED6D176FA486}"/>
            </c:ext>
          </c:extLst>
        </c:ser>
        <c:ser>
          <c:idx val="1"/>
          <c:order val="1"/>
          <c:tx>
            <c:strRef>
              <c:f>Sheet1!$F$16</c:f>
              <c:strCache>
                <c:ptCount val="1"/>
                <c:pt idx="0">
                  <c:v>Men</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Sheet1!$D$17:$D$23</c:f>
              <c:strCache>
                <c:ptCount val="7"/>
                <c:pt idx="0">
                  <c:v>General crop production</c:v>
                </c:pt>
                <c:pt idx="1">
                  <c:v>Food crop production</c:v>
                </c:pt>
                <c:pt idx="2">
                  <c:v>Land tilling</c:v>
                </c:pt>
                <c:pt idx="3">
                  <c:v>Sowing</c:v>
                </c:pt>
                <c:pt idx="4">
                  <c:v>Weeding</c:v>
                </c:pt>
                <c:pt idx="5">
                  <c:v>Harvesting</c:v>
                </c:pt>
                <c:pt idx="6">
                  <c:v>Marketing</c:v>
                </c:pt>
              </c:strCache>
            </c:strRef>
          </c:cat>
          <c:val>
            <c:numRef>
              <c:f>Sheet1!$F$17:$F$23</c:f>
              <c:numCache>
                <c:formatCode>General</c:formatCode>
                <c:ptCount val="7"/>
                <c:pt idx="0">
                  <c:v>44</c:v>
                </c:pt>
                <c:pt idx="1">
                  <c:v>25</c:v>
                </c:pt>
                <c:pt idx="2">
                  <c:v>44</c:v>
                </c:pt>
                <c:pt idx="3">
                  <c:v>26</c:v>
                </c:pt>
                <c:pt idx="4">
                  <c:v>30</c:v>
                </c:pt>
                <c:pt idx="5">
                  <c:v>29</c:v>
                </c:pt>
                <c:pt idx="6">
                  <c:v>27</c:v>
                </c:pt>
              </c:numCache>
            </c:numRef>
          </c:val>
          <c:extLst>
            <c:ext xmlns:c16="http://schemas.microsoft.com/office/drawing/2014/chart" uri="{C3380CC4-5D6E-409C-BE32-E72D297353CC}">
              <c16:uniqueId val="{00000001-9567-43C0-B364-ED6D176FA486}"/>
            </c:ext>
          </c:extLst>
        </c:ser>
        <c:dLbls>
          <c:showLegendKey val="0"/>
          <c:showVal val="0"/>
          <c:showCatName val="0"/>
          <c:showSerName val="0"/>
          <c:showPercent val="0"/>
          <c:showBubbleSize val="0"/>
        </c:dLbls>
        <c:gapWidth val="219"/>
        <c:overlap val="-27"/>
        <c:axId val="601092760"/>
        <c:axId val="601090016"/>
      </c:barChart>
      <c:catAx>
        <c:axId val="60109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0016"/>
        <c:crosses val="autoZero"/>
        <c:auto val="1"/>
        <c:lblAlgn val="ctr"/>
        <c:lblOffset val="100"/>
        <c:noMultiLvlLbl val="0"/>
      </c:catAx>
      <c:valAx>
        <c:axId val="60109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'Sim-land'!$C$102</c:f>
              <c:strCache>
                <c:ptCount val="1"/>
                <c:pt idx="0">
                  <c:v>unskilled</c:v>
                </c:pt>
              </c:strCache>
            </c:strRef>
          </c:tx>
          <c:spPr>
            <a:solidFill>
              <a:schemeClr val="bg2">
                <a:lumMod val="75000"/>
              </a:schemeClr>
            </a:solidFill>
            <a:ln w="50800">
              <a:solidFill>
                <a:schemeClr val="bg2">
                  <a:lumMod val="90000"/>
                </a:schemeClr>
              </a:solidFill>
            </a:ln>
            <a:effectLst/>
          </c:spPr>
          <c:invertIfNegative val="0"/>
          <c:cat>
            <c:strRef>
              <c:f>'Sim-land'!$B$103:$B$128</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'Sim-land'!$C$103:$C$128</c:f>
              <c:numCache>
                <c:formatCode>General</c:formatCode>
                <c:ptCount val="26"/>
                <c:pt idx="0">
                  <c:v>-10.561824154008937</c:v>
                </c:pt>
                <c:pt idx="1">
                  <c:v>0.9137090781098367</c:v>
                </c:pt>
                <c:pt idx="2">
                  <c:v>-0.82764077970614025</c:v>
                </c:pt>
                <c:pt idx="3">
                  <c:v>0.78724422751481615</c:v>
                </c:pt>
                <c:pt idx="4">
                  <c:v>2.821012560868752</c:v>
                </c:pt>
                <c:pt idx="5">
                  <c:v>0.61728906192555222</c:v>
                </c:pt>
                <c:pt idx="6">
                  <c:v>1.220905984098164</c:v>
                </c:pt>
                <c:pt idx="7">
                  <c:v>0.5113343509135726</c:v>
                </c:pt>
                <c:pt idx="8">
                  <c:v>0.621097270647053</c:v>
                </c:pt>
                <c:pt idx="9">
                  <c:v>0.41963996988108043</c:v>
                </c:pt>
                <c:pt idx="10">
                  <c:v>0.91542788355163385</c:v>
                </c:pt>
                <c:pt idx="11">
                  <c:v>-4.2704838778429792</c:v>
                </c:pt>
                <c:pt idx="12">
                  <c:v>0.49260672349749068</c:v>
                </c:pt>
                <c:pt idx="13">
                  <c:v>0.66096684956544749</c:v>
                </c:pt>
                <c:pt idx="14">
                  <c:v>-2.7844228661147552</c:v>
                </c:pt>
                <c:pt idx="15">
                  <c:v>-0.93820045517103434</c:v>
                </c:pt>
                <c:pt idx="16">
                  <c:v>0.81001595267358173</c:v>
                </c:pt>
                <c:pt idx="17">
                  <c:v>6.78378995033313E-2</c:v>
                </c:pt>
                <c:pt idx="18">
                  <c:v>0.30548668263428169</c:v>
                </c:pt>
                <c:pt idx="19">
                  <c:v>0.2514798558342024</c:v>
                </c:pt>
                <c:pt idx="20">
                  <c:v>0.23926344887554851</c:v>
                </c:pt>
                <c:pt idx="21">
                  <c:v>0.97795011528920561</c:v>
                </c:pt>
                <c:pt idx="22">
                  <c:v>2.060462419691822</c:v>
                </c:pt>
                <c:pt idx="23">
                  <c:v>7.5922666684324902E-2</c:v>
                </c:pt>
                <c:pt idx="24">
                  <c:v>7.911634777069132E-2</c:v>
                </c:pt>
                <c:pt idx="25">
                  <c:v>0.14691049302661963</c:v>
                </c:pt>
              </c:numCache>
            </c:numRef>
          </c:val>
          <c:extLst>
            <c:ext xmlns:c16="http://schemas.microsoft.com/office/drawing/2014/chart" uri="{C3380CC4-5D6E-409C-BE32-E72D297353CC}">
              <c16:uniqueId val="{00000000-C580-47B0-8E77-8BB000423D8D}"/>
            </c:ext>
          </c:extLst>
        </c:ser>
        <c:ser>
          <c:idx val="1"/>
          <c:order val="1"/>
          <c:tx>
            <c:strRef>
              <c:f>'Sim-land'!$D$102</c:f>
              <c:strCache>
                <c:ptCount val="1"/>
                <c:pt idx="0">
                  <c:v>semi-skilled</c:v>
                </c:pt>
              </c:strCache>
            </c:strRef>
          </c:tx>
          <c:spPr>
            <a:solidFill>
              <a:srgbClr val="E60A44"/>
            </a:solidFill>
            <a:ln w="50800">
              <a:solidFill>
                <a:srgbClr val="E60A44"/>
              </a:solidFill>
            </a:ln>
            <a:effectLst/>
          </c:spPr>
          <c:invertIfNegative val="0"/>
          <c:cat>
            <c:strRef>
              <c:f>'Sim-land'!$B$103:$B$128</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'Sim-land'!$D$103:$D$128</c:f>
              <c:numCache>
                <c:formatCode>General</c:formatCode>
                <c:ptCount val="26"/>
                <c:pt idx="0">
                  <c:v>-10.60961264423752</c:v>
                </c:pt>
                <c:pt idx="1">
                  <c:v>0.85978899597018987</c:v>
                </c:pt>
                <c:pt idx="2">
                  <c:v>-0.88063042606039144</c:v>
                </c:pt>
                <c:pt idx="3">
                  <c:v>0.7333917179106475</c:v>
                </c:pt>
                <c:pt idx="4">
                  <c:v>2.7660733708206653</c:v>
                </c:pt>
                <c:pt idx="5">
                  <c:v>0.56352736254294822</c:v>
                </c:pt>
                <c:pt idx="6">
                  <c:v>1.1668217609082099</c:v>
                </c:pt>
                <c:pt idx="7">
                  <c:v>0.45762926511414559</c:v>
                </c:pt>
                <c:pt idx="8">
                  <c:v>0.56733353646689633</c:v>
                </c:pt>
                <c:pt idx="9">
                  <c:v>0.36598387810327093</c:v>
                </c:pt>
                <c:pt idx="10">
                  <c:v>0.86150688302217837</c:v>
                </c:pt>
                <c:pt idx="11">
                  <c:v>-4.3216339487637701</c:v>
                </c:pt>
                <c:pt idx="12">
                  <c:v>0.43891164421969719</c:v>
                </c:pt>
                <c:pt idx="13">
                  <c:v>0.60718181232408686</c:v>
                </c:pt>
                <c:pt idx="14">
                  <c:v>-2.8363669672166747</c:v>
                </c:pt>
                <c:pt idx="15">
                  <c:v>-0.9911310274232088</c:v>
                </c:pt>
                <c:pt idx="16">
                  <c:v>0.75615127571022622</c:v>
                </c:pt>
                <c:pt idx="17">
                  <c:v>1.4369782145862153E-2</c:v>
                </c:pt>
                <c:pt idx="18">
                  <c:v>0.25189158509375531</c:v>
                </c:pt>
                <c:pt idx="19">
                  <c:v>0.19791361515015815</c:v>
                </c:pt>
                <c:pt idx="20">
                  <c:v>0.1857037356460145</c:v>
                </c:pt>
                <c:pt idx="21">
                  <c:v>0.92399570796510844</c:v>
                </c:pt>
                <c:pt idx="22">
                  <c:v>2.005929605806589</c:v>
                </c:pt>
                <c:pt idx="23">
                  <c:v>2.2450229488257811E-2</c:v>
                </c:pt>
                <c:pt idx="24">
                  <c:v>2.5642204130993385E-2</c:v>
                </c:pt>
                <c:pt idx="25">
                  <c:v>9.3400125707643333E-2</c:v>
                </c:pt>
              </c:numCache>
            </c:numRef>
          </c:val>
          <c:extLst>
            <c:ext xmlns:c16="http://schemas.microsoft.com/office/drawing/2014/chart" uri="{C3380CC4-5D6E-409C-BE32-E72D297353CC}">
              <c16:uniqueId val="{00000001-C580-47B0-8E77-8BB000423D8D}"/>
            </c:ext>
          </c:extLst>
        </c:ser>
        <c:ser>
          <c:idx val="2"/>
          <c:order val="2"/>
          <c:tx>
            <c:strRef>
              <c:f>'Sim-land'!$E$102</c:f>
              <c:strCache>
                <c:ptCount val="1"/>
                <c:pt idx="0">
                  <c:v>skilled</c:v>
                </c:pt>
              </c:strCache>
            </c:strRef>
          </c:tx>
          <c:spPr>
            <a:solidFill>
              <a:srgbClr val="00B0F0"/>
            </a:solidFill>
            <a:ln w="44450">
              <a:solidFill>
                <a:srgbClr val="00B0F0"/>
              </a:solidFill>
            </a:ln>
            <a:effectLst/>
          </c:spPr>
          <c:invertIfNegative val="0"/>
          <c:cat>
            <c:strRef>
              <c:f>'Sim-land'!$B$103:$B$128</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'Sim-land'!$E$103:$E$128</c:f>
              <c:numCache>
                <c:formatCode>General</c:formatCode>
                <c:ptCount val="26"/>
                <c:pt idx="0">
                  <c:v>-10.631347356457121</c:v>
                </c:pt>
                <c:pt idx="1">
                  <c:v>0.83526557071500473</c:v>
                </c:pt>
                <c:pt idx="2">
                  <c:v>-0.90473067925180839</c:v>
                </c:pt>
                <c:pt idx="3">
                  <c:v>0.70889902536124261</c:v>
                </c:pt>
                <c:pt idx="4">
                  <c:v>2.741086444479568</c:v>
                </c:pt>
                <c:pt idx="5">
                  <c:v>0.53907597144542407</c:v>
                </c:pt>
                <c:pt idx="6">
                  <c:v>1.1422236825624266</c:v>
                </c:pt>
                <c:pt idx="7">
                  <c:v>0.43320362247478705</c:v>
                </c:pt>
                <c:pt idx="8">
                  <c:v>0.54288121992196459</c:v>
                </c:pt>
                <c:pt idx="9">
                  <c:v>0.34158051846462367</c:v>
                </c:pt>
                <c:pt idx="10">
                  <c:v>0.83698304007353563</c:v>
                </c:pt>
                <c:pt idx="11">
                  <c:v>-4.3448975435366961</c:v>
                </c:pt>
                <c:pt idx="12">
                  <c:v>0.41449055265254664</c:v>
                </c:pt>
                <c:pt idx="13">
                  <c:v>0.58271980692108372</c:v>
                </c:pt>
                <c:pt idx="14">
                  <c:v>-2.8599916953378268</c:v>
                </c:pt>
                <c:pt idx="15">
                  <c:v>-1.0152044130864124</c:v>
                </c:pt>
                <c:pt idx="16">
                  <c:v>0.73165304931683828</c:v>
                </c:pt>
                <c:pt idx="17">
                  <c:v>-9.9480847326471888E-3</c:v>
                </c:pt>
                <c:pt idx="18">
                  <c:v>0.22751596628101112</c:v>
                </c:pt>
                <c:pt idx="19">
                  <c:v>0.17355112074188828</c:v>
                </c:pt>
                <c:pt idx="20">
                  <c:v>0.16134420999329713</c:v>
                </c:pt>
                <c:pt idx="21">
                  <c:v>0.8994566712519303</c:v>
                </c:pt>
                <c:pt idx="22">
                  <c:v>1.9811275036546006</c:v>
                </c:pt>
                <c:pt idx="23">
                  <c:v>-1.8696020987585271E-3</c:v>
                </c:pt>
                <c:pt idx="24">
                  <c:v>1.3215964353996412E-3</c:v>
                </c:pt>
                <c:pt idx="25">
                  <c:v>6.9063043098505084E-2</c:v>
                </c:pt>
              </c:numCache>
            </c:numRef>
          </c:val>
          <c:extLst>
            <c:ext xmlns:c16="http://schemas.microsoft.com/office/drawing/2014/chart" uri="{C3380CC4-5D6E-409C-BE32-E72D297353CC}">
              <c16:uniqueId val="{00000002-C580-47B0-8E77-8BB000423D8D}"/>
            </c:ext>
          </c:extLst>
        </c:ser>
        <c:dLbls>
          <c:showLegendKey val="0"/>
          <c:showVal val="0"/>
          <c:showCatName val="0"/>
          <c:showSerName val="0"/>
          <c:showPercent val="0"/>
          <c:showBubbleSize val="0"/>
        </c:dLbls>
        <c:gapWidth val="219"/>
        <c:overlap val="-27"/>
        <c:axId val="233666512"/>
        <c:axId val="233657104"/>
      </c:barChart>
      <c:catAx>
        <c:axId val="2336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57104"/>
        <c:crosses val="autoZero"/>
        <c:auto val="1"/>
        <c:lblAlgn val="ctr"/>
        <c:lblOffset val="100"/>
        <c:noMultiLvlLbl val="0"/>
      </c:catAx>
      <c:valAx>
        <c:axId val="23365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6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'Sim-Fertilizer'!$C$35</c:f>
              <c:strCache>
                <c:ptCount val="1"/>
                <c:pt idx="0">
                  <c:v>Total  output of agricultural industry</c:v>
                </c:pt>
              </c:strCache>
            </c:strRef>
          </c:tx>
          <c:spPr>
            <a:solidFill>
              <a:srgbClr val="00B0F0"/>
            </a:solidFill>
            <a:ln w="57150">
              <a:solidFill>
                <a:srgbClr val="00B0F0"/>
              </a:solidFill>
            </a:ln>
            <a:effectLst/>
          </c:spPr>
          <c:invertIfNegative val="0"/>
          <c:trendline>
            <c:spPr>
              <a:ln w="19050" cap="rnd">
                <a:solidFill>
                  <a:srgbClr val="0070C0"/>
                </a:solidFill>
                <a:prstDash val="sysDot"/>
              </a:ln>
              <a:effectLst/>
            </c:spPr>
            <c:trendlineType val="linear"/>
            <c:dispRSqr val="0"/>
            <c:dispEq val="0"/>
          </c:trendline>
          <c:cat>
            <c:strRef>
              <c:f>'Sim-Fertilizer'!$B$36:$B$61</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'Sim-Fertilizer'!$C$36:$C$61</c:f>
              <c:numCache>
                <c:formatCode>General</c:formatCode>
                <c:ptCount val="26"/>
                <c:pt idx="0">
                  <c:v>5.1345075623097314</c:v>
                </c:pt>
                <c:pt idx="1">
                  <c:v>1.8099080561049696</c:v>
                </c:pt>
                <c:pt idx="2">
                  <c:v>5.8620163129974534</c:v>
                </c:pt>
                <c:pt idx="3">
                  <c:v>-4.8952306019929948</c:v>
                </c:pt>
                <c:pt idx="4">
                  <c:v>1.2245278418276717</c:v>
                </c:pt>
                <c:pt idx="5">
                  <c:v>1.9276952511934731</c:v>
                </c:pt>
                <c:pt idx="6">
                  <c:v>-9.7527709436873167E-2</c:v>
                </c:pt>
                <c:pt idx="7">
                  <c:v>-2.9111180755030386</c:v>
                </c:pt>
                <c:pt idx="8">
                  <c:v>5.1888226735097964</c:v>
                </c:pt>
                <c:pt idx="9">
                  <c:v>5.1340382650903793</c:v>
                </c:pt>
                <c:pt idx="10">
                  <c:v>5.6400855815900819</c:v>
                </c:pt>
                <c:pt idx="11">
                  <c:v>0.67413596071099757</c:v>
                </c:pt>
                <c:pt idx="12">
                  <c:v>-0.79196313767037063</c:v>
                </c:pt>
                <c:pt idx="13">
                  <c:v>3.1720417671690093</c:v>
                </c:pt>
                <c:pt idx="14">
                  <c:v>10.254415688995566</c:v>
                </c:pt>
                <c:pt idx="15">
                  <c:v>5.1691595172850935</c:v>
                </c:pt>
                <c:pt idx="16">
                  <c:v>-6.800845407220379</c:v>
                </c:pt>
                <c:pt idx="17">
                  <c:v>-5.5331269025743257</c:v>
                </c:pt>
                <c:pt idx="18">
                  <c:v>-2.5325620181268382</c:v>
                </c:pt>
                <c:pt idx="19">
                  <c:v>0.36649526739100935</c:v>
                </c:pt>
                <c:pt idx="20">
                  <c:v>0.25439346777145211</c:v>
                </c:pt>
                <c:pt idx="21">
                  <c:v>16.245683554584289</c:v>
                </c:pt>
                <c:pt idx="22">
                  <c:v>17.845754657990433</c:v>
                </c:pt>
                <c:pt idx="23">
                  <c:v>0.4853065335990836</c:v>
                </c:pt>
                <c:pt idx="24">
                  <c:v>5.9334438527737232</c:v>
                </c:pt>
                <c:pt idx="25">
                  <c:v>0.48876149345469244</c:v>
                </c:pt>
              </c:numCache>
            </c:numRef>
          </c:val>
          <c:extLst>
            <c:ext xmlns:c16="http://schemas.microsoft.com/office/drawing/2014/chart" uri="{C3380CC4-5D6E-409C-BE32-E72D297353CC}">
              <c16:uniqueId val="{00000001-25FE-440B-A19F-3C19FE4FD534}"/>
            </c:ext>
          </c:extLst>
        </c:ser>
        <c:ser>
          <c:idx val="1"/>
          <c:order val="1"/>
          <c:tx>
            <c:strRef>
              <c:f>'Sim-Fertilizer'!$D$35</c:f>
              <c:strCache>
                <c:ptCount val="1"/>
                <c:pt idx="0">
                  <c:v>Domestic demand for agricultural commodity  produced locally</c:v>
                </c:pt>
              </c:strCache>
            </c:strRef>
          </c:tx>
          <c:spPr>
            <a:solidFill>
              <a:srgbClr val="E60A44"/>
            </a:solidFill>
            <a:ln w="25400">
              <a:solidFill>
                <a:srgbClr val="E60A44"/>
              </a:solidFill>
            </a:ln>
            <a:effectLst/>
          </c:spPr>
          <c:invertIfNegative val="0"/>
          <c:trendline>
            <c:spPr>
              <a:ln w="12700" cap="rnd">
                <a:solidFill>
                  <a:srgbClr val="C00000"/>
                </a:solidFill>
                <a:prstDash val="dash"/>
              </a:ln>
              <a:effectLst/>
            </c:spPr>
            <c:trendlineType val="linear"/>
            <c:dispRSqr val="0"/>
            <c:dispEq val="0"/>
          </c:trendline>
          <c:cat>
            <c:strRef>
              <c:f>'Sim-Fertilizer'!$B$36:$B$61</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'Sim-Fertilizer'!$D$36:$D$61</c:f>
              <c:numCache>
                <c:formatCode>General</c:formatCode>
                <c:ptCount val="26"/>
                <c:pt idx="0">
                  <c:v>5.163058366312101</c:v>
                </c:pt>
                <c:pt idx="1">
                  <c:v>1.8099080561048808</c:v>
                </c:pt>
                <c:pt idx="2">
                  <c:v>5.8714209441474541</c:v>
                </c:pt>
                <c:pt idx="3">
                  <c:v>-4.3405579156303382</c:v>
                </c:pt>
                <c:pt idx="4">
                  <c:v>3.4858205579951562</c:v>
                </c:pt>
                <c:pt idx="5">
                  <c:v>3.6527836830250848</c:v>
                </c:pt>
                <c:pt idx="6">
                  <c:v>-9.752770943683986E-2</c:v>
                </c:pt>
                <c:pt idx="7">
                  <c:v>-0.19609698758087379</c:v>
                </c:pt>
                <c:pt idx="8">
                  <c:v>5.188822673509752</c:v>
                </c:pt>
                <c:pt idx="9">
                  <c:v>5.1723417121062099</c:v>
                </c:pt>
                <c:pt idx="10">
                  <c:v>5.6518473940729175</c:v>
                </c:pt>
                <c:pt idx="11">
                  <c:v>0.67413596071099757</c:v>
                </c:pt>
                <c:pt idx="12">
                  <c:v>0.88489058920016017</c:v>
                </c:pt>
                <c:pt idx="13">
                  <c:v>4.2335739754107093</c:v>
                </c:pt>
                <c:pt idx="14">
                  <c:v>17.423701849894123</c:v>
                </c:pt>
                <c:pt idx="15">
                  <c:v>18.474081189673576</c:v>
                </c:pt>
                <c:pt idx="16">
                  <c:v>-0.4423502519705691</c:v>
                </c:pt>
                <c:pt idx="17">
                  <c:v>2.6088432450587895</c:v>
                </c:pt>
                <c:pt idx="18">
                  <c:v>-2.5133193539213838</c:v>
                </c:pt>
                <c:pt idx="19">
                  <c:v>0.36649526739103155</c:v>
                </c:pt>
                <c:pt idx="20">
                  <c:v>0.25439346777145211</c:v>
                </c:pt>
                <c:pt idx="21">
                  <c:v>16.245683554584399</c:v>
                </c:pt>
                <c:pt idx="22">
                  <c:v>18.347152577645389</c:v>
                </c:pt>
                <c:pt idx="23">
                  <c:v>3.1514190980024726</c:v>
                </c:pt>
                <c:pt idx="24">
                  <c:v>6.144983533971482</c:v>
                </c:pt>
                <c:pt idx="25">
                  <c:v>1.5419414717010582</c:v>
                </c:pt>
              </c:numCache>
            </c:numRef>
          </c:val>
          <c:extLst>
            <c:ext xmlns:c16="http://schemas.microsoft.com/office/drawing/2014/chart" uri="{C3380CC4-5D6E-409C-BE32-E72D297353CC}">
              <c16:uniqueId val="{00000003-25FE-440B-A19F-3C19FE4FD534}"/>
            </c:ext>
          </c:extLst>
        </c:ser>
        <c:dLbls>
          <c:showLegendKey val="0"/>
          <c:showVal val="0"/>
          <c:showCatName val="0"/>
          <c:showSerName val="0"/>
          <c:showPercent val="0"/>
          <c:showBubbleSize val="0"/>
        </c:dLbls>
        <c:gapWidth val="219"/>
        <c:overlap val="-27"/>
        <c:axId val="233667296"/>
        <c:axId val="233660632"/>
      </c:barChart>
      <c:catAx>
        <c:axId val="23366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60632"/>
        <c:crosses val="autoZero"/>
        <c:auto val="1"/>
        <c:lblAlgn val="ctr"/>
        <c:lblOffset val="100"/>
        <c:noMultiLvlLbl val="0"/>
      </c:catAx>
      <c:valAx>
        <c:axId val="23366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6729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'Sim-Fertilizer'!$C$65</c:f>
              <c:strCache>
                <c:ptCount val="1"/>
                <c:pt idx="0">
                  <c:v>Domestic demand for agri-food commodities produced locally</c:v>
                </c:pt>
              </c:strCache>
            </c:strRef>
          </c:tx>
          <c:spPr>
            <a:solidFill>
              <a:srgbClr val="00B0F0"/>
            </a:solidFill>
            <a:ln w="53975">
              <a:solidFill>
                <a:srgbClr val="00B0F0"/>
              </a:solidFill>
            </a:ln>
            <a:effectLst/>
          </c:spPr>
          <c:invertIfNegative val="0"/>
          <c:cat>
            <c:strRef>
              <c:f>'Sim-Fertilizer'!$B$66:$B$83</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'Sim-Fertilizer'!$C$66:$C$83</c:f>
              <c:numCache>
                <c:formatCode>General</c:formatCode>
                <c:ptCount val="18"/>
                <c:pt idx="0">
                  <c:v>5.163058366312101</c:v>
                </c:pt>
                <c:pt idx="1">
                  <c:v>1.8099080561048808</c:v>
                </c:pt>
                <c:pt idx="2">
                  <c:v>5.8714209441474541</c:v>
                </c:pt>
                <c:pt idx="3">
                  <c:v>-4.3405579156303382</c:v>
                </c:pt>
                <c:pt idx="4">
                  <c:v>3.4858205579951562</c:v>
                </c:pt>
                <c:pt idx="5">
                  <c:v>3.6527836830250848</c:v>
                </c:pt>
                <c:pt idx="6">
                  <c:v>-9.752770943683986E-2</c:v>
                </c:pt>
                <c:pt idx="7">
                  <c:v>-0.19609698758087379</c:v>
                </c:pt>
                <c:pt idx="8">
                  <c:v>5.188822673509752</c:v>
                </c:pt>
                <c:pt idx="9">
                  <c:v>5.1723417121062099</c:v>
                </c:pt>
                <c:pt idx="10">
                  <c:v>5.6518473940729175</c:v>
                </c:pt>
                <c:pt idx="11">
                  <c:v>0.67413596071099757</c:v>
                </c:pt>
                <c:pt idx="12">
                  <c:v>0.88489058920016017</c:v>
                </c:pt>
                <c:pt idx="13">
                  <c:v>4.2335739754107093</c:v>
                </c:pt>
                <c:pt idx="14">
                  <c:v>17.423701849894123</c:v>
                </c:pt>
                <c:pt idx="15">
                  <c:v>18.474081189673576</c:v>
                </c:pt>
                <c:pt idx="16">
                  <c:v>-0.4423502519705691</c:v>
                </c:pt>
                <c:pt idx="17">
                  <c:v>2.6088432450587895</c:v>
                </c:pt>
              </c:numCache>
            </c:numRef>
          </c:val>
          <c:extLst>
            <c:ext xmlns:c16="http://schemas.microsoft.com/office/drawing/2014/chart" uri="{C3380CC4-5D6E-409C-BE32-E72D297353CC}">
              <c16:uniqueId val="{00000000-A83B-4A35-BC13-DE620CDF2F44}"/>
            </c:ext>
          </c:extLst>
        </c:ser>
        <c:dLbls>
          <c:showLegendKey val="0"/>
          <c:showVal val="0"/>
          <c:showCatName val="0"/>
          <c:showSerName val="0"/>
          <c:showPercent val="0"/>
          <c:showBubbleSize val="0"/>
        </c:dLbls>
        <c:gapWidth val="219"/>
        <c:overlap val="-27"/>
        <c:axId val="393626680"/>
        <c:axId val="393632560"/>
      </c:barChart>
      <c:lineChart>
        <c:grouping val="standard"/>
        <c:varyColors val="0"/>
        <c:ser>
          <c:idx val="1"/>
          <c:order val="1"/>
          <c:tx>
            <c:strRef>
              <c:f>'Sim-Fertilizer'!$D$65</c:f>
              <c:strCache>
                <c:ptCount val="1"/>
                <c:pt idx="0">
                  <c:v>Women employment rate</c:v>
                </c:pt>
              </c:strCache>
            </c:strRef>
          </c:tx>
          <c:spPr>
            <a:ln w="12700" cap="rnd">
              <a:solidFill>
                <a:srgbClr val="E60A44"/>
              </a:solidFill>
              <a:round/>
            </a:ln>
            <a:effectLst/>
          </c:spPr>
          <c:marker>
            <c:symbol val="none"/>
          </c:marker>
          <c:cat>
            <c:strRef>
              <c:f>'Sim-Fertilizer'!$B$66:$B$83</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'Sim-Fertilizer'!$D$66:$D$83</c:f>
              <c:numCache>
                <c:formatCode>_(* #,##0.00_);_(* \(#,##0.00\);_(* "-"??_);_(@_)</c:formatCode>
                <c:ptCount val="18"/>
                <c:pt idx="0">
                  <c:v>4.2543750351232683</c:v>
                </c:pt>
                <c:pt idx="1">
                  <c:v>0.44324259615066264</c:v>
                </c:pt>
                <c:pt idx="2">
                  <c:v>1.77651406262643</c:v>
                </c:pt>
                <c:pt idx="3">
                  <c:v>0.12015549323580035</c:v>
                </c:pt>
                <c:pt idx="4">
                  <c:v>5.56949846314772E-2</c:v>
                </c:pt>
                <c:pt idx="5">
                  <c:v>6.1360751999617689</c:v>
                </c:pt>
                <c:pt idx="6">
                  <c:v>1.96624579657336</c:v>
                </c:pt>
                <c:pt idx="7">
                  <c:v>2.00688148206256</c:v>
                </c:pt>
                <c:pt idx="8">
                  <c:v>4.7149651856588655</c:v>
                </c:pt>
                <c:pt idx="9">
                  <c:v>6.6250837629347981</c:v>
                </c:pt>
                <c:pt idx="10">
                  <c:v>3.7088968808201423</c:v>
                </c:pt>
                <c:pt idx="11">
                  <c:v>0.80631844726373059</c:v>
                </c:pt>
                <c:pt idx="12">
                  <c:v>0.33927179904422039</c:v>
                </c:pt>
                <c:pt idx="13">
                  <c:v>10.505805421071008</c:v>
                </c:pt>
                <c:pt idx="14">
                  <c:v>0.96680259556587222</c:v>
                </c:pt>
                <c:pt idx="15">
                  <c:v>0.15160687360308137</c:v>
                </c:pt>
                <c:pt idx="16">
                  <c:v>0.14317538452737374</c:v>
                </c:pt>
                <c:pt idx="17">
                  <c:v>0.14099727337814336</c:v>
                </c:pt>
              </c:numCache>
            </c:numRef>
          </c:val>
          <c:smooth val="0"/>
          <c:extLst>
            <c:ext xmlns:c16="http://schemas.microsoft.com/office/drawing/2014/chart" uri="{C3380CC4-5D6E-409C-BE32-E72D297353CC}">
              <c16:uniqueId val="{00000001-A83B-4A35-BC13-DE620CDF2F44}"/>
            </c:ext>
          </c:extLst>
        </c:ser>
        <c:dLbls>
          <c:showLegendKey val="0"/>
          <c:showVal val="0"/>
          <c:showCatName val="0"/>
          <c:showSerName val="0"/>
          <c:showPercent val="0"/>
          <c:showBubbleSize val="0"/>
        </c:dLbls>
        <c:marker val="1"/>
        <c:smooth val="0"/>
        <c:axId val="393638440"/>
        <c:axId val="393639616"/>
      </c:lineChart>
      <c:catAx>
        <c:axId val="39363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393639616"/>
        <c:crosses val="autoZero"/>
        <c:auto val="1"/>
        <c:lblAlgn val="ctr"/>
        <c:lblOffset val="100"/>
        <c:noMultiLvlLbl val="0"/>
      </c:catAx>
      <c:valAx>
        <c:axId val="39363961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393638440"/>
        <c:crosses val="autoZero"/>
        <c:crossBetween val="between"/>
      </c:valAx>
      <c:valAx>
        <c:axId val="393632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393626680"/>
        <c:crosses val="max"/>
        <c:crossBetween val="between"/>
      </c:valAx>
      <c:catAx>
        <c:axId val="393626680"/>
        <c:scaling>
          <c:orientation val="minMax"/>
        </c:scaling>
        <c:delete val="1"/>
        <c:axPos val="b"/>
        <c:numFmt formatCode="General" sourceLinked="1"/>
        <c:majorTickMark val="out"/>
        <c:minorTickMark val="none"/>
        <c:tickLblPos val="nextTo"/>
        <c:crossAx val="39363256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'Sim-Fertilizer'!$B$179</c:f>
              <c:strCache>
                <c:ptCount val="1"/>
                <c:pt idx="0">
                  <c:v>Contribution of composite capital to VA</c:v>
                </c:pt>
              </c:strCache>
            </c:strRef>
          </c:tx>
          <c:spPr>
            <a:solidFill>
              <a:srgbClr val="00B0F0"/>
            </a:solidFill>
            <a:ln w="38100">
              <a:solidFill>
                <a:srgbClr val="00B0F0"/>
              </a:solidFill>
            </a:ln>
            <a:effectLst/>
          </c:spPr>
          <c:invertIfNegative val="0"/>
          <c:cat>
            <c:strRef>
              <c:f>'Sim-Fertilizer'!$A$180:$A$197</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'Sim-Fertilizer'!$B$180:$B$197</c:f>
              <c:numCache>
                <c:formatCode>0.0</c:formatCode>
                <c:ptCount val="18"/>
                <c:pt idx="0">
                  <c:v>82.998511774312334</c:v>
                </c:pt>
                <c:pt idx="1">
                  <c:v>85.931692968103874</c:v>
                </c:pt>
                <c:pt idx="2">
                  <c:v>82.389942449575372</c:v>
                </c:pt>
                <c:pt idx="3">
                  <c:v>77.170187029368336</c:v>
                </c:pt>
                <c:pt idx="4">
                  <c:v>71.30232221510559</c:v>
                </c:pt>
                <c:pt idx="5">
                  <c:v>61.226790692938906</c:v>
                </c:pt>
                <c:pt idx="6">
                  <c:v>61.99456507643756</c:v>
                </c:pt>
                <c:pt idx="7">
                  <c:v>63.9022970198981</c:v>
                </c:pt>
                <c:pt idx="8">
                  <c:v>49.320362880596697</c:v>
                </c:pt>
                <c:pt idx="9">
                  <c:v>34.798414711109587</c:v>
                </c:pt>
                <c:pt idx="10">
                  <c:v>66.148233505718068</c:v>
                </c:pt>
                <c:pt idx="11">
                  <c:v>57.239459869443557</c:v>
                </c:pt>
                <c:pt idx="12">
                  <c:v>48.188811145651087</c:v>
                </c:pt>
                <c:pt idx="13">
                  <c:v>62.318022321987009</c:v>
                </c:pt>
                <c:pt idx="14">
                  <c:v>53.196815040892616</c:v>
                </c:pt>
                <c:pt idx="15">
                  <c:v>47.577613109089917</c:v>
                </c:pt>
                <c:pt idx="16">
                  <c:v>70.601376506568613</c:v>
                </c:pt>
                <c:pt idx="17">
                  <c:v>70.066082146523073</c:v>
                </c:pt>
              </c:numCache>
            </c:numRef>
          </c:val>
          <c:extLst>
            <c:ext xmlns:c16="http://schemas.microsoft.com/office/drawing/2014/chart" uri="{C3380CC4-5D6E-409C-BE32-E72D297353CC}">
              <c16:uniqueId val="{00000000-6362-4385-87BE-3D31E9FF36FF}"/>
            </c:ext>
          </c:extLst>
        </c:ser>
        <c:ser>
          <c:idx val="1"/>
          <c:order val="1"/>
          <c:tx>
            <c:strRef>
              <c:f>'Sim-Fertilizer'!$C$179</c:f>
              <c:strCache>
                <c:ptCount val="1"/>
                <c:pt idx="0">
                  <c:v>Contribution of female labour to VA (base)</c:v>
                </c:pt>
              </c:strCache>
            </c:strRef>
          </c:tx>
          <c:spPr>
            <a:solidFill>
              <a:srgbClr val="E60A44"/>
            </a:solidFill>
            <a:ln w="47625">
              <a:solidFill>
                <a:srgbClr val="FF0000"/>
              </a:solidFill>
            </a:ln>
            <a:effectLst/>
          </c:spPr>
          <c:invertIfNegative val="0"/>
          <c:cat>
            <c:strRef>
              <c:f>'Sim-Fertilizer'!$A$180:$A$197</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'Sim-Fertilizer'!$C$180:$C$197</c:f>
              <c:numCache>
                <c:formatCode>0.00</c:formatCode>
                <c:ptCount val="18"/>
                <c:pt idx="0">
                  <c:v>7.716277613563161</c:v>
                </c:pt>
                <c:pt idx="1">
                  <c:v>5.9759204897182308</c:v>
                </c:pt>
                <c:pt idx="2">
                  <c:v>7.5205297009386731</c:v>
                </c:pt>
                <c:pt idx="3">
                  <c:v>9.7087772919042106</c:v>
                </c:pt>
                <c:pt idx="4">
                  <c:v>12.248104508981239</c:v>
                </c:pt>
                <c:pt idx="5">
                  <c:v>16.630308275731725</c:v>
                </c:pt>
                <c:pt idx="6">
                  <c:v>16.28322085667082</c:v>
                </c:pt>
                <c:pt idx="7">
                  <c:v>15.466229351268382</c:v>
                </c:pt>
                <c:pt idx="8">
                  <c:v>21.945074457342251</c:v>
                </c:pt>
                <c:pt idx="9">
                  <c:v>28.51541259941957</c:v>
                </c:pt>
                <c:pt idx="10">
                  <c:v>14.479865406420661</c:v>
                </c:pt>
                <c:pt idx="11">
                  <c:v>18.775692197270835</c:v>
                </c:pt>
                <c:pt idx="12">
                  <c:v>22.393591628396845</c:v>
                </c:pt>
                <c:pt idx="13">
                  <c:v>16.14828884993641</c:v>
                </c:pt>
                <c:pt idx="14">
                  <c:v>20.581121431880984</c:v>
                </c:pt>
                <c:pt idx="15">
                  <c:v>22.971201885051858</c:v>
                </c:pt>
                <c:pt idx="16">
                  <c:v>12.556265906259689</c:v>
                </c:pt>
                <c:pt idx="17">
                  <c:v>13.369952343956596</c:v>
                </c:pt>
              </c:numCache>
            </c:numRef>
          </c:val>
          <c:extLst>
            <c:ext xmlns:c16="http://schemas.microsoft.com/office/drawing/2014/chart" uri="{C3380CC4-5D6E-409C-BE32-E72D297353CC}">
              <c16:uniqueId val="{00000001-6362-4385-87BE-3D31E9FF36FF}"/>
            </c:ext>
          </c:extLst>
        </c:ser>
        <c:dLbls>
          <c:showLegendKey val="0"/>
          <c:showVal val="0"/>
          <c:showCatName val="0"/>
          <c:showSerName val="0"/>
          <c:showPercent val="0"/>
          <c:showBubbleSize val="0"/>
        </c:dLbls>
        <c:gapWidth val="219"/>
        <c:overlap val="-27"/>
        <c:axId val="518181576"/>
        <c:axId val="518169424"/>
      </c:barChart>
      <c:lineChart>
        <c:grouping val="standard"/>
        <c:varyColors val="0"/>
        <c:ser>
          <c:idx val="3"/>
          <c:order val="3"/>
          <c:tx>
            <c:strRef>
              <c:f>'Sim-Fertilizer'!$E$179</c:f>
              <c:strCache>
                <c:ptCount val="1"/>
                <c:pt idx="0">
                  <c:v>Contribution of female labour to VA (sim)</c:v>
                </c:pt>
              </c:strCache>
            </c:strRef>
          </c:tx>
          <c:spPr>
            <a:ln w="12700" cap="rnd">
              <a:solidFill>
                <a:srgbClr val="002060"/>
              </a:solidFill>
              <a:prstDash val="solid"/>
              <a:round/>
            </a:ln>
            <a:effectLst/>
          </c:spPr>
          <c:marker>
            <c:symbol val="none"/>
          </c:marker>
          <c:cat>
            <c:strRef>
              <c:f>'Sim-Fertilizer'!$A$180:$A$197</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'Sim-Fertilizer'!$E$180:$E$197</c:f>
              <c:numCache>
                <c:formatCode>0.00</c:formatCode>
                <c:ptCount val="18"/>
                <c:pt idx="0">
                  <c:v>7.2329198271314361</c:v>
                </c:pt>
                <c:pt idx="1">
                  <c:v>5.9993302687306267</c:v>
                </c:pt>
                <c:pt idx="2">
                  <c:v>7.4985159391411278</c:v>
                </c:pt>
                <c:pt idx="3">
                  <c:v>9.7558206845843607</c:v>
                </c:pt>
                <c:pt idx="4">
                  <c:v>12.367253134842111</c:v>
                </c:pt>
                <c:pt idx="5">
                  <c:v>16.514244527663884</c:v>
                </c:pt>
                <c:pt idx="6">
                  <c:v>16.182610614693775</c:v>
                </c:pt>
                <c:pt idx="7">
                  <c:v>15.373051206802568</c:v>
                </c:pt>
                <c:pt idx="8">
                  <c:v>21.579293701840495</c:v>
                </c:pt>
                <c:pt idx="9">
                  <c:v>27.754279971968383</c:v>
                </c:pt>
                <c:pt idx="10">
                  <c:v>14.41949909676182</c:v>
                </c:pt>
                <c:pt idx="11">
                  <c:v>18.203010643645548</c:v>
                </c:pt>
                <c:pt idx="12">
                  <c:v>22.063461274486894</c:v>
                </c:pt>
                <c:pt idx="13">
                  <c:v>16.049577613135703</c:v>
                </c:pt>
                <c:pt idx="14">
                  <c:v>19.911655970951205</c:v>
                </c:pt>
                <c:pt idx="15">
                  <c:v>22.353236020385868</c:v>
                </c:pt>
                <c:pt idx="16">
                  <c:v>12.565306017303604</c:v>
                </c:pt>
                <c:pt idx="17">
                  <c:v>12.744868856631541</c:v>
                </c:pt>
              </c:numCache>
            </c:numRef>
          </c:val>
          <c:smooth val="0"/>
          <c:extLst>
            <c:ext xmlns:c16="http://schemas.microsoft.com/office/drawing/2014/chart" uri="{C3380CC4-5D6E-409C-BE32-E72D297353CC}">
              <c16:uniqueId val="{00000002-6362-4385-87BE-3D31E9FF36FF}"/>
            </c:ext>
          </c:extLst>
        </c:ser>
        <c:dLbls>
          <c:showLegendKey val="0"/>
          <c:showVal val="0"/>
          <c:showCatName val="0"/>
          <c:showSerName val="0"/>
          <c:showPercent val="0"/>
          <c:showBubbleSize val="0"/>
        </c:dLbls>
        <c:marker val="1"/>
        <c:smooth val="0"/>
        <c:axId val="518181576"/>
        <c:axId val="518169424"/>
      </c:lineChart>
      <c:lineChart>
        <c:grouping val="standard"/>
        <c:varyColors val="0"/>
        <c:ser>
          <c:idx val="2"/>
          <c:order val="2"/>
          <c:tx>
            <c:strRef>
              <c:f>'Sim-Fertilizer'!$D$179</c:f>
              <c:strCache>
                <c:ptCount val="1"/>
                <c:pt idx="0">
                  <c:v>Contribution of male labour to VA (sim)</c:v>
                </c:pt>
              </c:strCache>
            </c:strRef>
          </c:tx>
          <c:spPr>
            <a:ln w="15875" cap="rnd">
              <a:solidFill>
                <a:srgbClr val="00B050"/>
              </a:solidFill>
              <a:round/>
            </a:ln>
            <a:effectLst/>
          </c:spPr>
          <c:marker>
            <c:symbol val="none"/>
          </c:marker>
          <c:cat>
            <c:strRef>
              <c:f>'Sim-Fertilizer'!$A$180:$A$197</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'Sim-Fertilizer'!$D$180:$D$197</c:f>
              <c:numCache>
                <c:formatCode>0.00</c:formatCode>
                <c:ptCount val="18"/>
                <c:pt idx="0">
                  <c:v>9.7695972794992318</c:v>
                </c:pt>
                <c:pt idx="1">
                  <c:v>8.0909923945137603</c:v>
                </c:pt>
                <c:pt idx="2">
                  <c:v>10.12986780641681</c:v>
                </c:pt>
                <c:pt idx="3">
                  <c:v>13.161373707659191</c:v>
                </c:pt>
                <c:pt idx="4">
                  <c:v>16.702642689716292</c:v>
                </c:pt>
                <c:pt idx="5">
                  <c:v>22.304501978233478</c:v>
                </c:pt>
                <c:pt idx="6">
                  <c:v>21.856637745474899</c:v>
                </c:pt>
                <c:pt idx="7">
                  <c:v>20.763208214782843</c:v>
                </c:pt>
                <c:pt idx="8">
                  <c:v>29.143245760328025</c:v>
                </c:pt>
                <c:pt idx="9">
                  <c:v>37.488024551546161</c:v>
                </c:pt>
                <c:pt idx="10">
                  <c:v>19.471655014600596</c:v>
                </c:pt>
                <c:pt idx="11">
                  <c:v>24.566605419316275</c:v>
                </c:pt>
                <c:pt idx="12">
                  <c:v>29.754344331882095</c:v>
                </c:pt>
                <c:pt idx="13">
                  <c:v>21.674481415956329</c:v>
                </c:pt>
                <c:pt idx="14">
                  <c:v>26.90239958391134</c:v>
                </c:pt>
                <c:pt idx="15">
                  <c:v>30.162422014940987</c:v>
                </c:pt>
                <c:pt idx="16">
                  <c:v>16.954249957485164</c:v>
                </c:pt>
                <c:pt idx="17">
                  <c:v>17.196310885266275</c:v>
                </c:pt>
              </c:numCache>
            </c:numRef>
          </c:val>
          <c:smooth val="0"/>
          <c:extLst>
            <c:ext xmlns:c16="http://schemas.microsoft.com/office/drawing/2014/chart" uri="{C3380CC4-5D6E-409C-BE32-E72D297353CC}">
              <c16:uniqueId val="{00000003-6362-4385-87BE-3D31E9FF36FF}"/>
            </c:ext>
          </c:extLst>
        </c:ser>
        <c:dLbls>
          <c:showLegendKey val="0"/>
          <c:showVal val="0"/>
          <c:showCatName val="0"/>
          <c:showSerName val="0"/>
          <c:showPercent val="0"/>
          <c:showBubbleSize val="0"/>
        </c:dLbls>
        <c:marker val="1"/>
        <c:smooth val="0"/>
        <c:axId val="518174520"/>
        <c:axId val="518172168"/>
      </c:lineChart>
      <c:catAx>
        <c:axId val="51818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518169424"/>
        <c:crosses val="autoZero"/>
        <c:auto val="1"/>
        <c:lblAlgn val="ctr"/>
        <c:lblOffset val="100"/>
        <c:noMultiLvlLbl val="0"/>
      </c:catAx>
      <c:valAx>
        <c:axId val="518169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518181576"/>
        <c:crosses val="autoZero"/>
        <c:crossBetween val="between"/>
      </c:valAx>
      <c:valAx>
        <c:axId val="51817216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518174520"/>
        <c:crosses val="max"/>
        <c:crossBetween val="between"/>
      </c:valAx>
      <c:catAx>
        <c:axId val="518174520"/>
        <c:scaling>
          <c:orientation val="minMax"/>
        </c:scaling>
        <c:delete val="1"/>
        <c:axPos val="b"/>
        <c:numFmt formatCode="General" sourceLinked="1"/>
        <c:majorTickMark val="out"/>
        <c:minorTickMark val="none"/>
        <c:tickLblPos val="nextTo"/>
        <c:crossAx val="518172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'Sim-Fertilizer'!$L$114</c:f>
              <c:strCache>
                <c:ptCount val="1"/>
                <c:pt idx="0">
                  <c:v>female labour</c:v>
                </c:pt>
              </c:strCache>
            </c:strRef>
          </c:tx>
          <c:spPr>
            <a:solidFill>
              <a:srgbClr val="E60A44"/>
            </a:solidFill>
            <a:ln>
              <a:noFill/>
            </a:ln>
            <a:effectLst/>
            <a:sp3d/>
          </c:spPr>
          <c:invertIfNegative val="0"/>
          <c:dLbls>
            <c:dLbl>
              <c:idx val="0"/>
              <c:layout>
                <c:manualLayout>
                  <c:x val="-8.63874274322937E-3"/>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55-42F0-952B-CC80C04C66D0}"/>
                </c:ext>
              </c:extLst>
            </c:dLbl>
            <c:dLbl>
              <c:idx val="3"/>
              <c:layout>
                <c:manualLayout>
                  <c:x val="-5.7591618288195716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5-42F0-952B-CC80C04C66D0}"/>
                </c:ext>
              </c:extLst>
            </c:dLbl>
            <c:dLbl>
              <c:idx val="7"/>
              <c:layout>
                <c:manualLayout>
                  <c:x val="-1.4397904572048981E-2"/>
                  <c:y val="-0.13425889472149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55-42F0-952B-CC80C04C66D0}"/>
                </c:ext>
              </c:extLst>
            </c:dLbl>
            <c:dLbl>
              <c:idx val="11"/>
              <c:layout>
                <c:manualLayout>
                  <c:x val="1.1518323657639037E-2"/>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55-42F0-952B-CC80C04C66D0}"/>
                </c:ext>
              </c:extLst>
            </c:dLbl>
            <c:dLbl>
              <c:idx val="12"/>
              <c:layout>
                <c:manualLayout>
                  <c:x val="-1.1518323657639143E-2"/>
                  <c:y val="-0.20370370370370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55-42F0-952B-CC80C04C66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'Sim-Fertilizer'!$K$115:$K$132</c:f>
              <c:strCache>
                <c:ptCount val="18"/>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strCache>
            </c:strRef>
          </c:cat>
          <c:val>
            <c:numRef>
              <c:f>'Sim-Fertilizer'!$L$115:$L$132</c:f>
              <c:numCache>
                <c:formatCode>0.00</c:formatCode>
                <c:ptCount val="18"/>
                <c:pt idx="0">
                  <c:v>-4.3688586776093103</c:v>
                </c:pt>
                <c:pt idx="1">
                  <c:v>6.6105496945310982</c:v>
                </c:pt>
                <c:pt idx="2">
                  <c:v>16.640263217852059</c:v>
                </c:pt>
                <c:pt idx="3">
                  <c:v>-13.317848431538215</c:v>
                </c:pt>
                <c:pt idx="4">
                  <c:v>6.6120469370616997</c:v>
                </c:pt>
                <c:pt idx="5">
                  <c:v>3.6335123969798655</c:v>
                </c:pt>
                <c:pt idx="6">
                  <c:v>-2.1596079992556638</c:v>
                </c:pt>
                <c:pt idx="7">
                  <c:v>-10.502901347804706</c:v>
                </c:pt>
                <c:pt idx="8">
                  <c:v>10.29076467235701</c:v>
                </c:pt>
                <c:pt idx="9">
                  <c:v>6.9677418286292037</c:v>
                </c:pt>
                <c:pt idx="10">
                  <c:v>15.582913727943737</c:v>
                </c:pt>
                <c:pt idx="11">
                  <c:v>-7.204589398736994</c:v>
                </c:pt>
                <c:pt idx="12">
                  <c:v>-6.7784841159198033</c:v>
                </c:pt>
                <c:pt idx="13">
                  <c:v>7.6084146886739923</c:v>
                </c:pt>
                <c:pt idx="14">
                  <c:v>19.987803328555344</c:v>
                </c:pt>
                <c:pt idx="15">
                  <c:v>7.0041006053463306</c:v>
                </c:pt>
                <c:pt idx="16">
                  <c:v>-20.215515668596563</c:v>
                </c:pt>
                <c:pt idx="17">
                  <c:v>-29.862957983600324</c:v>
                </c:pt>
              </c:numCache>
            </c:numRef>
          </c:val>
          <c:extLst>
            <c:ext xmlns:c16="http://schemas.microsoft.com/office/drawing/2014/chart" uri="{C3380CC4-5D6E-409C-BE32-E72D297353CC}">
              <c16:uniqueId val="{00000005-8F55-42F0-952B-CC80C04C66D0}"/>
            </c:ext>
          </c:extLst>
        </c:ser>
        <c:dLbls>
          <c:showLegendKey val="0"/>
          <c:showVal val="0"/>
          <c:showCatName val="0"/>
          <c:showSerName val="0"/>
          <c:showPercent val="0"/>
          <c:showBubbleSize val="0"/>
        </c:dLbls>
        <c:gapWidth val="150"/>
        <c:shape val="box"/>
        <c:axId val="232846080"/>
        <c:axId val="232853528"/>
        <c:axId val="0"/>
      </c:bar3DChart>
      <c:catAx>
        <c:axId val="232846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232853528"/>
        <c:crosses val="autoZero"/>
        <c:auto val="1"/>
        <c:lblAlgn val="ctr"/>
        <c:lblOffset val="100"/>
        <c:noMultiLvlLbl val="0"/>
      </c:catAx>
      <c:valAx>
        <c:axId val="2328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2328460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'Sim-irrigation'!$B$106</c:f>
              <c:strCache>
                <c:ptCount val="1"/>
                <c:pt idx="0">
                  <c:v>2023</c:v>
                </c:pt>
              </c:strCache>
            </c:strRef>
          </c:tx>
          <c:spPr>
            <a:solidFill>
              <a:srgbClr val="FFFF00"/>
            </a:solidFill>
            <a:ln w="22225">
              <a:solidFill>
                <a:srgbClr val="FFFF00"/>
              </a:solidFill>
            </a:ln>
            <a:effectLst/>
          </c:spPr>
          <c:invertIfNegative val="0"/>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'Sim-irrigation'!$B$107:$B$139</c:f>
              <c:numCache>
                <c:formatCode>General</c:formatCode>
                <c:ptCount val="33"/>
                <c:pt idx="0">
                  <c:v>3.9956918887165349</c:v>
                </c:pt>
                <c:pt idx="1">
                  <c:v>3.4652799234785148</c:v>
                </c:pt>
                <c:pt idx="2">
                  <c:v>3.8851702533919674</c:v>
                </c:pt>
                <c:pt idx="3">
                  <c:v>6.1480063905617222</c:v>
                </c:pt>
                <c:pt idx="4">
                  <c:v>3.3607667186859924</c:v>
                </c:pt>
                <c:pt idx="5">
                  <c:v>4.3392013565130672</c:v>
                </c:pt>
                <c:pt idx="6">
                  <c:v>3.8966899493473539</c:v>
                </c:pt>
                <c:pt idx="7">
                  <c:v>7.299953327877251E-2</c:v>
                </c:pt>
                <c:pt idx="8">
                  <c:v>2.6310351015423894</c:v>
                </c:pt>
                <c:pt idx="9">
                  <c:v>-0.13838622992420335</c:v>
                </c:pt>
                <c:pt idx="10">
                  <c:v>-0.10755470822801927</c:v>
                </c:pt>
                <c:pt idx="11">
                  <c:v>0.32677325054604189</c:v>
                </c:pt>
                <c:pt idx="12">
                  <c:v>5.6380485920404455</c:v>
                </c:pt>
                <c:pt idx="13">
                  <c:v>3.983770030691014</c:v>
                </c:pt>
                <c:pt idx="14">
                  <c:v>3.7090822054992811</c:v>
                </c:pt>
                <c:pt idx="15">
                  <c:v>5.0876219242901533</c:v>
                </c:pt>
                <c:pt idx="16">
                  <c:v>5.8176397256739287</c:v>
                </c:pt>
                <c:pt idx="17">
                  <c:v>6.8530056945468987</c:v>
                </c:pt>
                <c:pt idx="18">
                  <c:v>0.26318273720045138</c:v>
                </c:pt>
                <c:pt idx="19">
                  <c:v>-3.1288767879567025E-2</c:v>
                </c:pt>
                <c:pt idx="20">
                  <c:v>-0.18406072286146768</c:v>
                </c:pt>
                <c:pt idx="21">
                  <c:v>0.33818904712397124</c:v>
                </c:pt>
                <c:pt idx="22">
                  <c:v>1.0513076957342493</c:v>
                </c:pt>
                <c:pt idx="23">
                  <c:v>-5.8901713015457879E-2</c:v>
                </c:pt>
                <c:pt idx="24">
                  <c:v>-9.7681199628985027E-2</c:v>
                </c:pt>
                <c:pt idx="25">
                  <c:v>-8.3839136654051405E-2</c:v>
                </c:pt>
                <c:pt idx="26">
                  <c:v>5.8804801116218997E-2</c:v>
                </c:pt>
                <c:pt idx="27">
                  <c:v>0.82353768731961985</c:v>
                </c:pt>
                <c:pt idx="28">
                  <c:v>8.7736582266506602E-2</c:v>
                </c:pt>
                <c:pt idx="29">
                  <c:v>5.489462534558065E-2</c:v>
                </c:pt>
                <c:pt idx="30">
                  <c:v>0.64723915023958689</c:v>
                </c:pt>
                <c:pt idx="31">
                  <c:v>7.7221817571038187E-2</c:v>
                </c:pt>
                <c:pt idx="32">
                  <c:v>0.127014400041503</c:v>
                </c:pt>
              </c:numCache>
            </c:numRef>
          </c:val>
          <c:extLst>
            <c:ext xmlns:c16="http://schemas.microsoft.com/office/drawing/2014/chart" uri="{C3380CC4-5D6E-409C-BE32-E72D297353CC}">
              <c16:uniqueId val="{00000000-28E9-4586-AA8F-DA341B1493AA}"/>
            </c:ext>
          </c:extLst>
        </c:ser>
        <c:ser>
          <c:idx val="1"/>
          <c:order val="1"/>
          <c:tx>
            <c:strRef>
              <c:f>'Sim-irrigation'!$C$106</c:f>
              <c:strCache>
                <c:ptCount val="1"/>
                <c:pt idx="0">
                  <c:v>2025</c:v>
                </c:pt>
              </c:strCache>
            </c:strRef>
          </c:tx>
          <c:spPr>
            <a:solidFill>
              <a:srgbClr val="00B050"/>
            </a:solidFill>
            <a:ln w="19050">
              <a:solidFill>
                <a:srgbClr val="00B050"/>
              </a:solidFill>
            </a:ln>
            <a:effectLst/>
          </c:spPr>
          <c:invertIfNegative val="0"/>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'Sim-irrigation'!$C$107:$C$139</c:f>
              <c:numCache>
                <c:formatCode>General</c:formatCode>
                <c:ptCount val="33"/>
                <c:pt idx="0">
                  <c:v>3.9910331423267165</c:v>
                </c:pt>
                <c:pt idx="1">
                  <c:v>3.4668022609370519</c:v>
                </c:pt>
                <c:pt idx="2">
                  <c:v>3.7218573552678214</c:v>
                </c:pt>
                <c:pt idx="3">
                  <c:v>6.2133813137523752</c:v>
                </c:pt>
                <c:pt idx="4">
                  <c:v>3.2495793217782065</c:v>
                </c:pt>
                <c:pt idx="5">
                  <c:v>4.3077777425733155</c:v>
                </c:pt>
                <c:pt idx="6">
                  <c:v>3.8393985164505429</c:v>
                </c:pt>
                <c:pt idx="7">
                  <c:v>0.13576024104835493</c:v>
                </c:pt>
                <c:pt idx="8">
                  <c:v>2.6359009118513299</c:v>
                </c:pt>
                <c:pt idx="9">
                  <c:v>-0.12109502816597395</c:v>
                </c:pt>
                <c:pt idx="10">
                  <c:v>-8.3079767100580071E-2</c:v>
                </c:pt>
                <c:pt idx="11">
                  <c:v>0.40381265953481904</c:v>
                </c:pt>
                <c:pt idx="12">
                  <c:v>5.6524260609801535</c:v>
                </c:pt>
                <c:pt idx="13">
                  <c:v>3.9418691282000706</c:v>
                </c:pt>
                <c:pt idx="14">
                  <c:v>3.6908912808095939</c:v>
                </c:pt>
                <c:pt idx="15">
                  <c:v>5.0849320101220563</c:v>
                </c:pt>
                <c:pt idx="16">
                  <c:v>5.8153189024523488</c:v>
                </c:pt>
                <c:pt idx="17">
                  <c:v>6.9022973863263726</c:v>
                </c:pt>
                <c:pt idx="18">
                  <c:v>0.31995696103241933</c:v>
                </c:pt>
                <c:pt idx="19">
                  <c:v>-2.1082912077652338E-2</c:v>
                </c:pt>
                <c:pt idx="20">
                  <c:v>-0.18425780660088487</c:v>
                </c:pt>
                <c:pt idx="21">
                  <c:v>0.42661194381041767</c:v>
                </c:pt>
                <c:pt idx="22">
                  <c:v>1.1468498034161279</c:v>
                </c:pt>
                <c:pt idx="23">
                  <c:v>-3.783771525421864E-2</c:v>
                </c:pt>
                <c:pt idx="24">
                  <c:v>-7.9661833482169708E-2</c:v>
                </c:pt>
                <c:pt idx="25">
                  <c:v>-4.8706268274634201E-2</c:v>
                </c:pt>
                <c:pt idx="26">
                  <c:v>0.15246347834307894</c:v>
                </c:pt>
                <c:pt idx="27">
                  <c:v>1.1220578463339903</c:v>
                </c:pt>
                <c:pt idx="28">
                  <c:v>0.18424058902324347</c:v>
                </c:pt>
                <c:pt idx="29">
                  <c:v>0.11067330631855388</c:v>
                </c:pt>
                <c:pt idx="30">
                  <c:v>0.69579355901479012</c:v>
                </c:pt>
                <c:pt idx="31">
                  <c:v>0.14843856509356712</c:v>
                </c:pt>
                <c:pt idx="32">
                  <c:v>0.13956579380742795</c:v>
                </c:pt>
              </c:numCache>
            </c:numRef>
          </c:val>
          <c:extLst>
            <c:ext xmlns:c16="http://schemas.microsoft.com/office/drawing/2014/chart" uri="{C3380CC4-5D6E-409C-BE32-E72D297353CC}">
              <c16:uniqueId val="{00000001-28E9-4586-AA8F-DA341B1493AA}"/>
            </c:ext>
          </c:extLst>
        </c:ser>
        <c:ser>
          <c:idx val="2"/>
          <c:order val="2"/>
          <c:tx>
            <c:strRef>
              <c:f>'Sim-irrigation'!$D$106</c:f>
              <c:strCache>
                <c:ptCount val="1"/>
                <c:pt idx="0">
                  <c:v>2030</c:v>
                </c:pt>
              </c:strCache>
            </c:strRef>
          </c:tx>
          <c:spPr>
            <a:solidFill>
              <a:schemeClr val="tx1"/>
            </a:solidFill>
            <a:ln w="28575">
              <a:solidFill>
                <a:schemeClr val="tx1"/>
              </a:solidFill>
            </a:ln>
            <a:effectLst/>
          </c:spPr>
          <c:invertIfNegative val="0"/>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'Sim-irrigation'!$D$107:$D$139</c:f>
              <c:numCache>
                <c:formatCode>General</c:formatCode>
                <c:ptCount val="33"/>
                <c:pt idx="0">
                  <c:v>-3.4940411169270824E-2</c:v>
                </c:pt>
                <c:pt idx="1">
                  <c:v>-1.0435920431883794E-2</c:v>
                </c:pt>
                <c:pt idx="2">
                  <c:v>-0.45107145945884053</c:v>
                </c:pt>
                <c:pt idx="3">
                  <c:v>0.17926647647101834</c:v>
                </c:pt>
                <c:pt idx="4">
                  <c:v>-0.25378289230711948</c:v>
                </c:pt>
                <c:pt idx="5">
                  <c:v>-9.2615152183983529E-2</c:v>
                </c:pt>
                <c:pt idx="6">
                  <c:v>-0.15510572922354804</c:v>
                </c:pt>
                <c:pt idx="7">
                  <c:v>0.1536423842367185</c:v>
                </c:pt>
                <c:pt idx="8">
                  <c:v>-2.7283529447252874E-3</c:v>
                </c:pt>
                <c:pt idx="9">
                  <c:v>4.145604076988274E-2</c:v>
                </c:pt>
                <c:pt idx="10">
                  <c:v>5.2863362492328037E-2</c:v>
                </c:pt>
                <c:pt idx="11">
                  <c:v>0.16457776742733188</c:v>
                </c:pt>
                <c:pt idx="12">
                  <c:v>2.5199413094090239E-2</c:v>
                </c:pt>
                <c:pt idx="13">
                  <c:v>-0.1215462074000917</c:v>
                </c:pt>
                <c:pt idx="14">
                  <c:v>-4.7333187003151256E-2</c:v>
                </c:pt>
                <c:pt idx="15">
                  <c:v>-1.8096495367703191E-2</c:v>
                </c:pt>
                <c:pt idx="16">
                  <c:v>-2.2895419023782893E-3</c:v>
                </c:pt>
                <c:pt idx="17">
                  <c:v>0.142725836501012</c:v>
                </c:pt>
                <c:pt idx="18">
                  <c:v>0.19547827119681394</c:v>
                </c:pt>
                <c:pt idx="19">
                  <c:v>3.5336931996288179E-2</c:v>
                </c:pt>
                <c:pt idx="20">
                  <c:v>2.3042664671479862E-2</c:v>
                </c:pt>
                <c:pt idx="21">
                  <c:v>0.22545175331087908</c:v>
                </c:pt>
                <c:pt idx="22">
                  <c:v>0.27112097948405189</c:v>
                </c:pt>
                <c:pt idx="23">
                  <c:v>5.1666584646548053E-2</c:v>
                </c:pt>
                <c:pt idx="24">
                  <c:v>4.5914986333972507E-2</c:v>
                </c:pt>
                <c:pt idx="25">
                  <c:v>7.3281549263604084E-2</c:v>
                </c:pt>
                <c:pt idx="26">
                  <c:v>0.26081799532011729</c:v>
                </c:pt>
                <c:pt idx="27">
                  <c:v>0.62506224415281864</c:v>
                </c:pt>
                <c:pt idx="28">
                  <c:v>0.21164865485501227</c:v>
                </c:pt>
                <c:pt idx="29">
                  <c:v>0.15327831329732255</c:v>
                </c:pt>
                <c:pt idx="30">
                  <c:v>0.1564932259069618</c:v>
                </c:pt>
                <c:pt idx="31">
                  <c:v>0.21040993742278413</c:v>
                </c:pt>
                <c:pt idx="32">
                  <c:v>3.1403309507904709E-2</c:v>
                </c:pt>
              </c:numCache>
            </c:numRef>
          </c:val>
          <c:extLst>
            <c:ext xmlns:c16="http://schemas.microsoft.com/office/drawing/2014/chart" uri="{C3380CC4-5D6E-409C-BE32-E72D297353CC}">
              <c16:uniqueId val="{00000002-28E9-4586-AA8F-DA341B1493AA}"/>
            </c:ext>
          </c:extLst>
        </c:ser>
        <c:dLbls>
          <c:showLegendKey val="0"/>
          <c:showVal val="0"/>
          <c:showCatName val="0"/>
          <c:showSerName val="0"/>
          <c:showPercent val="0"/>
          <c:showBubbleSize val="0"/>
        </c:dLbls>
        <c:gapWidth val="219"/>
        <c:overlap val="-27"/>
        <c:axId val="232848432"/>
        <c:axId val="232856664"/>
      </c:barChart>
      <c:lineChart>
        <c:grouping val="standard"/>
        <c:varyColors val="0"/>
        <c:ser>
          <c:idx val="4"/>
          <c:order val="4"/>
          <c:tx>
            <c:strRef>
              <c:f>'Sim-irrigation'!$F$106</c:f>
              <c:strCache>
                <c:ptCount val="1"/>
                <c:pt idx="0">
                  <c:v>2025</c:v>
                </c:pt>
              </c:strCache>
            </c:strRef>
          </c:tx>
          <c:spPr>
            <a:ln w="15875" cap="rnd">
              <a:solidFill>
                <a:srgbClr val="0070C0"/>
              </a:solidFill>
              <a:round/>
            </a:ln>
            <a:effectLst/>
          </c:spPr>
          <c:marker>
            <c:symbol val="none"/>
          </c:marker>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'Sim-irrigation'!$F$107:$F$139</c:f>
              <c:numCache>
                <c:formatCode>General</c:formatCode>
                <c:ptCount val="33"/>
                <c:pt idx="0">
                  <c:v>-11.098017527443549</c:v>
                </c:pt>
                <c:pt idx="1">
                  <c:v>-14.919696085129107</c:v>
                </c:pt>
                <c:pt idx="2">
                  <c:v>-11.299449492539127</c:v>
                </c:pt>
                <c:pt idx="3">
                  <c:v>-5.2477474407277125</c:v>
                </c:pt>
                <c:pt idx="4">
                  <c:v>-10.30503627861159</c:v>
                </c:pt>
                <c:pt idx="5">
                  <c:v>-7.258332865565686</c:v>
                </c:pt>
                <c:pt idx="6">
                  <c:v>-7.7269556175075138</c:v>
                </c:pt>
                <c:pt idx="7">
                  <c:v>0.15686420891836139</c:v>
                </c:pt>
                <c:pt idx="8">
                  <c:v>-7.7206536395752368</c:v>
                </c:pt>
                <c:pt idx="9">
                  <c:v>-4.5406500591516075E-2</c:v>
                </c:pt>
                <c:pt idx="10">
                  <c:v>-0.10925563413031192</c:v>
                </c:pt>
                <c:pt idx="11">
                  <c:v>-9.8891327748385276</c:v>
                </c:pt>
                <c:pt idx="12">
                  <c:v>-5.8439958768626399</c:v>
                </c:pt>
                <c:pt idx="13">
                  <c:v>-7.6819237812569714</c:v>
                </c:pt>
                <c:pt idx="14">
                  <c:v>-7.1408248948154229</c:v>
                </c:pt>
                <c:pt idx="15">
                  <c:v>-6.1570849067868032</c:v>
                </c:pt>
                <c:pt idx="16">
                  <c:v>-5.9401943791405731</c:v>
                </c:pt>
                <c:pt idx="17">
                  <c:v>-4.426921865821221</c:v>
                </c:pt>
                <c:pt idx="18">
                  <c:v>0.32931769370048158</c:v>
                </c:pt>
                <c:pt idx="19">
                  <c:v>-2.098064996658433E-2</c:v>
                </c:pt>
                <c:pt idx="20">
                  <c:v>-0.1415717158953167</c:v>
                </c:pt>
                <c:pt idx="21">
                  <c:v>0.47527430961318284</c:v>
                </c:pt>
                <c:pt idx="22">
                  <c:v>0.89353118009525279</c:v>
                </c:pt>
                <c:pt idx="23">
                  <c:v>-4.9054059913622439E-3</c:v>
                </c:pt>
                <c:pt idx="24">
                  <c:v>-3.2376680051493523E-2</c:v>
                </c:pt>
                <c:pt idx="25">
                  <c:v>-4.8706268274634201E-2</c:v>
                </c:pt>
                <c:pt idx="26">
                  <c:v>0.32235231937136621</c:v>
                </c:pt>
                <c:pt idx="27">
                  <c:v>1.4230837498934612</c:v>
                </c:pt>
                <c:pt idx="28">
                  <c:v>0.328659186526159</c:v>
                </c:pt>
                <c:pt idx="29">
                  <c:v>0.17289337757329104</c:v>
                </c:pt>
                <c:pt idx="30">
                  <c:v>0.51331548566551088</c:v>
                </c:pt>
                <c:pt idx="31">
                  <c:v>0.23470571528629858</c:v>
                </c:pt>
                <c:pt idx="32">
                  <c:v>2.5070933891746527E-2</c:v>
                </c:pt>
              </c:numCache>
            </c:numRef>
          </c:val>
          <c:smooth val="0"/>
          <c:extLst>
            <c:ext xmlns:c16="http://schemas.microsoft.com/office/drawing/2014/chart" uri="{C3380CC4-5D6E-409C-BE32-E72D297353CC}">
              <c16:uniqueId val="{00000003-28E9-4586-AA8F-DA341B1493AA}"/>
            </c:ext>
          </c:extLst>
        </c:ser>
        <c:ser>
          <c:idx val="5"/>
          <c:order val="5"/>
          <c:tx>
            <c:strRef>
              <c:f>'Sim-irrigation'!$G$106</c:f>
              <c:strCache>
                <c:ptCount val="1"/>
                <c:pt idx="0">
                  <c:v>2030</c:v>
                </c:pt>
              </c:strCache>
            </c:strRef>
          </c:tx>
          <c:spPr>
            <a:ln w="9525" cap="sq">
              <a:solidFill>
                <a:schemeClr val="accent2">
                  <a:lumMod val="75000"/>
                </a:schemeClr>
              </a:solidFill>
              <a:prstDash val="lgDashDotDot"/>
              <a:round/>
            </a:ln>
            <a:effectLst/>
          </c:spPr>
          <c:marker>
            <c:symbol val="none"/>
          </c:marker>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'Sim-irrigation'!$G$107:$G$139</c:f>
              <c:numCache>
                <c:formatCode>General</c:formatCode>
                <c:ptCount val="33"/>
                <c:pt idx="0">
                  <c:v>0.75867403578988579</c:v>
                </c:pt>
                <c:pt idx="1">
                  <c:v>1.5123693822581608</c:v>
                </c:pt>
                <c:pt idx="2">
                  <c:v>1.7439549612140448</c:v>
                </c:pt>
                <c:pt idx="3">
                  <c:v>0.13579633281071146</c:v>
                </c:pt>
                <c:pt idx="4">
                  <c:v>1.6448937466864155</c:v>
                </c:pt>
                <c:pt idx="5">
                  <c:v>0.25608386483986223</c:v>
                </c:pt>
                <c:pt idx="6">
                  <c:v>0.39616842644949468</c:v>
                </c:pt>
                <c:pt idx="7">
                  <c:v>0.10458490885318916</c:v>
                </c:pt>
                <c:pt idx="8">
                  <c:v>0.17482084053017655</c:v>
                </c:pt>
                <c:pt idx="9">
                  <c:v>1.4634634371590849E-2</c:v>
                </c:pt>
                <c:pt idx="10">
                  <c:v>7.2988496066739295E-2</c:v>
                </c:pt>
                <c:pt idx="11">
                  <c:v>1.6113505102897108</c:v>
                </c:pt>
                <c:pt idx="12">
                  <c:v>5.568178155472836E-2</c:v>
                </c:pt>
                <c:pt idx="13">
                  <c:v>0.35881791775316252</c:v>
                </c:pt>
                <c:pt idx="14">
                  <c:v>0.41645422338918436</c:v>
                </c:pt>
                <c:pt idx="15">
                  <c:v>0.13625635653713442</c:v>
                </c:pt>
                <c:pt idx="16">
                  <c:v>3.5043884319119201E-2</c:v>
                </c:pt>
                <c:pt idx="17">
                  <c:v>-7.1386107176829583E-2</c:v>
                </c:pt>
                <c:pt idx="18">
                  <c:v>-8.0737856950607867E-2</c:v>
                </c:pt>
                <c:pt idx="19">
                  <c:v>-9.0466157251389845E-3</c:v>
                </c:pt>
                <c:pt idx="20">
                  <c:v>5.2334830722577941E-2</c:v>
                </c:pt>
                <c:pt idx="21">
                  <c:v>-0.14467905153496829</c:v>
                </c:pt>
                <c:pt idx="22">
                  <c:v>-0.36312990253999367</c:v>
                </c:pt>
                <c:pt idx="23">
                  <c:v>1.9546641946144305E-3</c:v>
                </c:pt>
                <c:pt idx="24">
                  <c:v>2.388993810291673E-2</c:v>
                </c:pt>
                <c:pt idx="25">
                  <c:v>2.3024808436167277E-2</c:v>
                </c:pt>
                <c:pt idx="26">
                  <c:v>-0.40445912203923573</c:v>
                </c:pt>
                <c:pt idx="27">
                  <c:v>-1.9429841576076079</c:v>
                </c:pt>
                <c:pt idx="28">
                  <c:v>-0.57390077131284079</c:v>
                </c:pt>
                <c:pt idx="29">
                  <c:v>-0.1327130359352946</c:v>
                </c:pt>
                <c:pt idx="30">
                  <c:v>-0.57774101792313903</c:v>
                </c:pt>
                <c:pt idx="31">
                  <c:v>-0.1507966113248993</c:v>
                </c:pt>
                <c:pt idx="32">
                  <c:v>-2.5466087693837292E-2</c:v>
                </c:pt>
              </c:numCache>
            </c:numRef>
          </c:val>
          <c:smooth val="0"/>
          <c:extLst>
            <c:ext xmlns:c16="http://schemas.microsoft.com/office/drawing/2014/chart" uri="{C3380CC4-5D6E-409C-BE32-E72D297353CC}">
              <c16:uniqueId val="{00000004-28E9-4586-AA8F-DA341B1493AA}"/>
            </c:ext>
          </c:extLst>
        </c:ser>
        <c:dLbls>
          <c:showLegendKey val="0"/>
          <c:showVal val="0"/>
          <c:showCatName val="0"/>
          <c:showSerName val="0"/>
          <c:showPercent val="0"/>
          <c:showBubbleSize val="0"/>
        </c:dLbls>
        <c:marker val="1"/>
        <c:smooth val="0"/>
        <c:axId val="232848432"/>
        <c:axId val="232856664"/>
      </c:lineChart>
      <c:lineChart>
        <c:grouping val="standard"/>
        <c:varyColors val="0"/>
        <c:ser>
          <c:idx val="3"/>
          <c:order val="3"/>
          <c:tx>
            <c:strRef>
              <c:f>'Sim-irrigation'!$E$106</c:f>
              <c:strCache>
                <c:ptCount val="1"/>
                <c:pt idx="0">
                  <c:v>2023</c:v>
                </c:pt>
              </c:strCache>
            </c:strRef>
          </c:tx>
          <c:spPr>
            <a:ln w="15875" cap="rnd">
              <a:solidFill>
                <a:srgbClr val="FF0000"/>
              </a:solidFill>
              <a:prstDash val="dash"/>
              <a:round/>
            </a:ln>
            <a:effectLst/>
          </c:spPr>
          <c:marker>
            <c:symbol val="none"/>
          </c:marker>
          <c:cat>
            <c:strRef>
              <c:f>'Sim-irrigation'!$A$107:$A$139</c:f>
              <c:strCache>
                <c:ptCount val="33"/>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pt idx="26">
                  <c:v>Fats and vegetable processing)</c:v>
                </c:pt>
                <c:pt idx="27">
                  <c:v>Grain milling </c:v>
                </c:pt>
                <c:pt idx="28">
                  <c:v>Sugar refining</c:v>
                </c:pt>
                <c:pt idx="29">
                  <c:v>Other foods</c:v>
                </c:pt>
                <c:pt idx="30">
                  <c:v>Animal feed</c:v>
                </c:pt>
                <c:pt idx="31">
                  <c:v>Luxury foodstuff</c:v>
                </c:pt>
                <c:pt idx="32">
                  <c:v>Construction</c:v>
                </c:pt>
              </c:strCache>
            </c:strRef>
          </c:cat>
          <c:val>
            <c:numRef>
              <c:f>'Sim-irrigation'!$E$107:$E$139</c:f>
              <c:numCache>
                <c:formatCode>General</c:formatCode>
                <c:ptCount val="33"/>
                <c:pt idx="0">
                  <c:v>-11.366265349531378</c:v>
                </c:pt>
                <c:pt idx="1">
                  <c:v>-15.412477401856883</c:v>
                </c:pt>
                <c:pt idx="2">
                  <c:v>-11.876373005901552</c:v>
                </c:pt>
                <c:pt idx="3">
                  <c:v>-5.3272445878519648</c:v>
                </c:pt>
                <c:pt idx="4">
                  <c:v>-10.813200042667448</c:v>
                </c:pt>
                <c:pt idx="5">
                  <c:v>-7.346373330492673</c:v>
                </c:pt>
                <c:pt idx="6">
                  <c:v>-7.8557531278440003</c:v>
                </c:pt>
                <c:pt idx="7">
                  <c:v>9.2416622663549219E-2</c:v>
                </c:pt>
                <c:pt idx="8">
                  <c:v>-7.7816498931048583</c:v>
                </c:pt>
                <c:pt idx="9">
                  <c:v>-5.2958379809409095E-2</c:v>
                </c:pt>
                <c:pt idx="10">
                  <c:v>-0.15057824247046714</c:v>
                </c:pt>
                <c:pt idx="11">
                  <c:v>-10.436904518089118</c:v>
                </c:pt>
                <c:pt idx="12">
                  <c:v>-5.8715636868434835</c:v>
                </c:pt>
                <c:pt idx="13">
                  <c:v>-7.8027327679777709</c:v>
                </c:pt>
                <c:pt idx="14">
                  <c:v>-7.279129526487182</c:v>
                </c:pt>
                <c:pt idx="15">
                  <c:v>-6.2088244681726801</c:v>
                </c:pt>
                <c:pt idx="16">
                  <c:v>-5.9554509682906653</c:v>
                </c:pt>
                <c:pt idx="17">
                  <c:v>-4.4077602899814767</c:v>
                </c:pt>
                <c:pt idx="18">
                  <c:v>0.3402959743955547</c:v>
                </c:pt>
                <c:pt idx="19">
                  <c:v>-3.174987145077024E-2</c:v>
                </c:pt>
                <c:pt idx="20">
                  <c:v>-0.16599673967154782</c:v>
                </c:pt>
                <c:pt idx="21">
                  <c:v>0.47588334401973409</c:v>
                </c:pt>
                <c:pt idx="22">
                  <c:v>0.99398330173501304</c:v>
                </c:pt>
                <c:pt idx="23">
                  <c:v>-9.4541573115836108E-3</c:v>
                </c:pt>
                <c:pt idx="24">
                  <c:v>-5.4711756283287727E-2</c:v>
                </c:pt>
                <c:pt idx="25">
                  <c:v>-4.1488786371768338E-2</c:v>
                </c:pt>
                <c:pt idx="26">
                  <c:v>0.48392286070790824</c:v>
                </c:pt>
                <c:pt idx="27">
                  <c:v>2.2817145621851109</c:v>
                </c:pt>
                <c:pt idx="28">
                  <c:v>0.56136536975999185</c:v>
                </c:pt>
                <c:pt idx="29">
                  <c:v>0.16567665079658678</c:v>
                </c:pt>
                <c:pt idx="30">
                  <c:v>0.75930690139147661</c:v>
                </c:pt>
                <c:pt idx="31">
                  <c:v>0.23881276354507097</c:v>
                </c:pt>
                <c:pt idx="32">
                  <c:v>2.9554271216314376E-2</c:v>
                </c:pt>
              </c:numCache>
            </c:numRef>
          </c:val>
          <c:smooth val="0"/>
          <c:extLst>
            <c:ext xmlns:c16="http://schemas.microsoft.com/office/drawing/2014/chart" uri="{C3380CC4-5D6E-409C-BE32-E72D297353CC}">
              <c16:uniqueId val="{00000005-28E9-4586-AA8F-DA341B1493AA}"/>
            </c:ext>
          </c:extLst>
        </c:ser>
        <c:dLbls>
          <c:showLegendKey val="0"/>
          <c:showVal val="0"/>
          <c:showCatName val="0"/>
          <c:showSerName val="0"/>
          <c:showPercent val="0"/>
          <c:showBubbleSize val="0"/>
        </c:dLbls>
        <c:marker val="1"/>
        <c:smooth val="0"/>
        <c:axId val="232848040"/>
        <c:axId val="232850784"/>
      </c:lineChart>
      <c:catAx>
        <c:axId val="2328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32856664"/>
        <c:crosses val="autoZero"/>
        <c:auto val="1"/>
        <c:lblAlgn val="ctr"/>
        <c:lblOffset val="100"/>
        <c:noMultiLvlLbl val="0"/>
      </c:catAx>
      <c:valAx>
        <c:axId val="23285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32848432"/>
        <c:crosses val="autoZero"/>
        <c:crossBetween val="between"/>
      </c:valAx>
      <c:valAx>
        <c:axId val="2328507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32848040"/>
        <c:crosses val="max"/>
        <c:crossBetween val="between"/>
      </c:valAx>
      <c:catAx>
        <c:axId val="232848040"/>
        <c:scaling>
          <c:orientation val="minMax"/>
        </c:scaling>
        <c:delete val="1"/>
        <c:axPos val="b"/>
        <c:numFmt formatCode="General" sourceLinked="1"/>
        <c:majorTickMark val="out"/>
        <c:minorTickMark val="none"/>
        <c:tickLblPos val="nextTo"/>
        <c:crossAx val="232850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mj-lt"/>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'Sim-irrigation'!$C$13</c:f>
              <c:strCache>
                <c:ptCount val="1"/>
                <c:pt idx="0">
                  <c:v>2023</c:v>
                </c:pt>
              </c:strCache>
            </c:strRef>
          </c:tx>
          <c:spPr>
            <a:solidFill>
              <a:srgbClr val="00B050"/>
            </a:solidFill>
            <a:ln w="22225">
              <a:solidFill>
                <a:srgbClr val="00B050"/>
              </a:solidFill>
            </a:ln>
            <a:effectLst/>
          </c:spPr>
          <c:invertIfNegative val="0"/>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'Sim-irrigation'!$C$14:$C$39</c:f>
              <c:numCache>
                <c:formatCode>0.00</c:formatCode>
                <c:ptCount val="26"/>
                <c:pt idx="0">
                  <c:v>-10.655699122381336</c:v>
                </c:pt>
                <c:pt idx="1">
                  <c:v>-17.128151146237979</c:v>
                </c:pt>
                <c:pt idx="2">
                  <c:v>-11.52001632733265</c:v>
                </c:pt>
                <c:pt idx="3">
                  <c:v>0.67051734348442249</c:v>
                </c:pt>
                <c:pt idx="4">
                  <c:v>-10.368734702020276</c:v>
                </c:pt>
                <c:pt idx="5">
                  <c:v>-4.1936983544844768</c:v>
                </c:pt>
                <c:pt idx="6">
                  <c:v>-5.3856562739527547</c:v>
                </c:pt>
                <c:pt idx="7">
                  <c:v>0.21175770939481087</c:v>
                </c:pt>
                <c:pt idx="8">
                  <c:v>-6.4254680304341889</c:v>
                </c:pt>
                <c:pt idx="9">
                  <c:v>-0.21770336539502777</c:v>
                </c:pt>
                <c:pt idx="10">
                  <c:v>-0.33309418429573467</c:v>
                </c:pt>
                <c:pt idx="11">
                  <c:v>-12.448534493979846</c:v>
                </c:pt>
                <c:pt idx="12">
                  <c:v>-0.67591591772171444</c:v>
                </c:pt>
                <c:pt idx="13">
                  <c:v>-5.2246134044571457</c:v>
                </c:pt>
                <c:pt idx="14">
                  <c:v>-4.6685993739241649</c:v>
                </c:pt>
                <c:pt idx="15">
                  <c:v>-1.7240013636187435</c:v>
                </c:pt>
                <c:pt idx="16">
                  <c:v>-0.64003146582753967</c:v>
                </c:pt>
                <c:pt idx="17">
                  <c:v>2.8190605514789135</c:v>
                </c:pt>
                <c:pt idx="18">
                  <c:v>0.77540525050607823</c:v>
                </c:pt>
                <c:pt idx="19">
                  <c:v>-7.8894894619530032E-2</c:v>
                </c:pt>
                <c:pt idx="20">
                  <c:v>-0.43249436086842952</c:v>
                </c:pt>
                <c:pt idx="21">
                  <c:v>1.0552795821687999</c:v>
                </c:pt>
                <c:pt idx="22">
                  <c:v>2.5616951649448882</c:v>
                </c:pt>
                <c:pt idx="23">
                  <c:v>-7.3074261005057206E-2</c:v>
                </c:pt>
                <c:pt idx="24">
                  <c:v>-0.17965745418500045</c:v>
                </c:pt>
                <c:pt idx="25">
                  <c:v>-0.14601369046929324</c:v>
                </c:pt>
              </c:numCache>
            </c:numRef>
          </c:val>
          <c:extLst>
            <c:ext xmlns:c16="http://schemas.microsoft.com/office/drawing/2014/chart" uri="{C3380CC4-5D6E-409C-BE32-E72D297353CC}">
              <c16:uniqueId val="{00000000-CEA8-43E2-A818-C45450A729DA}"/>
            </c:ext>
          </c:extLst>
        </c:ser>
        <c:ser>
          <c:idx val="1"/>
          <c:order val="1"/>
          <c:tx>
            <c:strRef>
              <c:f>'Sim-irrigation'!$D$13</c:f>
              <c:strCache>
                <c:ptCount val="1"/>
                <c:pt idx="0">
                  <c:v>2025</c:v>
                </c:pt>
              </c:strCache>
            </c:strRef>
          </c:tx>
          <c:spPr>
            <a:solidFill>
              <a:srgbClr val="FFFF00"/>
            </a:solidFill>
            <a:ln w="22225">
              <a:solidFill>
                <a:srgbClr val="FFFF00"/>
              </a:solidFill>
            </a:ln>
            <a:effectLst/>
          </c:spPr>
          <c:invertIfNegative val="0"/>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'Sim-irrigation'!$D$14:$D$39</c:f>
              <c:numCache>
                <c:formatCode>0.00</c:formatCode>
                <c:ptCount val="26"/>
                <c:pt idx="0">
                  <c:v>-10.253815478565953</c:v>
                </c:pt>
                <c:pt idx="1">
                  <c:v>-16.401687968116065</c:v>
                </c:pt>
                <c:pt idx="2">
                  <c:v>-10.79017435163243</c:v>
                </c:pt>
                <c:pt idx="3">
                  <c:v>0.859423734166187</c:v>
                </c:pt>
                <c:pt idx="4">
                  <c:v>-9.6988437325800767</c:v>
                </c:pt>
                <c:pt idx="5">
                  <c:v>-4.0860065796059271</c:v>
                </c:pt>
                <c:pt idx="6">
                  <c:v>-5.2394940451643723</c:v>
                </c:pt>
                <c:pt idx="7">
                  <c:v>0.37146836832209207</c:v>
                </c:pt>
                <c:pt idx="8">
                  <c:v>-6.3281719275786745</c:v>
                </c:pt>
                <c:pt idx="9">
                  <c:v>-0.18911457874566384</c:v>
                </c:pt>
                <c:pt idx="10">
                  <c:v>-0.24678233037184194</c:v>
                </c:pt>
                <c:pt idx="11">
                  <c:v>-11.576257692461633</c:v>
                </c:pt>
                <c:pt idx="12">
                  <c:v>-0.61875443000438679</c:v>
                </c:pt>
                <c:pt idx="13">
                  <c:v>-5.0765370437202524</c:v>
                </c:pt>
                <c:pt idx="14">
                  <c:v>-4.4719808919223558</c:v>
                </c:pt>
                <c:pt idx="15">
                  <c:v>-1.6451873927452509</c:v>
                </c:pt>
                <c:pt idx="16">
                  <c:v>-0.61803186465503313</c:v>
                </c:pt>
                <c:pt idx="17">
                  <c:v>2.8355633571799821</c:v>
                </c:pt>
                <c:pt idx="18">
                  <c:v>0.81592177952090061</c:v>
                </c:pt>
                <c:pt idx="19">
                  <c:v>-5.2545601616360571E-2</c:v>
                </c:pt>
                <c:pt idx="20">
                  <c:v>-0.39614905624744123</c:v>
                </c:pt>
                <c:pt idx="21">
                  <c:v>1.1434147860039712</c:v>
                </c:pt>
                <c:pt idx="22">
                  <c:v>2.5055415986159346</c:v>
                </c:pt>
                <c:pt idx="23">
                  <c:v>-4.5192949898231749E-2</c:v>
                </c:pt>
                <c:pt idx="24">
                  <c:v>-0.12818423775814436</c:v>
                </c:pt>
                <c:pt idx="25">
                  <c:v>-7.3307535222222331E-2</c:v>
                </c:pt>
              </c:numCache>
            </c:numRef>
          </c:val>
          <c:extLst>
            <c:ext xmlns:c16="http://schemas.microsoft.com/office/drawing/2014/chart" uri="{C3380CC4-5D6E-409C-BE32-E72D297353CC}">
              <c16:uniqueId val="{00000001-CEA8-43E2-A818-C45450A729DA}"/>
            </c:ext>
          </c:extLst>
        </c:ser>
        <c:ser>
          <c:idx val="2"/>
          <c:order val="2"/>
          <c:tx>
            <c:strRef>
              <c:f>'Sim-irrigation'!$E$13</c:f>
              <c:strCache>
                <c:ptCount val="1"/>
                <c:pt idx="0">
                  <c:v>2030</c:v>
                </c:pt>
              </c:strCache>
            </c:strRef>
          </c:tx>
          <c:spPr>
            <a:solidFill>
              <a:srgbClr val="0070C0"/>
            </a:solidFill>
            <a:ln w="25400">
              <a:solidFill>
                <a:srgbClr val="0070C0"/>
              </a:solidFill>
            </a:ln>
            <a:effectLst/>
          </c:spPr>
          <c:invertIfNegative val="0"/>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'Sim-irrigation'!$E$14:$E$39</c:f>
              <c:numCache>
                <c:formatCode>0.00</c:formatCode>
                <c:ptCount val="26"/>
                <c:pt idx="0">
                  <c:v>1.1048279906220149</c:v>
                </c:pt>
                <c:pt idx="1">
                  <c:v>2.2664362466918497</c:v>
                </c:pt>
                <c:pt idx="2">
                  <c:v>2.1643821964603571</c:v>
                </c:pt>
                <c:pt idx="3">
                  <c:v>0.3833953923493727</c:v>
                </c:pt>
                <c:pt idx="4">
                  <c:v>2.2173889971078609</c:v>
                </c:pt>
                <c:pt idx="5">
                  <c:v>0.29140047490789911</c:v>
                </c:pt>
                <c:pt idx="6">
                  <c:v>0.43881245056585083</c:v>
                </c:pt>
                <c:pt idx="7">
                  <c:v>0.31080185101228786</c:v>
                </c:pt>
                <c:pt idx="8">
                  <c:v>0.25961032548229568</c:v>
                </c:pt>
                <c:pt idx="9">
                  <c:v>6.3417896197659474E-2</c:v>
                </c:pt>
                <c:pt idx="10">
                  <c:v>0.16242396843417772</c:v>
                </c:pt>
                <c:pt idx="11">
                  <c:v>2.5953080988504462</c:v>
                </c:pt>
                <c:pt idx="12">
                  <c:v>0.10875476122818029</c:v>
                </c:pt>
                <c:pt idx="13">
                  <c:v>0.41650841365157287</c:v>
                </c:pt>
                <c:pt idx="14">
                  <c:v>0.57770208609795315</c:v>
                </c:pt>
                <c:pt idx="15">
                  <c:v>0.1863206463314393</c:v>
                </c:pt>
                <c:pt idx="16">
                  <c:v>5.027968596207355E-2</c:v>
                </c:pt>
                <c:pt idx="17">
                  <c:v>3.5512985571295452E-2</c:v>
                </c:pt>
                <c:pt idx="18">
                  <c:v>7.4159244157057103E-2</c:v>
                </c:pt>
                <c:pt idx="19">
                  <c:v>2.176252023147196E-2</c:v>
                </c:pt>
                <c:pt idx="20">
                  <c:v>0.10157327223985213</c:v>
                </c:pt>
                <c:pt idx="21">
                  <c:v>8.0225948748235965E-3</c:v>
                </c:pt>
                <c:pt idx="22">
                  <c:v>-0.27455452772375821</c:v>
                </c:pt>
                <c:pt idx="23">
                  <c:v>5.4600110135805124E-2</c:v>
                </c:pt>
                <c:pt idx="24">
                  <c:v>8.1768488212885515E-2</c:v>
                </c:pt>
                <c:pt idx="25">
                  <c:v>0.10784606073459546</c:v>
                </c:pt>
              </c:numCache>
            </c:numRef>
          </c:val>
          <c:extLst>
            <c:ext xmlns:c16="http://schemas.microsoft.com/office/drawing/2014/chart" uri="{C3380CC4-5D6E-409C-BE32-E72D297353CC}">
              <c16:uniqueId val="{00000002-CEA8-43E2-A818-C45450A729DA}"/>
            </c:ext>
          </c:extLst>
        </c:ser>
        <c:dLbls>
          <c:showLegendKey val="0"/>
          <c:showVal val="0"/>
          <c:showCatName val="0"/>
          <c:showSerName val="0"/>
          <c:showPercent val="0"/>
          <c:showBubbleSize val="0"/>
        </c:dLbls>
        <c:gapWidth val="219"/>
        <c:overlap val="-27"/>
        <c:axId val="232848824"/>
        <c:axId val="232847648"/>
      </c:barChart>
      <c:lineChart>
        <c:grouping val="standard"/>
        <c:varyColors val="0"/>
        <c:ser>
          <c:idx val="3"/>
          <c:order val="3"/>
          <c:tx>
            <c:strRef>
              <c:f>'Sim-irrigation'!$F$13</c:f>
              <c:strCache>
                <c:ptCount val="1"/>
                <c:pt idx="0">
                  <c:v>2023</c:v>
                </c:pt>
              </c:strCache>
            </c:strRef>
          </c:tx>
          <c:spPr>
            <a:ln w="12700" cap="rnd">
              <a:solidFill>
                <a:srgbClr val="7030A0"/>
              </a:solidFill>
              <a:prstDash val="sysDash"/>
              <a:round/>
            </a:ln>
            <a:effectLst/>
          </c:spPr>
          <c:marker>
            <c:symbol val="none"/>
          </c:marker>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'Sim-irrigation'!$F$14:$F$39</c:f>
              <c:numCache>
                <c:formatCode>General</c:formatCode>
                <c:ptCount val="26"/>
                <c:pt idx="0">
                  <c:v>-1.4432899320127035E-13</c:v>
                </c:pt>
                <c:pt idx="1">
                  <c:v>-8.8817841970012523E-14</c:v>
                </c:pt>
                <c:pt idx="2">
                  <c:v>4.4408920985006262E-14</c:v>
                </c:pt>
                <c:pt idx="3">
                  <c:v>8.8817841970012523E-14</c:v>
                </c:pt>
                <c:pt idx="4">
                  <c:v>6.6613381477509392E-14</c:v>
                </c:pt>
                <c:pt idx="5">
                  <c:v>-1.1102230246251565E-13</c:v>
                </c:pt>
                <c:pt idx="6">
                  <c:v>8.8817841970012523E-14</c:v>
                </c:pt>
                <c:pt idx="7">
                  <c:v>-2.2204460492503131E-14</c:v>
                </c:pt>
                <c:pt idx="8">
                  <c:v>-1.1102230246251565E-13</c:v>
                </c:pt>
                <c:pt idx="9">
                  <c:v>-2.2204460492503131E-14</c:v>
                </c:pt>
                <c:pt idx="10">
                  <c:v>6.6613381477509392E-14</c:v>
                </c:pt>
                <c:pt idx="11">
                  <c:v>-8.8817841970012523E-14</c:v>
                </c:pt>
                <c:pt idx="12">
                  <c:v>2.2204460492503131E-14</c:v>
                </c:pt>
                <c:pt idx="13">
                  <c:v>4.4408920985006262E-14</c:v>
                </c:pt>
                <c:pt idx="14">
                  <c:v>-4.4408920985006262E-14</c:v>
                </c:pt>
                <c:pt idx="15">
                  <c:v>-1.2212453270876722E-13</c:v>
                </c:pt>
                <c:pt idx="16">
                  <c:v>-8.8817841970012523E-14</c:v>
                </c:pt>
                <c:pt idx="17">
                  <c:v>-5.5511151231257827E-14</c:v>
                </c:pt>
                <c:pt idx="18">
                  <c:v>-3.3306690738754696E-14</c:v>
                </c:pt>
                <c:pt idx="19">
                  <c:v>-3.3306690738754696E-14</c:v>
                </c:pt>
                <c:pt idx="20">
                  <c:v>4.4408920985006262E-14</c:v>
                </c:pt>
                <c:pt idx="21">
                  <c:v>-2.2204460492503131E-14</c:v>
                </c:pt>
                <c:pt idx="22">
                  <c:v>2.2204460492503131E-14</c:v>
                </c:pt>
                <c:pt idx="23" formatCode="0.00">
                  <c:v>-7.3074261005057206E-2</c:v>
                </c:pt>
                <c:pt idx="24" formatCode="0.00">
                  <c:v>-0.17965745418500045</c:v>
                </c:pt>
                <c:pt idx="25" formatCode="0.00">
                  <c:v>-0.14601369046929324</c:v>
                </c:pt>
              </c:numCache>
            </c:numRef>
          </c:val>
          <c:smooth val="0"/>
          <c:extLst>
            <c:ext xmlns:c16="http://schemas.microsoft.com/office/drawing/2014/chart" uri="{C3380CC4-5D6E-409C-BE32-E72D297353CC}">
              <c16:uniqueId val="{00000003-CEA8-43E2-A818-C45450A729DA}"/>
            </c:ext>
          </c:extLst>
        </c:ser>
        <c:ser>
          <c:idx val="4"/>
          <c:order val="4"/>
          <c:tx>
            <c:strRef>
              <c:f>'Sim-irrigation'!$G$13</c:f>
              <c:strCache>
                <c:ptCount val="1"/>
                <c:pt idx="0">
                  <c:v>2025</c:v>
                </c:pt>
              </c:strCache>
            </c:strRef>
          </c:tx>
          <c:spPr>
            <a:ln w="12700" cap="rnd">
              <a:solidFill>
                <a:schemeClr val="tx1"/>
              </a:solidFill>
              <a:round/>
            </a:ln>
            <a:effectLst/>
          </c:spPr>
          <c:marker>
            <c:symbol val="none"/>
          </c:marker>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'Sim-irrigation'!$G$14:$G$39</c:f>
              <c:numCache>
                <c:formatCode>General</c:formatCode>
                <c:ptCount val="26"/>
                <c:pt idx="0">
                  <c:v>-8.8817841970012523E-14</c:v>
                </c:pt>
                <c:pt idx="1">
                  <c:v>-7.7715611723760958E-14</c:v>
                </c:pt>
                <c:pt idx="2">
                  <c:v>6.6613381477509392E-14</c:v>
                </c:pt>
                <c:pt idx="3">
                  <c:v>6.6613381477509392E-14</c:v>
                </c:pt>
                <c:pt idx="4">
                  <c:v>4.4408920985006262E-14</c:v>
                </c:pt>
                <c:pt idx="5">
                  <c:v>4.4408920985006262E-14</c:v>
                </c:pt>
                <c:pt idx="6">
                  <c:v>1.1102230246251565E-13</c:v>
                </c:pt>
                <c:pt idx="7">
                  <c:v>-2.2204460492503131E-14</c:v>
                </c:pt>
                <c:pt idx="8">
                  <c:v>-1.1102230246251565E-13</c:v>
                </c:pt>
                <c:pt idx="9">
                  <c:v>1.1102230246251565E-13</c:v>
                </c:pt>
                <c:pt idx="10">
                  <c:v>-7.7715611723760958E-14</c:v>
                </c:pt>
                <c:pt idx="11">
                  <c:v>-3.3306690738754696E-14</c:v>
                </c:pt>
                <c:pt idx="12">
                  <c:v>1.9984014443252818E-13</c:v>
                </c:pt>
                <c:pt idx="13">
                  <c:v>-5.5511151231257827E-14</c:v>
                </c:pt>
                <c:pt idx="14">
                  <c:v>4.4408920985006262E-14</c:v>
                </c:pt>
                <c:pt idx="15">
                  <c:v>4.4408920985006262E-14</c:v>
                </c:pt>
                <c:pt idx="16">
                  <c:v>-9.9920072216264089E-14</c:v>
                </c:pt>
                <c:pt idx="17">
                  <c:v>-4.4408920985006262E-14</c:v>
                </c:pt>
                <c:pt idx="18">
                  <c:v>-5.5511151231257827E-14</c:v>
                </c:pt>
                <c:pt idx="19">
                  <c:v>6.6613381477509392E-14</c:v>
                </c:pt>
                <c:pt idx="20">
                  <c:v>4.4408920985006262E-14</c:v>
                </c:pt>
                <c:pt idx="21">
                  <c:v>-2.2204460492503131E-14</c:v>
                </c:pt>
                <c:pt idx="22">
                  <c:v>-3.3306690738754696E-14</c:v>
                </c:pt>
                <c:pt idx="23">
                  <c:v>2.2204460492503131E-14</c:v>
                </c:pt>
                <c:pt idx="24">
                  <c:v>2.2204460492503131E-14</c:v>
                </c:pt>
                <c:pt idx="25">
                  <c:v>6.6613381477509392E-14</c:v>
                </c:pt>
              </c:numCache>
            </c:numRef>
          </c:val>
          <c:smooth val="0"/>
          <c:extLst>
            <c:ext xmlns:c16="http://schemas.microsoft.com/office/drawing/2014/chart" uri="{C3380CC4-5D6E-409C-BE32-E72D297353CC}">
              <c16:uniqueId val="{00000004-CEA8-43E2-A818-C45450A729DA}"/>
            </c:ext>
          </c:extLst>
        </c:ser>
        <c:ser>
          <c:idx val="5"/>
          <c:order val="5"/>
          <c:tx>
            <c:strRef>
              <c:f>'Sim-irrigation'!$H$13</c:f>
              <c:strCache>
                <c:ptCount val="1"/>
                <c:pt idx="0">
                  <c:v>2030</c:v>
                </c:pt>
              </c:strCache>
            </c:strRef>
          </c:tx>
          <c:spPr>
            <a:ln w="12700" cap="rnd">
              <a:solidFill>
                <a:srgbClr val="FF0000"/>
              </a:solidFill>
              <a:prstDash val="dash"/>
              <a:round/>
            </a:ln>
            <a:effectLst/>
          </c:spPr>
          <c:marker>
            <c:symbol val="none"/>
          </c:marker>
          <c:cat>
            <c:strRef>
              <c:f>'Sim-irrigation'!$B$14:$B$39</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'Sim-irrigation'!$H$14:$H$39</c:f>
              <c:numCache>
                <c:formatCode>General</c:formatCode>
                <c:ptCount val="26"/>
                <c:pt idx="0">
                  <c:v>8.8817841970012523E-14</c:v>
                </c:pt>
                <c:pt idx="1">
                  <c:v>6.6613381477509392E-14</c:v>
                </c:pt>
                <c:pt idx="2">
                  <c:v>-7.7715611723760958E-14</c:v>
                </c:pt>
                <c:pt idx="3">
                  <c:v>-1.1102230246251565E-13</c:v>
                </c:pt>
                <c:pt idx="4">
                  <c:v>-5.5511151231257827E-14</c:v>
                </c:pt>
                <c:pt idx="5">
                  <c:v>-7.7715611723760958E-14</c:v>
                </c:pt>
                <c:pt idx="6">
                  <c:v>1.1102230246251565E-13</c:v>
                </c:pt>
                <c:pt idx="7">
                  <c:v>-7.7715611723760958E-14</c:v>
                </c:pt>
                <c:pt idx="8">
                  <c:v>1.5543122344752192E-13</c:v>
                </c:pt>
                <c:pt idx="9">
                  <c:v>-1.1102230246251565E-13</c:v>
                </c:pt>
                <c:pt idx="10">
                  <c:v>4.4408920985006262E-14</c:v>
                </c:pt>
                <c:pt idx="11">
                  <c:v>4.4408920985006262E-14</c:v>
                </c:pt>
                <c:pt idx="12">
                  <c:v>-7.7715611723760958E-14</c:v>
                </c:pt>
                <c:pt idx="13">
                  <c:v>-2.2204460492503131E-14</c:v>
                </c:pt>
                <c:pt idx="14">
                  <c:v>2.2204460492503131E-14</c:v>
                </c:pt>
                <c:pt idx="15">
                  <c:v>2.2204460492503131E-14</c:v>
                </c:pt>
                <c:pt idx="16">
                  <c:v>-8.8817841970012523E-14</c:v>
                </c:pt>
                <c:pt idx="17">
                  <c:v>4.4408920985006262E-14</c:v>
                </c:pt>
                <c:pt idx="18">
                  <c:v>2.2204460492503131E-14</c:v>
                </c:pt>
                <c:pt idx="19">
                  <c:v>8.8817841970012523E-14</c:v>
                </c:pt>
                <c:pt idx="20">
                  <c:v>-7.7715611723760958E-14</c:v>
                </c:pt>
                <c:pt idx="21">
                  <c:v>8.8817841970012523E-14</c:v>
                </c:pt>
                <c:pt idx="22" formatCode="0.00">
                  <c:v>-0.27455452772375821</c:v>
                </c:pt>
                <c:pt idx="23" formatCode="0.00">
                  <c:v>5.4600110135805124E-2</c:v>
                </c:pt>
                <c:pt idx="24" formatCode="0.00">
                  <c:v>8.1768488212885515E-2</c:v>
                </c:pt>
                <c:pt idx="25" formatCode="0.00">
                  <c:v>0.10784606073459546</c:v>
                </c:pt>
              </c:numCache>
            </c:numRef>
          </c:val>
          <c:smooth val="0"/>
          <c:extLst>
            <c:ext xmlns:c16="http://schemas.microsoft.com/office/drawing/2014/chart" uri="{C3380CC4-5D6E-409C-BE32-E72D297353CC}">
              <c16:uniqueId val="{00000005-CEA8-43E2-A818-C45450A729DA}"/>
            </c:ext>
          </c:extLst>
        </c:ser>
        <c:dLbls>
          <c:showLegendKey val="0"/>
          <c:showVal val="0"/>
          <c:showCatName val="0"/>
          <c:showSerName val="0"/>
          <c:showPercent val="0"/>
          <c:showBubbleSize val="0"/>
        </c:dLbls>
        <c:marker val="1"/>
        <c:smooth val="0"/>
        <c:axId val="232857056"/>
        <c:axId val="232853920"/>
      </c:lineChart>
      <c:catAx>
        <c:axId val="23284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232847648"/>
        <c:crosses val="autoZero"/>
        <c:auto val="1"/>
        <c:lblAlgn val="ctr"/>
        <c:lblOffset val="100"/>
        <c:noMultiLvlLbl val="0"/>
      </c:catAx>
      <c:valAx>
        <c:axId val="232847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32848824"/>
        <c:crosses val="autoZero"/>
        <c:crossBetween val="between"/>
      </c:valAx>
      <c:valAx>
        <c:axId val="2328539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32857056"/>
        <c:crosses val="max"/>
        <c:crossBetween val="between"/>
      </c:valAx>
      <c:catAx>
        <c:axId val="232857056"/>
        <c:scaling>
          <c:orientation val="minMax"/>
        </c:scaling>
        <c:delete val="1"/>
        <c:axPos val="b"/>
        <c:numFmt formatCode="General" sourceLinked="1"/>
        <c:majorTickMark val="out"/>
        <c:minorTickMark val="none"/>
        <c:tickLblPos val="nextTo"/>
        <c:crossAx val="232853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8958880139983"/>
          <c:y val="6.0185185185185182E-2"/>
          <c:w val="0.83187707786526688"/>
          <c:h val="0.73577136191309422"/>
        </c:manualLayout>
      </c:layout>
      <c:barChart>
        <c:barDir val="bar"/>
        <c:grouping val="clustered"/>
        <c:varyColors val="0"/>
        <c:ser>
          <c:idx val="0"/>
          <c:order val="0"/>
          <c:tx>
            <c:strRef>
              <c:f>'Sheet3 (2)'!$A$3</c:f>
              <c:strCache>
                <c:ptCount val="1"/>
                <c:pt idx="0">
                  <c:v>Total GDP</c:v>
                </c:pt>
              </c:strCache>
            </c:strRef>
          </c:tx>
          <c:spPr>
            <a:solidFill>
              <a:schemeClr val="accent2"/>
            </a:solidFill>
            <a:ln>
              <a:noFill/>
            </a:ln>
            <a:effectLst/>
          </c:spPr>
          <c:invertIfNegative val="0"/>
          <c:cat>
            <c:strRef>
              <c:f>'Sheet3 (2)'!$B$2:$D$2</c:f>
              <c:strCache>
                <c:ptCount val="3"/>
                <c:pt idx="0">
                  <c:v>Malawi</c:v>
                </c:pt>
                <c:pt idx="1">
                  <c:v>Tanzania</c:v>
                </c:pt>
                <c:pt idx="2">
                  <c:v>Uganda </c:v>
                </c:pt>
              </c:strCache>
            </c:strRef>
          </c:cat>
          <c:val>
            <c:numRef>
              <c:f>'Sheet3 (2)'!$B$3:$D$3</c:f>
              <c:numCache>
                <c:formatCode>General</c:formatCode>
                <c:ptCount val="3"/>
                <c:pt idx="0">
                  <c:v>2.1</c:v>
                </c:pt>
                <c:pt idx="1">
                  <c:v>0.8</c:v>
                </c:pt>
                <c:pt idx="2">
                  <c:v>0.8</c:v>
                </c:pt>
              </c:numCache>
            </c:numRef>
          </c:val>
          <c:extLst>
            <c:ext xmlns:c16="http://schemas.microsoft.com/office/drawing/2014/chart" uri="{C3380CC4-5D6E-409C-BE32-E72D297353CC}">
              <c16:uniqueId val="{00000000-067C-4E2E-B85B-C9B02286D239}"/>
            </c:ext>
          </c:extLst>
        </c:ser>
        <c:ser>
          <c:idx val="1"/>
          <c:order val="1"/>
          <c:tx>
            <c:strRef>
              <c:f>'Sheet3 (2)'!$A$4</c:f>
              <c:strCache>
                <c:ptCount val="1"/>
                <c:pt idx="0">
                  <c:v>Agricultural GDP</c:v>
                </c:pt>
              </c:strCache>
            </c:strRef>
          </c:tx>
          <c:spPr>
            <a:solidFill>
              <a:schemeClr val="accent4"/>
            </a:solidFill>
            <a:ln>
              <a:noFill/>
            </a:ln>
            <a:effectLst/>
          </c:spPr>
          <c:invertIfNegative val="0"/>
          <c:cat>
            <c:strRef>
              <c:f>'Sheet3 (2)'!$B$2:$D$2</c:f>
              <c:strCache>
                <c:ptCount val="3"/>
                <c:pt idx="0">
                  <c:v>Malawi</c:v>
                </c:pt>
                <c:pt idx="1">
                  <c:v>Tanzania</c:v>
                </c:pt>
                <c:pt idx="2">
                  <c:v>Uganda </c:v>
                </c:pt>
              </c:strCache>
            </c:strRef>
          </c:cat>
          <c:val>
            <c:numRef>
              <c:f>'Sheet3 (2)'!$B$4:$D$4</c:f>
              <c:numCache>
                <c:formatCode>General</c:formatCode>
                <c:ptCount val="3"/>
                <c:pt idx="0">
                  <c:v>6.7</c:v>
                </c:pt>
                <c:pt idx="1">
                  <c:v>2.7</c:v>
                </c:pt>
                <c:pt idx="2">
                  <c:v>3.6</c:v>
                </c:pt>
              </c:numCache>
            </c:numRef>
          </c:val>
          <c:extLst>
            <c:ext xmlns:c16="http://schemas.microsoft.com/office/drawing/2014/chart" uri="{C3380CC4-5D6E-409C-BE32-E72D297353CC}">
              <c16:uniqueId val="{00000001-067C-4E2E-B85B-C9B02286D239}"/>
            </c:ext>
          </c:extLst>
        </c:ser>
        <c:ser>
          <c:idx val="2"/>
          <c:order val="2"/>
          <c:tx>
            <c:strRef>
              <c:f>'Sheet3 (2)'!$A$5</c:f>
              <c:strCache>
                <c:ptCount val="1"/>
                <c:pt idx="0">
                  <c:v>Current Crop Output</c:v>
                </c:pt>
              </c:strCache>
            </c:strRef>
          </c:tx>
          <c:spPr>
            <a:solidFill>
              <a:schemeClr val="accent6"/>
            </a:solidFill>
            <a:ln>
              <a:noFill/>
            </a:ln>
            <a:effectLst/>
          </c:spPr>
          <c:invertIfNegative val="0"/>
          <c:cat>
            <c:strRef>
              <c:f>'Sheet3 (2)'!$B$2:$D$2</c:f>
              <c:strCache>
                <c:ptCount val="3"/>
                <c:pt idx="0">
                  <c:v>Malawi</c:v>
                </c:pt>
                <c:pt idx="1">
                  <c:v>Tanzania</c:v>
                </c:pt>
                <c:pt idx="2">
                  <c:v>Uganda </c:v>
                </c:pt>
              </c:strCache>
            </c:strRef>
          </c:cat>
          <c:val>
            <c:numRef>
              <c:f>'Sheet3 (2)'!$B$5:$D$5</c:f>
              <c:numCache>
                <c:formatCode>General</c:formatCode>
                <c:ptCount val="3"/>
                <c:pt idx="0">
                  <c:v>8.1</c:v>
                </c:pt>
                <c:pt idx="1">
                  <c:v>3.9</c:v>
                </c:pt>
                <c:pt idx="2">
                  <c:v>6.1</c:v>
                </c:pt>
              </c:numCache>
            </c:numRef>
          </c:val>
          <c:extLst>
            <c:ext xmlns:c16="http://schemas.microsoft.com/office/drawing/2014/chart" uri="{C3380CC4-5D6E-409C-BE32-E72D297353CC}">
              <c16:uniqueId val="{00000002-067C-4E2E-B85B-C9B02286D239}"/>
            </c:ext>
          </c:extLst>
        </c:ser>
        <c:dLbls>
          <c:showLegendKey val="0"/>
          <c:showVal val="0"/>
          <c:showCatName val="0"/>
          <c:showSerName val="0"/>
          <c:showPercent val="0"/>
          <c:showBubbleSize val="0"/>
        </c:dLbls>
        <c:gapWidth val="182"/>
        <c:axId val="601088056"/>
        <c:axId val="601096288"/>
      </c:barChart>
      <c:catAx>
        <c:axId val="60108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6288"/>
        <c:crosses val="autoZero"/>
        <c:auto val="1"/>
        <c:lblAlgn val="ctr"/>
        <c:lblOffset val="100"/>
        <c:noMultiLvlLbl val="0"/>
      </c:catAx>
      <c:valAx>
        <c:axId val="60109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88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'Sim-BAU'!$B$177</c:f>
              <c:strCache>
                <c:ptCount val="1"/>
                <c:pt idx="0">
                  <c:v>Consumer price index</c:v>
                </c:pt>
              </c:strCache>
            </c:strRef>
          </c:tx>
          <c:spPr>
            <a:ln w="9525" cap="rnd">
              <a:solidFill>
                <a:schemeClr val="tx1"/>
              </a:solidFill>
              <a:round/>
            </a:ln>
            <a:effectLst/>
          </c:spPr>
          <c:marker>
            <c:symbol val="circle"/>
            <c:size val="5"/>
            <c:spPr>
              <a:solidFill>
                <a:schemeClr val="tx1"/>
              </a:solidFill>
              <a:ln w="9525">
                <a:solidFill>
                  <a:schemeClr val="accent1"/>
                </a:solidFill>
              </a:ln>
              <a:effectLst/>
            </c:spPr>
          </c:marker>
          <c:trendline>
            <c:spPr>
              <a:ln w="19050" cap="rnd">
                <a:solidFill>
                  <a:srgbClr val="FF0000"/>
                </a:solidFill>
                <a:prstDash val="sysDot"/>
              </a:ln>
              <a:effectLst/>
            </c:spPr>
            <c:trendlineType val="linear"/>
            <c:dispRSqr val="1"/>
            <c:dispEq val="1"/>
            <c:trendlineLbl>
              <c:layout>
                <c:manualLayout>
                  <c:x val="-1.4682852143482064E-3"/>
                  <c:y val="-6.01851851851851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rendlineLbl>
          </c:trendline>
          <c:cat>
            <c:numRef>
              <c:f>'Sim-BAU'!$C$176:$M$176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'Sim-BAU'!$C$177:$M$177</c:f>
              <c:numCache>
                <c:formatCode>General</c:formatCode>
                <c:ptCount val="11"/>
                <c:pt idx="0">
                  <c:v>3.0513466725636818</c:v>
                </c:pt>
                <c:pt idx="1">
                  <c:v>3.0513466725636818</c:v>
                </c:pt>
                <c:pt idx="2">
                  <c:v>3.0455786231541104</c:v>
                </c:pt>
                <c:pt idx="3">
                  <c:v>3.0395628595759838</c:v>
                </c:pt>
                <c:pt idx="4">
                  <c:v>3.0360550623164118</c:v>
                </c:pt>
                <c:pt idx="5">
                  <c:v>3.0355883039492326</c:v>
                </c:pt>
                <c:pt idx="6">
                  <c:v>3.038015315964171</c:v>
                </c:pt>
                <c:pt idx="7">
                  <c:v>3.0430191783455296</c:v>
                </c:pt>
                <c:pt idx="8">
                  <c:v>3.0502582118552946</c:v>
                </c:pt>
                <c:pt idx="9">
                  <c:v>3.0594057352126391</c:v>
                </c:pt>
                <c:pt idx="10">
                  <c:v>3.0701609015205689</c:v>
                </c:pt>
              </c:numCache>
            </c:numRef>
          </c:val>
          <c:smooth val="0"/>
          <c:extLst>
            <c:ext xmlns:c16="http://schemas.microsoft.com/office/drawing/2014/chart" uri="{C3380CC4-5D6E-409C-BE32-E72D297353CC}">
              <c16:uniqueId val="{00000001-28F9-48E8-9735-1D7A6F2F781A}"/>
            </c:ext>
          </c:extLst>
        </c:ser>
        <c:dLbls>
          <c:showLegendKey val="0"/>
          <c:showVal val="0"/>
          <c:showCatName val="0"/>
          <c:showSerName val="0"/>
          <c:showPercent val="0"/>
          <c:showBubbleSize val="0"/>
        </c:dLbls>
        <c:marker val="1"/>
        <c:smooth val="0"/>
        <c:axId val="601090408"/>
        <c:axId val="601100208"/>
      </c:lineChart>
      <c:catAx>
        <c:axId val="60109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01100208"/>
        <c:crosses val="autoZero"/>
        <c:auto val="1"/>
        <c:lblAlgn val="ctr"/>
        <c:lblOffset val="100"/>
        <c:noMultiLvlLbl val="0"/>
      </c:catAx>
      <c:valAx>
        <c:axId val="6011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010904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lgn="just">
        <a:defRPr sz="90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'Sim-BAU'!$C$9</c:f>
              <c:strCache>
                <c:ptCount val="1"/>
                <c:pt idx="0">
                  <c:v>2023</c:v>
                </c:pt>
              </c:strCache>
            </c:strRef>
          </c:tx>
          <c:spPr>
            <a:solidFill>
              <a:srgbClr val="00B0F0"/>
            </a:solidFill>
            <a:ln>
              <a:solidFill>
                <a:schemeClr val="accent1"/>
              </a:solidFill>
            </a:ln>
            <a:effectLst/>
            <a:sp3d>
              <a:contourClr>
                <a:schemeClr val="accent1"/>
              </a:contourClr>
            </a:sp3d>
          </c:spPr>
          <c:invertIfNegative val="0"/>
          <c:cat>
            <c:strRef>
              <c:f>'Sim-BAU'!$B$10:$B$35</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'Sim-BAU'!$C$10:$C$35</c:f>
              <c:numCache>
                <c:formatCode>General</c:formatCode>
                <c:ptCount val="26"/>
                <c:pt idx="0">
                  <c:v>-0.10893252540599141</c:v>
                </c:pt>
                <c:pt idx="1">
                  <c:v>-1.568806047529403E-2</c:v>
                </c:pt>
                <c:pt idx="2">
                  <c:v>-0.44917492984445362</c:v>
                </c:pt>
                <c:pt idx="3">
                  <c:v>-1.0925855562234577</c:v>
                </c:pt>
                <c:pt idx="4">
                  <c:v>0.37212774329433707</c:v>
                </c:pt>
                <c:pt idx="5">
                  <c:v>-4.0222920193655476E-2</c:v>
                </c:pt>
                <c:pt idx="6">
                  <c:v>0.90525350670325189</c:v>
                </c:pt>
                <c:pt idx="7">
                  <c:v>-1.6011699220150555</c:v>
                </c:pt>
                <c:pt idx="8">
                  <c:v>-0.34948334828764915</c:v>
                </c:pt>
                <c:pt idx="9">
                  <c:v>0.16046578487098895</c:v>
                </c:pt>
                <c:pt idx="10">
                  <c:v>-0.91767527105045543</c:v>
                </c:pt>
                <c:pt idx="11">
                  <c:v>-1.2636466527598977</c:v>
                </c:pt>
                <c:pt idx="12">
                  <c:v>-3.496997032361493</c:v>
                </c:pt>
                <c:pt idx="13">
                  <c:v>8.165721333210918E-2</c:v>
                </c:pt>
                <c:pt idx="14">
                  <c:v>-2.1101497551991644</c:v>
                </c:pt>
                <c:pt idx="15">
                  <c:v>-2.840703605387962</c:v>
                </c:pt>
                <c:pt idx="16">
                  <c:v>-0.35960237704948383</c:v>
                </c:pt>
                <c:pt idx="17">
                  <c:v>-0.47805630951386346</c:v>
                </c:pt>
                <c:pt idx="18">
                  <c:v>1.6057699999653119</c:v>
                </c:pt>
                <c:pt idx="19">
                  <c:v>0.77252139276564602</c:v>
                </c:pt>
                <c:pt idx="20">
                  <c:v>2.1403806274034931</c:v>
                </c:pt>
                <c:pt idx="21">
                  <c:v>-0.47346901603634306</c:v>
                </c:pt>
                <c:pt idx="22">
                  <c:v>0.39658482836724129</c:v>
                </c:pt>
                <c:pt idx="23">
                  <c:v>-0.92980922218225404</c:v>
                </c:pt>
                <c:pt idx="24">
                  <c:v>-1.3878982881898594E-2</c:v>
                </c:pt>
                <c:pt idx="25">
                  <c:v>-1.4865510957942751</c:v>
                </c:pt>
              </c:numCache>
            </c:numRef>
          </c:val>
          <c:extLst>
            <c:ext xmlns:c16="http://schemas.microsoft.com/office/drawing/2014/chart" uri="{C3380CC4-5D6E-409C-BE32-E72D297353CC}">
              <c16:uniqueId val="{00000000-8899-4C62-BE58-6797F9DCEA18}"/>
            </c:ext>
          </c:extLst>
        </c:ser>
        <c:ser>
          <c:idx val="1"/>
          <c:order val="1"/>
          <c:tx>
            <c:strRef>
              <c:f>'Sim-BAU'!$D$9</c:f>
              <c:strCache>
                <c:ptCount val="1"/>
                <c:pt idx="0">
                  <c:v>2025</c:v>
                </c:pt>
              </c:strCache>
            </c:strRef>
          </c:tx>
          <c:spPr>
            <a:solidFill>
              <a:srgbClr val="FF0000"/>
            </a:solidFill>
            <a:ln>
              <a:solidFill>
                <a:schemeClr val="accent1"/>
              </a:solidFill>
            </a:ln>
            <a:effectLst/>
            <a:sp3d>
              <a:contourClr>
                <a:schemeClr val="accent1"/>
              </a:contourClr>
            </a:sp3d>
          </c:spPr>
          <c:invertIfNegative val="0"/>
          <c:cat>
            <c:strRef>
              <c:f>'Sim-BAU'!$B$10:$B$35</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'Sim-BAU'!$D$10:$D$35</c:f>
              <c:numCache>
                <c:formatCode>General</c:formatCode>
                <c:ptCount val="26"/>
                <c:pt idx="0">
                  <c:v>-0.22074084707085495</c:v>
                </c:pt>
                <c:pt idx="1">
                  <c:v>-0.15201642002725668</c:v>
                </c:pt>
                <c:pt idx="2">
                  <c:v>-0.55610175364461112</c:v>
                </c:pt>
                <c:pt idx="3">
                  <c:v>-1.2903309226161674</c:v>
                </c:pt>
                <c:pt idx="4">
                  <c:v>0.27911607955812823</c:v>
                </c:pt>
                <c:pt idx="5">
                  <c:v>-0.11638883917239884</c:v>
                </c:pt>
                <c:pt idx="6">
                  <c:v>0.81642647098090215</c:v>
                </c:pt>
                <c:pt idx="7">
                  <c:v>-1.9049561340745758</c:v>
                </c:pt>
                <c:pt idx="8">
                  <c:v>-0.41620471978651707</c:v>
                </c:pt>
                <c:pt idx="9">
                  <c:v>8.2010061183890315E-2</c:v>
                </c:pt>
                <c:pt idx="10">
                  <c:v>-0.98753517970696647</c:v>
                </c:pt>
                <c:pt idx="11">
                  <c:v>-1.6579887087240119</c:v>
                </c:pt>
                <c:pt idx="12">
                  <c:v>-3.5508802937035844</c:v>
                </c:pt>
                <c:pt idx="13">
                  <c:v>-6.6944648660527406E-3</c:v>
                </c:pt>
                <c:pt idx="14">
                  <c:v>-2.4350313619241337</c:v>
                </c:pt>
                <c:pt idx="15">
                  <c:v>-2.94868239597601</c:v>
                </c:pt>
                <c:pt idx="16">
                  <c:v>-0.42739565611588093</c:v>
                </c:pt>
                <c:pt idx="17">
                  <c:v>-0.53812901118427403</c:v>
                </c:pt>
                <c:pt idx="18">
                  <c:v>1.5190826868259455</c:v>
                </c:pt>
                <c:pt idx="19">
                  <c:v>0.67420358043104311</c:v>
                </c:pt>
                <c:pt idx="20">
                  <c:v>2.0380769634339657</c:v>
                </c:pt>
                <c:pt idx="21">
                  <c:v>-0.74097591408900376</c:v>
                </c:pt>
                <c:pt idx="22">
                  <c:v>0.16516978827749718</c:v>
                </c:pt>
                <c:pt idx="23">
                  <c:v>-1.0796897175238129</c:v>
                </c:pt>
                <c:pt idx="24">
                  <c:v>-0.19548408845914134</c:v>
                </c:pt>
                <c:pt idx="25">
                  <c:v>-1.649150278968925</c:v>
                </c:pt>
              </c:numCache>
            </c:numRef>
          </c:val>
          <c:extLst>
            <c:ext xmlns:c16="http://schemas.microsoft.com/office/drawing/2014/chart" uri="{C3380CC4-5D6E-409C-BE32-E72D297353CC}">
              <c16:uniqueId val="{00000001-8899-4C62-BE58-6797F9DCEA18}"/>
            </c:ext>
          </c:extLst>
        </c:ser>
        <c:ser>
          <c:idx val="2"/>
          <c:order val="2"/>
          <c:tx>
            <c:strRef>
              <c:f>'Sim-BAU'!$E$9</c:f>
              <c:strCache>
                <c:ptCount val="1"/>
                <c:pt idx="0">
                  <c:v>2030</c:v>
                </c:pt>
              </c:strCache>
            </c:strRef>
          </c:tx>
          <c:spPr>
            <a:solidFill>
              <a:schemeClr val="bg2">
                <a:lumMod val="90000"/>
              </a:schemeClr>
            </a:solidFill>
            <a:ln>
              <a:solidFill>
                <a:schemeClr val="bg1"/>
              </a:solidFill>
            </a:ln>
            <a:effectLst/>
            <a:sp3d>
              <a:contourClr>
                <a:schemeClr val="bg1"/>
              </a:contourClr>
            </a:sp3d>
          </c:spPr>
          <c:invertIfNegative val="0"/>
          <c:cat>
            <c:strRef>
              <c:f>'Sim-BAU'!$B$10:$B$35</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'Sim-BAU'!$E$10:$E$35</c:f>
              <c:numCache>
                <c:formatCode>General</c:formatCode>
                <c:ptCount val="26"/>
                <c:pt idx="0">
                  <c:v>-0.41286220975000898</c:v>
                </c:pt>
                <c:pt idx="1">
                  <c:v>-0.38639969831133492</c:v>
                </c:pt>
                <c:pt idx="2">
                  <c:v>-0.79094169643088019</c:v>
                </c:pt>
                <c:pt idx="3">
                  <c:v>-1.7397967498733458</c:v>
                </c:pt>
                <c:pt idx="4">
                  <c:v>2.3656381516068414E-2</c:v>
                </c:pt>
                <c:pt idx="5">
                  <c:v>-0.27542400930042898</c:v>
                </c:pt>
                <c:pt idx="6">
                  <c:v>0.64763111875147938</c:v>
                </c:pt>
                <c:pt idx="7">
                  <c:v>-2.4926878572659295</c:v>
                </c:pt>
                <c:pt idx="8">
                  <c:v>-0.54471472478836436</c:v>
                </c:pt>
                <c:pt idx="9">
                  <c:v>-5.9882939457311934E-2</c:v>
                </c:pt>
                <c:pt idx="10">
                  <c:v>-1.1367668983862433</c:v>
                </c:pt>
                <c:pt idx="11">
                  <c:v>-2.2144584290846869</c:v>
                </c:pt>
                <c:pt idx="12">
                  <c:v>-3.755440257810394</c:v>
                </c:pt>
                <c:pt idx="13">
                  <c:v>-0.18520565895501218</c:v>
                </c:pt>
                <c:pt idx="14">
                  <c:v>-3.0429123777206746</c:v>
                </c:pt>
                <c:pt idx="15">
                  <c:v>-3.2150180642135262</c:v>
                </c:pt>
                <c:pt idx="16">
                  <c:v>-0.58896400189560882</c:v>
                </c:pt>
                <c:pt idx="17">
                  <c:v>-0.68783672691807851</c:v>
                </c:pt>
                <c:pt idx="18">
                  <c:v>1.2484850725056562</c:v>
                </c:pt>
                <c:pt idx="19">
                  <c:v>0.45949766097366229</c:v>
                </c:pt>
                <c:pt idx="20">
                  <c:v>1.7848889922629896</c:v>
                </c:pt>
                <c:pt idx="21">
                  <c:v>-1.3468449595386067</c:v>
                </c:pt>
                <c:pt idx="22">
                  <c:v>-0.33958494372318127</c:v>
                </c:pt>
                <c:pt idx="23">
                  <c:v>-1.3725792928546587</c:v>
                </c:pt>
                <c:pt idx="24">
                  <c:v>-0.53052784711931089</c:v>
                </c:pt>
                <c:pt idx="25">
                  <c:v>-1.9612354238383478</c:v>
                </c:pt>
              </c:numCache>
            </c:numRef>
          </c:val>
          <c:extLst>
            <c:ext xmlns:c16="http://schemas.microsoft.com/office/drawing/2014/chart" uri="{C3380CC4-5D6E-409C-BE32-E72D297353CC}">
              <c16:uniqueId val="{00000002-8899-4C62-BE58-6797F9DCEA18}"/>
            </c:ext>
          </c:extLst>
        </c:ser>
        <c:dLbls>
          <c:showLegendKey val="0"/>
          <c:showVal val="0"/>
          <c:showCatName val="0"/>
          <c:showSerName val="0"/>
          <c:showPercent val="0"/>
          <c:showBubbleSize val="0"/>
        </c:dLbls>
        <c:gapWidth val="150"/>
        <c:shape val="box"/>
        <c:axId val="601090800"/>
        <c:axId val="601088448"/>
        <c:axId val="0"/>
      </c:bar3DChart>
      <c:catAx>
        <c:axId val="60109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88448"/>
        <c:crosses val="autoZero"/>
        <c:auto val="1"/>
        <c:lblAlgn val="ctr"/>
        <c:lblOffset val="100"/>
        <c:noMultiLvlLbl val="0"/>
      </c:catAx>
      <c:valAx>
        <c:axId val="60108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090800"/>
        <c:crosses val="autoZero"/>
        <c:crossBetween val="between"/>
      </c:valAx>
      <c:spPr>
        <a:noFill/>
        <a:ln>
          <a:noFill/>
        </a:ln>
        <a:effectLst/>
      </c:spPr>
    </c:plotArea>
    <c:legend>
      <c:legendPos val="b"/>
      <c:layout>
        <c:manualLayout>
          <c:xMode val="edge"/>
          <c:yMode val="edge"/>
          <c:x val="0.331589457567804"/>
          <c:y val="3.2985564304461902E-2"/>
          <c:w val="0.2466691053297192"/>
          <c:h val="6.952704905667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'Sim-BAU'!$C$40</c:f>
              <c:strCache>
                <c:ptCount val="1"/>
                <c:pt idx="0">
                  <c:v>2023</c:v>
                </c:pt>
              </c:strCache>
            </c:strRef>
          </c:tx>
          <c:spPr>
            <a:solidFill>
              <a:srgbClr val="00B0F0"/>
            </a:solidFill>
            <a:ln>
              <a:noFill/>
            </a:ln>
            <a:effectLst/>
            <a:sp3d/>
          </c:spPr>
          <c:invertIfNegative val="0"/>
          <c:cat>
            <c:strRef>
              <c:f>'Sim-BAU'!$B$41:$B$49</c:f>
              <c:strCache>
                <c:ptCount val="9"/>
                <c:pt idx="0">
                  <c:v>Meat processing</c:v>
                </c:pt>
                <c:pt idx="1">
                  <c:v>Fish and seafood processing</c:v>
                </c:pt>
                <c:pt idx="2">
                  <c:v>Fats and vegetable processing)</c:v>
                </c:pt>
                <c:pt idx="3">
                  <c:v>Grain milling </c:v>
                </c:pt>
                <c:pt idx="4">
                  <c:v>Sugar refining</c:v>
                </c:pt>
                <c:pt idx="5">
                  <c:v>Other foods</c:v>
                </c:pt>
                <c:pt idx="6">
                  <c:v>Animal feed</c:v>
                </c:pt>
                <c:pt idx="7">
                  <c:v>Luxury foodstuff</c:v>
                </c:pt>
                <c:pt idx="8">
                  <c:v>Other chemicals </c:v>
                </c:pt>
              </c:strCache>
            </c:strRef>
          </c:cat>
          <c:val>
            <c:numRef>
              <c:f>'Sim-BAU'!$C$41:$C$49</c:f>
              <c:numCache>
                <c:formatCode>General</c:formatCode>
                <c:ptCount val="9"/>
                <c:pt idx="0">
                  <c:v>-1.4584871244350039</c:v>
                </c:pt>
                <c:pt idx="1">
                  <c:v>-2.9213386104931516</c:v>
                </c:pt>
                <c:pt idx="2">
                  <c:v>-1.4444513903381639</c:v>
                </c:pt>
                <c:pt idx="3">
                  <c:v>-2.271653893455039</c:v>
                </c:pt>
                <c:pt idx="4">
                  <c:v>-1.3784102556415601</c:v>
                </c:pt>
                <c:pt idx="5">
                  <c:v>-1.5562914865022592</c:v>
                </c:pt>
                <c:pt idx="6">
                  <c:v>0.9366196759386769</c:v>
                </c:pt>
                <c:pt idx="7">
                  <c:v>-2.2650916525337794</c:v>
                </c:pt>
                <c:pt idx="8">
                  <c:v>-3.6854621948420152</c:v>
                </c:pt>
              </c:numCache>
            </c:numRef>
          </c:val>
          <c:extLst>
            <c:ext xmlns:c16="http://schemas.microsoft.com/office/drawing/2014/chart" uri="{C3380CC4-5D6E-409C-BE32-E72D297353CC}">
              <c16:uniqueId val="{00000000-7806-4F16-8342-26172C5C2772}"/>
            </c:ext>
          </c:extLst>
        </c:ser>
        <c:ser>
          <c:idx val="1"/>
          <c:order val="1"/>
          <c:tx>
            <c:strRef>
              <c:f>'Sim-BAU'!$D$40</c:f>
              <c:strCache>
                <c:ptCount val="1"/>
                <c:pt idx="0">
                  <c:v>2025</c:v>
                </c:pt>
              </c:strCache>
            </c:strRef>
          </c:tx>
          <c:spPr>
            <a:solidFill>
              <a:srgbClr val="E60A44"/>
            </a:solidFill>
            <a:ln>
              <a:noFill/>
            </a:ln>
            <a:effectLst/>
            <a:sp3d/>
          </c:spPr>
          <c:invertIfNegative val="0"/>
          <c:cat>
            <c:strRef>
              <c:f>'Sim-BAU'!$B$41:$B$49</c:f>
              <c:strCache>
                <c:ptCount val="9"/>
                <c:pt idx="0">
                  <c:v>Meat processing</c:v>
                </c:pt>
                <c:pt idx="1">
                  <c:v>Fish and seafood processing</c:v>
                </c:pt>
                <c:pt idx="2">
                  <c:v>Fats and vegetable processing)</c:v>
                </c:pt>
                <c:pt idx="3">
                  <c:v>Grain milling </c:v>
                </c:pt>
                <c:pt idx="4">
                  <c:v>Sugar refining</c:v>
                </c:pt>
                <c:pt idx="5">
                  <c:v>Other foods</c:v>
                </c:pt>
                <c:pt idx="6">
                  <c:v>Animal feed</c:v>
                </c:pt>
                <c:pt idx="7">
                  <c:v>Luxury foodstuff</c:v>
                </c:pt>
                <c:pt idx="8">
                  <c:v>Other chemicals </c:v>
                </c:pt>
              </c:strCache>
            </c:strRef>
          </c:cat>
          <c:val>
            <c:numRef>
              <c:f>'Sim-BAU'!$D$41:$D$49</c:f>
              <c:numCache>
                <c:formatCode>General</c:formatCode>
                <c:ptCount val="9"/>
                <c:pt idx="0">
                  <c:v>-1.6958267243269876</c:v>
                </c:pt>
                <c:pt idx="1">
                  <c:v>-3.2724332133665657</c:v>
                </c:pt>
                <c:pt idx="2">
                  <c:v>-2.0413692669170258</c:v>
                </c:pt>
                <c:pt idx="3">
                  <c:v>-2.6647213162200756</c:v>
                </c:pt>
                <c:pt idx="4">
                  <c:v>-1.7960816828081261</c:v>
                </c:pt>
                <c:pt idx="5">
                  <c:v>-1.9358376519395981</c:v>
                </c:pt>
                <c:pt idx="6">
                  <c:v>0.84705795070463274</c:v>
                </c:pt>
                <c:pt idx="7">
                  <c:v>-2.9281167907781569</c:v>
                </c:pt>
                <c:pt idx="8">
                  <c:v>-4.7294019609693922</c:v>
                </c:pt>
              </c:numCache>
            </c:numRef>
          </c:val>
          <c:extLst>
            <c:ext xmlns:c16="http://schemas.microsoft.com/office/drawing/2014/chart" uri="{C3380CC4-5D6E-409C-BE32-E72D297353CC}">
              <c16:uniqueId val="{00000001-7806-4F16-8342-26172C5C2772}"/>
            </c:ext>
          </c:extLst>
        </c:ser>
        <c:ser>
          <c:idx val="2"/>
          <c:order val="2"/>
          <c:tx>
            <c:strRef>
              <c:f>'Sim-BAU'!$E$40</c:f>
              <c:strCache>
                <c:ptCount val="1"/>
                <c:pt idx="0">
                  <c:v>2030</c:v>
                </c:pt>
              </c:strCache>
            </c:strRef>
          </c:tx>
          <c:spPr>
            <a:solidFill>
              <a:schemeClr val="bg2"/>
            </a:solidFill>
            <a:ln>
              <a:noFill/>
            </a:ln>
            <a:effectLst/>
            <a:sp3d/>
          </c:spPr>
          <c:invertIfNegative val="0"/>
          <c:cat>
            <c:strRef>
              <c:f>'Sim-BAU'!$B$41:$B$49</c:f>
              <c:strCache>
                <c:ptCount val="9"/>
                <c:pt idx="0">
                  <c:v>Meat processing</c:v>
                </c:pt>
                <c:pt idx="1">
                  <c:v>Fish and seafood processing</c:v>
                </c:pt>
                <c:pt idx="2">
                  <c:v>Fats and vegetable processing)</c:v>
                </c:pt>
                <c:pt idx="3">
                  <c:v>Grain milling </c:v>
                </c:pt>
                <c:pt idx="4">
                  <c:v>Sugar refining</c:v>
                </c:pt>
                <c:pt idx="5">
                  <c:v>Other foods</c:v>
                </c:pt>
                <c:pt idx="6">
                  <c:v>Animal feed</c:v>
                </c:pt>
                <c:pt idx="7">
                  <c:v>Luxury foodstuff</c:v>
                </c:pt>
                <c:pt idx="8">
                  <c:v>Other chemicals </c:v>
                </c:pt>
              </c:strCache>
            </c:strRef>
          </c:cat>
          <c:val>
            <c:numRef>
              <c:f>'Sim-BAU'!$E$41:$E$49</c:f>
              <c:numCache>
                <c:formatCode>General</c:formatCode>
                <c:ptCount val="9"/>
                <c:pt idx="0">
                  <c:v>-1.9637156964299018</c:v>
                </c:pt>
                <c:pt idx="1">
                  <c:v>-3.8622774262411896</c:v>
                </c:pt>
                <c:pt idx="2">
                  <c:v>-3.0502417643066715</c:v>
                </c:pt>
                <c:pt idx="3">
                  <c:v>-3.2096890071632411</c:v>
                </c:pt>
                <c:pt idx="4">
                  <c:v>-2.3773979940682866</c:v>
                </c:pt>
                <c:pt idx="5">
                  <c:v>-2.5170862286532425</c:v>
                </c:pt>
                <c:pt idx="6">
                  <c:v>0.58904013683858114</c:v>
                </c:pt>
                <c:pt idx="7">
                  <c:v>-4.0504077525457705</c:v>
                </c:pt>
                <c:pt idx="8">
                  <c:v>-6.5304371400453087</c:v>
                </c:pt>
              </c:numCache>
            </c:numRef>
          </c:val>
          <c:extLst>
            <c:ext xmlns:c16="http://schemas.microsoft.com/office/drawing/2014/chart" uri="{C3380CC4-5D6E-409C-BE32-E72D297353CC}">
              <c16:uniqueId val="{00000002-7806-4F16-8342-26172C5C2772}"/>
            </c:ext>
          </c:extLst>
        </c:ser>
        <c:dLbls>
          <c:showLegendKey val="0"/>
          <c:showVal val="0"/>
          <c:showCatName val="0"/>
          <c:showSerName val="0"/>
          <c:showPercent val="0"/>
          <c:showBubbleSize val="0"/>
        </c:dLbls>
        <c:gapWidth val="150"/>
        <c:shape val="box"/>
        <c:axId val="601092368"/>
        <c:axId val="601102168"/>
        <c:axId val="0"/>
      </c:bar3DChart>
      <c:catAx>
        <c:axId val="60109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01102168"/>
        <c:crosses val="autoZero"/>
        <c:auto val="1"/>
        <c:lblAlgn val="ctr"/>
        <c:lblOffset val="100"/>
        <c:noMultiLvlLbl val="0"/>
      </c:catAx>
      <c:valAx>
        <c:axId val="60110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0109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'Sim-BAU'!$J$196:$J$197</c:f>
              <c:strCache>
                <c:ptCount val="2"/>
                <c:pt idx="0">
                  <c:v>Value-added price</c:v>
                </c:pt>
                <c:pt idx="1">
                  <c:v>2023</c:v>
                </c:pt>
              </c:strCache>
            </c:strRef>
          </c:tx>
          <c:spPr>
            <a:ln w="28575" cap="rnd">
              <a:solidFill>
                <a:schemeClr val="accent1"/>
              </a:solidFill>
              <a:round/>
            </a:ln>
            <a:effectLst/>
          </c:spPr>
          <c:marker>
            <c:symbol val="none"/>
          </c:marker>
          <c:cat>
            <c:strRef>
              <c:f>'Sim-BAU'!$I$198:$I$223</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'Sim-BAU'!$J$198:$J$223</c:f>
              <c:numCache>
                <c:formatCode>General</c:formatCode>
                <c:ptCount val="26"/>
                <c:pt idx="0">
                  <c:v>-0.20890809888300943</c:v>
                </c:pt>
                <c:pt idx="1">
                  <c:v>-1.9799040212176156E-2</c:v>
                </c:pt>
                <c:pt idx="2">
                  <c:v>-0.76711453509157312</c:v>
                </c:pt>
                <c:pt idx="3">
                  <c:v>-1.6138503781747526</c:v>
                </c:pt>
                <c:pt idx="4">
                  <c:v>0.64034096289866671</c:v>
                </c:pt>
                <c:pt idx="5">
                  <c:v>2.4800086187259929E-2</c:v>
                </c:pt>
                <c:pt idx="6">
                  <c:v>0.7752627473953666</c:v>
                </c:pt>
                <c:pt idx="7">
                  <c:v>-1.3188153892943366</c:v>
                </c:pt>
                <c:pt idx="8">
                  <c:v>-0.15895192752979348</c:v>
                </c:pt>
                <c:pt idx="9">
                  <c:v>5.6868853188674073E-2</c:v>
                </c:pt>
                <c:pt idx="10">
                  <c:v>-0.84912234597526171</c:v>
                </c:pt>
                <c:pt idx="11">
                  <c:v>-0.74326546820739914</c:v>
                </c:pt>
                <c:pt idx="12">
                  <c:v>-1.5020088920804531</c:v>
                </c:pt>
                <c:pt idx="13">
                  <c:v>0.12681940880026055</c:v>
                </c:pt>
                <c:pt idx="14">
                  <c:v>-1.0850822371970215</c:v>
                </c:pt>
                <c:pt idx="15">
                  <c:v>-1.2403547188652109</c:v>
                </c:pt>
                <c:pt idx="16">
                  <c:v>-0.38903236455734014</c:v>
                </c:pt>
                <c:pt idx="17">
                  <c:v>-0.48866617768735798</c:v>
                </c:pt>
                <c:pt idx="18">
                  <c:v>1.6559062194536178</c:v>
                </c:pt>
                <c:pt idx="19">
                  <c:v>0.74378533879160269</c:v>
                </c:pt>
                <c:pt idx="20">
                  <c:v>1.5850710500693976</c:v>
                </c:pt>
                <c:pt idx="21">
                  <c:v>-0.33053083146442619</c:v>
                </c:pt>
                <c:pt idx="22">
                  <c:v>0.40022591654245154</c:v>
                </c:pt>
                <c:pt idx="23">
                  <c:v>2.396373750070957E-2</c:v>
                </c:pt>
                <c:pt idx="24">
                  <c:v>0.43068601792135563</c:v>
                </c:pt>
                <c:pt idx="25">
                  <c:v>-0.10054928706506594</c:v>
                </c:pt>
              </c:numCache>
            </c:numRef>
          </c:val>
          <c:smooth val="0"/>
          <c:extLst>
            <c:ext xmlns:c16="http://schemas.microsoft.com/office/drawing/2014/chart" uri="{C3380CC4-5D6E-409C-BE32-E72D297353CC}">
              <c16:uniqueId val="{00000000-744D-4FE1-AB98-C8FF2D6DB302}"/>
            </c:ext>
          </c:extLst>
        </c:ser>
        <c:ser>
          <c:idx val="1"/>
          <c:order val="1"/>
          <c:tx>
            <c:strRef>
              <c:f>'Sim-BAU'!$K$196:$K$197</c:f>
              <c:strCache>
                <c:ptCount val="2"/>
                <c:pt idx="0">
                  <c:v>Value-added price</c:v>
                </c:pt>
                <c:pt idx="1">
                  <c:v>2025</c:v>
                </c:pt>
              </c:strCache>
            </c:strRef>
          </c:tx>
          <c:spPr>
            <a:ln w="28575" cap="rnd">
              <a:solidFill>
                <a:srgbClr val="E60A44"/>
              </a:solidFill>
              <a:round/>
            </a:ln>
            <a:effectLst/>
          </c:spPr>
          <c:marker>
            <c:symbol val="none"/>
          </c:marker>
          <c:cat>
            <c:strRef>
              <c:f>'Sim-BAU'!$I$198:$I$223</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'Sim-BAU'!$K$198:$K$223</c:f>
              <c:numCache>
                <c:formatCode>General</c:formatCode>
                <c:ptCount val="26"/>
                <c:pt idx="0">
                  <c:v>-0.41200319851864009</c:v>
                </c:pt>
                <c:pt idx="1">
                  <c:v>-0.39871008162194466</c:v>
                </c:pt>
                <c:pt idx="2">
                  <c:v>-0.73601713091281384</c:v>
                </c:pt>
                <c:pt idx="3">
                  <c:v>-1.625533532679313</c:v>
                </c:pt>
                <c:pt idx="4">
                  <c:v>0.57200084711435117</c:v>
                </c:pt>
                <c:pt idx="5">
                  <c:v>1.8840453173818439E-2</c:v>
                </c:pt>
                <c:pt idx="6">
                  <c:v>0.7236427681057922</c:v>
                </c:pt>
                <c:pt idx="7">
                  <c:v>-1.426504379987481</c:v>
                </c:pt>
                <c:pt idx="8">
                  <c:v>-0.17222424902507694</c:v>
                </c:pt>
                <c:pt idx="9">
                  <c:v>4.572216436549148E-2</c:v>
                </c:pt>
                <c:pt idx="10">
                  <c:v>-0.82860400390591948</c:v>
                </c:pt>
                <c:pt idx="11">
                  <c:v>-0.87571029976574177</c:v>
                </c:pt>
                <c:pt idx="12">
                  <c:v>-1.3543663515015014</c:v>
                </c:pt>
                <c:pt idx="13">
                  <c:v>0.10799265942136316</c:v>
                </c:pt>
                <c:pt idx="14">
                  <c:v>-1.1365389002608084</c:v>
                </c:pt>
                <c:pt idx="15">
                  <c:v>-1.1396627637265455</c:v>
                </c:pt>
                <c:pt idx="16">
                  <c:v>-0.39453637798755326</c:v>
                </c:pt>
                <c:pt idx="17">
                  <c:v>-0.47664161124807425</c:v>
                </c:pt>
                <c:pt idx="18">
                  <c:v>1.445991696193949</c:v>
                </c:pt>
                <c:pt idx="19">
                  <c:v>0.70912329626748871</c:v>
                </c:pt>
                <c:pt idx="20">
                  <c:v>1.399212386902482</c:v>
                </c:pt>
                <c:pt idx="21">
                  <c:v>-0.34697573485376054</c:v>
                </c:pt>
                <c:pt idx="22">
                  <c:v>0.30423295343560142</c:v>
                </c:pt>
                <c:pt idx="23">
                  <c:v>0.10650180997680003</c:v>
                </c:pt>
                <c:pt idx="24">
                  <c:v>0.60169479954796934</c:v>
                </c:pt>
                <c:pt idx="25">
                  <c:v>0.60169479954796934</c:v>
                </c:pt>
              </c:numCache>
            </c:numRef>
          </c:val>
          <c:smooth val="0"/>
          <c:extLst>
            <c:ext xmlns:c16="http://schemas.microsoft.com/office/drawing/2014/chart" uri="{C3380CC4-5D6E-409C-BE32-E72D297353CC}">
              <c16:uniqueId val="{00000001-744D-4FE1-AB98-C8FF2D6DB302}"/>
            </c:ext>
          </c:extLst>
        </c:ser>
        <c:ser>
          <c:idx val="2"/>
          <c:order val="2"/>
          <c:tx>
            <c:strRef>
              <c:f>'Sim-BAU'!$L$196:$L$197</c:f>
              <c:strCache>
                <c:ptCount val="2"/>
                <c:pt idx="0">
                  <c:v>Value-added price</c:v>
                </c:pt>
                <c:pt idx="1">
                  <c:v>2030</c:v>
                </c:pt>
              </c:strCache>
            </c:strRef>
          </c:tx>
          <c:spPr>
            <a:ln w="28575" cap="rnd">
              <a:solidFill>
                <a:srgbClr val="00B050"/>
              </a:solidFill>
              <a:round/>
            </a:ln>
            <a:effectLst/>
          </c:spPr>
          <c:marker>
            <c:symbol val="none"/>
          </c:marker>
          <c:cat>
            <c:strRef>
              <c:f>'Sim-BAU'!$I$198:$I$223</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'Sim-BAU'!$L$198:$L$223</c:f>
              <c:numCache>
                <c:formatCode>General</c:formatCode>
                <c:ptCount val="26"/>
                <c:pt idx="0">
                  <c:v>-0.66803080177570973</c:v>
                </c:pt>
                <c:pt idx="1">
                  <c:v>-0.92768977197789093</c:v>
                </c:pt>
                <c:pt idx="2">
                  <c:v>-0.54628998734201906</c:v>
                </c:pt>
                <c:pt idx="3">
                  <c:v>-1.5338460469369486</c:v>
                </c:pt>
                <c:pt idx="4">
                  <c:v>0.46240221303837092</c:v>
                </c:pt>
                <c:pt idx="5">
                  <c:v>5.2985171989772262E-2</c:v>
                </c:pt>
                <c:pt idx="6">
                  <c:v>0.68717282407133595</c:v>
                </c:pt>
                <c:pt idx="7">
                  <c:v>-1.4872945592596221</c:v>
                </c:pt>
                <c:pt idx="8">
                  <c:v>-0.17889880234458477</c:v>
                </c:pt>
                <c:pt idx="9">
                  <c:v>3.84928247798344E-2</c:v>
                </c:pt>
                <c:pt idx="10">
                  <c:v>-0.74249744885892532</c:v>
                </c:pt>
                <c:pt idx="11">
                  <c:v>-0.85374804086537637</c:v>
                </c:pt>
                <c:pt idx="12">
                  <c:v>-1.0445100829935217</c:v>
                </c:pt>
                <c:pt idx="13">
                  <c:v>0.12698403820305959</c:v>
                </c:pt>
                <c:pt idx="14">
                  <c:v>-1.1141696465024831</c:v>
                </c:pt>
                <c:pt idx="15">
                  <c:v>-0.89587171844948132</c:v>
                </c:pt>
                <c:pt idx="16">
                  <c:v>-0.37710257173718675</c:v>
                </c:pt>
                <c:pt idx="17">
                  <c:v>-0.43092371663204787</c:v>
                </c:pt>
                <c:pt idx="18">
                  <c:v>1.1611079760848853</c:v>
                </c:pt>
                <c:pt idx="19">
                  <c:v>0.76997856898182171</c:v>
                </c:pt>
                <c:pt idx="20">
                  <c:v>1.1535692492088634</c:v>
                </c:pt>
                <c:pt idx="21">
                  <c:v>-0.17848025341090645</c:v>
                </c:pt>
                <c:pt idx="22">
                  <c:v>0.27907109882674419</c:v>
                </c:pt>
                <c:pt idx="23">
                  <c:v>0.28171526589615414</c:v>
                </c:pt>
                <c:pt idx="24">
                  <c:v>0.96587710816886663</c:v>
                </c:pt>
                <c:pt idx="25">
                  <c:v>0.96587710816886663</c:v>
                </c:pt>
              </c:numCache>
            </c:numRef>
          </c:val>
          <c:smooth val="0"/>
          <c:extLst>
            <c:ext xmlns:c16="http://schemas.microsoft.com/office/drawing/2014/chart" uri="{C3380CC4-5D6E-409C-BE32-E72D297353CC}">
              <c16:uniqueId val="{00000002-744D-4FE1-AB98-C8FF2D6DB302}"/>
            </c:ext>
          </c:extLst>
        </c:ser>
        <c:dLbls>
          <c:showLegendKey val="0"/>
          <c:showVal val="0"/>
          <c:showCatName val="0"/>
          <c:showSerName val="0"/>
          <c:showPercent val="0"/>
          <c:showBubbleSize val="0"/>
        </c:dLbls>
        <c:smooth val="0"/>
        <c:axId val="601102560"/>
        <c:axId val="601102952"/>
      </c:lineChart>
      <c:catAx>
        <c:axId val="6011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2952"/>
        <c:crosses val="autoZero"/>
        <c:auto val="1"/>
        <c:lblAlgn val="ctr"/>
        <c:lblOffset val="100"/>
        <c:noMultiLvlLbl val="0"/>
      </c:catAx>
      <c:valAx>
        <c:axId val="60110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percentStacked"/>
        <c:varyColors val="0"/>
        <c:ser>
          <c:idx val="0"/>
          <c:order val="0"/>
          <c:tx>
            <c:strRef>
              <c:f>'Sim-BAU'!$C$226</c:f>
              <c:strCache>
                <c:ptCount val="1"/>
                <c:pt idx="0">
                  <c:v>2023</c:v>
                </c:pt>
              </c:strCache>
            </c:strRef>
          </c:tx>
          <c:spPr>
            <a:ln w="15875" cap="rnd">
              <a:solidFill>
                <a:srgbClr val="00B0F0"/>
              </a:solidFill>
              <a:round/>
            </a:ln>
            <a:effectLst/>
          </c:spPr>
          <c:marker>
            <c:symbol val="none"/>
          </c:marker>
          <c:cat>
            <c:strRef>
              <c:f>'Sim-BAU'!$B$227:$B$248</c:f>
              <c:strCache>
                <c:ptCount val="22"/>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strCache>
            </c:strRef>
          </c:cat>
          <c:val>
            <c:numRef>
              <c:f>'Sim-BAU'!$C$227:$C$248</c:f>
              <c:numCache>
                <c:formatCode>General</c:formatCode>
                <c:ptCount val="22"/>
                <c:pt idx="0">
                  <c:v>-2.2204460492503131E-14</c:v>
                </c:pt>
                <c:pt idx="1">
                  <c:v>4.4408920985006262E-14</c:v>
                </c:pt>
                <c:pt idx="2">
                  <c:v>-3.3306690738754696E-14</c:v>
                </c:pt>
                <c:pt idx="3">
                  <c:v>-8.8817841970012523E-14</c:v>
                </c:pt>
                <c:pt idx="4">
                  <c:v>2.2204460492503131E-14</c:v>
                </c:pt>
                <c:pt idx="5">
                  <c:v>-8.8817841970012523E-14</c:v>
                </c:pt>
                <c:pt idx="6">
                  <c:v>-3.3306690738754696E-14</c:v>
                </c:pt>
                <c:pt idx="7">
                  <c:v>-2.2204460492503131E-14</c:v>
                </c:pt>
                <c:pt idx="8">
                  <c:v>2.2204460492503131E-14</c:v>
                </c:pt>
                <c:pt idx="9">
                  <c:v>4.4408920985006262E-14</c:v>
                </c:pt>
                <c:pt idx="10">
                  <c:v>-2.2204460492503131E-14</c:v>
                </c:pt>
                <c:pt idx="11">
                  <c:v>-8.8817841970012523E-14</c:v>
                </c:pt>
                <c:pt idx="12">
                  <c:v>2.2204460492503131E-14</c:v>
                </c:pt>
                <c:pt idx="13">
                  <c:v>-4.4408920985006262E-14</c:v>
                </c:pt>
                <c:pt idx="14">
                  <c:v>4.4408920985006262E-14</c:v>
                </c:pt>
                <c:pt idx="15">
                  <c:v>-2.2204460492503131E-14</c:v>
                </c:pt>
                <c:pt idx="16">
                  <c:v>-5.5511151231257827E-14</c:v>
                </c:pt>
                <c:pt idx="17">
                  <c:v>1.3322676295501878E-13</c:v>
                </c:pt>
                <c:pt idx="18">
                  <c:v>4.4408920985006262E-14</c:v>
                </c:pt>
                <c:pt idx="19">
                  <c:v>-2.2204460492503131E-14</c:v>
                </c:pt>
                <c:pt idx="20">
                  <c:v>-2.2204460492503131E-14</c:v>
                </c:pt>
                <c:pt idx="21">
                  <c:v>4.4408920985006262E-14</c:v>
                </c:pt>
              </c:numCache>
            </c:numRef>
          </c:val>
          <c:smooth val="0"/>
          <c:extLst>
            <c:ext xmlns:c16="http://schemas.microsoft.com/office/drawing/2014/chart" uri="{C3380CC4-5D6E-409C-BE32-E72D297353CC}">
              <c16:uniqueId val="{00000000-A3FC-4191-9F15-8DF04AA94963}"/>
            </c:ext>
          </c:extLst>
        </c:ser>
        <c:ser>
          <c:idx val="1"/>
          <c:order val="1"/>
          <c:tx>
            <c:strRef>
              <c:f>'Sim-BAU'!$D$226</c:f>
              <c:strCache>
                <c:ptCount val="1"/>
                <c:pt idx="0">
                  <c:v>2025</c:v>
                </c:pt>
              </c:strCache>
            </c:strRef>
          </c:tx>
          <c:spPr>
            <a:ln w="15875" cap="rnd">
              <a:solidFill>
                <a:srgbClr val="E60A44"/>
              </a:solidFill>
              <a:round/>
            </a:ln>
            <a:effectLst/>
          </c:spPr>
          <c:marker>
            <c:symbol val="none"/>
          </c:marker>
          <c:cat>
            <c:strRef>
              <c:f>'Sim-BAU'!$B$227:$B$248</c:f>
              <c:strCache>
                <c:ptCount val="22"/>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strCache>
            </c:strRef>
          </c:cat>
          <c:val>
            <c:numRef>
              <c:f>'Sim-BAU'!$D$227:$D$248</c:f>
              <c:numCache>
                <c:formatCode>General</c:formatCode>
                <c:ptCount val="22"/>
                <c:pt idx="0">
                  <c:v>-2.2204460492503131E-14</c:v>
                </c:pt>
                <c:pt idx="1">
                  <c:v>6.6613381477509392E-14</c:v>
                </c:pt>
                <c:pt idx="2">
                  <c:v>-8.8817841970012523E-14</c:v>
                </c:pt>
                <c:pt idx="3">
                  <c:v>2.2204460492503131E-14</c:v>
                </c:pt>
                <c:pt idx="4">
                  <c:v>-7.7715611723760958E-14</c:v>
                </c:pt>
                <c:pt idx="5">
                  <c:v>2.2204460492503131E-14</c:v>
                </c:pt>
                <c:pt idx="6">
                  <c:v>-5.5511151231257827E-14</c:v>
                </c:pt>
                <c:pt idx="7">
                  <c:v>-3.3306690738754696E-14</c:v>
                </c:pt>
                <c:pt idx="8">
                  <c:v>2.2204460492503131E-14</c:v>
                </c:pt>
                <c:pt idx="9">
                  <c:v>6.6613381477509392E-14</c:v>
                </c:pt>
                <c:pt idx="10">
                  <c:v>-3.3306690738754696E-14</c:v>
                </c:pt>
                <c:pt idx="11">
                  <c:v>-5.5511151231257827E-14</c:v>
                </c:pt>
                <c:pt idx="12">
                  <c:v>-4.4408920985006262E-14</c:v>
                </c:pt>
                <c:pt idx="13">
                  <c:v>2.2204460492503131E-14</c:v>
                </c:pt>
                <c:pt idx="14">
                  <c:v>-5.5511151231257827E-14</c:v>
                </c:pt>
                <c:pt idx="15">
                  <c:v>-5.5511151231257827E-14</c:v>
                </c:pt>
                <c:pt idx="16">
                  <c:v>6.6613381477509392E-14</c:v>
                </c:pt>
                <c:pt idx="17">
                  <c:v>2.2204460492503131E-14</c:v>
                </c:pt>
                <c:pt idx="18">
                  <c:v>4.4408920985006262E-14</c:v>
                </c:pt>
                <c:pt idx="19">
                  <c:v>4.4408920985006262E-14</c:v>
                </c:pt>
                <c:pt idx="20">
                  <c:v>8.8817841970012523E-14</c:v>
                </c:pt>
                <c:pt idx="21">
                  <c:v>2.2204460492503131E-14</c:v>
                </c:pt>
              </c:numCache>
            </c:numRef>
          </c:val>
          <c:smooth val="0"/>
          <c:extLst>
            <c:ext xmlns:c16="http://schemas.microsoft.com/office/drawing/2014/chart" uri="{C3380CC4-5D6E-409C-BE32-E72D297353CC}">
              <c16:uniqueId val="{00000001-A3FC-4191-9F15-8DF04AA94963}"/>
            </c:ext>
          </c:extLst>
        </c:ser>
        <c:ser>
          <c:idx val="2"/>
          <c:order val="2"/>
          <c:tx>
            <c:strRef>
              <c:f>'Sim-BAU'!$E$226</c:f>
              <c:strCache>
                <c:ptCount val="1"/>
                <c:pt idx="0">
                  <c:v>2030</c:v>
                </c:pt>
              </c:strCache>
            </c:strRef>
          </c:tx>
          <c:spPr>
            <a:ln w="28575" cap="rnd">
              <a:solidFill>
                <a:schemeClr val="accent3"/>
              </a:solidFill>
              <a:round/>
            </a:ln>
            <a:effectLst/>
          </c:spPr>
          <c:marker>
            <c:symbol val="none"/>
          </c:marker>
          <c:cat>
            <c:strRef>
              <c:f>'Sim-BAU'!$B$227:$B$248</c:f>
              <c:strCache>
                <c:ptCount val="22"/>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strCache>
            </c:strRef>
          </c:cat>
          <c:val>
            <c:numRef>
              <c:f>'Sim-BAU'!$E$227:$E$248</c:f>
              <c:numCache>
                <c:formatCode>General</c:formatCode>
                <c:ptCount val="22"/>
                <c:pt idx="0">
                  <c:v>-3.3306690738754696E-14</c:v>
                </c:pt>
                <c:pt idx="1">
                  <c:v>2.2204460492503131E-14</c:v>
                </c:pt>
                <c:pt idx="2">
                  <c:v>-7.7715611723760958E-14</c:v>
                </c:pt>
                <c:pt idx="3">
                  <c:v>4.4408920985006262E-14</c:v>
                </c:pt>
                <c:pt idx="4">
                  <c:v>-8.8817841970012523E-14</c:v>
                </c:pt>
                <c:pt idx="5">
                  <c:v>-5.5511151231257827E-14</c:v>
                </c:pt>
                <c:pt idx="6">
                  <c:v>-8.8817841970012523E-14</c:v>
                </c:pt>
                <c:pt idx="7">
                  <c:v>2.2204460492503131E-14</c:v>
                </c:pt>
                <c:pt idx="8">
                  <c:v>-2.2204460492503131E-14</c:v>
                </c:pt>
                <c:pt idx="9">
                  <c:v>-2.2204460492503131E-14</c:v>
                </c:pt>
                <c:pt idx="10">
                  <c:v>-2.2204460492503131E-14</c:v>
                </c:pt>
                <c:pt idx="11">
                  <c:v>-1.1102230246251565E-13</c:v>
                </c:pt>
                <c:pt idx="12">
                  <c:v>-3.3306690738754696E-14</c:v>
                </c:pt>
                <c:pt idx="13">
                  <c:v>-4.4408920985006262E-14</c:v>
                </c:pt>
                <c:pt idx="14">
                  <c:v>4.4408920985006262E-14</c:v>
                </c:pt>
                <c:pt idx="15">
                  <c:v>-2.2204460492503131E-14</c:v>
                </c:pt>
                <c:pt idx="16">
                  <c:v>1.1102230246251565E-13</c:v>
                </c:pt>
                <c:pt idx="17">
                  <c:v>1.1102230246251565E-13</c:v>
                </c:pt>
                <c:pt idx="18">
                  <c:v>6.6613381477509392E-14</c:v>
                </c:pt>
                <c:pt idx="19">
                  <c:v>-3.3306690738754696E-14</c:v>
                </c:pt>
                <c:pt idx="20">
                  <c:v>2.2204460492503131E-14</c:v>
                </c:pt>
                <c:pt idx="21">
                  <c:v>-1.6653345369377348E-13</c:v>
                </c:pt>
              </c:numCache>
            </c:numRef>
          </c:val>
          <c:smooth val="0"/>
          <c:extLst>
            <c:ext xmlns:c16="http://schemas.microsoft.com/office/drawing/2014/chart" uri="{C3380CC4-5D6E-409C-BE32-E72D297353CC}">
              <c16:uniqueId val="{00000002-A3FC-4191-9F15-8DF04AA94963}"/>
            </c:ext>
          </c:extLst>
        </c:ser>
        <c:dLbls>
          <c:showLegendKey val="0"/>
          <c:showVal val="0"/>
          <c:showCatName val="0"/>
          <c:showSerName val="0"/>
          <c:showPercent val="0"/>
          <c:showBubbleSize val="0"/>
        </c:dLbls>
        <c:smooth val="0"/>
        <c:axId val="601101384"/>
        <c:axId val="601101776"/>
      </c:lineChart>
      <c:catAx>
        <c:axId val="60110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1776"/>
        <c:crosses val="autoZero"/>
        <c:auto val="1"/>
        <c:lblAlgn val="ctr"/>
        <c:lblOffset val="100"/>
        <c:noMultiLvlLbl val="0"/>
      </c:catAx>
      <c:valAx>
        <c:axId val="601101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'Sim-BAU'!$C$66</c:f>
              <c:strCache>
                <c:ptCount val="1"/>
                <c:pt idx="0">
                  <c:v>2023</c:v>
                </c:pt>
              </c:strCache>
            </c:strRef>
          </c:tx>
          <c:spPr>
            <a:solidFill>
              <a:srgbClr val="00B0F0"/>
            </a:solidFill>
            <a:ln>
              <a:noFill/>
            </a:ln>
            <a:effectLst/>
          </c:spPr>
          <c:invertIfNegative val="0"/>
          <c:cat>
            <c:strRef>
              <c:f>'Sim-BAU'!$B$67:$B$92</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'Sim-BAU'!$C$67:$C$92</c:f>
              <c:numCache>
                <c:formatCode>0.00</c:formatCode>
                <c:ptCount val="26"/>
                <c:pt idx="0">
                  <c:v>-0.52585763490756721</c:v>
                </c:pt>
                <c:pt idx="1">
                  <c:v>-5.5276009323601549E-2</c:v>
                </c:pt>
                <c:pt idx="2">
                  <c:v>-1.9706544129271197</c:v>
                </c:pt>
                <c:pt idx="3">
                  <c:v>-4.2592603552021764</c:v>
                </c:pt>
                <c:pt idx="4">
                  <c:v>1.661691065919757</c:v>
                </c:pt>
                <c:pt idx="5">
                  <c:v>9.3634495117678185E-3</c:v>
                </c:pt>
                <c:pt idx="6">
                  <c:v>2.4758799198392856</c:v>
                </c:pt>
                <c:pt idx="7">
                  <c:v>-4.179453496926766</c:v>
                </c:pt>
                <c:pt idx="8">
                  <c:v>-0.66602440815074493</c:v>
                </c:pt>
                <c:pt idx="9">
                  <c:v>0.27441839391146861</c:v>
                </c:pt>
                <c:pt idx="10">
                  <c:v>-2.593191669016337</c:v>
                </c:pt>
                <c:pt idx="11">
                  <c:v>-2.7259384645230367</c:v>
                </c:pt>
                <c:pt idx="12">
                  <c:v>-6.3741930299078264</c:v>
                </c:pt>
                <c:pt idx="13">
                  <c:v>0.33566410827736703</c:v>
                </c:pt>
                <c:pt idx="14">
                  <c:v>-4.2229949243859259</c:v>
                </c:pt>
                <c:pt idx="15">
                  <c:v>-5.2359956789086892</c:v>
                </c:pt>
                <c:pt idx="16">
                  <c:v>-1.1333611475404792</c:v>
                </c:pt>
                <c:pt idx="17">
                  <c:v>-1.4483399352940518</c:v>
                </c:pt>
                <c:pt idx="18">
                  <c:v>4.1399334507206786</c:v>
                </c:pt>
                <c:pt idx="19">
                  <c:v>1.8989062566571402</c:v>
                </c:pt>
                <c:pt idx="20">
                  <c:v>4.5784751084994024</c:v>
                </c:pt>
                <c:pt idx="21">
                  <c:v>-0.96650984660243688</c:v>
                </c:pt>
                <c:pt idx="22">
                  <c:v>0.99990721454685794</c:v>
                </c:pt>
                <c:pt idx="23">
                  <c:v>-0.89419570812381277</c:v>
                </c:pt>
                <c:pt idx="24">
                  <c:v>0.63275537594555953</c:v>
                </c:pt>
                <c:pt idx="25">
                  <c:v>-1.6350955958364999</c:v>
                </c:pt>
              </c:numCache>
            </c:numRef>
          </c:val>
          <c:extLst>
            <c:ext xmlns:c16="http://schemas.microsoft.com/office/drawing/2014/chart" uri="{C3380CC4-5D6E-409C-BE32-E72D297353CC}">
              <c16:uniqueId val="{00000000-B1F1-46F3-BB0B-D4B9AFA54976}"/>
            </c:ext>
          </c:extLst>
        </c:ser>
        <c:ser>
          <c:idx val="1"/>
          <c:order val="1"/>
          <c:tx>
            <c:strRef>
              <c:f>'Sim-BAU'!$D$66</c:f>
              <c:strCache>
                <c:ptCount val="1"/>
                <c:pt idx="0">
                  <c:v>2025</c:v>
                </c:pt>
              </c:strCache>
            </c:strRef>
          </c:tx>
          <c:spPr>
            <a:solidFill>
              <a:srgbClr val="C00000"/>
            </a:solidFill>
            <a:ln>
              <a:noFill/>
            </a:ln>
            <a:effectLst/>
          </c:spPr>
          <c:invertIfNegative val="0"/>
          <c:cat>
            <c:strRef>
              <c:f>'Sim-BAU'!$B$67:$B$92</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'Sim-BAU'!$D$67:$D$92</c:f>
              <c:numCache>
                <c:formatCode>0.00</c:formatCode>
                <c:ptCount val="26"/>
                <c:pt idx="0">
                  <c:v>-1.0412346060407196</c:v>
                </c:pt>
                <c:pt idx="1">
                  <c:v>-0.94663709299118715</c:v>
                </c:pt>
                <c:pt idx="2">
                  <c:v>-2.0145629201529847</c:v>
                </c:pt>
                <c:pt idx="3">
                  <c:v>-4.4733658234351159</c:v>
                </c:pt>
                <c:pt idx="4">
                  <c:v>1.4295918484082737</c:v>
                </c:pt>
                <c:pt idx="5">
                  <c:v>7.8748243698745196E-2</c:v>
                </c:pt>
                <c:pt idx="6">
                  <c:v>2.2808073708663779</c:v>
                </c:pt>
                <c:pt idx="7">
                  <c:v>-4.6836548235237192</c:v>
                </c:pt>
                <c:pt idx="8">
                  <c:v>-0.75892422952181793</c:v>
                </c:pt>
                <c:pt idx="9">
                  <c:v>0.1735503057719523</c:v>
                </c:pt>
                <c:pt idx="10">
                  <c:v>-2.6215796321194085</c:v>
                </c:pt>
                <c:pt idx="11">
                  <c:v>-3.3728294130958791</c:v>
                </c:pt>
                <c:pt idx="12">
                  <c:v>-6.1457373996984703</c:v>
                </c:pt>
                <c:pt idx="13">
                  <c:v>0.20939301125229015</c:v>
                </c:pt>
                <c:pt idx="14">
                  <c:v>-4.6401563364230514</c:v>
                </c:pt>
                <c:pt idx="15">
                  <c:v>-5.1481925247738864</c:v>
                </c:pt>
                <c:pt idx="16">
                  <c:v>-1.2115460126678412</c:v>
                </c:pt>
                <c:pt idx="17">
                  <c:v>-1.4840226934484502</c:v>
                </c:pt>
                <c:pt idx="18">
                  <c:v>3.7289598191201367</c:v>
                </c:pt>
                <c:pt idx="19">
                  <c:v>1.7469561120138755</c:v>
                </c:pt>
                <c:pt idx="20">
                  <c:v>4.1871450653202302</c:v>
                </c:pt>
                <c:pt idx="21">
                  <c:v>-1.2571346216268875</c:v>
                </c:pt>
                <c:pt idx="22">
                  <c:v>0.62262045835816959</c:v>
                </c:pt>
                <c:pt idx="23">
                  <c:v>-0.92161976802289658</c:v>
                </c:pt>
                <c:pt idx="24">
                  <c:v>0.70664741211927673</c:v>
                </c:pt>
                <c:pt idx="25">
                  <c:v>-1.3840359107844757</c:v>
                </c:pt>
              </c:numCache>
            </c:numRef>
          </c:val>
          <c:extLst>
            <c:ext xmlns:c16="http://schemas.microsoft.com/office/drawing/2014/chart" uri="{C3380CC4-5D6E-409C-BE32-E72D297353CC}">
              <c16:uniqueId val="{00000001-B1F1-46F3-BB0B-D4B9AFA54976}"/>
            </c:ext>
          </c:extLst>
        </c:ser>
        <c:ser>
          <c:idx val="2"/>
          <c:order val="2"/>
          <c:tx>
            <c:strRef>
              <c:f>'Sim-BAU'!$E$66</c:f>
              <c:strCache>
                <c:ptCount val="1"/>
                <c:pt idx="0">
                  <c:v>2030</c:v>
                </c:pt>
              </c:strCache>
            </c:strRef>
          </c:tx>
          <c:spPr>
            <a:solidFill>
              <a:srgbClr val="00B050"/>
            </a:solidFill>
            <a:ln>
              <a:noFill/>
            </a:ln>
            <a:effectLst/>
          </c:spPr>
          <c:invertIfNegative val="0"/>
          <c:cat>
            <c:strRef>
              <c:f>'Sim-BAU'!$B$67:$B$92</c:f>
              <c:strCache>
                <c:ptCount val="26"/>
                <c:pt idx="0">
                  <c:v>Maize </c:v>
                </c:pt>
                <c:pt idx="1">
                  <c:v>Sorghum and millet</c:v>
                </c:pt>
                <c:pt idx="2">
                  <c:v>Rice </c:v>
                </c:pt>
                <c:pt idx="3">
                  <c:v>Wheat and barley</c:v>
                </c:pt>
                <c:pt idx="4">
                  <c:v>Other cereals</c:v>
                </c:pt>
                <c:pt idx="5">
                  <c:v>Pulses </c:v>
                </c:pt>
                <c:pt idx="6">
                  <c:v>Groundnuts</c:v>
                </c:pt>
                <c:pt idx="7">
                  <c:v>Other Oil seeds</c:v>
                </c:pt>
                <c:pt idx="8">
                  <c:v>Cassava </c:v>
                </c:pt>
                <c:pt idx="9">
                  <c:v>Other roots</c:v>
                </c:pt>
                <c:pt idx="10">
                  <c:v>Vegetables</c:v>
                </c:pt>
                <c:pt idx="11">
                  <c:v>Sugar cane</c:v>
                </c:pt>
                <c:pt idx="12">
                  <c:v>Cotton and fibre</c:v>
                </c:pt>
                <c:pt idx="13">
                  <c:v>Fruits and nuts</c:v>
                </c:pt>
                <c:pt idx="14">
                  <c:v>Cash crops</c:v>
                </c:pt>
                <c:pt idx="15">
                  <c:v>Tea leaves</c:v>
                </c:pt>
                <c:pt idx="16">
                  <c:v>Cut flowers</c:v>
                </c:pt>
                <c:pt idx="17">
                  <c:v>Other crops</c:v>
                </c:pt>
                <c:pt idx="18">
                  <c:v>Cattle</c:v>
                </c:pt>
                <c:pt idx="19">
                  <c:v>Raw milk</c:v>
                </c:pt>
                <c:pt idx="20">
                  <c:v>Small ruminants</c:v>
                </c:pt>
                <c:pt idx="21">
                  <c:v>Poultry</c:v>
                </c:pt>
                <c:pt idx="22">
                  <c:v>Other livestock</c:v>
                </c:pt>
                <c:pt idx="23">
                  <c:v>Forestry </c:v>
                </c:pt>
                <c:pt idx="24">
                  <c:v>Other fishing</c:v>
                </c:pt>
                <c:pt idx="25">
                  <c:v>Tuna and tuna-like species</c:v>
                </c:pt>
              </c:strCache>
            </c:strRef>
          </c:cat>
          <c:val>
            <c:numRef>
              <c:f>'Sim-BAU'!$E$67:$E$92</c:f>
              <c:numCache>
                <c:formatCode>0.00</c:formatCode>
                <c:ptCount val="26"/>
                <c:pt idx="0">
                  <c:v>-1.7389634928986597</c:v>
                </c:pt>
                <c:pt idx="1">
                  <c:v>-2.2260372320427879</c:v>
                </c:pt>
                <c:pt idx="2">
                  <c:v>-1.8719192772944315</c:v>
                </c:pt>
                <c:pt idx="3">
                  <c:v>-4.7309997185775554</c:v>
                </c:pt>
                <c:pt idx="4">
                  <c:v>0.95081824672711424</c:v>
                </c:pt>
                <c:pt idx="5">
                  <c:v>0.169717536129044</c:v>
                </c:pt>
                <c:pt idx="6">
                  <c:v>2.0356301034426094</c:v>
                </c:pt>
                <c:pt idx="7">
                  <c:v>-5.371560696729305</c:v>
                </c:pt>
                <c:pt idx="8">
                  <c:v>-0.9002450487691771</c:v>
                </c:pt>
                <c:pt idx="9">
                  <c:v>1.707141693498837E-2</c:v>
                </c:pt>
                <c:pt idx="10">
                  <c:v>-2.5994305112698179</c:v>
                </c:pt>
                <c:pt idx="11">
                  <c:v>-3.8770152714174499</c:v>
                </c:pt>
                <c:pt idx="12">
                  <c:v>-5.7555082253926244</c:v>
                </c:pt>
                <c:pt idx="13">
                  <c:v>6.845300501789886E-2</c:v>
                </c:pt>
                <c:pt idx="14">
                  <c:v>-5.1914092577494468</c:v>
                </c:pt>
                <c:pt idx="15">
                  <c:v>-4.9413887974833148</c:v>
                </c:pt>
                <c:pt idx="16">
                  <c:v>-1.3373134605182857</c:v>
                </c:pt>
                <c:pt idx="17">
                  <c:v>-1.5419118773095986</c:v>
                </c:pt>
                <c:pt idx="18">
                  <c:v>3.0170003263542799</c:v>
                </c:pt>
                <c:pt idx="19">
                  <c:v>1.62200317377581</c:v>
                </c:pt>
                <c:pt idx="20">
                  <c:v>3.5511973155885723</c:v>
                </c:pt>
                <c:pt idx="21">
                  <c:v>-1.6108416780080792</c:v>
                </c:pt>
                <c:pt idx="22">
                  <c:v>7.7891104906080422E-2</c:v>
                </c:pt>
                <c:pt idx="23">
                  <c:v>-0.95551315167609063</c:v>
                </c:pt>
                <c:pt idx="24">
                  <c:v>0.91407574736057651</c:v>
                </c:pt>
                <c:pt idx="25">
                  <c:v>-0.95551315167609063</c:v>
                </c:pt>
              </c:numCache>
            </c:numRef>
          </c:val>
          <c:extLst>
            <c:ext xmlns:c16="http://schemas.microsoft.com/office/drawing/2014/chart" uri="{C3380CC4-5D6E-409C-BE32-E72D297353CC}">
              <c16:uniqueId val="{00000002-B1F1-46F3-BB0B-D4B9AFA54976}"/>
            </c:ext>
          </c:extLst>
        </c:ser>
        <c:dLbls>
          <c:showLegendKey val="0"/>
          <c:showVal val="0"/>
          <c:showCatName val="0"/>
          <c:showSerName val="0"/>
          <c:showPercent val="0"/>
          <c:showBubbleSize val="0"/>
        </c:dLbls>
        <c:gapWidth val="219"/>
        <c:overlap val="-27"/>
        <c:axId val="601103736"/>
        <c:axId val="520407776"/>
      </c:barChart>
      <c:catAx>
        <c:axId val="60110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520407776"/>
        <c:crosses val="autoZero"/>
        <c:auto val="1"/>
        <c:lblAlgn val="ctr"/>
        <c:lblOffset val="100"/>
        <c:noMultiLvlLbl val="0"/>
      </c:catAx>
      <c:valAx>
        <c:axId val="520407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0110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solidFill>
            <a:schemeClr val="tx1"/>
          </a:solidFill>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file>

<file path=customXml/itemProps1.xml><?xml version="1.0" encoding="utf-8"?>
<ds:datastoreItem xmlns:ds="http://schemas.openxmlformats.org/officeDocument/2006/customXml" ds:itemID="{72391826-5765-40A7-8202-7B52DB6E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13351</Words>
  <Characters>76107</Characters>
  <Application>Microsoft Office Word</Application>
  <DocSecurity>0</DocSecurity>
  <Lines>634</Lines>
  <Paragraphs>178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Asiya Maskaeva</dc:creator>
  <cp:keywords/>
  <dc:description/>
  <cp:lastModifiedBy>Daniel Mlabwa</cp:lastModifiedBy>
  <cp:revision>2</cp:revision>
  <dcterms:created xsi:type="dcterms:W3CDTF">2023-03-31T11:59:00Z</dcterms:created>
  <dcterms:modified xsi:type="dcterms:W3CDTF">2023-03-31T11:59:00Z</dcterms:modified>
</cp:coreProperties>
</file>