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DEC6" w14:textId="4B950738" w:rsidR="005C6168" w:rsidRPr="007D1DB4" w:rsidRDefault="2E3CCEA3" w:rsidP="570B436F">
      <w:pPr>
        <w:pStyle w:val="Heading3"/>
        <w:jc w:val="left"/>
        <w:rPr>
          <w:rFonts w:asciiTheme="minorHAnsi" w:hAnsiTheme="minorHAnsi"/>
          <w:sz w:val="32"/>
        </w:rPr>
      </w:pPr>
      <w:r w:rsidRPr="007D1DB4">
        <w:rPr>
          <w:rFonts w:asciiTheme="minorHAnsi" w:hAnsiTheme="minorHAnsi"/>
          <w:sz w:val="32"/>
        </w:rPr>
        <w:t>Country:</w:t>
      </w:r>
      <w:r w:rsidR="53C76C54" w:rsidRPr="007D1DB4">
        <w:rPr>
          <w:rFonts w:asciiTheme="minorHAnsi" w:hAnsiTheme="minorHAnsi"/>
          <w:sz w:val="32"/>
        </w:rPr>
        <w:t xml:space="preserve"> </w:t>
      </w:r>
      <w:r w:rsidR="732CAD86" w:rsidRPr="00303DAB">
        <w:rPr>
          <w:rFonts w:asciiTheme="minorHAnsi" w:hAnsiTheme="minorHAnsi"/>
          <w:b/>
          <w:bCs w:val="0"/>
          <w:sz w:val="32"/>
        </w:rPr>
        <w:t>Mauritania</w:t>
      </w:r>
    </w:p>
    <w:p w14:paraId="0416DEC7" w14:textId="77777777" w:rsidR="005C6168" w:rsidRPr="00517955" w:rsidRDefault="005C6168">
      <w:pPr>
        <w:pStyle w:val="Heading3"/>
        <w:rPr>
          <w:rFonts w:asciiTheme="minorHAnsi" w:hAnsiTheme="minorHAnsi"/>
        </w:rPr>
      </w:pPr>
    </w:p>
    <w:p w14:paraId="0416DEC8" w14:textId="77777777" w:rsidR="005C6168" w:rsidRPr="00517955" w:rsidRDefault="00BC38E0" w:rsidP="00AA49D2">
      <w:pPr>
        <w:pStyle w:val="Heading3"/>
        <w:jc w:val="left"/>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0416DEC9" w14:textId="77777777" w:rsidR="005C6168" w:rsidRPr="00517955" w:rsidRDefault="005C6168">
      <w:pPr>
        <w:pStyle w:val="Heading3"/>
        <w:rPr>
          <w:rFonts w:asciiTheme="minorHAnsi" w:hAnsiTheme="minorHAnsi"/>
          <w:b/>
        </w:rPr>
      </w:pPr>
    </w:p>
    <w:p w14:paraId="0416DECA" w14:textId="0F35FE43" w:rsidR="005C6168" w:rsidRPr="00662E9A" w:rsidRDefault="005C6168">
      <w:pPr>
        <w:pStyle w:val="Heading3"/>
        <w:jc w:val="left"/>
        <w:rPr>
          <w:rFonts w:asciiTheme="minorHAnsi" w:hAnsiTheme="minorHAnsi"/>
          <w:sz w:val="28"/>
        </w:rPr>
      </w:pPr>
      <w:r w:rsidRPr="00662E9A">
        <w:rPr>
          <w:rFonts w:asciiTheme="minorHAnsi" w:hAnsiTheme="minorHAnsi"/>
          <w:sz w:val="28"/>
        </w:rPr>
        <w:t xml:space="preserve">Reporting period: </w:t>
      </w:r>
      <w:r w:rsidR="00AA49D2" w:rsidRPr="00662E9A">
        <w:rPr>
          <w:rFonts w:asciiTheme="minorHAnsi" w:hAnsiTheme="minorHAnsi"/>
          <w:sz w:val="28"/>
        </w:rPr>
        <w:t xml:space="preserve"> </w:t>
      </w:r>
      <w:r w:rsidR="007D27A6" w:rsidRPr="00303DAB">
        <w:rPr>
          <w:rFonts w:asciiTheme="minorHAnsi" w:hAnsiTheme="minorHAnsi"/>
          <w:b/>
          <w:bCs w:val="0"/>
          <w:sz w:val="28"/>
        </w:rPr>
        <w:t>2018-2022</w:t>
      </w:r>
    </w:p>
    <w:p w14:paraId="0416DECC" w14:textId="18730780" w:rsidR="005C6168" w:rsidRPr="002F0B99" w:rsidRDefault="005C6168" w:rsidP="76C15C94">
      <w:pPr>
        <w:rPr>
          <w:rFonts w:asciiTheme="minorHAnsi" w:hAnsiTheme="minorHAnsi"/>
          <w:lang w:val="en-US"/>
        </w:rPr>
      </w:pPr>
    </w:p>
    <w:p w14:paraId="0416DECD" w14:textId="77777777" w:rsidR="005C6168" w:rsidRPr="00517955" w:rsidRDefault="2E3CCEA3" w:rsidP="76C15C94">
      <w:pPr>
        <w:pStyle w:val="Heading3"/>
        <w:jc w:val="left"/>
        <w:rPr>
          <w:rFonts w:asciiTheme="minorHAnsi" w:hAnsiTheme="minorHAnsi"/>
          <w:b/>
        </w:rPr>
      </w:pPr>
      <w:r w:rsidRPr="76C15C94">
        <w:rPr>
          <w:rFonts w:asciiTheme="minorHAnsi" w:hAnsiTheme="minorHAnsi"/>
          <w:b/>
        </w:rPr>
        <w:t xml:space="preserve">I.  </w:t>
      </w:r>
      <w:r w:rsidR="64504A53" w:rsidRPr="76C15C94">
        <w:rPr>
          <w:rFonts w:asciiTheme="minorHAnsi" w:hAnsiTheme="minorHAnsi"/>
          <w:b/>
        </w:rPr>
        <w:t>EXECUTIVE SUMMARY</w:t>
      </w:r>
      <w:r w:rsidR="2DBF9732" w:rsidRPr="76C15C94">
        <w:rPr>
          <w:rFonts w:asciiTheme="minorHAnsi" w:hAnsiTheme="minorHAnsi"/>
          <w:b/>
        </w:rPr>
        <w:t xml:space="preserve"> (</w:t>
      </w:r>
      <w:r w:rsidR="2A64D268" w:rsidRPr="76C15C94">
        <w:rPr>
          <w:rFonts w:asciiTheme="minorHAnsi" w:hAnsiTheme="minorHAnsi"/>
          <w:b/>
        </w:rPr>
        <w:t>1/2 page maximum)</w:t>
      </w:r>
    </w:p>
    <w:p w14:paraId="0416DED4" w14:textId="77777777" w:rsidR="005C6168" w:rsidRPr="00517955" w:rsidRDefault="005C6168" w:rsidP="00363EC5">
      <w:pPr>
        <w:pStyle w:val="BodyText"/>
        <w:rPr>
          <w:rFonts w:asciiTheme="minorHAnsi" w:hAnsiTheme="minorHAnsi"/>
        </w:rPr>
      </w:pPr>
    </w:p>
    <w:p w14:paraId="0416DED6" w14:textId="7AB42FF1" w:rsidR="00E770DC" w:rsidRDefault="11B1CBE3" w:rsidP="76C15C94">
      <w:pPr>
        <w:pStyle w:val="BodyText2"/>
        <w:jc w:val="both"/>
        <w:rPr>
          <w:rFonts w:ascii="Calibri" w:eastAsia="Calibri" w:hAnsi="Calibri" w:cs="Calibri"/>
          <w:color w:val="000000" w:themeColor="text1"/>
          <w:sz w:val="22"/>
          <w:szCs w:val="22"/>
        </w:rPr>
      </w:pPr>
      <w:r w:rsidRPr="76C15C94">
        <w:rPr>
          <w:rFonts w:ascii="Calibri" w:eastAsia="Calibri" w:hAnsi="Calibri" w:cs="Calibri"/>
          <w:color w:val="000000" w:themeColor="text1"/>
          <w:sz w:val="22"/>
          <w:szCs w:val="22"/>
          <w:lang w:val="en" w:eastAsia="fr-FR"/>
        </w:rPr>
        <w:t>From</w:t>
      </w:r>
      <w:r w:rsidR="7A12D5F1" w:rsidRPr="76C15C94">
        <w:rPr>
          <w:rFonts w:ascii="Calibri" w:eastAsia="Calibri" w:hAnsi="Calibri" w:cs="Calibri"/>
          <w:color w:val="000000" w:themeColor="text1"/>
          <w:sz w:val="22"/>
          <w:szCs w:val="22"/>
          <w:lang w:val="en" w:eastAsia="fr-FR"/>
        </w:rPr>
        <w:t xml:space="preserve"> a growth rate of 2.1% and a Human Capital Index of 0,5</w:t>
      </w:r>
      <w:r w:rsidR="48DF483D" w:rsidRPr="76C15C94">
        <w:rPr>
          <w:rFonts w:ascii="Calibri" w:eastAsia="Calibri" w:hAnsi="Calibri" w:cs="Calibri"/>
          <w:color w:val="000000" w:themeColor="text1"/>
          <w:sz w:val="22"/>
          <w:szCs w:val="22"/>
          <w:lang w:val="en" w:eastAsia="fr-FR"/>
        </w:rPr>
        <w:t>27</w:t>
      </w:r>
      <w:r w:rsidR="7A12D5F1" w:rsidRPr="76C15C94">
        <w:rPr>
          <w:rFonts w:ascii="Calibri" w:eastAsia="Calibri" w:hAnsi="Calibri" w:cs="Calibri"/>
          <w:color w:val="000000" w:themeColor="text1"/>
          <w:sz w:val="22"/>
          <w:szCs w:val="22"/>
          <w:lang w:val="en" w:eastAsia="fr-FR"/>
        </w:rPr>
        <w:t xml:space="preserve"> (ranked 1</w:t>
      </w:r>
      <w:r w:rsidR="1982F5C4" w:rsidRPr="76C15C94">
        <w:rPr>
          <w:rFonts w:ascii="Calibri" w:eastAsia="Calibri" w:hAnsi="Calibri" w:cs="Calibri"/>
          <w:color w:val="000000" w:themeColor="text1"/>
          <w:sz w:val="22"/>
          <w:szCs w:val="22"/>
          <w:lang w:val="en" w:eastAsia="fr-FR"/>
        </w:rPr>
        <w:t>61</w:t>
      </w:r>
      <w:r w:rsidR="00224A91" w:rsidRPr="00224A91">
        <w:rPr>
          <w:rFonts w:ascii="Calibri" w:eastAsia="Calibri" w:hAnsi="Calibri" w:cs="Calibri"/>
          <w:color w:val="000000" w:themeColor="text1"/>
          <w:sz w:val="22"/>
          <w:szCs w:val="22"/>
          <w:vertAlign w:val="superscript"/>
          <w:lang w:val="en" w:eastAsia="fr-FR"/>
        </w:rPr>
        <w:t>st</w:t>
      </w:r>
      <w:r w:rsidR="7A12D5F1" w:rsidRPr="76C15C94">
        <w:rPr>
          <w:rFonts w:ascii="Calibri" w:eastAsia="Calibri" w:hAnsi="Calibri" w:cs="Calibri"/>
          <w:color w:val="000000" w:themeColor="text1"/>
          <w:sz w:val="22"/>
          <w:szCs w:val="22"/>
          <w:lang w:val="en" w:eastAsia="fr-FR"/>
        </w:rPr>
        <w:t>/1</w:t>
      </w:r>
      <w:r w:rsidR="1B170643" w:rsidRPr="76C15C94">
        <w:rPr>
          <w:rFonts w:ascii="Calibri" w:eastAsia="Calibri" w:hAnsi="Calibri" w:cs="Calibri"/>
          <w:color w:val="000000" w:themeColor="text1"/>
          <w:sz w:val="22"/>
          <w:szCs w:val="22"/>
          <w:lang w:val="en" w:eastAsia="fr-FR"/>
        </w:rPr>
        <w:t>89</w:t>
      </w:r>
      <w:r w:rsidR="7A12D5F1" w:rsidRPr="76C15C94">
        <w:rPr>
          <w:rFonts w:ascii="Calibri" w:eastAsia="Calibri" w:hAnsi="Calibri" w:cs="Calibri"/>
          <w:color w:val="000000" w:themeColor="text1"/>
          <w:sz w:val="22"/>
          <w:szCs w:val="22"/>
          <w:lang w:val="en" w:eastAsia="fr-FR"/>
        </w:rPr>
        <w:t xml:space="preserve"> countries) in 2018, </w:t>
      </w:r>
      <w:r w:rsidR="03F15DAA" w:rsidRPr="76C15C94">
        <w:rPr>
          <w:rFonts w:ascii="Calibri" w:eastAsia="Calibri" w:hAnsi="Calibri" w:cs="Calibri"/>
          <w:color w:val="000000" w:themeColor="text1"/>
          <w:sz w:val="22"/>
          <w:szCs w:val="22"/>
          <w:lang w:eastAsia="fr-FR"/>
        </w:rPr>
        <w:t>Mauritania has based its development priorities on the Strategy for Accelerated Growth and Shared Prosperity (SCAPP 2016-2030) as a reference framework for interventions conducted by the Government and its partners in its efforts to achieve the Sustainable Development Goals (SDGs)</w:t>
      </w:r>
      <w:r w:rsidR="34015DFE" w:rsidRPr="76C15C94">
        <w:rPr>
          <w:rFonts w:ascii="Calibri" w:eastAsia="Calibri" w:hAnsi="Calibri" w:cs="Calibri"/>
          <w:color w:val="000000" w:themeColor="text1"/>
          <w:sz w:val="22"/>
          <w:szCs w:val="22"/>
          <w:lang w:eastAsia="fr-FR"/>
        </w:rPr>
        <w:t>,</w:t>
      </w:r>
      <w:r w:rsidR="03F15DAA" w:rsidRPr="76C15C94">
        <w:rPr>
          <w:rFonts w:ascii="Calibri" w:eastAsia="Calibri" w:hAnsi="Calibri" w:cs="Calibri"/>
          <w:color w:val="000000" w:themeColor="text1"/>
          <w:sz w:val="22"/>
          <w:szCs w:val="22"/>
          <w:lang w:eastAsia="fr-FR"/>
        </w:rPr>
        <w:t xml:space="preserve"> the 2030 and the 2063 Agenda</w:t>
      </w:r>
      <w:r w:rsidR="02E823D3" w:rsidRPr="76C15C94">
        <w:rPr>
          <w:rFonts w:ascii="Calibri" w:eastAsia="Calibri" w:hAnsi="Calibri" w:cs="Calibri"/>
          <w:color w:val="000000" w:themeColor="text1"/>
          <w:sz w:val="22"/>
          <w:szCs w:val="22"/>
          <w:lang w:eastAsia="fr-FR"/>
        </w:rPr>
        <w:t xml:space="preserve">. </w:t>
      </w:r>
    </w:p>
    <w:p w14:paraId="49E2A5B7" w14:textId="5157AF47" w:rsidR="570B436F" w:rsidRDefault="570B436F" w:rsidP="76C15C94">
      <w:pPr>
        <w:pStyle w:val="BodyText2"/>
        <w:rPr>
          <w:rFonts w:ascii="Calibri" w:eastAsia="Calibri" w:hAnsi="Calibri" w:cs="Calibri"/>
          <w:color w:val="000000" w:themeColor="text1"/>
          <w:sz w:val="22"/>
          <w:szCs w:val="22"/>
        </w:rPr>
      </w:pPr>
    </w:p>
    <w:p w14:paraId="6880AD93" w14:textId="2CE24A99" w:rsidR="50035DF9" w:rsidRDefault="02E823D3" w:rsidP="76C15C94">
      <w:pPr>
        <w:jc w:val="both"/>
        <w:rPr>
          <w:rFonts w:ascii="Calibri" w:eastAsia="Calibri" w:hAnsi="Calibri" w:cs="Calibri"/>
          <w:color w:val="000000" w:themeColor="text1"/>
          <w:lang w:val="en-AU"/>
        </w:rPr>
      </w:pPr>
      <w:r w:rsidRPr="76C15C94">
        <w:rPr>
          <w:rFonts w:ascii="Calibri" w:eastAsia="Calibri" w:hAnsi="Calibri" w:cs="Calibri"/>
          <w:color w:val="000000" w:themeColor="text1"/>
          <w:sz w:val="22"/>
          <w:szCs w:val="22"/>
          <w:lang w:val="en-AU"/>
        </w:rPr>
        <w:t xml:space="preserve">In line with the </w:t>
      </w:r>
      <w:r w:rsidR="00224A91" w:rsidRPr="76C15C94">
        <w:rPr>
          <w:rFonts w:ascii="Calibri" w:eastAsia="Calibri" w:hAnsi="Calibri" w:cs="Calibri"/>
          <w:color w:val="000000" w:themeColor="text1"/>
          <w:sz w:val="22"/>
          <w:szCs w:val="22"/>
          <w:lang w:val="en-AU"/>
        </w:rPr>
        <w:t xml:space="preserve">United Nations </w:t>
      </w:r>
      <w:r w:rsidR="00224A91">
        <w:rPr>
          <w:rFonts w:ascii="Calibri" w:eastAsia="Calibri" w:hAnsi="Calibri" w:cs="Calibri"/>
          <w:color w:val="000000" w:themeColor="text1"/>
          <w:sz w:val="22"/>
          <w:szCs w:val="22"/>
          <w:lang w:val="en-AU"/>
        </w:rPr>
        <w:t>C</w:t>
      </w:r>
      <w:r w:rsidRPr="76C15C94">
        <w:rPr>
          <w:rFonts w:ascii="Calibri" w:eastAsia="Calibri" w:hAnsi="Calibri" w:cs="Calibri"/>
          <w:color w:val="000000" w:themeColor="text1"/>
          <w:sz w:val="22"/>
          <w:szCs w:val="22"/>
          <w:lang w:val="en-AU"/>
        </w:rPr>
        <w:t xml:space="preserve">ooperation </w:t>
      </w:r>
      <w:r w:rsidR="00224A91">
        <w:rPr>
          <w:rFonts w:ascii="Calibri" w:eastAsia="Calibri" w:hAnsi="Calibri" w:cs="Calibri"/>
          <w:color w:val="000000" w:themeColor="text1"/>
          <w:sz w:val="22"/>
          <w:szCs w:val="22"/>
          <w:lang w:val="en-AU"/>
        </w:rPr>
        <w:t>F</w:t>
      </w:r>
      <w:r w:rsidRPr="76C15C94">
        <w:rPr>
          <w:rFonts w:ascii="Calibri" w:eastAsia="Calibri" w:hAnsi="Calibri" w:cs="Calibri"/>
          <w:color w:val="000000" w:themeColor="text1"/>
          <w:sz w:val="22"/>
          <w:szCs w:val="22"/>
          <w:lang w:val="en-AU"/>
        </w:rPr>
        <w:t xml:space="preserve">ramework of the  in Mauritania, the </w:t>
      </w:r>
      <w:r w:rsidR="00224A91">
        <w:rPr>
          <w:rFonts w:ascii="Calibri" w:eastAsia="Calibri" w:hAnsi="Calibri" w:cs="Calibri"/>
          <w:color w:val="000000" w:themeColor="text1"/>
          <w:sz w:val="22"/>
          <w:szCs w:val="22"/>
          <w:lang w:val="en-AU"/>
        </w:rPr>
        <w:t>ending</w:t>
      </w:r>
      <w:r w:rsidR="091E5A8A" w:rsidRPr="76C15C94">
        <w:rPr>
          <w:rFonts w:ascii="Calibri" w:eastAsia="Calibri" w:hAnsi="Calibri" w:cs="Calibri"/>
          <w:color w:val="000000" w:themeColor="text1"/>
          <w:sz w:val="22"/>
          <w:szCs w:val="22"/>
          <w:lang w:val="en-AU"/>
        </w:rPr>
        <w:t xml:space="preserve"> CPD</w:t>
      </w:r>
      <w:r w:rsidR="1046A3A8" w:rsidRPr="76C15C94">
        <w:rPr>
          <w:rFonts w:ascii="Calibri" w:eastAsia="Calibri" w:hAnsi="Calibri" w:cs="Calibri"/>
          <w:color w:val="000000" w:themeColor="text1"/>
          <w:sz w:val="22"/>
          <w:szCs w:val="22"/>
          <w:lang w:val="en-AU"/>
        </w:rPr>
        <w:t xml:space="preserve"> (2018-2023)</w:t>
      </w:r>
      <w:r w:rsidR="091E5A8A" w:rsidRPr="76C15C94">
        <w:rPr>
          <w:rFonts w:ascii="Calibri" w:eastAsia="Calibri" w:hAnsi="Calibri" w:cs="Calibri"/>
          <w:color w:val="000000" w:themeColor="text1"/>
          <w:sz w:val="22"/>
          <w:szCs w:val="22"/>
          <w:lang w:val="en-AU"/>
        </w:rPr>
        <w:t xml:space="preserve"> was structured around three development priorities for Mauritania: (1) Achieving strong, inclusive and sustainable growth integrated into the design and implementation of public policies (Axis 1); (2) Improving governance, strengthening institutional capacities and combating radicalization and the security threat (Axis 2); and (3) Promoting sustainable natural resource management and resilience to disasters and climate change (Axis 3). </w:t>
      </w:r>
      <w:r w:rsidR="052FECE4" w:rsidRPr="76C15C94">
        <w:rPr>
          <w:rFonts w:ascii="Calibri" w:eastAsia="Calibri" w:hAnsi="Calibri" w:cs="Calibri"/>
          <w:color w:val="000000" w:themeColor="text1"/>
          <w:lang w:val="en-AU"/>
        </w:rPr>
        <w:t xml:space="preserve"> </w:t>
      </w:r>
    </w:p>
    <w:p w14:paraId="3BB058F0" w14:textId="31D0B581" w:rsidR="570B436F" w:rsidRDefault="570B436F" w:rsidP="570B436F">
      <w:pPr>
        <w:jc w:val="both"/>
        <w:rPr>
          <w:rFonts w:ascii="Calibri" w:eastAsia="Calibri" w:hAnsi="Calibri" w:cs="Calibri"/>
          <w:color w:val="000000" w:themeColor="text1"/>
          <w:sz w:val="22"/>
          <w:szCs w:val="22"/>
          <w:lang w:val="en-US"/>
        </w:rPr>
      </w:pPr>
    </w:p>
    <w:p w14:paraId="7E6DF9BB" w14:textId="66F13CBE" w:rsidR="1052EC92" w:rsidRDefault="79E1DE5E" w:rsidP="76C15C94">
      <w:pPr>
        <w:jc w:val="both"/>
        <w:rPr>
          <w:rFonts w:ascii="Calibri" w:eastAsia="Calibri" w:hAnsi="Calibri" w:cs="Calibri"/>
          <w:color w:val="000000" w:themeColor="text1"/>
          <w:sz w:val="22"/>
          <w:szCs w:val="22"/>
          <w:lang w:val="en-US"/>
        </w:rPr>
      </w:pPr>
      <w:r w:rsidRPr="76C15C94">
        <w:rPr>
          <w:rFonts w:ascii="Calibri" w:eastAsia="Calibri" w:hAnsi="Calibri" w:cs="Calibri"/>
          <w:color w:val="000000" w:themeColor="text1"/>
          <w:sz w:val="22"/>
          <w:szCs w:val="22"/>
          <w:lang w:val="en-US"/>
        </w:rPr>
        <w:t>The main successes of UNDP Mauritania have been its anchoring with the UNSDCF objectives, the SDG and the country priorities in strengthening the technical, financial and organizational capacities of national institutions to ensure operational coordination in environment, ecosystem protection, inclusive governance and effective disaster risk management.</w:t>
      </w:r>
      <w:r w:rsidRPr="76C15C94">
        <w:rPr>
          <w:rFonts w:ascii="Calibri" w:eastAsia="Calibri" w:hAnsi="Calibri" w:cs="Calibri"/>
          <w:color w:val="000000" w:themeColor="text1"/>
          <w:sz w:val="22"/>
          <w:szCs w:val="22"/>
          <w:lang w:val="en-AU"/>
        </w:rPr>
        <w:t xml:space="preserve">  The programme has covered over 62 percent of the regions and impacted the lives of more than half of the national population. UNDP’s thought leadership, advisory and operational support to the government have contributed to implementing smart development solutions in priority sectors such as health system particularly during COVID-19 response, justice, energy transition, youth and women employment, civic engagement and volunteerism and national planning systems</w:t>
      </w:r>
      <w:r w:rsidR="7314FE96" w:rsidRPr="76C15C94">
        <w:rPr>
          <w:rFonts w:ascii="Calibri" w:eastAsia="Calibri" w:hAnsi="Calibri" w:cs="Calibri"/>
          <w:color w:val="000000" w:themeColor="text1"/>
          <w:sz w:val="22"/>
          <w:szCs w:val="22"/>
          <w:lang w:val="en-AU"/>
        </w:rPr>
        <w:t>.</w:t>
      </w:r>
      <w:r w:rsidRPr="76C15C94">
        <w:rPr>
          <w:rFonts w:ascii="Calibri" w:eastAsia="Calibri" w:hAnsi="Calibri" w:cs="Calibri"/>
          <w:color w:val="000000" w:themeColor="text1"/>
          <w:sz w:val="22"/>
          <w:szCs w:val="22"/>
          <w:lang w:val="en-AU"/>
        </w:rPr>
        <w:t xml:space="preserve"> Resulting from UNDP’s interventions, the government has mobilized over USD 118 Million to finance priority development needs in the most vulnerable region</w:t>
      </w:r>
      <w:r w:rsidR="00A65A21">
        <w:rPr>
          <w:rFonts w:ascii="Calibri" w:eastAsia="Calibri" w:hAnsi="Calibri" w:cs="Calibri"/>
          <w:color w:val="000000" w:themeColor="text1"/>
          <w:sz w:val="22"/>
          <w:szCs w:val="22"/>
          <w:lang w:val="en-AU"/>
        </w:rPr>
        <w:t xml:space="preserve"> of the </w:t>
      </w:r>
      <w:proofErr w:type="spellStart"/>
      <w:r w:rsidR="00A65A21" w:rsidRPr="00A65A21">
        <w:rPr>
          <w:rFonts w:ascii="Calibri" w:eastAsia="Calibri" w:hAnsi="Calibri" w:cs="Calibri"/>
          <w:color w:val="000000" w:themeColor="text1"/>
          <w:sz w:val="22"/>
          <w:szCs w:val="22"/>
          <w:lang w:val="en-AU"/>
        </w:rPr>
        <w:t>Hodh</w:t>
      </w:r>
      <w:proofErr w:type="spellEnd"/>
      <w:r w:rsidR="00A65A21" w:rsidRPr="00A65A21">
        <w:rPr>
          <w:rFonts w:ascii="Calibri" w:eastAsia="Calibri" w:hAnsi="Calibri" w:cs="Calibri"/>
          <w:color w:val="000000" w:themeColor="text1"/>
          <w:sz w:val="22"/>
          <w:szCs w:val="22"/>
          <w:lang w:val="en-AU"/>
        </w:rPr>
        <w:t xml:space="preserve"> </w:t>
      </w:r>
      <w:proofErr w:type="spellStart"/>
      <w:r w:rsidR="00A65A21" w:rsidRPr="00A65A21">
        <w:rPr>
          <w:rFonts w:ascii="Calibri" w:eastAsia="Calibri" w:hAnsi="Calibri" w:cs="Calibri"/>
          <w:color w:val="000000" w:themeColor="text1"/>
          <w:sz w:val="22"/>
          <w:szCs w:val="22"/>
          <w:lang w:val="en-AU"/>
        </w:rPr>
        <w:t>Ech</w:t>
      </w:r>
      <w:proofErr w:type="spellEnd"/>
      <w:r w:rsidR="00A65A21" w:rsidRPr="00A65A21">
        <w:rPr>
          <w:rFonts w:ascii="Calibri" w:eastAsia="Calibri" w:hAnsi="Calibri" w:cs="Calibri"/>
          <w:color w:val="000000" w:themeColor="text1"/>
          <w:sz w:val="22"/>
          <w:szCs w:val="22"/>
          <w:lang w:val="en-AU"/>
        </w:rPr>
        <w:t xml:space="preserve"> </w:t>
      </w:r>
      <w:proofErr w:type="spellStart"/>
      <w:r w:rsidR="00A65A21" w:rsidRPr="00A65A21">
        <w:rPr>
          <w:rFonts w:ascii="Calibri" w:eastAsia="Calibri" w:hAnsi="Calibri" w:cs="Calibri"/>
          <w:color w:val="000000" w:themeColor="text1"/>
          <w:sz w:val="22"/>
          <w:szCs w:val="22"/>
          <w:lang w:val="en-AU"/>
        </w:rPr>
        <w:t>Chargui</w:t>
      </w:r>
      <w:proofErr w:type="spellEnd"/>
      <w:r w:rsidR="4E052C83" w:rsidRPr="76C15C94">
        <w:rPr>
          <w:rFonts w:ascii="Calibri" w:eastAsia="Calibri" w:hAnsi="Calibri" w:cs="Calibri"/>
          <w:color w:val="000000" w:themeColor="text1"/>
          <w:sz w:val="22"/>
          <w:szCs w:val="22"/>
          <w:lang w:val="en-AU"/>
        </w:rPr>
        <w:t>.</w:t>
      </w:r>
      <w:r w:rsidRPr="76C15C94">
        <w:rPr>
          <w:rFonts w:ascii="Calibri" w:eastAsia="Calibri" w:hAnsi="Calibri" w:cs="Calibri"/>
          <w:color w:val="000000" w:themeColor="text1"/>
          <w:sz w:val="22"/>
          <w:szCs w:val="22"/>
          <w:lang w:val="en-US"/>
        </w:rPr>
        <w:t xml:space="preserve"> </w:t>
      </w:r>
    </w:p>
    <w:p w14:paraId="50F0D0BB" w14:textId="5EF975D9" w:rsidR="1052EC92" w:rsidRDefault="1052EC92" w:rsidP="76C15C94">
      <w:pPr>
        <w:jc w:val="both"/>
        <w:rPr>
          <w:rFonts w:ascii="Calibri" w:eastAsia="Calibri" w:hAnsi="Calibri" w:cs="Calibri"/>
          <w:color w:val="000000" w:themeColor="text1"/>
          <w:sz w:val="22"/>
          <w:szCs w:val="22"/>
          <w:lang w:val="en-US"/>
        </w:rPr>
      </w:pPr>
    </w:p>
    <w:p w14:paraId="0678CCD7" w14:textId="0054A8D3" w:rsidR="1052EC92" w:rsidRDefault="23013FBF" w:rsidP="76C15C94">
      <w:pPr>
        <w:jc w:val="both"/>
        <w:rPr>
          <w:rFonts w:ascii="Calibri" w:eastAsia="Calibri" w:hAnsi="Calibri" w:cs="Calibri"/>
          <w:color w:val="000000" w:themeColor="text1"/>
          <w:sz w:val="22"/>
          <w:szCs w:val="22"/>
          <w:lang w:val="en-AU"/>
        </w:rPr>
      </w:pPr>
      <w:r w:rsidRPr="00AA49D2">
        <w:rPr>
          <w:rFonts w:ascii="Calibri" w:eastAsia="Calibri" w:hAnsi="Calibri" w:cs="Calibri"/>
          <w:color w:val="000000" w:themeColor="text1"/>
          <w:sz w:val="22"/>
          <w:szCs w:val="22"/>
          <w:lang w:val="en-AU"/>
        </w:rPr>
        <w:t>Strictly b</w:t>
      </w:r>
      <w:r w:rsidR="719228E9" w:rsidRPr="00AA49D2">
        <w:rPr>
          <w:rFonts w:ascii="Calibri" w:eastAsia="Calibri" w:hAnsi="Calibri" w:cs="Calibri"/>
          <w:color w:val="000000" w:themeColor="text1"/>
          <w:sz w:val="22"/>
          <w:szCs w:val="22"/>
          <w:lang w:val="en-AU"/>
        </w:rPr>
        <w:t>ased on the principle of Leave No One Behind (LNOB), t</w:t>
      </w:r>
      <w:r w:rsidR="7C2751AD" w:rsidRPr="00AA49D2">
        <w:rPr>
          <w:rFonts w:ascii="Calibri" w:eastAsia="Calibri" w:hAnsi="Calibri" w:cs="Calibri"/>
          <w:color w:val="000000" w:themeColor="text1"/>
          <w:sz w:val="22"/>
          <w:szCs w:val="22"/>
          <w:lang w:val="en-AU"/>
        </w:rPr>
        <w:t xml:space="preserve">his has been done through the ability of UNDP </w:t>
      </w:r>
      <w:r w:rsidR="7C2751AD" w:rsidRPr="76C15C94">
        <w:rPr>
          <w:rFonts w:ascii="Calibri" w:eastAsia="Calibri" w:hAnsi="Calibri" w:cs="Calibri"/>
          <w:color w:val="000000" w:themeColor="text1"/>
          <w:sz w:val="22"/>
          <w:szCs w:val="22"/>
          <w:lang w:val="en-AU"/>
        </w:rPr>
        <w:t>to leverage its status as a multi-sectoral agency to work in an integrated manner</w:t>
      </w:r>
      <w:r w:rsidR="1A5427A9" w:rsidRPr="76C15C94">
        <w:rPr>
          <w:rFonts w:ascii="Calibri" w:eastAsia="Calibri" w:hAnsi="Calibri" w:cs="Calibri"/>
          <w:color w:val="000000" w:themeColor="text1"/>
          <w:sz w:val="22"/>
          <w:szCs w:val="22"/>
          <w:lang w:val="en-AU"/>
        </w:rPr>
        <w:t>,</w:t>
      </w:r>
      <w:r w:rsidR="7C2751AD" w:rsidRPr="76C15C94">
        <w:rPr>
          <w:rFonts w:ascii="Calibri" w:eastAsia="Calibri" w:hAnsi="Calibri" w:cs="Calibri"/>
          <w:color w:val="000000" w:themeColor="text1"/>
          <w:sz w:val="22"/>
          <w:szCs w:val="22"/>
          <w:lang w:val="en-AU"/>
        </w:rPr>
        <w:t xml:space="preserve"> not only with the Government agencies and their local branches, but also with the civil society organizations, the private sector organizations, the </w:t>
      </w:r>
      <w:r w:rsidR="50573343" w:rsidRPr="76C15C94">
        <w:rPr>
          <w:rFonts w:ascii="Calibri" w:eastAsia="Calibri" w:hAnsi="Calibri" w:cs="Calibri"/>
          <w:color w:val="000000" w:themeColor="text1"/>
          <w:sz w:val="22"/>
          <w:szCs w:val="22"/>
          <w:lang w:val="en-AU"/>
        </w:rPr>
        <w:t>t</w:t>
      </w:r>
      <w:r w:rsidR="7C2751AD" w:rsidRPr="76C15C94">
        <w:rPr>
          <w:rFonts w:ascii="Calibri" w:eastAsia="Calibri" w:hAnsi="Calibri" w:cs="Calibri"/>
          <w:color w:val="000000" w:themeColor="text1"/>
          <w:sz w:val="22"/>
          <w:szCs w:val="22"/>
          <w:lang w:val="en-AU"/>
        </w:rPr>
        <w:t>echnical and financial partners, while preserving the UN as One principle by partnering with other UN agencies (ILO, UNFPA, WHO, UNICEF, WFP, UNHCR etc..)</w:t>
      </w:r>
      <w:r w:rsidR="6E9DC865" w:rsidRPr="76C15C94">
        <w:rPr>
          <w:rFonts w:ascii="Calibri" w:eastAsia="Calibri" w:hAnsi="Calibri" w:cs="Calibri"/>
          <w:color w:val="000000" w:themeColor="text1"/>
          <w:sz w:val="22"/>
          <w:szCs w:val="22"/>
          <w:lang w:val="en-AU"/>
        </w:rPr>
        <w:t>.</w:t>
      </w:r>
    </w:p>
    <w:p w14:paraId="01B57789" w14:textId="113C237A" w:rsidR="1052EC92" w:rsidRDefault="228A4E76" w:rsidP="76C15C94">
      <w:pPr>
        <w:jc w:val="both"/>
        <w:rPr>
          <w:rFonts w:ascii="Calibri" w:eastAsia="Calibri" w:hAnsi="Calibri" w:cs="Calibri"/>
          <w:color w:val="000000" w:themeColor="text1"/>
          <w:sz w:val="22"/>
          <w:szCs w:val="22"/>
          <w:lang w:val="en-AU"/>
        </w:rPr>
      </w:pPr>
      <w:r w:rsidRPr="76C15C94">
        <w:rPr>
          <w:rFonts w:ascii="Calibri" w:eastAsia="Calibri" w:hAnsi="Calibri" w:cs="Calibri"/>
          <w:color w:val="000000" w:themeColor="text1"/>
          <w:sz w:val="22"/>
          <w:szCs w:val="22"/>
          <w:lang w:val="en-AU"/>
        </w:rPr>
        <w:t xml:space="preserve"> </w:t>
      </w:r>
      <w:r w:rsidR="1A8096EA" w:rsidRPr="76C15C94">
        <w:rPr>
          <w:rFonts w:ascii="Calibri" w:eastAsia="Calibri" w:hAnsi="Calibri" w:cs="Calibri"/>
          <w:color w:val="000000" w:themeColor="text1"/>
          <w:sz w:val="22"/>
          <w:szCs w:val="22"/>
          <w:lang w:val="en-AU"/>
        </w:rPr>
        <w:t xml:space="preserve"> </w:t>
      </w:r>
    </w:p>
    <w:p w14:paraId="77601A15" w14:textId="2AC2FF8C" w:rsidR="570B436F" w:rsidRPr="00AA49D2" w:rsidRDefault="78F49D1F" w:rsidP="76C15C94">
      <w:pPr>
        <w:pStyle w:val="BodyText2"/>
        <w:jc w:val="both"/>
        <w:rPr>
          <w:rFonts w:ascii="Calibri" w:eastAsia="Calibri" w:hAnsi="Calibri" w:cs="Calibri"/>
          <w:color w:val="000000" w:themeColor="text1"/>
          <w:sz w:val="22"/>
          <w:szCs w:val="22"/>
          <w:lang w:val="en-AU" w:eastAsia="fr-FR"/>
        </w:rPr>
      </w:pPr>
      <w:r w:rsidRPr="00AA49D2">
        <w:rPr>
          <w:rFonts w:ascii="Calibri" w:eastAsia="Calibri" w:hAnsi="Calibri" w:cs="Calibri"/>
          <w:color w:val="000000" w:themeColor="text1"/>
          <w:sz w:val="22"/>
          <w:szCs w:val="22"/>
          <w:lang w:val="en-AU" w:eastAsia="fr-FR"/>
        </w:rPr>
        <w:t>In terms of climate risks</w:t>
      </w:r>
      <w:r w:rsidR="1300A6B1" w:rsidRPr="00AA49D2">
        <w:rPr>
          <w:rFonts w:ascii="Calibri" w:eastAsia="Calibri" w:hAnsi="Calibri" w:cs="Calibri"/>
          <w:color w:val="000000" w:themeColor="text1"/>
          <w:sz w:val="22"/>
          <w:szCs w:val="22"/>
          <w:lang w:val="en-AU" w:eastAsia="fr-FR"/>
        </w:rPr>
        <w:t xml:space="preserve"> management</w:t>
      </w:r>
      <w:r w:rsidRPr="00AA49D2">
        <w:rPr>
          <w:rFonts w:ascii="Calibri" w:eastAsia="Calibri" w:hAnsi="Calibri" w:cs="Calibri"/>
          <w:color w:val="000000" w:themeColor="text1"/>
          <w:sz w:val="22"/>
          <w:szCs w:val="22"/>
          <w:lang w:val="en-AU" w:eastAsia="fr-FR"/>
        </w:rPr>
        <w:t>, Mauritania has established</w:t>
      </w:r>
      <w:r w:rsidR="5056AF2F" w:rsidRPr="00AA49D2">
        <w:rPr>
          <w:rFonts w:ascii="Calibri" w:eastAsia="Calibri" w:hAnsi="Calibri" w:cs="Calibri"/>
          <w:color w:val="000000" w:themeColor="text1"/>
          <w:sz w:val="22"/>
          <w:szCs w:val="22"/>
          <w:lang w:val="en-AU" w:eastAsia="fr-FR"/>
        </w:rPr>
        <w:t>, with the support of UNDP,</w:t>
      </w:r>
      <w:r w:rsidRPr="00AA49D2">
        <w:rPr>
          <w:rFonts w:ascii="Calibri" w:eastAsia="Calibri" w:hAnsi="Calibri" w:cs="Calibri"/>
          <w:color w:val="000000" w:themeColor="text1"/>
          <w:sz w:val="22"/>
          <w:szCs w:val="22"/>
          <w:lang w:val="en-AU" w:eastAsia="fr-FR"/>
        </w:rPr>
        <w:t xml:space="preserve"> its position in the global strategy for mitigating the impacts of climate change with an ambitious national contribution, providing a framework for implementing the Paris Agreements and following up on the COP27</w:t>
      </w:r>
      <w:r w:rsidR="6F9EE8FD" w:rsidRPr="00AA49D2">
        <w:rPr>
          <w:rFonts w:ascii="Calibri" w:eastAsia="Calibri" w:hAnsi="Calibri" w:cs="Calibri"/>
          <w:color w:val="000000" w:themeColor="text1"/>
          <w:sz w:val="22"/>
          <w:szCs w:val="22"/>
          <w:lang w:val="en-AU" w:eastAsia="fr-FR"/>
        </w:rPr>
        <w:t xml:space="preserve">. </w:t>
      </w:r>
      <w:r w:rsidR="180D6BF5" w:rsidRPr="00AA49D2">
        <w:rPr>
          <w:rFonts w:ascii="Calibri" w:eastAsia="Calibri" w:hAnsi="Calibri" w:cs="Calibri"/>
          <w:color w:val="000000" w:themeColor="text1"/>
          <w:sz w:val="22"/>
          <w:szCs w:val="22"/>
          <w:lang w:val="en-AU" w:eastAsia="fr-FR"/>
        </w:rPr>
        <w:t>UNDP also support</w:t>
      </w:r>
      <w:r w:rsidR="7E95AB44" w:rsidRPr="00AA49D2">
        <w:rPr>
          <w:rFonts w:ascii="Calibri" w:eastAsia="Calibri" w:hAnsi="Calibri" w:cs="Calibri"/>
          <w:color w:val="000000" w:themeColor="text1"/>
          <w:sz w:val="22"/>
          <w:szCs w:val="22"/>
          <w:lang w:val="en-AU" w:eastAsia="fr-FR"/>
        </w:rPr>
        <w:t>ed</w:t>
      </w:r>
      <w:r w:rsidR="180D6BF5" w:rsidRPr="00AA49D2">
        <w:rPr>
          <w:rFonts w:ascii="Calibri" w:eastAsia="Calibri" w:hAnsi="Calibri" w:cs="Calibri"/>
          <w:color w:val="000000" w:themeColor="text1"/>
          <w:sz w:val="22"/>
          <w:szCs w:val="22"/>
          <w:lang w:val="en-AU" w:eastAsia="fr-FR"/>
        </w:rPr>
        <w:t xml:space="preserve"> t</w:t>
      </w:r>
      <w:r w:rsidRPr="00AA49D2">
        <w:rPr>
          <w:rFonts w:ascii="Calibri" w:eastAsia="Calibri" w:hAnsi="Calibri" w:cs="Calibri"/>
          <w:color w:val="000000" w:themeColor="text1"/>
          <w:sz w:val="22"/>
          <w:szCs w:val="22"/>
          <w:lang w:val="en-AU" w:eastAsia="fr-FR"/>
        </w:rPr>
        <w:t xml:space="preserve">he deployment of three geospatial databases for monitoring the </w:t>
      </w:r>
      <w:r w:rsidR="00E271D0">
        <w:rPr>
          <w:rFonts w:ascii="Calibri" w:eastAsia="Calibri" w:hAnsi="Calibri" w:cs="Calibri"/>
          <w:color w:val="000000" w:themeColor="text1"/>
          <w:sz w:val="22"/>
          <w:szCs w:val="22"/>
          <w:lang w:val="en-AU" w:eastAsia="fr-FR"/>
        </w:rPr>
        <w:t>SDGs</w:t>
      </w:r>
      <w:r w:rsidRPr="00AA49D2">
        <w:rPr>
          <w:rFonts w:ascii="Calibri" w:eastAsia="Calibri" w:hAnsi="Calibri" w:cs="Calibri"/>
          <w:color w:val="000000" w:themeColor="text1"/>
          <w:sz w:val="22"/>
          <w:szCs w:val="22"/>
          <w:lang w:val="en-AU" w:eastAsia="fr-FR"/>
        </w:rPr>
        <w:t>, which have facilitated the mobilization of more than US</w:t>
      </w:r>
      <w:r w:rsidR="00224A91">
        <w:rPr>
          <w:rFonts w:ascii="Calibri" w:eastAsia="Calibri" w:hAnsi="Calibri" w:cs="Calibri"/>
          <w:color w:val="000000" w:themeColor="text1"/>
          <w:sz w:val="22"/>
          <w:szCs w:val="22"/>
          <w:lang w:val="en-AU" w:eastAsia="fr-FR"/>
        </w:rPr>
        <w:t>D</w:t>
      </w:r>
      <w:r w:rsidRPr="00AA49D2">
        <w:rPr>
          <w:rFonts w:ascii="Calibri" w:eastAsia="Calibri" w:hAnsi="Calibri" w:cs="Calibri"/>
          <w:color w:val="000000" w:themeColor="text1"/>
          <w:sz w:val="22"/>
          <w:szCs w:val="22"/>
          <w:lang w:val="en-AU" w:eastAsia="fr-FR"/>
        </w:rPr>
        <w:t>100 million for development financing in the most isolated regions</w:t>
      </w:r>
      <w:r w:rsidR="3496C447" w:rsidRPr="00AA49D2">
        <w:rPr>
          <w:rFonts w:ascii="Calibri" w:eastAsia="Calibri" w:hAnsi="Calibri" w:cs="Calibri"/>
          <w:color w:val="000000" w:themeColor="text1"/>
          <w:sz w:val="22"/>
          <w:szCs w:val="22"/>
          <w:lang w:val="en-AU" w:eastAsia="fr-FR"/>
        </w:rPr>
        <w:t xml:space="preserve">. </w:t>
      </w:r>
      <w:r w:rsidRPr="00AA49D2">
        <w:rPr>
          <w:rFonts w:ascii="Calibri" w:eastAsia="Calibri" w:hAnsi="Calibri" w:cs="Calibri"/>
          <w:color w:val="000000" w:themeColor="text1"/>
          <w:sz w:val="22"/>
          <w:szCs w:val="22"/>
          <w:lang w:val="en-AU" w:eastAsia="fr-FR"/>
        </w:rPr>
        <w:t xml:space="preserve"> </w:t>
      </w:r>
    </w:p>
    <w:p w14:paraId="04F63391" w14:textId="613F3EA2" w:rsidR="570B436F" w:rsidRPr="00AA49D2" w:rsidRDefault="78F49D1F" w:rsidP="76C15C94">
      <w:pPr>
        <w:pStyle w:val="BodyText2"/>
        <w:jc w:val="both"/>
        <w:rPr>
          <w:rFonts w:ascii="Calibri" w:eastAsia="Calibri" w:hAnsi="Calibri" w:cs="Calibri"/>
          <w:color w:val="000000" w:themeColor="text1"/>
          <w:sz w:val="22"/>
          <w:szCs w:val="22"/>
          <w:lang w:val="en-AU" w:eastAsia="fr-FR"/>
        </w:rPr>
      </w:pPr>
      <w:r w:rsidRPr="00AA49D2">
        <w:rPr>
          <w:rFonts w:ascii="Calibri" w:eastAsia="Calibri" w:hAnsi="Calibri" w:cs="Calibri"/>
          <w:color w:val="000000" w:themeColor="text1"/>
          <w:sz w:val="22"/>
          <w:szCs w:val="22"/>
          <w:lang w:val="en-AU" w:eastAsia="fr-FR"/>
        </w:rPr>
        <w:t xml:space="preserve"> </w:t>
      </w:r>
    </w:p>
    <w:p w14:paraId="1E48D9FA" w14:textId="5D2D71BE" w:rsidR="6A3F6A7A" w:rsidRPr="00AA49D2" w:rsidRDefault="132D2248" w:rsidP="76C15C94">
      <w:pPr>
        <w:jc w:val="both"/>
        <w:rPr>
          <w:rFonts w:ascii="Calibri" w:eastAsia="Calibri" w:hAnsi="Calibri" w:cs="Calibri"/>
          <w:color w:val="000000" w:themeColor="text1"/>
          <w:sz w:val="22"/>
          <w:szCs w:val="22"/>
          <w:lang w:val="en-US"/>
        </w:rPr>
      </w:pPr>
      <w:r w:rsidRPr="76C15C94">
        <w:rPr>
          <w:rFonts w:ascii="Calibri" w:eastAsia="Calibri" w:hAnsi="Calibri" w:cs="Calibri"/>
          <w:color w:val="000000" w:themeColor="text1"/>
          <w:sz w:val="22"/>
          <w:szCs w:val="22"/>
          <w:lang w:val="en-AU"/>
        </w:rPr>
        <w:t xml:space="preserve">Contributing to </w:t>
      </w:r>
      <w:r w:rsidR="00E271D0">
        <w:rPr>
          <w:rFonts w:ascii="Calibri" w:eastAsia="Calibri" w:hAnsi="Calibri" w:cs="Calibri"/>
          <w:color w:val="000000" w:themeColor="text1"/>
          <w:sz w:val="22"/>
          <w:szCs w:val="22"/>
          <w:lang w:val="en-AU"/>
        </w:rPr>
        <w:t>the UN C</w:t>
      </w:r>
      <w:r w:rsidRPr="76C15C94">
        <w:rPr>
          <w:rFonts w:ascii="Calibri" w:eastAsia="Calibri" w:hAnsi="Calibri" w:cs="Calibri"/>
          <w:color w:val="000000" w:themeColor="text1"/>
          <w:sz w:val="22"/>
          <w:szCs w:val="22"/>
          <w:lang w:val="en-AU"/>
        </w:rPr>
        <w:t xml:space="preserve">ooperation </w:t>
      </w:r>
      <w:r w:rsidR="00E271D0">
        <w:rPr>
          <w:rFonts w:ascii="Calibri" w:eastAsia="Calibri" w:hAnsi="Calibri" w:cs="Calibri"/>
          <w:color w:val="000000" w:themeColor="text1"/>
          <w:sz w:val="22"/>
          <w:szCs w:val="22"/>
          <w:lang w:val="en-AU"/>
        </w:rPr>
        <w:t>F</w:t>
      </w:r>
      <w:r w:rsidRPr="76C15C94">
        <w:rPr>
          <w:rFonts w:ascii="Calibri" w:eastAsia="Calibri" w:hAnsi="Calibri" w:cs="Calibri"/>
          <w:color w:val="000000" w:themeColor="text1"/>
          <w:sz w:val="22"/>
          <w:szCs w:val="22"/>
          <w:lang w:val="en-AU"/>
        </w:rPr>
        <w:t xml:space="preserve">ramework results on gender, and linked to country office Gender Strategy 2022-2025, UNDP </w:t>
      </w:r>
      <w:r w:rsidR="0081518E">
        <w:rPr>
          <w:rFonts w:ascii="Calibri" w:eastAsia="Calibri" w:hAnsi="Calibri" w:cs="Calibri"/>
          <w:color w:val="000000" w:themeColor="text1"/>
          <w:sz w:val="22"/>
          <w:szCs w:val="22"/>
          <w:lang w:val="en-AU"/>
        </w:rPr>
        <w:t xml:space="preserve">has </w:t>
      </w:r>
      <w:r w:rsidRPr="76C15C94">
        <w:rPr>
          <w:rFonts w:ascii="Calibri" w:eastAsia="Calibri" w:hAnsi="Calibri" w:cs="Calibri"/>
          <w:color w:val="000000" w:themeColor="text1"/>
          <w:sz w:val="22"/>
          <w:szCs w:val="22"/>
          <w:lang w:val="en-AU"/>
        </w:rPr>
        <w:t xml:space="preserve">targeted gender equality and women empowerment through joint </w:t>
      </w:r>
      <w:r w:rsidRPr="76C15C94">
        <w:rPr>
          <w:rFonts w:ascii="Calibri" w:eastAsia="Calibri" w:hAnsi="Calibri" w:cs="Calibri"/>
          <w:color w:val="000000" w:themeColor="text1"/>
          <w:sz w:val="22"/>
          <w:szCs w:val="22"/>
          <w:lang w:val="en-AU"/>
        </w:rPr>
        <w:lastRenderedPageBreak/>
        <w:t>programmes with UNWOMEN, UNFPA and other UN Agencies to update the national gender strategy</w:t>
      </w:r>
      <w:r w:rsidR="0573DFCB" w:rsidRPr="76C15C94">
        <w:rPr>
          <w:rFonts w:ascii="Calibri" w:eastAsia="Calibri" w:hAnsi="Calibri" w:cs="Calibri"/>
          <w:color w:val="000000" w:themeColor="text1"/>
          <w:sz w:val="22"/>
          <w:szCs w:val="22"/>
          <w:lang w:val="en-AU"/>
        </w:rPr>
        <w:t xml:space="preserve"> and </w:t>
      </w:r>
      <w:r w:rsidRPr="76C15C94">
        <w:rPr>
          <w:rFonts w:ascii="Calibri" w:eastAsia="Calibri" w:hAnsi="Calibri" w:cs="Calibri"/>
          <w:color w:val="000000" w:themeColor="text1"/>
          <w:sz w:val="22"/>
          <w:szCs w:val="22"/>
          <w:lang w:val="en-AU"/>
        </w:rPr>
        <w:t>enhance gender equality in the public administration and gender equality seal.</w:t>
      </w:r>
      <w:r w:rsidRPr="76C15C94">
        <w:rPr>
          <w:rFonts w:ascii="Calibri" w:eastAsia="Calibri" w:hAnsi="Calibri" w:cs="Calibri"/>
          <w:color w:val="000000" w:themeColor="text1"/>
          <w:sz w:val="22"/>
          <w:szCs w:val="22"/>
          <w:lang w:val="en-US"/>
        </w:rPr>
        <w:t xml:space="preserve"> </w:t>
      </w:r>
      <w:r w:rsidR="35BDEEEB" w:rsidRPr="76C15C94">
        <w:rPr>
          <w:rFonts w:ascii="Calibri" w:eastAsia="Calibri" w:hAnsi="Calibri" w:cs="Calibri"/>
          <w:color w:val="000000" w:themeColor="text1"/>
          <w:sz w:val="22"/>
          <w:szCs w:val="22"/>
          <w:lang w:val="en-US"/>
        </w:rPr>
        <w:t xml:space="preserve">A strong focus was also made on </w:t>
      </w:r>
      <w:r w:rsidR="35BDEEEB" w:rsidRPr="00AA49D2">
        <w:rPr>
          <w:rFonts w:ascii="Calibri" w:eastAsia="Calibri" w:hAnsi="Calibri" w:cs="Calibri"/>
          <w:color w:val="000000" w:themeColor="text1"/>
          <w:sz w:val="22"/>
          <w:szCs w:val="22"/>
          <w:lang w:val="en-US"/>
        </w:rPr>
        <w:t>w</w:t>
      </w:r>
      <w:r w:rsidR="78F49D1F" w:rsidRPr="00AA49D2">
        <w:rPr>
          <w:rFonts w:ascii="Calibri" w:eastAsia="Calibri" w:hAnsi="Calibri" w:cs="Calibri"/>
          <w:color w:val="000000" w:themeColor="text1"/>
          <w:sz w:val="22"/>
          <w:szCs w:val="22"/>
          <w:lang w:val="en-US"/>
        </w:rPr>
        <w:t xml:space="preserve">omen's entrepreneurship and the activation of a youth inclusion policy with a national youth empowerment platform involving 10,000 young people (60% are women) </w:t>
      </w:r>
      <w:r w:rsidR="41F90E01" w:rsidRPr="00AA49D2">
        <w:rPr>
          <w:rFonts w:ascii="Calibri" w:eastAsia="Calibri" w:hAnsi="Calibri" w:cs="Calibri"/>
          <w:color w:val="000000" w:themeColor="text1"/>
          <w:sz w:val="22"/>
          <w:szCs w:val="22"/>
          <w:lang w:val="en-US"/>
        </w:rPr>
        <w:t xml:space="preserve">and </w:t>
      </w:r>
      <w:r w:rsidR="78F49D1F" w:rsidRPr="00AA49D2">
        <w:rPr>
          <w:rFonts w:ascii="Calibri" w:eastAsia="Calibri" w:hAnsi="Calibri" w:cs="Calibri"/>
          <w:color w:val="000000" w:themeColor="text1"/>
          <w:sz w:val="22"/>
          <w:szCs w:val="22"/>
          <w:lang w:val="en-US"/>
        </w:rPr>
        <w:t>the Public-Private Partnership dynamic</w:t>
      </w:r>
      <w:r w:rsidR="42429833" w:rsidRPr="00AA49D2">
        <w:rPr>
          <w:rFonts w:ascii="Calibri" w:eastAsia="Calibri" w:hAnsi="Calibri" w:cs="Calibri"/>
          <w:color w:val="000000" w:themeColor="text1"/>
          <w:sz w:val="22"/>
          <w:szCs w:val="22"/>
          <w:lang w:val="en-US"/>
        </w:rPr>
        <w:t xml:space="preserve">. This </w:t>
      </w:r>
      <w:r w:rsidR="78F49D1F" w:rsidRPr="00AA49D2">
        <w:rPr>
          <w:rFonts w:ascii="Calibri" w:eastAsia="Calibri" w:hAnsi="Calibri" w:cs="Calibri"/>
          <w:color w:val="000000" w:themeColor="text1"/>
          <w:sz w:val="22"/>
          <w:szCs w:val="22"/>
          <w:lang w:val="en-US"/>
        </w:rPr>
        <w:t xml:space="preserve">led </w:t>
      </w:r>
      <w:r w:rsidR="00224A91">
        <w:rPr>
          <w:rFonts w:ascii="Calibri" w:eastAsia="Calibri" w:hAnsi="Calibri" w:cs="Calibri"/>
          <w:color w:val="000000" w:themeColor="text1"/>
          <w:sz w:val="22"/>
          <w:szCs w:val="22"/>
          <w:lang w:val="en-US"/>
        </w:rPr>
        <w:t xml:space="preserve">to </w:t>
      </w:r>
      <w:r w:rsidR="78F49D1F" w:rsidRPr="00AA49D2">
        <w:rPr>
          <w:rFonts w:ascii="Calibri" w:eastAsia="Calibri" w:hAnsi="Calibri" w:cs="Calibri"/>
          <w:color w:val="000000" w:themeColor="text1"/>
          <w:sz w:val="22"/>
          <w:szCs w:val="22"/>
          <w:lang w:val="en-US"/>
        </w:rPr>
        <w:t>the establishment in 2021 of the first national mechanism to support youth and women's employment, with a budget of more than USD 93.5 million</w:t>
      </w:r>
      <w:r w:rsidR="610626F6" w:rsidRPr="00AA49D2">
        <w:rPr>
          <w:rFonts w:ascii="Calibri" w:eastAsia="Calibri" w:hAnsi="Calibri" w:cs="Calibri"/>
          <w:color w:val="000000" w:themeColor="text1"/>
          <w:sz w:val="22"/>
          <w:szCs w:val="22"/>
          <w:lang w:val="en-US"/>
        </w:rPr>
        <w:t xml:space="preserve">. </w:t>
      </w:r>
      <w:r w:rsidR="78F49D1F" w:rsidRPr="00AA49D2">
        <w:rPr>
          <w:rFonts w:ascii="Calibri" w:eastAsia="Calibri" w:hAnsi="Calibri" w:cs="Calibri"/>
          <w:color w:val="000000" w:themeColor="text1"/>
          <w:sz w:val="22"/>
          <w:szCs w:val="22"/>
          <w:lang w:val="en-US"/>
        </w:rPr>
        <w:t xml:space="preserve"> </w:t>
      </w:r>
    </w:p>
    <w:p w14:paraId="1F8BE8C8" w14:textId="651C5DE1" w:rsidR="6A3F6A7A" w:rsidRPr="00AA49D2" w:rsidRDefault="6A3F6A7A" w:rsidP="76C15C94">
      <w:pPr>
        <w:jc w:val="both"/>
        <w:rPr>
          <w:rFonts w:ascii="Calibri" w:eastAsia="Calibri" w:hAnsi="Calibri" w:cs="Calibri"/>
          <w:color w:val="000000" w:themeColor="text1"/>
          <w:sz w:val="22"/>
          <w:szCs w:val="22"/>
          <w:lang w:val="en-US"/>
        </w:rPr>
      </w:pPr>
    </w:p>
    <w:p w14:paraId="6CD9AB99" w14:textId="77CC6C82" w:rsidR="6A3F6A7A" w:rsidRPr="00AA49D2" w:rsidRDefault="112C3CC9" w:rsidP="76C15C94">
      <w:pPr>
        <w:jc w:val="both"/>
        <w:rPr>
          <w:rFonts w:ascii="Calibri" w:eastAsia="Calibri" w:hAnsi="Calibri" w:cs="Calibri"/>
          <w:color w:val="000000" w:themeColor="text1"/>
          <w:sz w:val="22"/>
          <w:szCs w:val="22"/>
          <w:lang w:val="en-US"/>
        </w:rPr>
      </w:pPr>
      <w:r w:rsidRPr="00AA49D2">
        <w:rPr>
          <w:rFonts w:ascii="Calibri" w:eastAsia="Calibri" w:hAnsi="Calibri" w:cs="Calibri"/>
          <w:color w:val="000000" w:themeColor="text1"/>
          <w:sz w:val="22"/>
          <w:szCs w:val="22"/>
          <w:lang w:val="en-US"/>
        </w:rPr>
        <w:t>Overall, the program</w:t>
      </w:r>
      <w:r w:rsidR="00224A91">
        <w:rPr>
          <w:rFonts w:ascii="Calibri" w:eastAsia="Calibri" w:hAnsi="Calibri" w:cs="Calibri"/>
          <w:color w:val="000000" w:themeColor="text1"/>
          <w:sz w:val="22"/>
          <w:szCs w:val="22"/>
          <w:lang w:val="en-US"/>
        </w:rPr>
        <w:t>me</w:t>
      </w:r>
      <w:r w:rsidRPr="00AA49D2">
        <w:rPr>
          <w:rFonts w:ascii="Calibri" w:eastAsia="Calibri" w:hAnsi="Calibri" w:cs="Calibri"/>
          <w:color w:val="000000" w:themeColor="text1"/>
          <w:sz w:val="22"/>
          <w:szCs w:val="22"/>
          <w:lang w:val="en-US"/>
        </w:rPr>
        <w:t xml:space="preserve"> has brought about changes in women's empowerment and their integration into society, in addition to increasing their self-confidence (315 women and youth representing 104 local cooperatives have been trained) and new jobs (94 community cooperatives, mainly composed of rural women with 768 jobs, 510 of which were for women). UNDP interventions have contributed to the increased participation of women and youth in political life (</w:t>
      </w:r>
      <w:r w:rsidR="5E7FDFB3" w:rsidRPr="00AA49D2">
        <w:rPr>
          <w:rFonts w:ascii="Calibri" w:eastAsia="Calibri" w:hAnsi="Calibri" w:cs="Calibri"/>
          <w:color w:val="000000" w:themeColor="text1"/>
          <w:sz w:val="22"/>
          <w:szCs w:val="22"/>
          <w:lang w:val="en-US"/>
        </w:rPr>
        <w:t xml:space="preserve">20% </w:t>
      </w:r>
      <w:r w:rsidRPr="00AA49D2">
        <w:rPr>
          <w:rFonts w:ascii="Calibri" w:eastAsia="Calibri" w:hAnsi="Calibri" w:cs="Calibri"/>
          <w:color w:val="000000" w:themeColor="text1"/>
          <w:sz w:val="22"/>
          <w:szCs w:val="22"/>
          <w:lang w:val="en-US"/>
        </w:rPr>
        <w:t xml:space="preserve">% </w:t>
      </w:r>
      <w:r w:rsidR="2878451A" w:rsidRPr="00AA49D2">
        <w:rPr>
          <w:rFonts w:ascii="Calibri" w:eastAsia="Calibri" w:hAnsi="Calibri" w:cs="Calibri"/>
          <w:color w:val="000000" w:themeColor="text1"/>
          <w:sz w:val="22"/>
          <w:szCs w:val="22"/>
          <w:lang w:val="en-US"/>
        </w:rPr>
        <w:t xml:space="preserve">of the parliament members </w:t>
      </w:r>
      <w:r w:rsidR="0081518E">
        <w:rPr>
          <w:rFonts w:ascii="Calibri" w:eastAsia="Calibri" w:hAnsi="Calibri" w:cs="Calibri"/>
          <w:color w:val="000000" w:themeColor="text1"/>
          <w:sz w:val="22"/>
          <w:szCs w:val="22"/>
          <w:lang w:val="en-US"/>
        </w:rPr>
        <w:t>a</w:t>
      </w:r>
      <w:r w:rsidR="2878451A" w:rsidRPr="00AA49D2">
        <w:rPr>
          <w:rFonts w:ascii="Calibri" w:eastAsia="Calibri" w:hAnsi="Calibri" w:cs="Calibri"/>
          <w:color w:val="000000" w:themeColor="text1"/>
          <w:sz w:val="22"/>
          <w:szCs w:val="22"/>
          <w:lang w:val="en-US"/>
        </w:rPr>
        <w:t xml:space="preserve">re women). </w:t>
      </w:r>
    </w:p>
    <w:p w14:paraId="564A7950" w14:textId="77777777" w:rsidR="6A3F6A7A" w:rsidRDefault="6A3F6A7A" w:rsidP="76C15C94">
      <w:pPr>
        <w:pStyle w:val="BodyText2"/>
        <w:jc w:val="center"/>
        <w:rPr>
          <w:rFonts w:ascii="Calibri" w:eastAsia="Calibri" w:hAnsi="Calibri" w:cs="Calibri"/>
          <w:color w:val="000000" w:themeColor="text1"/>
          <w:sz w:val="22"/>
          <w:szCs w:val="22"/>
          <w:lang w:eastAsia="fr-FR"/>
        </w:rPr>
      </w:pPr>
    </w:p>
    <w:p w14:paraId="50A59807" w14:textId="522D0DCA" w:rsidR="6A3F6A7A" w:rsidRDefault="761911FF" w:rsidP="76C15C94">
      <w:pPr>
        <w:pStyle w:val="BodyText2"/>
        <w:jc w:val="both"/>
        <w:rPr>
          <w:rFonts w:ascii="Calibri" w:eastAsia="Calibri" w:hAnsi="Calibri" w:cs="Calibri"/>
          <w:color w:val="000000" w:themeColor="text1"/>
          <w:sz w:val="22"/>
          <w:szCs w:val="22"/>
          <w:lang w:eastAsia="fr-FR"/>
        </w:rPr>
      </w:pPr>
      <w:r w:rsidRPr="76C15C94">
        <w:rPr>
          <w:rFonts w:ascii="Calibri" w:eastAsia="Calibri" w:hAnsi="Calibri" w:cs="Calibri"/>
          <w:color w:val="000000" w:themeColor="text1"/>
          <w:sz w:val="22"/>
          <w:szCs w:val="22"/>
          <w:lang w:eastAsia="fr-FR"/>
        </w:rPr>
        <w:t>Remarkable e</w:t>
      </w:r>
      <w:r w:rsidR="24A52347" w:rsidRPr="76C15C94">
        <w:rPr>
          <w:rFonts w:ascii="Calibri" w:eastAsia="Calibri" w:hAnsi="Calibri" w:cs="Calibri"/>
          <w:color w:val="000000" w:themeColor="text1"/>
          <w:sz w:val="22"/>
          <w:szCs w:val="22"/>
          <w:lang w:eastAsia="fr-FR"/>
        </w:rPr>
        <w:t xml:space="preserve">fforts were also made to </w:t>
      </w:r>
      <w:r w:rsidR="78F49D1F" w:rsidRPr="76C15C94">
        <w:rPr>
          <w:rFonts w:ascii="Calibri" w:eastAsia="Calibri" w:hAnsi="Calibri" w:cs="Calibri"/>
          <w:color w:val="000000" w:themeColor="text1"/>
          <w:sz w:val="22"/>
          <w:szCs w:val="22"/>
          <w:lang w:eastAsia="fr-FR"/>
        </w:rPr>
        <w:t>promot</w:t>
      </w:r>
      <w:r w:rsidR="4AC6F92D" w:rsidRPr="76C15C94">
        <w:rPr>
          <w:rFonts w:ascii="Calibri" w:eastAsia="Calibri" w:hAnsi="Calibri" w:cs="Calibri"/>
          <w:color w:val="000000" w:themeColor="text1"/>
          <w:sz w:val="22"/>
          <w:szCs w:val="22"/>
          <w:lang w:eastAsia="fr-FR"/>
        </w:rPr>
        <w:t>e</w:t>
      </w:r>
      <w:r w:rsidR="78F49D1F" w:rsidRPr="76C15C94">
        <w:rPr>
          <w:rFonts w:ascii="Calibri" w:eastAsia="Calibri" w:hAnsi="Calibri" w:cs="Calibri"/>
          <w:color w:val="000000" w:themeColor="text1"/>
          <w:sz w:val="22"/>
          <w:szCs w:val="22"/>
          <w:lang w:eastAsia="fr-FR"/>
        </w:rPr>
        <w:t xml:space="preserve"> </w:t>
      </w:r>
      <w:r w:rsidR="18A4B186" w:rsidRPr="76C15C94">
        <w:rPr>
          <w:rFonts w:ascii="Calibri" w:eastAsia="Calibri" w:hAnsi="Calibri" w:cs="Calibri"/>
          <w:color w:val="000000" w:themeColor="text1"/>
          <w:sz w:val="22"/>
          <w:szCs w:val="22"/>
          <w:lang w:eastAsia="fr-FR"/>
        </w:rPr>
        <w:t>the</w:t>
      </w:r>
      <w:r w:rsidR="78F49D1F" w:rsidRPr="76C15C94">
        <w:rPr>
          <w:rFonts w:ascii="Calibri" w:eastAsia="Calibri" w:hAnsi="Calibri" w:cs="Calibri"/>
          <w:color w:val="000000" w:themeColor="text1"/>
          <w:sz w:val="22"/>
          <w:szCs w:val="22"/>
          <w:lang w:eastAsia="fr-FR"/>
        </w:rPr>
        <w:t xml:space="preserve"> renewable energies as a vector of social inclusion for communities, offering the prospect of electrification and access to public services for 200 villages</w:t>
      </w:r>
      <w:r w:rsidR="74926478" w:rsidRPr="76C15C94">
        <w:rPr>
          <w:rFonts w:ascii="Calibri" w:eastAsia="Calibri" w:hAnsi="Calibri" w:cs="Calibri"/>
          <w:color w:val="000000" w:themeColor="text1"/>
          <w:sz w:val="22"/>
          <w:szCs w:val="22"/>
          <w:lang w:eastAsia="fr-FR"/>
        </w:rPr>
        <w:t xml:space="preserve"> and </w:t>
      </w:r>
      <w:r w:rsidR="00A65A21">
        <w:rPr>
          <w:rFonts w:ascii="Calibri" w:eastAsia="Calibri" w:hAnsi="Calibri" w:cs="Calibri"/>
          <w:color w:val="000000" w:themeColor="text1"/>
          <w:sz w:val="22"/>
          <w:szCs w:val="22"/>
          <w:lang w:eastAsia="fr-FR"/>
        </w:rPr>
        <w:t>the</w:t>
      </w:r>
      <w:r w:rsidR="78F49D1F" w:rsidRPr="76C15C94">
        <w:rPr>
          <w:rFonts w:ascii="Calibri" w:eastAsia="Calibri" w:hAnsi="Calibri" w:cs="Calibri"/>
          <w:color w:val="000000" w:themeColor="text1"/>
          <w:sz w:val="22"/>
          <w:szCs w:val="22"/>
          <w:lang w:eastAsia="fr-FR"/>
        </w:rPr>
        <w:t xml:space="preserve"> environment governance through a national strategy </w:t>
      </w:r>
      <w:r w:rsidR="0081518E">
        <w:rPr>
          <w:rFonts w:ascii="Calibri" w:eastAsia="Calibri" w:hAnsi="Calibri" w:cs="Calibri"/>
          <w:color w:val="000000" w:themeColor="text1"/>
          <w:sz w:val="22"/>
          <w:szCs w:val="22"/>
          <w:lang w:eastAsia="fr-FR"/>
        </w:rPr>
        <w:t>to</w:t>
      </w:r>
      <w:r w:rsidR="78F49D1F" w:rsidRPr="76C15C94">
        <w:rPr>
          <w:rFonts w:ascii="Calibri" w:eastAsia="Calibri" w:hAnsi="Calibri" w:cs="Calibri"/>
          <w:color w:val="000000" w:themeColor="text1"/>
          <w:sz w:val="22"/>
          <w:szCs w:val="22"/>
          <w:lang w:eastAsia="fr-FR"/>
        </w:rPr>
        <w:t xml:space="preserve"> reduc</w:t>
      </w:r>
      <w:r w:rsidR="0081518E">
        <w:rPr>
          <w:rFonts w:ascii="Calibri" w:eastAsia="Calibri" w:hAnsi="Calibri" w:cs="Calibri"/>
          <w:color w:val="000000" w:themeColor="text1"/>
          <w:sz w:val="22"/>
          <w:szCs w:val="22"/>
          <w:lang w:eastAsia="fr-FR"/>
        </w:rPr>
        <w:t>e</w:t>
      </w:r>
      <w:r w:rsidR="78F49D1F" w:rsidRPr="76C15C94">
        <w:rPr>
          <w:rFonts w:ascii="Calibri" w:eastAsia="Calibri" w:hAnsi="Calibri" w:cs="Calibri"/>
          <w:color w:val="000000" w:themeColor="text1"/>
          <w:sz w:val="22"/>
          <w:szCs w:val="22"/>
          <w:lang w:eastAsia="fr-FR"/>
        </w:rPr>
        <w:t xml:space="preserve"> carbon impact, integrating the role of women in its implementation</w:t>
      </w:r>
      <w:r w:rsidR="1737F284" w:rsidRPr="76C15C94">
        <w:rPr>
          <w:rFonts w:ascii="Calibri" w:eastAsia="Calibri" w:hAnsi="Calibri" w:cs="Calibri"/>
          <w:color w:val="000000" w:themeColor="text1"/>
          <w:sz w:val="22"/>
          <w:szCs w:val="22"/>
          <w:lang w:eastAsia="fr-FR"/>
        </w:rPr>
        <w:t>.</w:t>
      </w:r>
      <w:r w:rsidR="01E8E423" w:rsidRPr="76C15C94">
        <w:rPr>
          <w:rFonts w:ascii="Calibri" w:eastAsia="Calibri" w:hAnsi="Calibri" w:cs="Calibri"/>
          <w:color w:val="000000" w:themeColor="text1"/>
          <w:sz w:val="22"/>
          <w:szCs w:val="22"/>
          <w:lang w:eastAsia="fr-FR"/>
        </w:rPr>
        <w:t xml:space="preserve"> </w:t>
      </w:r>
      <w:r w:rsidR="00F2046F">
        <w:rPr>
          <w:rFonts w:ascii="Calibri" w:eastAsia="Calibri" w:hAnsi="Calibri" w:cs="Calibri"/>
          <w:color w:val="000000" w:themeColor="text1"/>
          <w:sz w:val="22"/>
          <w:szCs w:val="22"/>
          <w:lang w:eastAsia="fr-FR"/>
        </w:rPr>
        <w:t xml:space="preserve">Between </w:t>
      </w:r>
      <w:r w:rsidR="00E5685A">
        <w:rPr>
          <w:rFonts w:ascii="Calibri" w:eastAsia="Calibri" w:hAnsi="Calibri" w:cs="Calibri"/>
          <w:color w:val="000000" w:themeColor="text1"/>
          <w:sz w:val="22"/>
          <w:szCs w:val="22"/>
          <w:lang w:eastAsia="fr-FR"/>
        </w:rPr>
        <w:t>2015</w:t>
      </w:r>
      <w:r w:rsidR="00F2046F">
        <w:rPr>
          <w:rFonts w:ascii="Calibri" w:eastAsia="Calibri" w:hAnsi="Calibri" w:cs="Calibri"/>
          <w:color w:val="000000" w:themeColor="text1"/>
          <w:sz w:val="22"/>
          <w:szCs w:val="22"/>
          <w:lang w:eastAsia="fr-FR"/>
        </w:rPr>
        <w:t xml:space="preserve"> and </w:t>
      </w:r>
      <w:r w:rsidR="00E5685A">
        <w:rPr>
          <w:rFonts w:ascii="Calibri" w:eastAsia="Calibri" w:hAnsi="Calibri" w:cs="Calibri"/>
          <w:color w:val="000000" w:themeColor="text1"/>
          <w:sz w:val="22"/>
          <w:szCs w:val="22"/>
          <w:lang w:eastAsia="fr-FR"/>
        </w:rPr>
        <w:t>2022</w:t>
      </w:r>
      <w:r w:rsidR="00F2046F">
        <w:rPr>
          <w:rFonts w:ascii="Calibri" w:eastAsia="Calibri" w:hAnsi="Calibri" w:cs="Calibri"/>
          <w:color w:val="000000" w:themeColor="text1"/>
          <w:sz w:val="22"/>
          <w:szCs w:val="22"/>
          <w:lang w:eastAsia="fr-FR"/>
        </w:rPr>
        <w:t>,</w:t>
      </w:r>
      <w:r w:rsidR="00F2046F" w:rsidRPr="00AA49D2" w:rsidDel="00A65A21">
        <w:rPr>
          <w:rFonts w:ascii="Calibri" w:eastAsia="Calibri" w:hAnsi="Calibri" w:cs="Calibri"/>
          <w:color w:val="000000" w:themeColor="text1"/>
          <w:sz w:val="22"/>
          <w:szCs w:val="22"/>
          <w:lang w:eastAsia="fr-FR"/>
        </w:rPr>
        <w:t xml:space="preserve"> the </w:t>
      </w:r>
      <w:r w:rsidR="00F2046F" w:rsidRPr="76C15C94" w:rsidDel="00A65A21">
        <w:rPr>
          <w:rFonts w:ascii="Calibri" w:eastAsia="Calibri" w:hAnsi="Calibri" w:cs="Calibri"/>
          <w:color w:val="000000" w:themeColor="text1"/>
          <w:sz w:val="22"/>
          <w:szCs w:val="22"/>
          <w:lang w:eastAsia="fr-FR"/>
        </w:rPr>
        <w:t xml:space="preserve">share of renewable energies in the mix that rose from 32% to 48% as well as the level of access of rural population to electricity (5% to 43%). </w:t>
      </w:r>
      <w:r w:rsidR="01E8E423" w:rsidRPr="00AA49D2">
        <w:rPr>
          <w:rFonts w:ascii="Calibri" w:eastAsia="Calibri" w:hAnsi="Calibri" w:cs="Calibri"/>
          <w:color w:val="000000" w:themeColor="text1"/>
          <w:sz w:val="22"/>
          <w:szCs w:val="22"/>
          <w:lang w:eastAsia="fr-FR"/>
        </w:rPr>
        <w:t xml:space="preserve">On another hand, </w:t>
      </w:r>
      <w:r w:rsidR="473F88C8" w:rsidRPr="00AA49D2">
        <w:rPr>
          <w:rFonts w:ascii="Calibri" w:eastAsia="Calibri" w:hAnsi="Calibri" w:cs="Calibri"/>
          <w:color w:val="000000" w:themeColor="text1"/>
          <w:sz w:val="22"/>
          <w:szCs w:val="22"/>
          <w:lang w:eastAsia="fr-FR"/>
        </w:rPr>
        <w:t xml:space="preserve">the evolution of the corruption </w:t>
      </w:r>
      <w:r w:rsidR="00CE4F7C">
        <w:rPr>
          <w:rFonts w:ascii="Calibri" w:eastAsia="Calibri" w:hAnsi="Calibri" w:cs="Calibri"/>
          <w:color w:val="000000" w:themeColor="text1"/>
          <w:sz w:val="22"/>
          <w:szCs w:val="22"/>
          <w:lang w:eastAsia="fr-FR"/>
        </w:rPr>
        <w:t xml:space="preserve">perception </w:t>
      </w:r>
      <w:r w:rsidR="473F88C8" w:rsidRPr="00AA49D2">
        <w:rPr>
          <w:rFonts w:ascii="Calibri" w:eastAsia="Calibri" w:hAnsi="Calibri" w:cs="Calibri"/>
          <w:color w:val="000000" w:themeColor="text1"/>
          <w:sz w:val="22"/>
          <w:szCs w:val="22"/>
          <w:lang w:eastAsia="fr-FR"/>
        </w:rPr>
        <w:t>index</w:t>
      </w:r>
      <w:r w:rsidR="0B3B8EE4" w:rsidRPr="00AA49D2">
        <w:rPr>
          <w:rFonts w:ascii="Calibri" w:eastAsia="Calibri" w:hAnsi="Calibri" w:cs="Calibri"/>
          <w:color w:val="000000" w:themeColor="text1"/>
          <w:sz w:val="22"/>
          <w:szCs w:val="22"/>
          <w:lang w:eastAsia="fr-FR"/>
        </w:rPr>
        <w:t xml:space="preserve"> (</w:t>
      </w:r>
      <w:r w:rsidR="473F88C8" w:rsidRPr="00AA49D2">
        <w:rPr>
          <w:rFonts w:ascii="Calibri" w:eastAsia="Calibri" w:hAnsi="Calibri" w:cs="Calibri"/>
          <w:color w:val="000000" w:themeColor="text1"/>
          <w:sz w:val="22"/>
          <w:szCs w:val="22"/>
          <w:lang w:eastAsia="fr-FR"/>
        </w:rPr>
        <w:t>27% in 2016 to 2</w:t>
      </w:r>
      <w:r w:rsidR="00CE4F7C">
        <w:rPr>
          <w:rFonts w:ascii="Calibri" w:eastAsia="Calibri" w:hAnsi="Calibri" w:cs="Calibri"/>
          <w:color w:val="000000" w:themeColor="text1"/>
          <w:sz w:val="22"/>
          <w:szCs w:val="22"/>
          <w:lang w:eastAsia="fr-FR"/>
        </w:rPr>
        <w:t>8</w:t>
      </w:r>
      <w:r w:rsidR="473F88C8" w:rsidRPr="00AA49D2">
        <w:rPr>
          <w:rFonts w:ascii="Calibri" w:eastAsia="Calibri" w:hAnsi="Calibri" w:cs="Calibri"/>
          <w:color w:val="000000" w:themeColor="text1"/>
          <w:sz w:val="22"/>
          <w:szCs w:val="22"/>
          <w:lang w:eastAsia="fr-FR"/>
        </w:rPr>
        <w:t>% in 2020</w:t>
      </w:r>
      <w:r w:rsidR="6235436A" w:rsidRPr="00AA49D2">
        <w:rPr>
          <w:rFonts w:ascii="Calibri" w:eastAsia="Calibri" w:hAnsi="Calibri" w:cs="Calibri"/>
          <w:color w:val="000000" w:themeColor="text1"/>
          <w:sz w:val="22"/>
          <w:szCs w:val="22"/>
          <w:lang w:eastAsia="fr-FR"/>
        </w:rPr>
        <w:t>)</w:t>
      </w:r>
      <w:r w:rsidR="473F88C8" w:rsidRPr="00AA49D2">
        <w:rPr>
          <w:rFonts w:ascii="Calibri" w:eastAsia="Calibri" w:hAnsi="Calibri" w:cs="Calibri"/>
          <w:color w:val="000000" w:themeColor="text1"/>
          <w:sz w:val="22"/>
          <w:szCs w:val="22"/>
          <w:lang w:eastAsia="fr-FR"/>
        </w:rPr>
        <w:t xml:space="preserve"> </w:t>
      </w:r>
      <w:r w:rsidR="00E5685A">
        <w:rPr>
          <w:rFonts w:ascii="Calibri" w:eastAsia="Calibri" w:hAnsi="Calibri" w:cs="Calibri"/>
          <w:color w:val="000000" w:themeColor="text1"/>
          <w:sz w:val="22"/>
          <w:szCs w:val="22"/>
          <w:lang w:eastAsia="fr-FR"/>
        </w:rPr>
        <w:t>resulted in</w:t>
      </w:r>
      <w:r w:rsidR="473F88C8" w:rsidRPr="00AA49D2">
        <w:rPr>
          <w:rFonts w:ascii="Calibri" w:eastAsia="Calibri" w:hAnsi="Calibri" w:cs="Calibri"/>
          <w:color w:val="000000" w:themeColor="text1"/>
          <w:sz w:val="22"/>
          <w:szCs w:val="22"/>
          <w:lang w:eastAsia="fr-FR"/>
        </w:rPr>
        <w:t xml:space="preserve"> a clear improvement in Mauritania's global ranking</w:t>
      </w:r>
      <w:r w:rsidR="00E22189">
        <w:rPr>
          <w:rStyle w:val="FootnoteReference"/>
          <w:rFonts w:ascii="Calibri" w:eastAsia="Calibri" w:hAnsi="Calibri" w:cs="Calibri"/>
          <w:color w:val="000000" w:themeColor="text1"/>
          <w:sz w:val="22"/>
          <w:szCs w:val="22"/>
          <w:lang w:eastAsia="fr-FR"/>
        </w:rPr>
        <w:footnoteReference w:id="2"/>
      </w:r>
      <w:r w:rsidR="00E22189">
        <w:rPr>
          <w:rFonts w:ascii="Calibri" w:eastAsia="Calibri" w:hAnsi="Calibri" w:cs="Calibri"/>
          <w:color w:val="000000" w:themeColor="text1"/>
          <w:sz w:val="22"/>
          <w:szCs w:val="22"/>
          <w:lang w:eastAsia="fr-FR"/>
        </w:rPr>
        <w:t>.</w:t>
      </w:r>
      <w:r w:rsidR="00E22189" w:rsidRPr="00AA49D2" w:rsidDel="00E22189">
        <w:rPr>
          <w:rFonts w:ascii="Calibri" w:eastAsia="Calibri" w:hAnsi="Calibri" w:cs="Calibri"/>
          <w:color w:val="000000" w:themeColor="text1"/>
          <w:sz w:val="22"/>
          <w:szCs w:val="22"/>
          <w:lang w:eastAsia="fr-FR"/>
        </w:rPr>
        <w:t xml:space="preserve"> </w:t>
      </w:r>
      <w:r w:rsidR="77055BD8" w:rsidRPr="00AA49D2">
        <w:rPr>
          <w:rFonts w:ascii="Calibri" w:eastAsia="Calibri" w:hAnsi="Calibri" w:cs="Calibri"/>
          <w:color w:val="000000" w:themeColor="text1"/>
          <w:sz w:val="22"/>
          <w:szCs w:val="22"/>
          <w:lang w:eastAsia="fr-FR"/>
        </w:rPr>
        <w:t xml:space="preserve"> </w:t>
      </w:r>
    </w:p>
    <w:p w14:paraId="4C3F0CAA" w14:textId="01DCA99A" w:rsidR="570B436F" w:rsidRDefault="570B436F" w:rsidP="6EA0DEF6">
      <w:pPr>
        <w:jc w:val="both"/>
        <w:rPr>
          <w:lang w:val="en-US" w:eastAsia="en-US"/>
        </w:rPr>
      </w:pPr>
    </w:p>
    <w:p w14:paraId="0416DED9" w14:textId="77777777" w:rsidR="0037523B" w:rsidRDefault="0037523B" w:rsidP="00975566">
      <w:pPr>
        <w:pStyle w:val="BodyText2"/>
        <w:jc w:val="center"/>
        <w:rPr>
          <w:rFonts w:ascii="Times New Roman" w:hAnsi="Times New Roman"/>
          <w:b/>
          <w:sz w:val="24"/>
        </w:rPr>
      </w:pPr>
    </w:p>
    <w:p w14:paraId="0416DEDA" w14:textId="77777777" w:rsidR="0037523B" w:rsidRDefault="0037523B" w:rsidP="00975566">
      <w:pPr>
        <w:pStyle w:val="BodyText2"/>
        <w:jc w:val="center"/>
        <w:rPr>
          <w:rFonts w:ascii="Times New Roman" w:hAnsi="Times New Roman"/>
          <w:b/>
          <w:sz w:val="24"/>
        </w:rPr>
      </w:pPr>
    </w:p>
    <w:p w14:paraId="0416DEDB" w14:textId="77777777" w:rsidR="0037523B" w:rsidRDefault="0037523B" w:rsidP="00975566">
      <w:pPr>
        <w:pStyle w:val="BodyText2"/>
        <w:jc w:val="center"/>
        <w:rPr>
          <w:rFonts w:ascii="Times New Roman" w:hAnsi="Times New Roman"/>
          <w:b/>
          <w:sz w:val="24"/>
        </w:rPr>
      </w:pPr>
    </w:p>
    <w:p w14:paraId="0416DEDC" w14:textId="77777777" w:rsidR="0037523B" w:rsidRDefault="0037523B" w:rsidP="00975566">
      <w:pPr>
        <w:pStyle w:val="BodyText2"/>
        <w:jc w:val="center"/>
        <w:rPr>
          <w:rFonts w:ascii="Times New Roman" w:hAnsi="Times New Roman"/>
          <w:b/>
          <w:sz w:val="24"/>
        </w:rPr>
      </w:pPr>
    </w:p>
    <w:p w14:paraId="0416DEDD" w14:textId="77777777" w:rsidR="0037523B" w:rsidRDefault="0037523B" w:rsidP="00975566">
      <w:pPr>
        <w:pStyle w:val="BodyText2"/>
        <w:jc w:val="center"/>
        <w:rPr>
          <w:rFonts w:ascii="Times New Roman" w:hAnsi="Times New Roman"/>
          <w:b/>
          <w:sz w:val="24"/>
        </w:rPr>
      </w:pPr>
    </w:p>
    <w:p w14:paraId="0416DEDE" w14:textId="77777777" w:rsidR="0037523B" w:rsidRDefault="0037523B" w:rsidP="00975566">
      <w:pPr>
        <w:pStyle w:val="BodyText2"/>
        <w:jc w:val="center"/>
        <w:rPr>
          <w:rFonts w:ascii="Times New Roman" w:hAnsi="Times New Roman"/>
          <w:b/>
          <w:sz w:val="24"/>
        </w:rPr>
      </w:pPr>
    </w:p>
    <w:p w14:paraId="0416DEDF" w14:textId="77777777" w:rsidR="0037523B" w:rsidRDefault="0037523B" w:rsidP="00975566">
      <w:pPr>
        <w:pStyle w:val="BodyText2"/>
        <w:jc w:val="center"/>
        <w:rPr>
          <w:rFonts w:ascii="Times New Roman" w:hAnsi="Times New Roman"/>
          <w:b/>
          <w:sz w:val="24"/>
        </w:rPr>
      </w:pPr>
    </w:p>
    <w:p w14:paraId="0416DEE0" w14:textId="77777777" w:rsidR="0037523B" w:rsidRDefault="0037523B" w:rsidP="00975566">
      <w:pPr>
        <w:pStyle w:val="BodyText2"/>
        <w:jc w:val="center"/>
        <w:rPr>
          <w:rFonts w:ascii="Times New Roman" w:hAnsi="Times New Roman"/>
          <w:b/>
          <w:sz w:val="24"/>
        </w:rPr>
      </w:pPr>
    </w:p>
    <w:p w14:paraId="0416DEE1" w14:textId="77777777" w:rsidR="0037523B" w:rsidRDefault="0037523B" w:rsidP="00975566">
      <w:pPr>
        <w:pStyle w:val="BodyText2"/>
        <w:jc w:val="center"/>
        <w:rPr>
          <w:rFonts w:ascii="Times New Roman" w:hAnsi="Times New Roman"/>
          <w:b/>
          <w:sz w:val="24"/>
        </w:rPr>
      </w:pPr>
    </w:p>
    <w:p w14:paraId="0416DEE2" w14:textId="77777777" w:rsidR="0037523B" w:rsidRDefault="0037523B" w:rsidP="00975566">
      <w:pPr>
        <w:pStyle w:val="BodyText2"/>
        <w:jc w:val="center"/>
        <w:rPr>
          <w:rFonts w:ascii="Times New Roman" w:hAnsi="Times New Roman"/>
          <w:b/>
          <w:sz w:val="24"/>
        </w:rPr>
      </w:pPr>
    </w:p>
    <w:p w14:paraId="0416DEE3" w14:textId="77777777" w:rsidR="0037523B" w:rsidRDefault="0037523B" w:rsidP="00975566">
      <w:pPr>
        <w:pStyle w:val="BodyText2"/>
        <w:jc w:val="center"/>
        <w:rPr>
          <w:rFonts w:ascii="Times New Roman" w:hAnsi="Times New Roman"/>
          <w:b/>
          <w:sz w:val="24"/>
        </w:rPr>
      </w:pPr>
    </w:p>
    <w:p w14:paraId="0416DEE4" w14:textId="77777777" w:rsidR="0037523B" w:rsidRDefault="0037523B" w:rsidP="00975566">
      <w:pPr>
        <w:pStyle w:val="BodyText2"/>
        <w:jc w:val="center"/>
        <w:rPr>
          <w:rFonts w:ascii="Times New Roman" w:hAnsi="Times New Roman"/>
          <w:b/>
          <w:sz w:val="24"/>
        </w:rPr>
      </w:pPr>
    </w:p>
    <w:p w14:paraId="0416DEE5" w14:textId="77777777" w:rsidR="0037523B" w:rsidRDefault="0037523B" w:rsidP="00975566">
      <w:pPr>
        <w:pStyle w:val="BodyText2"/>
        <w:jc w:val="center"/>
        <w:rPr>
          <w:rFonts w:ascii="Times New Roman" w:hAnsi="Times New Roman"/>
          <w:b/>
          <w:sz w:val="24"/>
        </w:rPr>
      </w:pPr>
    </w:p>
    <w:p w14:paraId="0416DEE6" w14:textId="77777777" w:rsidR="0037523B" w:rsidRDefault="0037523B" w:rsidP="00975566">
      <w:pPr>
        <w:pStyle w:val="BodyText2"/>
        <w:jc w:val="center"/>
        <w:rPr>
          <w:rFonts w:ascii="Times New Roman" w:hAnsi="Times New Roman"/>
          <w:b/>
          <w:sz w:val="24"/>
        </w:rPr>
      </w:pPr>
    </w:p>
    <w:p w14:paraId="0416DEE7" w14:textId="77777777" w:rsidR="0037523B" w:rsidRDefault="0037523B" w:rsidP="00975566">
      <w:pPr>
        <w:pStyle w:val="BodyText2"/>
        <w:jc w:val="center"/>
        <w:rPr>
          <w:rFonts w:ascii="Times New Roman" w:hAnsi="Times New Roman"/>
          <w:b/>
          <w:sz w:val="24"/>
        </w:rPr>
        <w:sectPr w:rsidR="0037523B">
          <w:headerReference w:type="default" r:id="rId11"/>
          <w:footerReference w:type="default" r:id="rId12"/>
          <w:endnotePr>
            <w:numFmt w:val="decimal"/>
          </w:endnotePr>
          <w:pgSz w:w="11907" w:h="16840" w:code="9"/>
          <w:pgMar w:top="1440" w:right="1440" w:bottom="1440" w:left="1440" w:header="720" w:footer="720" w:gutter="0"/>
          <w:cols w:space="720"/>
        </w:sectPr>
      </w:pPr>
    </w:p>
    <w:p w14:paraId="0416DEE8" w14:textId="77777777" w:rsidR="00975566" w:rsidRPr="00AA49D2" w:rsidRDefault="2F3E2A2B" w:rsidP="76C15C94">
      <w:pPr>
        <w:pStyle w:val="Heading3"/>
        <w:jc w:val="left"/>
        <w:rPr>
          <w:rFonts w:asciiTheme="minorHAnsi" w:eastAsia="Arial" w:hAnsiTheme="minorHAnsi" w:cstheme="minorHAnsi"/>
          <w:b/>
          <w:sz w:val="22"/>
          <w:szCs w:val="22"/>
        </w:rPr>
      </w:pPr>
      <w:r w:rsidRPr="00AA49D2">
        <w:rPr>
          <w:rFonts w:asciiTheme="minorHAnsi" w:eastAsia="Arial" w:hAnsiTheme="minorHAnsi" w:cstheme="minorHAnsi"/>
          <w:b/>
          <w:sz w:val="22"/>
          <w:szCs w:val="22"/>
        </w:rPr>
        <w:lastRenderedPageBreak/>
        <w:t>II</w:t>
      </w:r>
      <w:r w:rsidR="05002C0E" w:rsidRPr="00AA49D2">
        <w:rPr>
          <w:rFonts w:asciiTheme="minorHAnsi" w:eastAsia="Arial" w:hAnsiTheme="minorHAnsi" w:cstheme="minorHAnsi"/>
          <w:b/>
          <w:sz w:val="22"/>
          <w:szCs w:val="22"/>
        </w:rPr>
        <w:t xml:space="preserve">: </w:t>
      </w:r>
      <w:r w:rsidR="43F3EAEC" w:rsidRPr="00AA49D2">
        <w:rPr>
          <w:rFonts w:asciiTheme="minorHAnsi" w:eastAsia="Arial" w:hAnsiTheme="minorHAnsi" w:cstheme="minorHAnsi"/>
          <w:b/>
          <w:sz w:val="22"/>
          <w:szCs w:val="22"/>
        </w:rPr>
        <w:t xml:space="preserve">Country Programme Performance </w:t>
      </w:r>
      <w:r w:rsidR="76027194" w:rsidRPr="00AA49D2">
        <w:rPr>
          <w:rFonts w:asciiTheme="minorHAnsi" w:eastAsia="Arial" w:hAnsiTheme="minorHAnsi" w:cstheme="minorHAnsi"/>
          <w:b/>
          <w:sz w:val="22"/>
          <w:szCs w:val="22"/>
        </w:rPr>
        <w:t>Summary</w:t>
      </w:r>
    </w:p>
    <w:p w14:paraId="0416DEE9" w14:textId="77777777" w:rsidR="00DC7354" w:rsidRPr="00AA49D2" w:rsidRDefault="00DC7354" w:rsidP="76C15C94">
      <w:pPr>
        <w:pStyle w:val="BodyText2"/>
        <w:jc w:val="center"/>
        <w:rPr>
          <w:rFonts w:asciiTheme="minorHAnsi" w:eastAsia="Arial" w:hAnsiTheme="minorHAnsi" w:cstheme="minorHAnsi"/>
          <w:b/>
          <w:bCs/>
          <w:sz w:val="22"/>
          <w:szCs w:val="22"/>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77"/>
        <w:gridCol w:w="206"/>
        <w:gridCol w:w="1069"/>
        <w:gridCol w:w="450"/>
        <w:gridCol w:w="3442"/>
        <w:gridCol w:w="68"/>
        <w:gridCol w:w="5461"/>
        <w:gridCol w:w="29"/>
      </w:tblGrid>
      <w:tr w:rsidR="00CB647D" w:rsidRPr="00AA49D2" w14:paraId="0416DEEC" w14:textId="77777777" w:rsidTr="00DB7FD5">
        <w:trPr>
          <w:gridAfter w:val="1"/>
          <w:wAfter w:w="29" w:type="dxa"/>
        </w:trPr>
        <w:tc>
          <w:tcPr>
            <w:tcW w:w="3521" w:type="dxa"/>
            <w:gridSpan w:val="3"/>
            <w:tcBorders>
              <w:right w:val="nil"/>
            </w:tcBorders>
            <w:shd w:val="clear" w:color="auto" w:fill="FFC000"/>
          </w:tcPr>
          <w:p w14:paraId="0416DEEA" w14:textId="77777777" w:rsidR="00CB647D" w:rsidRPr="00AA49D2" w:rsidRDefault="5C954C91" w:rsidP="76C15C94">
            <w:pPr>
              <w:pStyle w:val="BodyText2"/>
              <w:rPr>
                <w:rFonts w:asciiTheme="minorHAnsi" w:eastAsia="Arial" w:hAnsiTheme="minorHAnsi" w:cstheme="minorHAnsi"/>
                <w:b/>
                <w:bCs/>
                <w:sz w:val="22"/>
                <w:szCs w:val="22"/>
              </w:rPr>
            </w:pPr>
            <w:r w:rsidRPr="00AA49D2">
              <w:rPr>
                <w:rFonts w:asciiTheme="minorHAnsi" w:eastAsia="Arial" w:hAnsiTheme="minorHAnsi" w:cstheme="minorHAnsi"/>
                <w:b/>
                <w:bCs/>
                <w:sz w:val="22"/>
                <w:szCs w:val="22"/>
              </w:rPr>
              <w:t>Country information</w:t>
            </w:r>
          </w:p>
        </w:tc>
        <w:tc>
          <w:tcPr>
            <w:tcW w:w="10490" w:type="dxa"/>
            <w:gridSpan w:val="5"/>
            <w:tcBorders>
              <w:left w:val="nil"/>
            </w:tcBorders>
            <w:shd w:val="clear" w:color="auto" w:fill="FFC000"/>
          </w:tcPr>
          <w:p w14:paraId="0416DEEB" w14:textId="77777777" w:rsidR="00CB647D" w:rsidRPr="00AA49D2" w:rsidRDefault="00CB647D" w:rsidP="76C15C94">
            <w:pPr>
              <w:pStyle w:val="BodyText2"/>
              <w:rPr>
                <w:rFonts w:asciiTheme="minorHAnsi" w:eastAsia="Arial" w:hAnsiTheme="minorHAnsi" w:cstheme="minorHAnsi"/>
                <w:b/>
                <w:bCs/>
                <w:sz w:val="22"/>
                <w:szCs w:val="22"/>
              </w:rPr>
            </w:pPr>
          </w:p>
        </w:tc>
      </w:tr>
      <w:tr w:rsidR="009B76A1" w:rsidRPr="00AA49D2" w14:paraId="0416DEEE" w14:textId="77777777" w:rsidTr="00DB7FD5">
        <w:trPr>
          <w:gridAfter w:val="1"/>
          <w:wAfter w:w="29" w:type="dxa"/>
        </w:trPr>
        <w:tc>
          <w:tcPr>
            <w:tcW w:w="14011" w:type="dxa"/>
            <w:gridSpan w:val="8"/>
          </w:tcPr>
          <w:p w14:paraId="0416DEED" w14:textId="1B8947C0" w:rsidR="009B76A1" w:rsidRPr="00AA49D2" w:rsidRDefault="298460D9" w:rsidP="76C15C94">
            <w:pPr>
              <w:pStyle w:val="BodyText2"/>
              <w:rPr>
                <w:rFonts w:asciiTheme="minorHAnsi" w:eastAsia="Arial" w:hAnsiTheme="minorHAnsi" w:cstheme="minorHAnsi"/>
                <w:b/>
                <w:bCs/>
                <w:sz w:val="22"/>
                <w:szCs w:val="22"/>
              </w:rPr>
            </w:pPr>
            <w:r w:rsidRPr="00AA49D2">
              <w:rPr>
                <w:rFonts w:asciiTheme="minorHAnsi" w:eastAsia="Arial" w:hAnsiTheme="minorHAnsi" w:cstheme="minorHAnsi"/>
                <w:b/>
                <w:bCs/>
                <w:sz w:val="22"/>
                <w:szCs w:val="22"/>
              </w:rPr>
              <w:t>Country name:</w:t>
            </w:r>
            <w:r w:rsidR="732CAD86" w:rsidRPr="00AA49D2">
              <w:rPr>
                <w:rFonts w:asciiTheme="minorHAnsi" w:eastAsia="Arial" w:hAnsiTheme="minorHAnsi" w:cstheme="minorHAnsi"/>
                <w:b/>
                <w:bCs/>
                <w:sz w:val="22"/>
                <w:szCs w:val="22"/>
              </w:rPr>
              <w:t xml:space="preserve"> Mauritania</w:t>
            </w:r>
          </w:p>
        </w:tc>
      </w:tr>
      <w:tr w:rsidR="009B76A1" w:rsidRPr="00AA49D2" w14:paraId="0416DEF0" w14:textId="77777777" w:rsidTr="00DB7FD5">
        <w:trPr>
          <w:gridAfter w:val="1"/>
          <w:wAfter w:w="29" w:type="dxa"/>
        </w:trPr>
        <w:tc>
          <w:tcPr>
            <w:tcW w:w="14011" w:type="dxa"/>
            <w:gridSpan w:val="8"/>
          </w:tcPr>
          <w:p w14:paraId="0416DEEF" w14:textId="2576D97F" w:rsidR="009B76A1" w:rsidRPr="00AA49D2" w:rsidRDefault="298460D9" w:rsidP="76C15C94">
            <w:pPr>
              <w:pStyle w:val="BodyText2"/>
              <w:rPr>
                <w:rFonts w:asciiTheme="minorHAnsi" w:eastAsia="Arial" w:hAnsiTheme="minorHAnsi" w:cstheme="minorHAnsi"/>
                <w:b/>
                <w:bCs/>
                <w:sz w:val="22"/>
                <w:szCs w:val="22"/>
              </w:rPr>
            </w:pPr>
            <w:r w:rsidRPr="00AA49D2">
              <w:rPr>
                <w:rFonts w:asciiTheme="minorHAnsi" w:eastAsia="Arial" w:hAnsiTheme="minorHAnsi" w:cstheme="minorHAnsi"/>
                <w:b/>
                <w:bCs/>
                <w:sz w:val="22"/>
                <w:szCs w:val="22"/>
              </w:rPr>
              <w:t>Current country programme period:</w:t>
            </w:r>
            <w:r w:rsidR="732CAD86" w:rsidRPr="00AA49D2">
              <w:rPr>
                <w:rFonts w:asciiTheme="minorHAnsi" w:eastAsia="Arial" w:hAnsiTheme="minorHAnsi" w:cstheme="minorHAnsi"/>
                <w:b/>
                <w:bCs/>
                <w:sz w:val="22"/>
                <w:szCs w:val="22"/>
              </w:rPr>
              <w:t xml:space="preserve"> 2018-202</w:t>
            </w:r>
            <w:r w:rsidR="00E5685A">
              <w:rPr>
                <w:rFonts w:asciiTheme="minorHAnsi" w:eastAsia="Arial" w:hAnsiTheme="minorHAnsi" w:cstheme="minorHAnsi"/>
                <w:b/>
                <w:bCs/>
                <w:sz w:val="22"/>
                <w:szCs w:val="22"/>
              </w:rPr>
              <w:t>3</w:t>
            </w:r>
          </w:p>
        </w:tc>
      </w:tr>
      <w:tr w:rsidR="003B037A" w:rsidRPr="00303DAB" w14:paraId="0416DEF5" w14:textId="77777777" w:rsidTr="00DB7FD5">
        <w:trPr>
          <w:gridAfter w:val="1"/>
          <w:wAfter w:w="29" w:type="dxa"/>
        </w:trPr>
        <w:tc>
          <w:tcPr>
            <w:tcW w:w="3521" w:type="dxa"/>
            <w:gridSpan w:val="3"/>
          </w:tcPr>
          <w:p w14:paraId="0416DEF1" w14:textId="77777777" w:rsidR="003B037A" w:rsidRPr="00AA49D2" w:rsidRDefault="1B538C9B" w:rsidP="76C15C94">
            <w:pPr>
              <w:pStyle w:val="BodyText2"/>
              <w:rPr>
                <w:rFonts w:asciiTheme="minorHAnsi" w:eastAsia="Arial" w:hAnsiTheme="minorHAnsi" w:cstheme="minorHAnsi"/>
                <w:b/>
                <w:bCs/>
                <w:sz w:val="22"/>
                <w:szCs w:val="22"/>
              </w:rPr>
            </w:pPr>
            <w:r w:rsidRPr="00AA49D2">
              <w:rPr>
                <w:rFonts w:asciiTheme="minorHAnsi" w:eastAsia="Arial" w:hAnsiTheme="minorHAnsi" w:cstheme="minorHAnsi"/>
                <w:b/>
                <w:bCs/>
                <w:sz w:val="22"/>
                <w:szCs w:val="22"/>
              </w:rPr>
              <w:t>Outcome</w:t>
            </w:r>
            <w:r w:rsidR="4531FC62" w:rsidRPr="00AA49D2">
              <w:rPr>
                <w:rFonts w:asciiTheme="minorHAnsi" w:eastAsia="Arial" w:hAnsiTheme="minorHAnsi" w:cstheme="minorHAnsi"/>
                <w:b/>
                <w:bCs/>
                <w:sz w:val="22"/>
                <w:szCs w:val="22"/>
              </w:rPr>
              <w:t>s</w:t>
            </w:r>
          </w:p>
        </w:tc>
        <w:tc>
          <w:tcPr>
            <w:tcW w:w="1519" w:type="dxa"/>
            <w:gridSpan w:val="2"/>
            <w:shd w:val="clear" w:color="auto" w:fill="auto"/>
          </w:tcPr>
          <w:p w14:paraId="0416DEF2" w14:textId="77777777" w:rsidR="003B037A" w:rsidRPr="00AA49D2" w:rsidRDefault="1B538C9B" w:rsidP="76C15C94">
            <w:pPr>
              <w:pStyle w:val="BodyText2"/>
              <w:rPr>
                <w:rFonts w:asciiTheme="minorHAnsi" w:eastAsia="Arial" w:hAnsiTheme="minorHAnsi" w:cstheme="minorHAnsi"/>
                <w:b/>
                <w:bCs/>
                <w:sz w:val="22"/>
                <w:szCs w:val="22"/>
              </w:rPr>
            </w:pPr>
            <w:r w:rsidRPr="00AA49D2">
              <w:rPr>
                <w:rFonts w:asciiTheme="minorHAnsi" w:eastAsia="Arial" w:hAnsiTheme="minorHAnsi" w:cstheme="minorHAnsi"/>
                <w:b/>
                <w:bCs/>
                <w:sz w:val="22"/>
                <w:szCs w:val="22"/>
              </w:rPr>
              <w:t>Total Expenditure</w:t>
            </w:r>
          </w:p>
        </w:tc>
        <w:tc>
          <w:tcPr>
            <w:tcW w:w="3442" w:type="dxa"/>
            <w:tcBorders>
              <w:left w:val="single" w:sz="4" w:space="0" w:color="auto"/>
            </w:tcBorders>
          </w:tcPr>
          <w:p w14:paraId="0416DEF3" w14:textId="77777777" w:rsidR="003B037A" w:rsidRPr="00AA49D2" w:rsidRDefault="1B538C9B" w:rsidP="76C15C94">
            <w:pPr>
              <w:pStyle w:val="BodyText2"/>
              <w:rPr>
                <w:rFonts w:asciiTheme="minorHAnsi" w:eastAsia="Arial" w:hAnsiTheme="minorHAnsi" w:cstheme="minorHAnsi"/>
                <w:b/>
                <w:bCs/>
                <w:sz w:val="22"/>
                <w:szCs w:val="22"/>
              </w:rPr>
            </w:pPr>
            <w:r w:rsidRPr="00AA49D2">
              <w:rPr>
                <w:rFonts w:asciiTheme="minorHAnsi" w:eastAsia="Arial" w:hAnsiTheme="minorHAnsi" w:cstheme="minorHAnsi"/>
                <w:b/>
                <w:bCs/>
                <w:sz w:val="22"/>
                <w:szCs w:val="22"/>
              </w:rPr>
              <w:t>Key Indicators of outcome (1-4 per outcome)</w:t>
            </w:r>
          </w:p>
        </w:tc>
        <w:tc>
          <w:tcPr>
            <w:tcW w:w="5529" w:type="dxa"/>
            <w:gridSpan w:val="2"/>
          </w:tcPr>
          <w:p w14:paraId="0416DEF4" w14:textId="77777777" w:rsidR="003B037A" w:rsidRPr="00AA49D2" w:rsidRDefault="732AEA5D" w:rsidP="76C15C94">
            <w:pPr>
              <w:pStyle w:val="BodyText2"/>
              <w:rPr>
                <w:rFonts w:asciiTheme="minorHAnsi" w:eastAsia="Arial" w:hAnsiTheme="minorHAnsi" w:cstheme="minorHAnsi"/>
                <w:b/>
                <w:bCs/>
                <w:color w:val="000000" w:themeColor="text1"/>
                <w:sz w:val="22"/>
                <w:szCs w:val="22"/>
              </w:rPr>
            </w:pPr>
            <w:r w:rsidRPr="00AA49D2">
              <w:rPr>
                <w:rFonts w:asciiTheme="minorHAnsi" w:eastAsia="Arial" w:hAnsiTheme="minorHAnsi" w:cstheme="minorHAnsi"/>
                <w:b/>
                <w:bCs/>
                <w:color w:val="000000" w:themeColor="text1"/>
                <w:sz w:val="22"/>
                <w:szCs w:val="22"/>
              </w:rPr>
              <w:t>Progress made against key indicators</w:t>
            </w:r>
          </w:p>
        </w:tc>
      </w:tr>
      <w:tr w:rsidR="000823AC" w:rsidRPr="00303DAB" w14:paraId="0416DEFE" w14:textId="77777777" w:rsidTr="00DB7FD5">
        <w:trPr>
          <w:gridAfter w:val="1"/>
          <w:wAfter w:w="29" w:type="dxa"/>
        </w:trPr>
        <w:tc>
          <w:tcPr>
            <w:tcW w:w="3521" w:type="dxa"/>
            <w:gridSpan w:val="3"/>
            <w:tcBorders>
              <w:bottom w:val="single" w:sz="4" w:space="0" w:color="auto"/>
            </w:tcBorders>
            <w:shd w:val="clear" w:color="auto" w:fill="95B3D7" w:themeFill="accent1" w:themeFillTint="99"/>
          </w:tcPr>
          <w:p w14:paraId="7ECC6535" w14:textId="3BDCF6A0" w:rsidR="007D27A6" w:rsidRPr="00AA49D2" w:rsidRDefault="24BEFF8F" w:rsidP="00A731AE">
            <w:pPr>
              <w:pStyle w:val="ListParagraph"/>
              <w:widowControl/>
              <w:numPr>
                <w:ilvl w:val="0"/>
                <w:numId w:val="32"/>
              </w:numPr>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The institutions in charge of economic steering develop and implement policies that contribute to inclusive and sustainable growth.</w:t>
            </w:r>
          </w:p>
          <w:p w14:paraId="0416DEF6" w14:textId="632C0DFC" w:rsidR="003B037A" w:rsidRPr="00AA49D2" w:rsidRDefault="003B037A" w:rsidP="76C15C94">
            <w:pPr>
              <w:pStyle w:val="BodyText2"/>
              <w:rPr>
                <w:rFonts w:asciiTheme="minorHAnsi" w:eastAsia="Arial" w:hAnsiTheme="minorHAnsi" w:cstheme="minorHAnsi"/>
                <w:b/>
                <w:bCs/>
                <w:sz w:val="22"/>
                <w:szCs w:val="22"/>
              </w:rPr>
            </w:pPr>
          </w:p>
        </w:tc>
        <w:tc>
          <w:tcPr>
            <w:tcW w:w="1519" w:type="dxa"/>
            <w:gridSpan w:val="2"/>
            <w:tcBorders>
              <w:bottom w:val="single" w:sz="4" w:space="0" w:color="auto"/>
            </w:tcBorders>
            <w:shd w:val="clear" w:color="auto" w:fill="auto"/>
          </w:tcPr>
          <w:p w14:paraId="4AF03357" w14:textId="2318EB23" w:rsidR="364558B8" w:rsidRPr="00AA49D2" w:rsidRDefault="492C4694" w:rsidP="76C15C94">
            <w:pPr>
              <w:rPr>
                <w:rFonts w:asciiTheme="minorHAnsi" w:eastAsia="Arial" w:hAnsiTheme="minorHAnsi" w:cstheme="minorHAnsi"/>
                <w:b/>
                <w:bCs/>
                <w:color w:val="000000" w:themeColor="text1"/>
                <w:sz w:val="22"/>
                <w:szCs w:val="22"/>
              </w:rPr>
            </w:pPr>
            <w:r w:rsidRPr="00AA49D2">
              <w:rPr>
                <w:rFonts w:asciiTheme="minorHAnsi" w:eastAsia="Arial" w:hAnsiTheme="minorHAnsi" w:cstheme="minorHAnsi"/>
                <w:b/>
                <w:bCs/>
                <w:color w:val="000000" w:themeColor="text1"/>
                <w:sz w:val="22"/>
                <w:szCs w:val="22"/>
                <w:lang w:val="en-US"/>
              </w:rPr>
              <w:t xml:space="preserve">   </w:t>
            </w:r>
            <w:r w:rsidRPr="00AA49D2">
              <w:rPr>
                <w:rFonts w:asciiTheme="minorHAnsi" w:eastAsia="Arial" w:hAnsiTheme="minorHAnsi" w:cstheme="minorHAnsi"/>
                <w:b/>
                <w:bCs/>
                <w:color w:val="000000" w:themeColor="text1"/>
                <w:sz w:val="22"/>
                <w:szCs w:val="22"/>
              </w:rPr>
              <w:t>5,257,823</w:t>
            </w:r>
          </w:p>
        </w:tc>
        <w:tc>
          <w:tcPr>
            <w:tcW w:w="3442" w:type="dxa"/>
            <w:tcBorders>
              <w:left w:val="single" w:sz="4" w:space="0" w:color="auto"/>
              <w:bottom w:val="single" w:sz="4" w:space="0" w:color="auto"/>
            </w:tcBorders>
          </w:tcPr>
          <w:p w14:paraId="5F947FF7" w14:textId="236E1726" w:rsidR="007D27A6" w:rsidRPr="00AA49D2" w:rsidRDefault="732CAD86" w:rsidP="00AA49D2">
            <w:pPr>
              <w:pStyle w:val="ListParagraph"/>
              <w:numPr>
                <w:ilvl w:val="1"/>
                <w:numId w:val="42"/>
              </w:numPr>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The employment rate by sex, </w:t>
            </w:r>
          </w:p>
          <w:p w14:paraId="208B84B0" w14:textId="77777777" w:rsidR="00AA49D2" w:rsidRPr="00AA49D2" w:rsidRDefault="00AA49D2" w:rsidP="00AA49D2">
            <w:pPr>
              <w:pStyle w:val="ListParagraph"/>
              <w:ind w:left="360"/>
              <w:rPr>
                <w:rFonts w:asciiTheme="minorHAnsi" w:eastAsia="Arial" w:hAnsiTheme="minorHAnsi" w:cstheme="minorHAnsi"/>
                <w:sz w:val="22"/>
                <w:szCs w:val="22"/>
              </w:rPr>
            </w:pPr>
          </w:p>
          <w:p w14:paraId="5EFE01C4" w14:textId="18961B02" w:rsidR="007D27A6" w:rsidRPr="00AA49D2" w:rsidRDefault="007D27A6" w:rsidP="76C15C94">
            <w:pPr>
              <w:rPr>
                <w:rFonts w:asciiTheme="minorHAnsi" w:eastAsia="Arial" w:hAnsiTheme="minorHAnsi" w:cstheme="minorHAnsi"/>
                <w:sz w:val="22"/>
                <w:szCs w:val="22"/>
                <w:lang w:val="en-US"/>
              </w:rPr>
            </w:pPr>
          </w:p>
          <w:p w14:paraId="5196CE87" w14:textId="217DF0BB" w:rsidR="00AA49D2" w:rsidRPr="00AA49D2" w:rsidRDefault="00AA49D2" w:rsidP="76C15C94">
            <w:pPr>
              <w:rPr>
                <w:rFonts w:asciiTheme="minorHAnsi" w:eastAsia="Arial" w:hAnsiTheme="minorHAnsi" w:cstheme="minorHAnsi"/>
                <w:sz w:val="22"/>
                <w:szCs w:val="22"/>
                <w:lang w:val="en-US"/>
              </w:rPr>
            </w:pPr>
          </w:p>
          <w:p w14:paraId="7788E7AF" w14:textId="77777777" w:rsidR="00AA49D2" w:rsidRPr="00AA49D2" w:rsidRDefault="00AA49D2" w:rsidP="76C15C94">
            <w:pPr>
              <w:rPr>
                <w:rFonts w:asciiTheme="minorHAnsi" w:eastAsia="Arial" w:hAnsiTheme="minorHAnsi" w:cstheme="minorHAnsi"/>
                <w:sz w:val="22"/>
                <w:szCs w:val="22"/>
                <w:lang w:val="en-US"/>
              </w:rPr>
            </w:pPr>
          </w:p>
          <w:p w14:paraId="1A7C6765" w14:textId="3E9325D9" w:rsidR="76C15C94" w:rsidRPr="00AA49D2" w:rsidRDefault="76C15C94" w:rsidP="76C15C94">
            <w:pPr>
              <w:rPr>
                <w:rFonts w:asciiTheme="minorHAnsi" w:eastAsia="Arial" w:hAnsiTheme="minorHAnsi" w:cstheme="minorHAnsi"/>
                <w:sz w:val="22"/>
                <w:szCs w:val="22"/>
                <w:lang w:val="en-US"/>
              </w:rPr>
            </w:pPr>
          </w:p>
          <w:p w14:paraId="3F574CAD" w14:textId="6F05E32B" w:rsidR="76C15C94" w:rsidRPr="00AA49D2" w:rsidRDefault="76C15C94" w:rsidP="76C15C94">
            <w:pPr>
              <w:rPr>
                <w:rFonts w:asciiTheme="minorHAnsi" w:eastAsia="Arial" w:hAnsiTheme="minorHAnsi" w:cstheme="minorHAnsi"/>
                <w:sz w:val="22"/>
                <w:szCs w:val="22"/>
                <w:lang w:val="en-US"/>
              </w:rPr>
            </w:pPr>
          </w:p>
          <w:p w14:paraId="4ECF73AC" w14:textId="37C38208" w:rsidR="76C15C94" w:rsidRPr="00AA49D2" w:rsidRDefault="76C15C94" w:rsidP="76C15C94">
            <w:pPr>
              <w:rPr>
                <w:rFonts w:asciiTheme="minorHAnsi" w:eastAsia="Arial" w:hAnsiTheme="minorHAnsi" w:cstheme="minorHAnsi"/>
                <w:sz w:val="22"/>
                <w:szCs w:val="22"/>
                <w:lang w:val="en-US"/>
              </w:rPr>
            </w:pPr>
          </w:p>
          <w:p w14:paraId="400949B1" w14:textId="38A0AF14" w:rsidR="76C15C94" w:rsidRPr="00AA49D2" w:rsidRDefault="76C15C94" w:rsidP="76C15C94">
            <w:pPr>
              <w:rPr>
                <w:rFonts w:asciiTheme="minorHAnsi" w:eastAsia="Arial" w:hAnsiTheme="minorHAnsi" w:cstheme="minorHAnsi"/>
                <w:sz w:val="22"/>
                <w:szCs w:val="22"/>
                <w:lang w:val="en-US"/>
              </w:rPr>
            </w:pPr>
          </w:p>
          <w:p w14:paraId="283DB8FA" w14:textId="62EE1626" w:rsidR="007D27A6" w:rsidRPr="00AA49D2" w:rsidRDefault="732CAD86" w:rsidP="76C15C94">
            <w:pPr>
              <w:pStyle w:val="ListParagraph"/>
              <w:numPr>
                <w:ilvl w:val="1"/>
                <w:numId w:val="32"/>
              </w:numPr>
              <w:rPr>
                <w:rFonts w:asciiTheme="minorHAnsi" w:eastAsia="Arial" w:hAnsiTheme="minorHAnsi" w:cstheme="minorHAnsi"/>
                <w:sz w:val="22"/>
                <w:szCs w:val="22"/>
                <w:lang w:eastAsia="fr-FR"/>
              </w:rPr>
            </w:pPr>
            <w:r w:rsidRPr="00AA49D2">
              <w:rPr>
                <w:rFonts w:asciiTheme="minorHAnsi" w:eastAsia="Arial" w:hAnsiTheme="minorHAnsi" w:cstheme="minorHAnsi"/>
                <w:sz w:val="22"/>
                <w:szCs w:val="22"/>
                <w:lang w:eastAsia="fr-FR"/>
              </w:rPr>
              <w:t xml:space="preserve">Poverty rate </w:t>
            </w:r>
          </w:p>
          <w:p w14:paraId="5196B0A4" w14:textId="6DD82C95" w:rsidR="007D27A6" w:rsidRPr="00AA49D2" w:rsidRDefault="732CAD86" w:rsidP="76C15C94">
            <w:pPr>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(Urban/rural, Female-headed households/Male-headed households </w:t>
            </w:r>
          </w:p>
          <w:p w14:paraId="1D0367C2" w14:textId="5BD48CA4" w:rsidR="007D27A6" w:rsidRPr="00AA49D2" w:rsidRDefault="007D27A6" w:rsidP="76C15C94">
            <w:pPr>
              <w:rPr>
                <w:rFonts w:asciiTheme="minorHAnsi" w:eastAsia="Arial" w:hAnsiTheme="minorHAnsi" w:cstheme="minorHAnsi"/>
                <w:sz w:val="22"/>
                <w:szCs w:val="22"/>
                <w:lang w:val="en-US"/>
              </w:rPr>
            </w:pPr>
          </w:p>
          <w:p w14:paraId="04245FF9" w14:textId="0282989F" w:rsidR="00C871B1" w:rsidRPr="00AA49D2" w:rsidRDefault="00C871B1" w:rsidP="76C15C94">
            <w:pPr>
              <w:rPr>
                <w:rFonts w:asciiTheme="minorHAnsi" w:eastAsia="Arial" w:hAnsiTheme="minorHAnsi" w:cstheme="minorHAnsi"/>
                <w:sz w:val="22"/>
                <w:szCs w:val="22"/>
                <w:lang w:val="en-US"/>
              </w:rPr>
            </w:pPr>
          </w:p>
          <w:p w14:paraId="28497D4C" w14:textId="7984EDE0" w:rsidR="76C15C94" w:rsidRPr="00AA49D2" w:rsidRDefault="76C15C94" w:rsidP="76C15C94">
            <w:pPr>
              <w:rPr>
                <w:rFonts w:asciiTheme="minorHAnsi" w:eastAsia="Arial" w:hAnsiTheme="minorHAnsi" w:cstheme="minorHAnsi"/>
                <w:sz w:val="22"/>
                <w:szCs w:val="22"/>
                <w:lang w:val="en-US"/>
              </w:rPr>
            </w:pPr>
          </w:p>
          <w:p w14:paraId="102EA9C8" w14:textId="69341148" w:rsidR="00AA49D2" w:rsidRDefault="732CAD86" w:rsidP="00AA49D2">
            <w:pPr>
              <w:pStyle w:val="ListParagraph"/>
              <w:numPr>
                <w:ilvl w:val="1"/>
                <w:numId w:val="32"/>
              </w:numPr>
              <w:rPr>
                <w:rFonts w:asciiTheme="minorHAnsi" w:eastAsia="Arial" w:hAnsiTheme="minorHAnsi" w:cstheme="minorHAnsi"/>
                <w:sz w:val="22"/>
                <w:szCs w:val="22"/>
              </w:rPr>
            </w:pPr>
            <w:r w:rsidRPr="00AA49D2">
              <w:rPr>
                <w:rFonts w:asciiTheme="minorHAnsi" w:eastAsia="Arial" w:hAnsiTheme="minorHAnsi" w:cstheme="minorHAnsi"/>
                <w:sz w:val="22"/>
                <w:szCs w:val="22"/>
              </w:rPr>
              <w:t>Gini index</w:t>
            </w:r>
          </w:p>
          <w:p w14:paraId="0D87D6C5" w14:textId="2F46EE5A" w:rsidR="00AA49D2" w:rsidRDefault="00AA49D2" w:rsidP="00AA49D2">
            <w:pPr>
              <w:pStyle w:val="ListParagraph"/>
              <w:ind w:left="360"/>
              <w:rPr>
                <w:rFonts w:asciiTheme="minorHAnsi" w:eastAsia="Arial" w:hAnsiTheme="minorHAnsi" w:cstheme="minorHAnsi"/>
                <w:sz w:val="22"/>
                <w:szCs w:val="22"/>
              </w:rPr>
            </w:pPr>
          </w:p>
          <w:p w14:paraId="4F32C1AB" w14:textId="693CA831" w:rsidR="00AA49D2" w:rsidRDefault="00AA49D2" w:rsidP="00AA49D2">
            <w:pPr>
              <w:pStyle w:val="ListParagraph"/>
              <w:ind w:left="360"/>
              <w:rPr>
                <w:rFonts w:asciiTheme="minorHAnsi" w:eastAsia="Arial" w:hAnsiTheme="minorHAnsi" w:cstheme="minorHAnsi"/>
                <w:sz w:val="22"/>
                <w:szCs w:val="22"/>
              </w:rPr>
            </w:pPr>
          </w:p>
          <w:p w14:paraId="259E6D0B" w14:textId="77777777" w:rsidR="00AA49D2" w:rsidRDefault="00AA49D2" w:rsidP="007D1DB4">
            <w:pPr>
              <w:rPr>
                <w:rFonts w:asciiTheme="minorHAnsi" w:eastAsia="Arial" w:hAnsiTheme="minorHAnsi" w:cstheme="minorHAnsi"/>
                <w:sz w:val="22"/>
                <w:szCs w:val="22"/>
              </w:rPr>
            </w:pPr>
          </w:p>
          <w:p w14:paraId="1F45EA51" w14:textId="77777777" w:rsidR="00B4476C" w:rsidRPr="007D1DB4" w:rsidRDefault="00B4476C" w:rsidP="007D1DB4">
            <w:pPr>
              <w:rPr>
                <w:rFonts w:asciiTheme="minorHAnsi" w:eastAsia="Arial" w:hAnsiTheme="minorHAnsi" w:cstheme="minorHAnsi"/>
                <w:sz w:val="22"/>
                <w:szCs w:val="22"/>
              </w:rPr>
            </w:pPr>
          </w:p>
          <w:p w14:paraId="0416DEFA" w14:textId="509D4B70" w:rsidR="00662E9A" w:rsidRPr="00AA49D2" w:rsidRDefault="2B781D45" w:rsidP="00A236F9">
            <w:pPr>
              <w:pStyle w:val="ListParagraph"/>
              <w:numPr>
                <w:ilvl w:val="1"/>
                <w:numId w:val="32"/>
              </w:numPr>
              <w:rPr>
                <w:rFonts w:asciiTheme="minorHAnsi" w:eastAsia="Arial" w:hAnsiTheme="minorHAnsi" w:cstheme="minorHAnsi"/>
                <w:sz w:val="22"/>
                <w:szCs w:val="22"/>
              </w:rPr>
            </w:pPr>
            <w:r w:rsidRPr="00B4476C">
              <w:rPr>
                <w:rFonts w:asciiTheme="minorHAnsi" w:eastAsia="Arial" w:hAnsiTheme="minorHAnsi" w:cstheme="minorHAnsi"/>
                <w:sz w:val="22"/>
                <w:szCs w:val="22"/>
              </w:rPr>
              <w:t>Percentage of Sustainable Development Goal indicators with disaggregated data</w:t>
            </w:r>
            <w:r w:rsidR="00394055" w:rsidRPr="00B4476C">
              <w:rPr>
                <w:rFonts w:asciiTheme="minorHAnsi" w:eastAsia="Arial" w:hAnsiTheme="minorHAnsi" w:cstheme="minorHAnsi"/>
                <w:sz w:val="22"/>
                <w:szCs w:val="22"/>
              </w:rPr>
              <w:t xml:space="preserve"> </w:t>
            </w:r>
          </w:p>
        </w:tc>
        <w:tc>
          <w:tcPr>
            <w:tcW w:w="5529" w:type="dxa"/>
            <w:gridSpan w:val="2"/>
            <w:tcBorders>
              <w:bottom w:val="single" w:sz="4" w:space="0" w:color="auto"/>
            </w:tcBorders>
            <w:shd w:val="clear" w:color="auto" w:fill="auto"/>
          </w:tcPr>
          <w:p w14:paraId="19E477BD" w14:textId="3FFA6EC5" w:rsidR="007D27A6" w:rsidRPr="00AA49D2" w:rsidRDefault="6BE3F1B4" w:rsidP="76C15C94">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1.1. </w:t>
            </w:r>
            <w:r w:rsidR="356BB2B9" w:rsidRPr="00AA49D2">
              <w:rPr>
                <w:rFonts w:asciiTheme="minorHAnsi" w:eastAsia="Arial" w:hAnsiTheme="minorHAnsi" w:cstheme="minorHAnsi"/>
                <w:sz w:val="22"/>
                <w:szCs w:val="22"/>
                <w:lang w:val="en-US"/>
              </w:rPr>
              <w:t>The employment rate did not change significantly between 2014 (40.6%) and 2019 (40.2%) as did the labor force participation rate which fell slightly to 45.8% in 2019 against 46.6% in 2014.</w:t>
            </w:r>
            <w:r w:rsidR="4E515F8B" w:rsidRPr="00AA49D2">
              <w:rPr>
                <w:rFonts w:asciiTheme="minorHAnsi" w:eastAsia="Arial" w:hAnsiTheme="minorHAnsi" w:cstheme="minorHAnsi"/>
                <w:sz w:val="22"/>
                <w:szCs w:val="22"/>
                <w:lang w:val="en-US"/>
              </w:rPr>
              <w:t xml:space="preserve"> </w:t>
            </w:r>
            <w:r w:rsidR="0AD2C3DD" w:rsidRPr="00AA49D2">
              <w:rPr>
                <w:rFonts w:asciiTheme="minorHAnsi" w:eastAsia="Arial" w:hAnsiTheme="minorHAnsi" w:cstheme="minorHAnsi"/>
                <w:sz w:val="22"/>
                <w:szCs w:val="22"/>
                <w:lang w:val="en-US"/>
              </w:rPr>
              <w:t xml:space="preserve">Regardless of age, place of residence and education, the percentage of women in employment (25.5%) is twice </w:t>
            </w:r>
            <w:r w:rsidR="00E5685A">
              <w:rPr>
                <w:rFonts w:asciiTheme="minorHAnsi" w:eastAsia="Arial" w:hAnsiTheme="minorHAnsi" w:cstheme="minorHAnsi"/>
                <w:sz w:val="22"/>
                <w:szCs w:val="22"/>
                <w:lang w:val="en-US"/>
              </w:rPr>
              <w:t>lower than</w:t>
            </w:r>
            <w:r w:rsidR="0AD2C3DD" w:rsidRPr="00AA49D2">
              <w:rPr>
                <w:rFonts w:asciiTheme="minorHAnsi" w:eastAsia="Arial" w:hAnsiTheme="minorHAnsi" w:cstheme="minorHAnsi"/>
                <w:sz w:val="22"/>
                <w:szCs w:val="22"/>
                <w:lang w:val="en-US"/>
              </w:rPr>
              <w:t xml:space="preserve"> that of men</w:t>
            </w:r>
            <w:r w:rsidR="4F71FDF8" w:rsidRPr="00AA49D2">
              <w:rPr>
                <w:rFonts w:asciiTheme="minorHAnsi" w:eastAsia="Arial" w:hAnsiTheme="minorHAnsi" w:cstheme="minorHAnsi"/>
                <w:sz w:val="22"/>
                <w:szCs w:val="22"/>
                <w:lang w:val="en-US"/>
              </w:rPr>
              <w:t xml:space="preserve"> (57.8%) </w:t>
            </w:r>
            <w:r w:rsidR="37E8D05D" w:rsidRPr="00AA49D2">
              <w:rPr>
                <w:rFonts w:asciiTheme="minorHAnsi" w:eastAsia="Arial" w:hAnsiTheme="minorHAnsi" w:cstheme="minorHAnsi"/>
                <w:sz w:val="22"/>
                <w:szCs w:val="22"/>
                <w:lang w:val="en-US"/>
              </w:rPr>
              <w:t>despite</w:t>
            </w:r>
            <w:r w:rsidR="4F71FDF8" w:rsidRPr="00AA49D2">
              <w:rPr>
                <w:rFonts w:asciiTheme="minorHAnsi" w:eastAsia="Arial" w:hAnsiTheme="minorHAnsi" w:cstheme="minorHAnsi"/>
                <w:sz w:val="22"/>
                <w:szCs w:val="22"/>
                <w:lang w:val="en-US"/>
              </w:rPr>
              <w:t xml:space="preserve"> women empowerment efforts</w:t>
            </w:r>
            <w:r w:rsidR="30D26663" w:rsidRPr="00AA49D2">
              <w:rPr>
                <w:rFonts w:asciiTheme="minorHAnsi" w:eastAsia="Arial" w:hAnsiTheme="minorHAnsi" w:cstheme="minorHAnsi"/>
                <w:sz w:val="22"/>
                <w:szCs w:val="22"/>
                <w:lang w:val="en-US"/>
              </w:rPr>
              <w:t xml:space="preserve"> illustrating </w:t>
            </w:r>
            <w:r w:rsidR="6CFF058C" w:rsidRPr="00AA49D2">
              <w:rPr>
                <w:rFonts w:asciiTheme="minorHAnsi" w:eastAsia="Arial" w:hAnsiTheme="minorHAnsi" w:cstheme="minorHAnsi"/>
                <w:sz w:val="22"/>
                <w:szCs w:val="22"/>
                <w:lang w:val="en-US"/>
              </w:rPr>
              <w:t xml:space="preserve">the initial deep gap to be bridged </w:t>
            </w:r>
            <w:r w:rsidR="11D502F6" w:rsidRPr="00AA49D2">
              <w:rPr>
                <w:rFonts w:asciiTheme="minorHAnsi" w:eastAsia="Arial" w:hAnsiTheme="minorHAnsi" w:cstheme="minorHAnsi"/>
                <w:sz w:val="22"/>
                <w:szCs w:val="22"/>
                <w:lang w:val="en-US"/>
              </w:rPr>
              <w:t>to reach</w:t>
            </w:r>
            <w:r w:rsidR="6CFF058C" w:rsidRPr="00AA49D2">
              <w:rPr>
                <w:rFonts w:asciiTheme="minorHAnsi" w:eastAsia="Arial" w:hAnsiTheme="minorHAnsi" w:cstheme="minorHAnsi"/>
                <w:sz w:val="22"/>
                <w:szCs w:val="22"/>
                <w:lang w:val="en-US"/>
              </w:rPr>
              <w:t xml:space="preserve"> equal labor force participation.</w:t>
            </w:r>
          </w:p>
          <w:p w14:paraId="59D34B50" w14:textId="01007AEC" w:rsidR="007D27A6" w:rsidRPr="00AA49D2" w:rsidRDefault="4F71FDF8" w:rsidP="76C15C94">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 </w:t>
            </w:r>
          </w:p>
          <w:p w14:paraId="7F6FD1AA" w14:textId="20F7599A" w:rsidR="00C871B1" w:rsidRPr="00AA49D2" w:rsidRDefault="13124936" w:rsidP="76C15C94">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1.2:</w:t>
            </w:r>
            <w:r w:rsidR="53AF0C93" w:rsidRPr="00AA49D2">
              <w:rPr>
                <w:rFonts w:asciiTheme="minorHAnsi" w:eastAsia="Arial" w:hAnsiTheme="minorHAnsi" w:cstheme="minorHAnsi"/>
                <w:sz w:val="22"/>
                <w:szCs w:val="22"/>
                <w:lang w:val="en-US"/>
              </w:rPr>
              <w:t xml:space="preserve"> The </w:t>
            </w:r>
            <w:r w:rsidR="243B15A9" w:rsidRPr="00AA49D2">
              <w:rPr>
                <w:rFonts w:asciiTheme="minorHAnsi" w:eastAsia="Arial" w:hAnsiTheme="minorHAnsi" w:cstheme="minorHAnsi"/>
                <w:sz w:val="22"/>
                <w:szCs w:val="22"/>
                <w:lang w:val="en-US"/>
              </w:rPr>
              <w:t xml:space="preserve">income </w:t>
            </w:r>
            <w:r w:rsidR="53AF0C93" w:rsidRPr="00AA49D2">
              <w:rPr>
                <w:rFonts w:asciiTheme="minorHAnsi" w:eastAsia="Arial" w:hAnsiTheme="minorHAnsi" w:cstheme="minorHAnsi"/>
                <w:sz w:val="22"/>
                <w:szCs w:val="22"/>
                <w:lang w:val="en-US"/>
              </w:rPr>
              <w:t xml:space="preserve">poverty rate </w:t>
            </w:r>
            <w:r w:rsidR="2BB20FFC" w:rsidRPr="00AA49D2">
              <w:rPr>
                <w:rFonts w:asciiTheme="minorHAnsi" w:eastAsia="Arial" w:hAnsiTheme="minorHAnsi" w:cstheme="minorHAnsi"/>
                <w:sz w:val="22"/>
                <w:szCs w:val="22"/>
                <w:lang w:val="en-US"/>
              </w:rPr>
              <w:t>decreased</w:t>
            </w:r>
            <w:r w:rsidR="53AF0C93" w:rsidRPr="00AA49D2">
              <w:rPr>
                <w:rFonts w:asciiTheme="minorHAnsi" w:eastAsia="Arial" w:hAnsiTheme="minorHAnsi" w:cstheme="minorHAnsi"/>
                <w:sz w:val="22"/>
                <w:szCs w:val="22"/>
                <w:lang w:val="en-US"/>
              </w:rPr>
              <w:t xml:space="preserve"> from </w:t>
            </w:r>
            <w:r w:rsidR="23D6CF38" w:rsidRPr="00AA49D2">
              <w:rPr>
                <w:rFonts w:asciiTheme="minorHAnsi" w:eastAsia="Arial" w:hAnsiTheme="minorHAnsi" w:cstheme="minorHAnsi"/>
                <w:sz w:val="22"/>
                <w:szCs w:val="22"/>
                <w:lang w:val="en-US"/>
              </w:rPr>
              <w:t>30,9%</w:t>
            </w:r>
            <w:r w:rsidR="53AF0C93" w:rsidRPr="00AA49D2">
              <w:rPr>
                <w:rFonts w:asciiTheme="minorHAnsi" w:eastAsia="Arial" w:hAnsiTheme="minorHAnsi" w:cstheme="minorHAnsi"/>
                <w:sz w:val="22"/>
                <w:szCs w:val="22"/>
                <w:lang w:val="en-US"/>
              </w:rPr>
              <w:t xml:space="preserve"> to 2</w:t>
            </w:r>
            <w:r w:rsidR="09E59CF0" w:rsidRPr="00AA49D2">
              <w:rPr>
                <w:rFonts w:asciiTheme="minorHAnsi" w:eastAsia="Arial" w:hAnsiTheme="minorHAnsi" w:cstheme="minorHAnsi"/>
                <w:sz w:val="22"/>
                <w:szCs w:val="22"/>
                <w:lang w:val="en-US"/>
              </w:rPr>
              <w:t>8,2%</w:t>
            </w:r>
            <w:r w:rsidR="25EE3271" w:rsidRPr="00AA49D2">
              <w:rPr>
                <w:rFonts w:asciiTheme="minorHAnsi" w:eastAsia="Arial" w:hAnsiTheme="minorHAnsi" w:cstheme="minorHAnsi"/>
                <w:sz w:val="22"/>
                <w:szCs w:val="22"/>
                <w:lang w:val="en-US"/>
              </w:rPr>
              <w:t xml:space="preserve"> </w:t>
            </w:r>
            <w:r w:rsidR="61BCAA9B" w:rsidRPr="00AA49D2">
              <w:rPr>
                <w:rFonts w:asciiTheme="minorHAnsi" w:eastAsia="Arial" w:hAnsiTheme="minorHAnsi" w:cstheme="minorHAnsi"/>
                <w:sz w:val="22"/>
                <w:szCs w:val="22"/>
                <w:lang w:val="en-US"/>
              </w:rPr>
              <w:t>between 2014 and 2019</w:t>
            </w:r>
            <w:r w:rsidR="25EE3271" w:rsidRPr="00AA49D2">
              <w:rPr>
                <w:rFonts w:asciiTheme="minorHAnsi" w:eastAsia="Arial" w:hAnsiTheme="minorHAnsi" w:cstheme="minorHAnsi"/>
                <w:sz w:val="22"/>
                <w:szCs w:val="22"/>
                <w:lang w:val="en-US"/>
              </w:rPr>
              <w:t xml:space="preserve"> </w:t>
            </w:r>
            <w:r w:rsidR="1117C28E" w:rsidRPr="00AA49D2">
              <w:rPr>
                <w:rFonts w:asciiTheme="minorHAnsi" w:eastAsia="Arial" w:hAnsiTheme="minorHAnsi" w:cstheme="minorHAnsi"/>
                <w:sz w:val="22"/>
                <w:szCs w:val="22"/>
                <w:lang w:val="en-US"/>
              </w:rPr>
              <w:t xml:space="preserve">with rural communities accounting for </w:t>
            </w:r>
            <w:r w:rsidR="43D59227" w:rsidRPr="00AA49D2">
              <w:rPr>
                <w:rFonts w:asciiTheme="minorHAnsi" w:eastAsia="Arial" w:hAnsiTheme="minorHAnsi" w:cstheme="minorHAnsi"/>
                <w:sz w:val="22"/>
                <w:szCs w:val="22"/>
                <w:lang w:val="en-US"/>
              </w:rPr>
              <w:t>75</w:t>
            </w:r>
            <w:r w:rsidR="285F6035" w:rsidRPr="00AA49D2">
              <w:rPr>
                <w:rFonts w:asciiTheme="minorHAnsi" w:eastAsia="Arial" w:hAnsiTheme="minorHAnsi" w:cstheme="minorHAnsi"/>
                <w:sz w:val="22"/>
                <w:szCs w:val="22"/>
                <w:lang w:val="en-US"/>
              </w:rPr>
              <w:t>.3</w:t>
            </w:r>
            <w:r w:rsidR="1117C28E" w:rsidRPr="00AA49D2">
              <w:rPr>
                <w:rFonts w:asciiTheme="minorHAnsi" w:eastAsia="Arial" w:hAnsiTheme="minorHAnsi" w:cstheme="minorHAnsi"/>
                <w:sz w:val="22"/>
                <w:szCs w:val="22"/>
                <w:lang w:val="en-US"/>
              </w:rPr>
              <w:t>%</w:t>
            </w:r>
            <w:r w:rsidR="025B3871" w:rsidRPr="00AA49D2">
              <w:rPr>
                <w:rFonts w:asciiTheme="minorHAnsi" w:eastAsia="Arial" w:hAnsiTheme="minorHAnsi" w:cstheme="minorHAnsi"/>
                <w:sz w:val="22"/>
                <w:szCs w:val="22"/>
                <w:lang w:val="en-US"/>
              </w:rPr>
              <w:t xml:space="preserve"> of total poor</w:t>
            </w:r>
            <w:r w:rsidR="1117C28E" w:rsidRPr="00AA49D2">
              <w:rPr>
                <w:rFonts w:asciiTheme="minorHAnsi" w:eastAsia="Arial" w:hAnsiTheme="minorHAnsi" w:cstheme="minorHAnsi"/>
                <w:sz w:val="22"/>
                <w:szCs w:val="22"/>
                <w:lang w:val="en-US"/>
              </w:rPr>
              <w:t xml:space="preserve"> </w:t>
            </w:r>
            <w:r w:rsidR="735A1C60" w:rsidRPr="00AA49D2">
              <w:rPr>
                <w:rFonts w:asciiTheme="minorHAnsi" w:eastAsia="Arial" w:hAnsiTheme="minorHAnsi" w:cstheme="minorHAnsi"/>
                <w:sz w:val="22"/>
                <w:szCs w:val="22"/>
                <w:lang w:val="en-US"/>
              </w:rPr>
              <w:t>(poverty incidence is 41</w:t>
            </w:r>
            <w:r w:rsidR="526180DC" w:rsidRPr="00AA49D2">
              <w:rPr>
                <w:rFonts w:asciiTheme="minorHAnsi" w:eastAsia="Arial" w:hAnsiTheme="minorHAnsi" w:cstheme="minorHAnsi"/>
                <w:sz w:val="22"/>
                <w:szCs w:val="22"/>
                <w:lang w:val="en-US"/>
              </w:rPr>
              <w:t>.</w:t>
            </w:r>
            <w:r w:rsidR="735A1C60" w:rsidRPr="00AA49D2">
              <w:rPr>
                <w:rFonts w:asciiTheme="minorHAnsi" w:eastAsia="Arial" w:hAnsiTheme="minorHAnsi" w:cstheme="minorHAnsi"/>
                <w:sz w:val="22"/>
                <w:szCs w:val="22"/>
                <w:lang w:val="en-US"/>
              </w:rPr>
              <w:t>2</w:t>
            </w:r>
            <w:r w:rsidR="1C27C66F" w:rsidRPr="00AA49D2">
              <w:rPr>
                <w:rFonts w:asciiTheme="minorHAnsi" w:eastAsia="Arial" w:hAnsiTheme="minorHAnsi" w:cstheme="minorHAnsi"/>
                <w:sz w:val="22"/>
                <w:szCs w:val="22"/>
                <w:lang w:val="en-US"/>
              </w:rPr>
              <w:t>%</w:t>
            </w:r>
            <w:r w:rsidR="72087041" w:rsidRPr="00AA49D2">
              <w:rPr>
                <w:rFonts w:asciiTheme="minorHAnsi" w:eastAsia="Arial" w:hAnsiTheme="minorHAnsi" w:cstheme="minorHAnsi"/>
                <w:sz w:val="22"/>
                <w:szCs w:val="22"/>
                <w:lang w:val="en-US"/>
              </w:rPr>
              <w:t xml:space="preserve"> against</w:t>
            </w:r>
            <w:r w:rsidR="5B9364AF" w:rsidRPr="00AA49D2">
              <w:rPr>
                <w:rFonts w:asciiTheme="minorHAnsi" w:eastAsia="Arial" w:hAnsiTheme="minorHAnsi" w:cstheme="minorHAnsi"/>
                <w:sz w:val="22"/>
                <w:szCs w:val="22"/>
                <w:lang w:val="en-US"/>
              </w:rPr>
              <w:t xml:space="preserve"> 14,4% in</w:t>
            </w:r>
            <w:r w:rsidR="6B691857" w:rsidRPr="00AA49D2">
              <w:rPr>
                <w:rFonts w:asciiTheme="minorHAnsi" w:eastAsia="Arial" w:hAnsiTheme="minorHAnsi" w:cstheme="minorHAnsi"/>
                <w:sz w:val="22"/>
                <w:szCs w:val="22"/>
                <w:lang w:val="en-US"/>
              </w:rPr>
              <w:t xml:space="preserve"> urban areas</w:t>
            </w:r>
            <w:r w:rsidR="1C27C66F" w:rsidRPr="00AA49D2">
              <w:rPr>
                <w:rFonts w:asciiTheme="minorHAnsi" w:eastAsia="Arial" w:hAnsiTheme="minorHAnsi" w:cstheme="minorHAnsi"/>
                <w:sz w:val="22"/>
                <w:szCs w:val="22"/>
                <w:lang w:val="en-US"/>
              </w:rPr>
              <w:t>) while</w:t>
            </w:r>
            <w:r w:rsidR="1117C28E" w:rsidRPr="00AA49D2">
              <w:rPr>
                <w:rFonts w:asciiTheme="minorHAnsi" w:eastAsia="Arial" w:hAnsiTheme="minorHAnsi" w:cstheme="minorHAnsi"/>
                <w:sz w:val="22"/>
                <w:szCs w:val="22"/>
                <w:lang w:val="en-US"/>
              </w:rPr>
              <w:t xml:space="preserve"> household with female head </w:t>
            </w:r>
            <w:r w:rsidR="493535E7" w:rsidRPr="00AA49D2">
              <w:rPr>
                <w:rFonts w:asciiTheme="minorHAnsi" w:eastAsia="Arial" w:hAnsiTheme="minorHAnsi" w:cstheme="minorHAnsi"/>
                <w:sz w:val="22"/>
                <w:szCs w:val="22"/>
                <w:lang w:val="en-US"/>
              </w:rPr>
              <w:t xml:space="preserve">are likely to be less </w:t>
            </w:r>
            <w:r w:rsidR="69D4F1FD" w:rsidRPr="00AA49D2">
              <w:rPr>
                <w:rFonts w:asciiTheme="minorHAnsi" w:eastAsia="Arial" w:hAnsiTheme="minorHAnsi" w:cstheme="minorHAnsi"/>
                <w:sz w:val="22"/>
                <w:szCs w:val="22"/>
                <w:lang w:val="en-US"/>
              </w:rPr>
              <w:t>poor</w:t>
            </w:r>
            <w:r w:rsidR="493535E7" w:rsidRPr="00AA49D2">
              <w:rPr>
                <w:rFonts w:asciiTheme="minorHAnsi" w:eastAsia="Arial" w:hAnsiTheme="minorHAnsi" w:cstheme="minorHAnsi"/>
                <w:sz w:val="22"/>
                <w:szCs w:val="22"/>
                <w:lang w:val="en-US"/>
              </w:rPr>
              <w:t xml:space="preserve"> (poverty headcount is</w:t>
            </w:r>
            <w:r w:rsidR="100E03F7" w:rsidRPr="00AA49D2">
              <w:rPr>
                <w:rFonts w:asciiTheme="minorHAnsi" w:eastAsia="Arial" w:hAnsiTheme="minorHAnsi" w:cstheme="minorHAnsi"/>
                <w:sz w:val="22"/>
                <w:szCs w:val="22"/>
                <w:lang w:val="en-US"/>
              </w:rPr>
              <w:t xml:space="preserve"> 21,7% against 31,2% for men)</w:t>
            </w:r>
            <w:r w:rsidR="493535E7" w:rsidRPr="00AA49D2">
              <w:rPr>
                <w:rFonts w:asciiTheme="minorHAnsi" w:eastAsia="Arial" w:hAnsiTheme="minorHAnsi" w:cstheme="minorHAnsi"/>
                <w:sz w:val="22"/>
                <w:szCs w:val="22"/>
                <w:lang w:val="en-US"/>
              </w:rPr>
              <w:t xml:space="preserve"> </w:t>
            </w:r>
          </w:p>
          <w:p w14:paraId="301A99BA" w14:textId="4A349F35" w:rsidR="00D94A33" w:rsidRPr="00AA49D2" w:rsidRDefault="732CAD86" w:rsidP="76C15C94">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 </w:t>
            </w:r>
          </w:p>
          <w:p w14:paraId="23E0CF0B" w14:textId="60860661" w:rsidR="00D94A33" w:rsidRPr="00AA49D2" w:rsidRDefault="13124936" w:rsidP="76C15C94">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1.3:</w:t>
            </w:r>
            <w:r w:rsidRPr="00AA49D2">
              <w:rPr>
                <w:rFonts w:asciiTheme="minorHAnsi" w:eastAsia="Arial" w:hAnsiTheme="minorHAnsi" w:cstheme="minorHAnsi"/>
                <w:i/>
                <w:iCs/>
                <w:sz w:val="22"/>
                <w:szCs w:val="22"/>
                <w:lang w:val="en-US"/>
              </w:rPr>
              <w:t xml:space="preserve"> </w:t>
            </w:r>
            <w:r w:rsidR="28A13E27" w:rsidRPr="00AA49D2">
              <w:rPr>
                <w:rFonts w:asciiTheme="minorHAnsi" w:eastAsia="Arial" w:hAnsiTheme="minorHAnsi" w:cstheme="minorHAnsi"/>
                <w:sz w:val="22"/>
                <w:szCs w:val="22"/>
                <w:lang w:val="en-US"/>
              </w:rPr>
              <w:t>The Gini index fell from 0.34 to 0.32 between 2014 and 2019, reflecting a proportionally greater increase in the income of the poor than the national average increase, although strong spatial disparities persist.</w:t>
            </w:r>
          </w:p>
          <w:p w14:paraId="3D5BBCBF" w14:textId="7D88027C" w:rsidR="76C15C94" w:rsidRPr="00AA49D2" w:rsidRDefault="76C15C94" w:rsidP="76C15C94">
            <w:pPr>
              <w:pStyle w:val="BodyText2"/>
              <w:jc w:val="both"/>
              <w:rPr>
                <w:rFonts w:asciiTheme="minorHAnsi" w:eastAsia="Arial" w:hAnsiTheme="minorHAnsi" w:cstheme="minorHAnsi"/>
                <w:sz w:val="22"/>
                <w:szCs w:val="22"/>
              </w:rPr>
            </w:pPr>
          </w:p>
          <w:p w14:paraId="072FFCD8" w14:textId="77777777" w:rsidR="003B037A" w:rsidRDefault="5F4BFE85" w:rsidP="76C15C94">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1.4: 67% of SDG Goal indicators </w:t>
            </w:r>
            <w:r w:rsidR="4AA0F4BA" w:rsidRPr="00AA49D2">
              <w:rPr>
                <w:rFonts w:asciiTheme="minorHAnsi" w:eastAsia="Arial" w:hAnsiTheme="minorHAnsi" w:cstheme="minorHAnsi"/>
                <w:sz w:val="22"/>
                <w:szCs w:val="22"/>
              </w:rPr>
              <w:t>are provided with disaggregated data</w:t>
            </w:r>
          </w:p>
          <w:p w14:paraId="434A6201" w14:textId="77777777" w:rsidR="001651BC" w:rsidRDefault="001651BC" w:rsidP="76C15C94">
            <w:pPr>
              <w:pStyle w:val="BodyText2"/>
              <w:jc w:val="both"/>
              <w:rPr>
                <w:rFonts w:asciiTheme="minorHAnsi" w:eastAsia="Arial" w:hAnsiTheme="minorHAnsi" w:cstheme="minorHAnsi"/>
                <w:sz w:val="22"/>
                <w:szCs w:val="22"/>
              </w:rPr>
            </w:pPr>
          </w:p>
          <w:p w14:paraId="3BFB9E23" w14:textId="77777777" w:rsidR="001651BC" w:rsidRDefault="001651BC" w:rsidP="76C15C94">
            <w:pPr>
              <w:pStyle w:val="BodyText2"/>
              <w:jc w:val="both"/>
              <w:rPr>
                <w:rFonts w:asciiTheme="minorHAnsi" w:eastAsia="Arial" w:hAnsiTheme="minorHAnsi" w:cstheme="minorHAnsi"/>
                <w:sz w:val="22"/>
                <w:szCs w:val="22"/>
              </w:rPr>
            </w:pPr>
          </w:p>
          <w:p w14:paraId="0416DEFD" w14:textId="179EA3B9" w:rsidR="001651BC" w:rsidRPr="00AA49D2" w:rsidRDefault="001651BC" w:rsidP="76C15C94">
            <w:pPr>
              <w:pStyle w:val="BodyText2"/>
              <w:jc w:val="both"/>
              <w:rPr>
                <w:rFonts w:asciiTheme="minorHAnsi" w:eastAsia="Arial" w:hAnsiTheme="minorHAnsi" w:cstheme="minorHAnsi"/>
                <w:sz w:val="22"/>
                <w:szCs w:val="22"/>
              </w:rPr>
            </w:pPr>
          </w:p>
        </w:tc>
      </w:tr>
      <w:tr w:rsidR="00530FDE" w:rsidRPr="00303DAB" w14:paraId="0416DF08" w14:textId="77777777" w:rsidTr="00DB7FD5">
        <w:trPr>
          <w:gridAfter w:val="1"/>
          <w:wAfter w:w="29" w:type="dxa"/>
        </w:trPr>
        <w:tc>
          <w:tcPr>
            <w:tcW w:w="14011" w:type="dxa"/>
            <w:gridSpan w:val="8"/>
          </w:tcPr>
          <w:p w14:paraId="0416DEFF" w14:textId="2685871E" w:rsidR="00843006" w:rsidRPr="00AA49D2" w:rsidRDefault="30BC13CD" w:rsidP="007D1DB4">
            <w:pPr>
              <w:pStyle w:val="BodyText2"/>
              <w:jc w:val="both"/>
              <w:rPr>
                <w:rFonts w:asciiTheme="minorHAnsi" w:eastAsia="Arial" w:hAnsiTheme="minorHAnsi" w:cstheme="minorHAnsi"/>
                <w:b/>
                <w:bCs/>
                <w:sz w:val="22"/>
                <w:szCs w:val="22"/>
              </w:rPr>
            </w:pPr>
            <w:r w:rsidRPr="00AA49D2">
              <w:rPr>
                <w:rFonts w:asciiTheme="minorHAnsi" w:eastAsia="Arial" w:hAnsiTheme="minorHAnsi" w:cstheme="minorHAnsi"/>
                <w:b/>
                <w:bCs/>
                <w:sz w:val="22"/>
                <w:szCs w:val="22"/>
              </w:rPr>
              <w:lastRenderedPageBreak/>
              <w:t>UNDP Contribution:</w:t>
            </w:r>
          </w:p>
          <w:p w14:paraId="41232B11" w14:textId="2685871E" w:rsidR="421EEF22" w:rsidRPr="00AA49D2" w:rsidRDefault="421EEF22" w:rsidP="007D1DB4">
            <w:pPr>
              <w:pStyle w:val="BodyText2"/>
              <w:jc w:val="both"/>
              <w:rPr>
                <w:rFonts w:asciiTheme="minorHAnsi" w:eastAsia="Arial" w:hAnsiTheme="minorHAnsi" w:cstheme="minorHAnsi"/>
                <w:sz w:val="22"/>
                <w:szCs w:val="22"/>
              </w:rPr>
            </w:pPr>
          </w:p>
          <w:p w14:paraId="1D6315FF" w14:textId="31E60E2E" w:rsidR="0EF7D37F" w:rsidRPr="00AA49D2" w:rsidRDefault="38C13192" w:rsidP="007D1DB4">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The strategic positioning of UNDP for improving public policy targeting through upgrade national </w:t>
            </w:r>
            <w:r w:rsidR="155B4674" w:rsidRPr="00AA49D2">
              <w:rPr>
                <w:rFonts w:asciiTheme="minorHAnsi" w:eastAsia="Arial" w:hAnsiTheme="minorHAnsi" w:cstheme="minorHAnsi"/>
                <w:sz w:val="22"/>
                <w:szCs w:val="22"/>
              </w:rPr>
              <w:t>planning</w:t>
            </w:r>
            <w:r w:rsidRPr="00AA49D2">
              <w:rPr>
                <w:rFonts w:asciiTheme="minorHAnsi" w:eastAsia="Arial" w:hAnsiTheme="minorHAnsi" w:cstheme="minorHAnsi"/>
                <w:sz w:val="22"/>
                <w:szCs w:val="22"/>
              </w:rPr>
              <w:t xml:space="preserve"> syste</w:t>
            </w:r>
            <w:r w:rsidR="4A5351FA" w:rsidRPr="00AA49D2">
              <w:rPr>
                <w:rFonts w:asciiTheme="minorHAnsi" w:eastAsia="Arial" w:hAnsiTheme="minorHAnsi" w:cstheme="minorHAnsi"/>
                <w:sz w:val="22"/>
                <w:szCs w:val="22"/>
              </w:rPr>
              <w:t>m</w:t>
            </w:r>
            <w:r w:rsidRPr="00AA49D2">
              <w:rPr>
                <w:rFonts w:asciiTheme="minorHAnsi" w:eastAsia="Arial" w:hAnsiTheme="minorHAnsi" w:cstheme="minorHAnsi"/>
                <w:sz w:val="22"/>
                <w:szCs w:val="22"/>
              </w:rPr>
              <w:t xml:space="preserve">, </w:t>
            </w:r>
            <w:r w:rsidR="7EA12C36" w:rsidRPr="00AA49D2">
              <w:rPr>
                <w:rFonts w:asciiTheme="minorHAnsi" w:eastAsia="Arial" w:hAnsiTheme="minorHAnsi" w:cstheme="minorHAnsi"/>
                <w:sz w:val="22"/>
                <w:szCs w:val="22"/>
              </w:rPr>
              <w:t xml:space="preserve">enlarging </w:t>
            </w:r>
            <w:r w:rsidRPr="00AA49D2">
              <w:rPr>
                <w:rFonts w:asciiTheme="minorHAnsi" w:eastAsia="Arial" w:hAnsiTheme="minorHAnsi" w:cstheme="minorHAnsi"/>
                <w:sz w:val="22"/>
                <w:szCs w:val="22"/>
              </w:rPr>
              <w:t xml:space="preserve">economic opportunities, particularly for the empowerment of women and young people, and strengthening economic activities in isolated areas has contributed to poverty reduction (2.7 points), unemployment (0.65 points) and inequalities (2 points). Mauritania moved to the rank of medium </w:t>
            </w:r>
            <w:r w:rsidR="0C652EA7" w:rsidRPr="00AA49D2">
              <w:rPr>
                <w:rFonts w:asciiTheme="minorHAnsi" w:eastAsia="Arial" w:hAnsiTheme="minorHAnsi" w:cstheme="minorHAnsi"/>
                <w:sz w:val="22"/>
                <w:szCs w:val="22"/>
              </w:rPr>
              <w:t xml:space="preserve">human </w:t>
            </w:r>
            <w:r w:rsidRPr="00AA49D2">
              <w:rPr>
                <w:rFonts w:asciiTheme="minorHAnsi" w:eastAsia="Arial" w:hAnsiTheme="minorHAnsi" w:cstheme="minorHAnsi"/>
                <w:sz w:val="22"/>
                <w:szCs w:val="22"/>
              </w:rPr>
              <w:t xml:space="preserve">development country in 2022 with an HDI of 0.556 against 0.546 in 2019. UNDP's contribution to improving livelihoods, particularly </w:t>
            </w:r>
            <w:r w:rsidR="3276E62A" w:rsidRPr="00AA49D2">
              <w:rPr>
                <w:rFonts w:asciiTheme="minorHAnsi" w:eastAsia="Arial" w:hAnsiTheme="minorHAnsi" w:cstheme="minorHAnsi"/>
                <w:sz w:val="22"/>
                <w:szCs w:val="22"/>
              </w:rPr>
              <w:t>targeting</w:t>
            </w:r>
            <w:r w:rsidRPr="00AA49D2">
              <w:rPr>
                <w:rFonts w:asciiTheme="minorHAnsi" w:eastAsia="Arial" w:hAnsiTheme="minorHAnsi" w:cstheme="minorHAnsi"/>
                <w:sz w:val="22"/>
                <w:szCs w:val="22"/>
              </w:rPr>
              <w:t xml:space="preserve"> </w:t>
            </w:r>
            <w:r w:rsidR="54984CAA" w:rsidRPr="00AA49D2">
              <w:rPr>
                <w:rFonts w:asciiTheme="minorHAnsi" w:eastAsia="Arial" w:hAnsiTheme="minorHAnsi" w:cstheme="minorHAnsi"/>
                <w:sz w:val="22"/>
                <w:szCs w:val="22"/>
              </w:rPr>
              <w:t>the poorest areas</w:t>
            </w:r>
            <w:r w:rsidRPr="00AA49D2">
              <w:rPr>
                <w:rFonts w:asciiTheme="minorHAnsi" w:eastAsia="Arial" w:hAnsiTheme="minorHAnsi" w:cstheme="minorHAnsi"/>
                <w:sz w:val="22"/>
                <w:szCs w:val="22"/>
              </w:rPr>
              <w:t xml:space="preserve">, has not been sufficiently </w:t>
            </w:r>
            <w:r w:rsidR="166D2265" w:rsidRPr="00AA49D2">
              <w:rPr>
                <w:rFonts w:asciiTheme="minorHAnsi" w:eastAsia="Arial" w:hAnsiTheme="minorHAnsi" w:cstheme="minorHAnsi"/>
                <w:sz w:val="22"/>
                <w:szCs w:val="22"/>
              </w:rPr>
              <w:t>buoyed</w:t>
            </w:r>
            <w:r w:rsidRPr="00AA49D2">
              <w:rPr>
                <w:rFonts w:asciiTheme="minorHAnsi" w:eastAsia="Arial" w:hAnsiTheme="minorHAnsi" w:cstheme="minorHAnsi"/>
                <w:sz w:val="22"/>
                <w:szCs w:val="22"/>
              </w:rPr>
              <w:t xml:space="preserve"> by increased availability and access to basic social services</w:t>
            </w:r>
            <w:r w:rsidR="28B32DF7" w:rsidRPr="00AA49D2">
              <w:rPr>
                <w:rFonts w:asciiTheme="minorHAnsi" w:eastAsia="Arial" w:hAnsiTheme="minorHAnsi" w:cstheme="minorHAnsi"/>
                <w:sz w:val="22"/>
                <w:szCs w:val="22"/>
              </w:rPr>
              <w:t xml:space="preserve">. As a result, the multidimensional poverty rate stood at </w:t>
            </w:r>
            <w:r w:rsidRPr="00AA49D2">
              <w:rPr>
                <w:rFonts w:asciiTheme="minorHAnsi" w:eastAsia="Arial" w:hAnsiTheme="minorHAnsi" w:cstheme="minorHAnsi"/>
                <w:sz w:val="22"/>
                <w:szCs w:val="22"/>
              </w:rPr>
              <w:t>58.4%</w:t>
            </w:r>
            <w:r w:rsidR="79668BED" w:rsidRPr="00AA49D2">
              <w:rPr>
                <w:rFonts w:asciiTheme="minorHAnsi" w:eastAsia="Arial" w:hAnsiTheme="minorHAnsi" w:cstheme="minorHAnsi"/>
                <w:sz w:val="22"/>
                <w:szCs w:val="22"/>
              </w:rPr>
              <w:t xml:space="preserve"> (latest available figure).</w:t>
            </w:r>
          </w:p>
          <w:p w14:paraId="04D5EBF9" w14:textId="06AE9CDD" w:rsidR="76C15C94" w:rsidRPr="00AA49D2" w:rsidRDefault="76C15C94" w:rsidP="007D1DB4">
            <w:pPr>
              <w:pStyle w:val="BodyText2"/>
              <w:jc w:val="both"/>
              <w:rPr>
                <w:rFonts w:asciiTheme="minorHAnsi" w:eastAsia="Arial" w:hAnsiTheme="minorHAnsi" w:cstheme="minorHAnsi"/>
                <w:sz w:val="22"/>
                <w:szCs w:val="22"/>
                <w:u w:val="single"/>
              </w:rPr>
            </w:pPr>
          </w:p>
          <w:p w14:paraId="0416DF05" w14:textId="2E62C200" w:rsidR="00B00E5C" w:rsidRPr="00AA49D2" w:rsidRDefault="4F22FA34" w:rsidP="007D1DB4">
            <w:pPr>
              <w:pStyle w:val="BodyText2"/>
              <w:jc w:val="both"/>
              <w:rPr>
                <w:rFonts w:asciiTheme="minorHAnsi" w:eastAsia="Arial" w:hAnsiTheme="minorHAnsi" w:cstheme="minorHAnsi"/>
                <w:b/>
                <w:sz w:val="22"/>
                <w:szCs w:val="22"/>
              </w:rPr>
            </w:pPr>
            <w:r w:rsidRPr="00AA49D2">
              <w:rPr>
                <w:rFonts w:asciiTheme="minorHAnsi" w:eastAsia="Arial" w:hAnsiTheme="minorHAnsi" w:cstheme="minorHAnsi"/>
                <w:b/>
                <w:sz w:val="22"/>
                <w:szCs w:val="22"/>
                <w:u w:val="single"/>
              </w:rPr>
              <w:t>Progress and Achievements</w:t>
            </w:r>
            <w:r w:rsidR="23564F45" w:rsidRPr="00AA49D2">
              <w:rPr>
                <w:rFonts w:asciiTheme="minorHAnsi" w:eastAsia="Arial" w:hAnsiTheme="minorHAnsi" w:cstheme="minorHAnsi"/>
                <w:b/>
                <w:sz w:val="22"/>
                <w:szCs w:val="22"/>
                <w:u w:val="single"/>
              </w:rPr>
              <w:t xml:space="preserve"> in CP outputs</w:t>
            </w:r>
            <w:r w:rsidR="6F3059DF" w:rsidRPr="00AA49D2">
              <w:rPr>
                <w:rFonts w:asciiTheme="minorHAnsi" w:eastAsia="Arial" w:hAnsiTheme="minorHAnsi" w:cstheme="minorHAnsi"/>
                <w:b/>
                <w:sz w:val="22"/>
                <w:szCs w:val="22"/>
              </w:rPr>
              <w:t>:</w:t>
            </w:r>
          </w:p>
          <w:p w14:paraId="726DD021" w14:textId="4C395802" w:rsidR="00795518" w:rsidRPr="00AA49D2" w:rsidRDefault="2E787A3F" w:rsidP="007D1DB4">
            <w:pPr>
              <w:pStyle w:val="ListParagraph"/>
              <w:numPr>
                <w:ilvl w:val="0"/>
                <w:numId w:val="43"/>
              </w:numPr>
              <w:jc w:val="both"/>
              <w:rPr>
                <w:rFonts w:asciiTheme="minorHAnsi" w:eastAsia="Arial" w:hAnsiTheme="minorHAnsi" w:cstheme="minorHAnsi"/>
                <w:sz w:val="22"/>
                <w:szCs w:val="22"/>
              </w:rPr>
            </w:pPr>
            <w:r w:rsidRPr="00AA49D2">
              <w:rPr>
                <w:rFonts w:asciiTheme="minorHAnsi" w:eastAsia="Arial" w:hAnsiTheme="minorHAnsi" w:cstheme="minorHAnsi"/>
                <w:b/>
                <w:bCs/>
                <w:sz w:val="22"/>
                <w:szCs w:val="22"/>
              </w:rPr>
              <w:t>Output 1.1</w:t>
            </w:r>
            <w:r w:rsidRPr="00AA49D2">
              <w:rPr>
                <w:rFonts w:asciiTheme="minorHAnsi" w:eastAsia="Arial" w:hAnsiTheme="minorHAnsi" w:cstheme="minorHAnsi"/>
                <w:sz w:val="22"/>
                <w:szCs w:val="22"/>
              </w:rPr>
              <w:t xml:space="preserve">: National institutions in charge of economic affairs (MEF) </w:t>
            </w:r>
            <w:r w:rsidR="32B92671" w:rsidRPr="00AA49D2">
              <w:rPr>
                <w:rFonts w:asciiTheme="minorHAnsi" w:eastAsia="Arial" w:hAnsiTheme="minorHAnsi" w:cstheme="minorHAnsi"/>
                <w:sz w:val="22"/>
                <w:szCs w:val="22"/>
              </w:rPr>
              <w:t xml:space="preserve">were </w:t>
            </w:r>
            <w:r w:rsidR="6F27C55B" w:rsidRPr="00AA49D2">
              <w:rPr>
                <w:rFonts w:asciiTheme="minorHAnsi" w:eastAsia="Arial" w:hAnsiTheme="minorHAnsi" w:cstheme="minorHAnsi"/>
                <w:sz w:val="22"/>
                <w:szCs w:val="22"/>
              </w:rPr>
              <w:t>able</w:t>
            </w:r>
            <w:r w:rsidR="32B92671" w:rsidRPr="00AA49D2">
              <w:rPr>
                <w:rFonts w:asciiTheme="minorHAnsi" w:eastAsia="Arial" w:hAnsiTheme="minorHAnsi" w:cstheme="minorHAnsi"/>
                <w:sz w:val="22"/>
                <w:szCs w:val="22"/>
              </w:rPr>
              <w:t xml:space="preserve"> to develop various strategic plans</w:t>
            </w:r>
            <w:r w:rsidR="51430287" w:rsidRPr="00AA49D2">
              <w:rPr>
                <w:rFonts w:asciiTheme="minorHAnsi" w:eastAsia="Arial" w:hAnsiTheme="minorHAnsi" w:cstheme="minorHAnsi"/>
                <w:sz w:val="22"/>
                <w:szCs w:val="22"/>
              </w:rPr>
              <w:t>, enhance</w:t>
            </w:r>
            <w:r w:rsidR="1F618E36" w:rsidRPr="00AA49D2">
              <w:rPr>
                <w:rFonts w:asciiTheme="minorHAnsi" w:eastAsia="Arial" w:hAnsiTheme="minorHAnsi" w:cstheme="minorHAnsi"/>
                <w:sz w:val="22"/>
                <w:szCs w:val="22"/>
              </w:rPr>
              <w:t xml:space="preserve"> </w:t>
            </w:r>
            <w:r w:rsidR="24C6DEFE" w:rsidRPr="00AA49D2">
              <w:rPr>
                <w:rFonts w:asciiTheme="minorHAnsi" w:eastAsia="Arial" w:hAnsiTheme="minorHAnsi" w:cstheme="minorHAnsi"/>
                <w:sz w:val="22"/>
                <w:szCs w:val="22"/>
              </w:rPr>
              <w:t xml:space="preserve">policy and legal frameworks for the </w:t>
            </w:r>
            <w:r w:rsidR="0556B46D" w:rsidRPr="00AA49D2">
              <w:rPr>
                <w:rFonts w:asciiTheme="minorHAnsi" w:eastAsia="Arial" w:hAnsiTheme="minorHAnsi" w:cstheme="minorHAnsi"/>
                <w:sz w:val="22"/>
                <w:szCs w:val="22"/>
              </w:rPr>
              <w:t>implementation</w:t>
            </w:r>
            <w:r w:rsidR="0318BD10" w:rsidRPr="00AA49D2">
              <w:rPr>
                <w:rFonts w:asciiTheme="minorHAnsi" w:eastAsia="Arial" w:hAnsiTheme="minorHAnsi" w:cstheme="minorHAnsi"/>
                <w:sz w:val="22"/>
                <w:szCs w:val="22"/>
              </w:rPr>
              <w:t xml:space="preserve"> of </w:t>
            </w:r>
            <w:r w:rsidR="24C6DEFE" w:rsidRPr="00AA49D2">
              <w:rPr>
                <w:rFonts w:asciiTheme="minorHAnsi" w:eastAsia="Arial" w:hAnsiTheme="minorHAnsi" w:cstheme="minorHAnsi"/>
                <w:sz w:val="22"/>
                <w:szCs w:val="22"/>
              </w:rPr>
              <w:t>programme budgets</w:t>
            </w:r>
            <w:r w:rsidR="6988B943" w:rsidRPr="00AA49D2">
              <w:rPr>
                <w:rFonts w:asciiTheme="minorHAnsi" w:eastAsia="Arial" w:hAnsiTheme="minorHAnsi" w:cstheme="minorHAnsi"/>
                <w:sz w:val="22"/>
                <w:szCs w:val="22"/>
              </w:rPr>
              <w:t xml:space="preserve">, </w:t>
            </w:r>
            <w:r w:rsidR="42119658" w:rsidRPr="00AA49D2">
              <w:rPr>
                <w:rFonts w:asciiTheme="minorHAnsi" w:eastAsia="Arial" w:hAnsiTheme="minorHAnsi" w:cstheme="minorHAnsi"/>
                <w:sz w:val="22"/>
                <w:szCs w:val="22"/>
              </w:rPr>
              <w:t xml:space="preserve">renovate the budget preparation application called “TAHDHIR”, </w:t>
            </w:r>
            <w:r w:rsidR="6988B943" w:rsidRPr="00AA49D2">
              <w:rPr>
                <w:rFonts w:asciiTheme="minorHAnsi" w:eastAsia="Arial" w:hAnsiTheme="minorHAnsi" w:cstheme="minorHAnsi"/>
                <w:sz w:val="22"/>
                <w:szCs w:val="22"/>
              </w:rPr>
              <w:t xml:space="preserve">develop </w:t>
            </w:r>
            <w:r w:rsidR="7BEFDEAE" w:rsidRPr="00AA49D2">
              <w:rPr>
                <w:rFonts w:asciiTheme="minorHAnsi" w:eastAsia="Arial" w:hAnsiTheme="minorHAnsi" w:cstheme="minorHAnsi"/>
                <w:sz w:val="22"/>
                <w:szCs w:val="22"/>
              </w:rPr>
              <w:t>and/</w:t>
            </w:r>
            <w:r w:rsidR="59C971D2" w:rsidRPr="00AA49D2">
              <w:rPr>
                <w:rFonts w:asciiTheme="minorHAnsi" w:eastAsia="Arial" w:hAnsiTheme="minorHAnsi" w:cstheme="minorHAnsi"/>
                <w:sz w:val="22"/>
                <w:szCs w:val="22"/>
              </w:rPr>
              <w:t xml:space="preserve">or use </w:t>
            </w:r>
            <w:r w:rsidR="6988B943" w:rsidRPr="00AA49D2">
              <w:rPr>
                <w:rFonts w:asciiTheme="minorHAnsi" w:eastAsia="Arial" w:hAnsiTheme="minorHAnsi" w:cstheme="minorHAnsi"/>
                <w:sz w:val="22"/>
                <w:szCs w:val="22"/>
              </w:rPr>
              <w:t>economic</w:t>
            </w:r>
            <w:r w:rsidR="18CA539B" w:rsidRPr="00AA49D2">
              <w:rPr>
                <w:rFonts w:asciiTheme="minorHAnsi" w:eastAsia="Arial" w:hAnsiTheme="minorHAnsi" w:cstheme="minorHAnsi"/>
                <w:sz w:val="22"/>
                <w:szCs w:val="22"/>
              </w:rPr>
              <w:t xml:space="preserve"> </w:t>
            </w:r>
            <w:r w:rsidR="6988B943" w:rsidRPr="00AA49D2">
              <w:rPr>
                <w:rFonts w:asciiTheme="minorHAnsi" w:eastAsia="Arial" w:hAnsiTheme="minorHAnsi" w:cstheme="minorHAnsi"/>
                <w:sz w:val="22"/>
                <w:szCs w:val="22"/>
              </w:rPr>
              <w:t>decision</w:t>
            </w:r>
            <w:r w:rsidR="73DE9948" w:rsidRPr="00AA49D2">
              <w:rPr>
                <w:rFonts w:asciiTheme="minorHAnsi" w:eastAsia="Arial" w:hAnsiTheme="minorHAnsi" w:cstheme="minorHAnsi"/>
                <w:sz w:val="22"/>
                <w:szCs w:val="22"/>
              </w:rPr>
              <w:t xml:space="preserve"> tools including </w:t>
            </w:r>
            <w:r w:rsidR="4C7FB805" w:rsidRPr="00AA49D2">
              <w:rPr>
                <w:rFonts w:asciiTheme="minorHAnsi" w:eastAsia="Arial" w:hAnsiTheme="minorHAnsi" w:cstheme="minorHAnsi"/>
                <w:sz w:val="22"/>
                <w:szCs w:val="22"/>
              </w:rPr>
              <w:t>t</w:t>
            </w:r>
            <w:r w:rsidR="679D307B" w:rsidRPr="00AA49D2">
              <w:rPr>
                <w:rFonts w:asciiTheme="minorHAnsi" w:eastAsia="Arial" w:hAnsiTheme="minorHAnsi" w:cstheme="minorHAnsi"/>
                <w:sz w:val="22"/>
                <w:szCs w:val="22"/>
              </w:rPr>
              <w:t xml:space="preserve">ools for understanding the new context of the African Continental Free Trade (ACFTA); </w:t>
            </w:r>
            <w:r w:rsidR="032A138F" w:rsidRPr="00AA49D2">
              <w:rPr>
                <w:rFonts w:asciiTheme="minorHAnsi" w:eastAsia="Arial" w:hAnsiTheme="minorHAnsi" w:cstheme="minorHAnsi"/>
                <w:sz w:val="22"/>
                <w:szCs w:val="22"/>
              </w:rPr>
              <w:t>a</w:t>
            </w:r>
            <w:r w:rsidR="679D307B" w:rsidRPr="00AA49D2">
              <w:rPr>
                <w:rFonts w:asciiTheme="minorHAnsi" w:eastAsia="Arial" w:hAnsiTheme="minorHAnsi" w:cstheme="minorHAnsi"/>
                <w:sz w:val="22"/>
                <w:szCs w:val="22"/>
              </w:rPr>
              <w:t xml:space="preserve"> Computable General Equilibrium Model (CGEM) </w:t>
            </w:r>
            <w:r w:rsidR="01C6FEFF" w:rsidRPr="00AA49D2">
              <w:rPr>
                <w:rFonts w:asciiTheme="minorHAnsi" w:eastAsia="Arial" w:hAnsiTheme="minorHAnsi" w:cstheme="minorHAnsi"/>
                <w:sz w:val="22"/>
                <w:szCs w:val="22"/>
              </w:rPr>
              <w:t>to inform budget allocations</w:t>
            </w:r>
            <w:r w:rsidR="6A710B0E" w:rsidRPr="00AA49D2">
              <w:rPr>
                <w:rFonts w:asciiTheme="minorHAnsi" w:eastAsia="Arial" w:hAnsiTheme="minorHAnsi" w:cstheme="minorHAnsi"/>
                <w:sz w:val="22"/>
                <w:szCs w:val="22"/>
              </w:rPr>
              <w:t xml:space="preserve">. Decentralized planning </w:t>
            </w:r>
            <w:r w:rsidR="74630E0D" w:rsidRPr="00AA49D2">
              <w:rPr>
                <w:rFonts w:asciiTheme="minorHAnsi" w:eastAsia="Arial" w:hAnsiTheme="minorHAnsi" w:cstheme="minorHAnsi"/>
                <w:sz w:val="22"/>
                <w:szCs w:val="22"/>
              </w:rPr>
              <w:t xml:space="preserve">and monitoring </w:t>
            </w:r>
            <w:r w:rsidR="6A710B0E" w:rsidRPr="00AA49D2">
              <w:rPr>
                <w:rFonts w:asciiTheme="minorHAnsi" w:eastAsia="Arial" w:hAnsiTheme="minorHAnsi" w:cstheme="minorHAnsi"/>
                <w:sz w:val="22"/>
                <w:szCs w:val="22"/>
              </w:rPr>
              <w:t>capacit</w:t>
            </w:r>
            <w:r w:rsidR="599A20EE" w:rsidRPr="00AA49D2">
              <w:rPr>
                <w:rFonts w:asciiTheme="minorHAnsi" w:eastAsia="Arial" w:hAnsiTheme="minorHAnsi" w:cstheme="minorHAnsi"/>
                <w:sz w:val="22"/>
                <w:szCs w:val="22"/>
              </w:rPr>
              <w:t>ies</w:t>
            </w:r>
            <w:r w:rsidR="6A710B0E" w:rsidRPr="00AA49D2">
              <w:rPr>
                <w:rFonts w:asciiTheme="minorHAnsi" w:eastAsia="Arial" w:hAnsiTheme="minorHAnsi" w:cstheme="minorHAnsi"/>
                <w:sz w:val="22"/>
                <w:szCs w:val="22"/>
              </w:rPr>
              <w:t xml:space="preserve"> </w:t>
            </w:r>
            <w:r w:rsidR="72F0DE69" w:rsidRPr="00AA49D2">
              <w:rPr>
                <w:rFonts w:asciiTheme="minorHAnsi" w:eastAsia="Arial" w:hAnsiTheme="minorHAnsi" w:cstheme="minorHAnsi"/>
                <w:sz w:val="22"/>
                <w:szCs w:val="22"/>
              </w:rPr>
              <w:t>were</w:t>
            </w:r>
            <w:r w:rsidR="6A710B0E" w:rsidRPr="00AA49D2">
              <w:rPr>
                <w:rFonts w:asciiTheme="minorHAnsi" w:eastAsia="Arial" w:hAnsiTheme="minorHAnsi" w:cstheme="minorHAnsi"/>
                <w:sz w:val="22"/>
                <w:szCs w:val="22"/>
              </w:rPr>
              <w:t xml:space="preserve"> strengthened with the elaboration of two regional plans and </w:t>
            </w:r>
            <w:r w:rsidR="0E7B88C4" w:rsidRPr="00AA49D2">
              <w:rPr>
                <w:rFonts w:asciiTheme="minorHAnsi" w:eastAsia="Arial" w:hAnsiTheme="minorHAnsi" w:cstheme="minorHAnsi"/>
                <w:sz w:val="22"/>
                <w:szCs w:val="22"/>
              </w:rPr>
              <w:t xml:space="preserve">the </w:t>
            </w:r>
            <w:r w:rsidR="3F924AF5" w:rsidRPr="00AA49D2">
              <w:rPr>
                <w:rFonts w:asciiTheme="minorHAnsi" w:eastAsia="Arial" w:hAnsiTheme="minorHAnsi" w:cstheme="minorHAnsi"/>
                <w:sz w:val="22"/>
                <w:szCs w:val="22"/>
              </w:rPr>
              <w:t xml:space="preserve">strengthening of the technical and </w:t>
            </w:r>
            <w:r w:rsidR="0E7B88C4" w:rsidRPr="00AA49D2">
              <w:rPr>
                <w:rFonts w:asciiTheme="minorHAnsi" w:eastAsia="Arial" w:hAnsiTheme="minorHAnsi" w:cstheme="minorHAnsi"/>
                <w:sz w:val="22"/>
                <w:szCs w:val="22"/>
              </w:rPr>
              <w:t xml:space="preserve">operational capacity of the Regional Planning </w:t>
            </w:r>
            <w:r w:rsidR="274D063A" w:rsidRPr="00AA49D2">
              <w:rPr>
                <w:rFonts w:asciiTheme="minorHAnsi" w:eastAsia="Arial" w:hAnsiTheme="minorHAnsi" w:cstheme="minorHAnsi"/>
                <w:sz w:val="22"/>
                <w:szCs w:val="22"/>
              </w:rPr>
              <w:t xml:space="preserve">and Poverty Monitoring </w:t>
            </w:r>
            <w:r w:rsidR="0E7B88C4" w:rsidRPr="00AA49D2">
              <w:rPr>
                <w:rFonts w:asciiTheme="minorHAnsi" w:eastAsia="Arial" w:hAnsiTheme="minorHAnsi" w:cstheme="minorHAnsi"/>
                <w:sz w:val="22"/>
                <w:szCs w:val="22"/>
              </w:rPr>
              <w:t>Units</w:t>
            </w:r>
            <w:r w:rsidR="55577BF4" w:rsidRPr="00AA49D2">
              <w:rPr>
                <w:rFonts w:asciiTheme="minorHAnsi" w:eastAsia="Arial" w:hAnsiTheme="minorHAnsi" w:cstheme="minorHAnsi"/>
                <w:sz w:val="22"/>
                <w:szCs w:val="22"/>
              </w:rPr>
              <w:t>.</w:t>
            </w:r>
            <w:r w:rsidR="679D307B" w:rsidRPr="00AA49D2">
              <w:rPr>
                <w:rFonts w:asciiTheme="minorHAnsi" w:eastAsia="Arial" w:hAnsiTheme="minorHAnsi" w:cstheme="minorHAnsi"/>
                <w:sz w:val="22"/>
                <w:szCs w:val="22"/>
              </w:rPr>
              <w:t xml:space="preserve">  </w:t>
            </w:r>
          </w:p>
          <w:p w14:paraId="4017F76B" w14:textId="5959DFBA" w:rsidR="00DF0C24" w:rsidRPr="00AA49D2" w:rsidRDefault="00DF0C24" w:rsidP="007D1DB4">
            <w:pPr>
              <w:jc w:val="both"/>
              <w:rPr>
                <w:rFonts w:asciiTheme="minorHAnsi" w:eastAsia="Arial" w:hAnsiTheme="minorHAnsi" w:cstheme="minorHAnsi"/>
                <w:sz w:val="22"/>
                <w:szCs w:val="22"/>
                <w:highlight w:val="cyan"/>
                <w:lang w:val="en-US"/>
              </w:rPr>
            </w:pPr>
          </w:p>
          <w:p w14:paraId="28155B17" w14:textId="2FDEB18D" w:rsidR="00DF0C24" w:rsidRPr="00AA49D2" w:rsidRDefault="2E787A3F" w:rsidP="007D1DB4">
            <w:pPr>
              <w:pStyle w:val="ListParagraph"/>
              <w:numPr>
                <w:ilvl w:val="0"/>
                <w:numId w:val="43"/>
              </w:numPr>
              <w:jc w:val="both"/>
              <w:rPr>
                <w:rFonts w:asciiTheme="minorHAnsi" w:eastAsia="Arial" w:hAnsiTheme="minorHAnsi" w:cstheme="minorHAnsi"/>
                <w:sz w:val="22"/>
                <w:szCs w:val="22"/>
              </w:rPr>
            </w:pPr>
            <w:r w:rsidRPr="00AA49D2">
              <w:rPr>
                <w:rFonts w:asciiTheme="minorHAnsi" w:eastAsia="Arial" w:hAnsiTheme="minorHAnsi" w:cstheme="minorHAnsi"/>
                <w:b/>
                <w:bCs/>
                <w:sz w:val="22"/>
                <w:szCs w:val="22"/>
              </w:rPr>
              <w:t>Output 1.2</w:t>
            </w:r>
            <w:r w:rsidRPr="00AA49D2">
              <w:rPr>
                <w:rFonts w:asciiTheme="minorHAnsi" w:eastAsia="Arial" w:hAnsiTheme="minorHAnsi" w:cstheme="minorHAnsi"/>
                <w:sz w:val="22"/>
                <w:szCs w:val="22"/>
              </w:rPr>
              <w:t xml:space="preserve">: </w:t>
            </w:r>
            <w:r w:rsidR="5EA0DC63" w:rsidRPr="00AA49D2">
              <w:rPr>
                <w:rFonts w:asciiTheme="minorHAnsi" w:eastAsia="Arial" w:hAnsiTheme="minorHAnsi" w:cstheme="minorHAnsi"/>
                <w:sz w:val="22"/>
                <w:szCs w:val="22"/>
              </w:rPr>
              <w:t xml:space="preserve">2,972 new jobs were created through several interventions to promote employment and income-generating activities for women (agriculture, marketing, production). Beyond direct jobs, these interventions have improved the livelihoods </w:t>
            </w:r>
            <w:r w:rsidR="6F3D457C" w:rsidRPr="00AA49D2">
              <w:rPr>
                <w:rFonts w:asciiTheme="minorHAnsi" w:eastAsia="Arial" w:hAnsiTheme="minorHAnsi" w:cstheme="minorHAnsi"/>
                <w:sz w:val="22"/>
                <w:szCs w:val="22"/>
              </w:rPr>
              <w:t xml:space="preserve">of </w:t>
            </w:r>
            <w:r w:rsidR="5EA0DC63" w:rsidRPr="00AA49D2">
              <w:rPr>
                <w:rFonts w:asciiTheme="minorHAnsi" w:eastAsia="Arial" w:hAnsiTheme="minorHAnsi" w:cstheme="minorHAnsi"/>
                <w:sz w:val="22"/>
                <w:szCs w:val="22"/>
              </w:rPr>
              <w:t>and economic</w:t>
            </w:r>
            <w:r w:rsidR="11F23DD0" w:rsidRPr="00AA49D2">
              <w:rPr>
                <w:rFonts w:asciiTheme="minorHAnsi" w:eastAsia="Arial" w:hAnsiTheme="minorHAnsi" w:cstheme="minorHAnsi"/>
                <w:sz w:val="22"/>
                <w:szCs w:val="22"/>
              </w:rPr>
              <w:t>ally empowered</w:t>
            </w:r>
            <w:r w:rsidR="5EA0DC63" w:rsidRPr="00AA49D2">
              <w:rPr>
                <w:rFonts w:asciiTheme="minorHAnsi" w:eastAsia="Arial" w:hAnsiTheme="minorHAnsi" w:cstheme="minorHAnsi"/>
                <w:sz w:val="22"/>
                <w:szCs w:val="22"/>
              </w:rPr>
              <w:t xml:space="preserve"> 5,097 people, including 3,568 women and 300 young people.</w:t>
            </w:r>
          </w:p>
          <w:p w14:paraId="2BA92FB4" w14:textId="70CB8A1A" w:rsidR="76C15C94" w:rsidRPr="00AA49D2" w:rsidRDefault="76C15C94" w:rsidP="007D1DB4">
            <w:pPr>
              <w:jc w:val="both"/>
              <w:rPr>
                <w:rFonts w:asciiTheme="minorHAnsi" w:eastAsia="Arial" w:hAnsiTheme="minorHAnsi" w:cstheme="minorHAnsi"/>
                <w:sz w:val="22"/>
                <w:szCs w:val="22"/>
                <w:lang w:val="en-US"/>
              </w:rPr>
            </w:pPr>
          </w:p>
          <w:p w14:paraId="3EC609D8" w14:textId="1C450657" w:rsidR="00DF0C24" w:rsidRPr="00AA49D2" w:rsidRDefault="2E787A3F" w:rsidP="007D1DB4">
            <w:pPr>
              <w:pStyle w:val="ListParagraph"/>
              <w:numPr>
                <w:ilvl w:val="0"/>
                <w:numId w:val="43"/>
              </w:numPr>
              <w:jc w:val="both"/>
              <w:rPr>
                <w:rFonts w:asciiTheme="minorHAnsi" w:eastAsia="Arial" w:hAnsiTheme="minorHAnsi" w:cstheme="minorHAnsi"/>
                <w:sz w:val="22"/>
                <w:szCs w:val="22"/>
              </w:rPr>
            </w:pPr>
            <w:r w:rsidRPr="00AA49D2">
              <w:rPr>
                <w:rFonts w:asciiTheme="minorHAnsi" w:eastAsia="Arial" w:hAnsiTheme="minorHAnsi" w:cstheme="minorHAnsi"/>
                <w:b/>
                <w:bCs/>
                <w:sz w:val="22"/>
                <w:szCs w:val="22"/>
              </w:rPr>
              <w:t>Output 1.3</w:t>
            </w:r>
            <w:r w:rsidRPr="00AA49D2">
              <w:rPr>
                <w:rFonts w:asciiTheme="minorHAnsi" w:eastAsia="Arial" w:hAnsiTheme="minorHAnsi" w:cstheme="minorHAnsi"/>
                <w:sz w:val="22"/>
                <w:szCs w:val="22"/>
              </w:rPr>
              <w:t xml:space="preserve">: </w:t>
            </w:r>
            <w:r w:rsidR="59A80A79" w:rsidRPr="00AA49D2">
              <w:rPr>
                <w:rFonts w:asciiTheme="minorHAnsi" w:eastAsia="Arial" w:hAnsiTheme="minorHAnsi" w:cstheme="minorHAnsi"/>
                <w:sz w:val="22"/>
                <w:szCs w:val="22"/>
              </w:rPr>
              <w:t>National statistical and monitoring i</w:t>
            </w:r>
            <w:r w:rsidRPr="00AA49D2">
              <w:rPr>
                <w:rFonts w:asciiTheme="minorHAnsi" w:eastAsia="Arial" w:hAnsiTheme="minorHAnsi" w:cstheme="minorHAnsi"/>
                <w:sz w:val="22"/>
                <w:szCs w:val="22"/>
              </w:rPr>
              <w:t xml:space="preserve">nstitutions have increased capacities and expertise to </w:t>
            </w:r>
            <w:r w:rsidR="79F39072" w:rsidRPr="00AA49D2">
              <w:rPr>
                <w:rFonts w:asciiTheme="minorHAnsi" w:eastAsia="Arial" w:hAnsiTheme="minorHAnsi" w:cstheme="minorHAnsi"/>
                <w:sz w:val="22"/>
                <w:szCs w:val="22"/>
              </w:rPr>
              <w:t>implement a toolbox for monitoring the SDGs in Mauritania</w:t>
            </w:r>
            <w:r w:rsidR="033E86A8" w:rsidRPr="00AA49D2">
              <w:rPr>
                <w:rFonts w:asciiTheme="minorHAnsi" w:eastAsia="Arial" w:hAnsiTheme="minorHAnsi" w:cstheme="minorHAnsi"/>
                <w:sz w:val="22"/>
                <w:szCs w:val="22"/>
              </w:rPr>
              <w:t xml:space="preserve"> resulting in 67% of SDG disaggregated data</w:t>
            </w:r>
            <w:r w:rsidR="79F39072" w:rsidRPr="00AA49D2">
              <w:rPr>
                <w:rFonts w:asciiTheme="minorHAnsi" w:eastAsia="Arial" w:hAnsiTheme="minorHAnsi" w:cstheme="minorHAnsi"/>
                <w:sz w:val="22"/>
                <w:szCs w:val="22"/>
              </w:rPr>
              <w:t>, as well as a pi</w:t>
            </w:r>
            <w:r w:rsidR="78D17729" w:rsidRPr="00AA49D2">
              <w:rPr>
                <w:rFonts w:asciiTheme="minorHAnsi" w:eastAsia="Arial" w:hAnsiTheme="minorHAnsi" w:cstheme="minorHAnsi"/>
                <w:sz w:val="22"/>
                <w:szCs w:val="22"/>
              </w:rPr>
              <w:t xml:space="preserve">lot </w:t>
            </w:r>
            <w:r w:rsidR="79F39072" w:rsidRPr="00AA49D2">
              <w:rPr>
                <w:rFonts w:asciiTheme="minorHAnsi" w:eastAsia="Arial" w:hAnsiTheme="minorHAnsi" w:cstheme="minorHAnsi"/>
                <w:sz w:val="22"/>
                <w:szCs w:val="22"/>
              </w:rPr>
              <w:t xml:space="preserve">digital tool for monitoring and reporting on </w:t>
            </w:r>
            <w:r w:rsidR="02D81662" w:rsidRPr="00AA49D2">
              <w:rPr>
                <w:rFonts w:asciiTheme="minorHAnsi" w:eastAsia="Arial" w:hAnsiTheme="minorHAnsi" w:cstheme="minorHAnsi"/>
                <w:sz w:val="22"/>
                <w:szCs w:val="22"/>
              </w:rPr>
              <w:t>development pro</w:t>
            </w:r>
            <w:r w:rsidR="2D1AEA70" w:rsidRPr="00AA49D2">
              <w:rPr>
                <w:rFonts w:asciiTheme="minorHAnsi" w:eastAsia="Arial" w:hAnsiTheme="minorHAnsi" w:cstheme="minorHAnsi"/>
                <w:sz w:val="22"/>
                <w:szCs w:val="22"/>
              </w:rPr>
              <w:t xml:space="preserve">gress </w:t>
            </w:r>
            <w:r w:rsidR="79F39072" w:rsidRPr="00AA49D2">
              <w:rPr>
                <w:rFonts w:asciiTheme="minorHAnsi" w:eastAsia="Arial" w:hAnsiTheme="minorHAnsi" w:cstheme="minorHAnsi"/>
                <w:sz w:val="22"/>
                <w:szCs w:val="22"/>
              </w:rPr>
              <w:t>in</w:t>
            </w:r>
            <w:r w:rsidR="38AFF1E6" w:rsidRPr="00AA49D2">
              <w:rPr>
                <w:rFonts w:asciiTheme="minorHAnsi" w:eastAsia="Arial" w:hAnsiTheme="minorHAnsi" w:cstheme="minorHAnsi"/>
                <w:sz w:val="22"/>
                <w:szCs w:val="22"/>
              </w:rPr>
              <w:t xml:space="preserve"> one region</w:t>
            </w:r>
            <w:r w:rsidR="79F39072" w:rsidRPr="00AA49D2">
              <w:rPr>
                <w:rFonts w:asciiTheme="minorHAnsi" w:eastAsia="Arial" w:hAnsiTheme="minorHAnsi" w:cstheme="minorHAnsi"/>
                <w:sz w:val="22"/>
                <w:szCs w:val="22"/>
              </w:rPr>
              <w:t xml:space="preserve"> </w:t>
            </w:r>
            <w:r w:rsidR="5A0D708B" w:rsidRPr="00AA49D2">
              <w:rPr>
                <w:rFonts w:asciiTheme="minorHAnsi" w:eastAsia="Arial" w:hAnsiTheme="minorHAnsi" w:cstheme="minorHAnsi"/>
                <w:sz w:val="22"/>
                <w:szCs w:val="22"/>
              </w:rPr>
              <w:t>(</w:t>
            </w:r>
            <w:proofErr w:type="spellStart"/>
            <w:r w:rsidR="79F39072" w:rsidRPr="00AA49D2">
              <w:rPr>
                <w:rFonts w:asciiTheme="minorHAnsi" w:eastAsia="Arial" w:hAnsiTheme="minorHAnsi" w:cstheme="minorHAnsi"/>
                <w:sz w:val="22"/>
                <w:szCs w:val="22"/>
              </w:rPr>
              <w:t>Hodh</w:t>
            </w:r>
            <w:proofErr w:type="spellEnd"/>
            <w:r w:rsidR="79F39072" w:rsidRPr="00AA49D2">
              <w:rPr>
                <w:rFonts w:asciiTheme="minorHAnsi" w:eastAsia="Arial" w:hAnsiTheme="minorHAnsi" w:cstheme="minorHAnsi"/>
                <w:sz w:val="22"/>
                <w:szCs w:val="22"/>
              </w:rPr>
              <w:t xml:space="preserve"> </w:t>
            </w:r>
            <w:proofErr w:type="spellStart"/>
            <w:r w:rsidR="79F39072" w:rsidRPr="00AA49D2">
              <w:rPr>
                <w:rFonts w:asciiTheme="minorHAnsi" w:eastAsia="Arial" w:hAnsiTheme="minorHAnsi" w:cstheme="minorHAnsi"/>
                <w:sz w:val="22"/>
                <w:szCs w:val="22"/>
              </w:rPr>
              <w:t>Ech</w:t>
            </w:r>
            <w:proofErr w:type="spellEnd"/>
            <w:r w:rsidR="79F39072" w:rsidRPr="00AA49D2">
              <w:rPr>
                <w:rFonts w:asciiTheme="minorHAnsi" w:eastAsia="Arial" w:hAnsiTheme="minorHAnsi" w:cstheme="minorHAnsi"/>
                <w:sz w:val="22"/>
                <w:szCs w:val="22"/>
              </w:rPr>
              <w:t xml:space="preserve"> </w:t>
            </w:r>
            <w:proofErr w:type="spellStart"/>
            <w:r w:rsidR="79F39072" w:rsidRPr="00AA49D2">
              <w:rPr>
                <w:rFonts w:asciiTheme="minorHAnsi" w:eastAsia="Arial" w:hAnsiTheme="minorHAnsi" w:cstheme="minorHAnsi"/>
                <w:sz w:val="22"/>
                <w:szCs w:val="22"/>
              </w:rPr>
              <w:t>Chargui</w:t>
            </w:r>
            <w:proofErr w:type="spellEnd"/>
            <w:r w:rsidR="1891EF76" w:rsidRPr="00AA49D2">
              <w:rPr>
                <w:rFonts w:asciiTheme="minorHAnsi" w:eastAsia="Arial" w:hAnsiTheme="minorHAnsi" w:cstheme="minorHAnsi"/>
                <w:sz w:val="22"/>
                <w:szCs w:val="22"/>
              </w:rPr>
              <w:t>)</w:t>
            </w:r>
            <w:r w:rsidR="79F39072" w:rsidRPr="00AA49D2">
              <w:rPr>
                <w:rFonts w:asciiTheme="minorHAnsi" w:eastAsia="Arial" w:hAnsiTheme="minorHAnsi" w:cstheme="minorHAnsi"/>
                <w:sz w:val="22"/>
                <w:szCs w:val="22"/>
              </w:rPr>
              <w:t>.</w:t>
            </w:r>
          </w:p>
          <w:p w14:paraId="0416DF07" w14:textId="23EDDFC0" w:rsidR="00700521" w:rsidRPr="00AA49D2" w:rsidRDefault="00700521" w:rsidP="007D1DB4">
            <w:pPr>
              <w:jc w:val="both"/>
              <w:rPr>
                <w:rFonts w:asciiTheme="minorHAnsi" w:eastAsia="Arial" w:hAnsiTheme="minorHAnsi" w:cstheme="minorHAnsi"/>
                <w:sz w:val="22"/>
                <w:szCs w:val="22"/>
                <w:lang w:val="en-US"/>
              </w:rPr>
            </w:pPr>
          </w:p>
        </w:tc>
      </w:tr>
      <w:tr w:rsidR="003B037A" w:rsidRPr="00303DAB" w14:paraId="0416DF0F" w14:textId="77777777" w:rsidTr="00DB7FD5">
        <w:trPr>
          <w:gridAfter w:val="1"/>
          <w:wAfter w:w="29" w:type="dxa"/>
        </w:trPr>
        <w:tc>
          <w:tcPr>
            <w:tcW w:w="3315" w:type="dxa"/>
            <w:gridSpan w:val="2"/>
            <w:shd w:val="clear" w:color="auto" w:fill="95B3D7" w:themeFill="accent1" w:themeFillTint="99"/>
          </w:tcPr>
          <w:p w14:paraId="3027A6A9" w14:textId="6E7A3C6A" w:rsidR="69D92572" w:rsidRPr="00AA49D2" w:rsidRDefault="0BC9F8BE" w:rsidP="00A731AE">
            <w:pPr>
              <w:pStyle w:val="ListParagraph"/>
              <w:widowControl/>
              <w:numPr>
                <w:ilvl w:val="0"/>
                <w:numId w:val="32"/>
              </w:numPr>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The democratic institutions work in a more transparent and participatory manner, the justice and prison system is more independent and effective, the democratic space is expanded (especially for civil society organizations and marginalized groups) to </w:t>
            </w:r>
            <w:r w:rsidRPr="00AA49D2">
              <w:rPr>
                <w:rFonts w:asciiTheme="minorHAnsi" w:eastAsia="Arial" w:hAnsiTheme="minorHAnsi" w:cstheme="minorHAnsi"/>
                <w:sz w:val="22"/>
                <w:szCs w:val="22"/>
              </w:rPr>
              <w:lastRenderedPageBreak/>
              <w:t>improve peaceful coexistence, social cohesion and security.</w:t>
            </w:r>
          </w:p>
          <w:p w14:paraId="0416DF09" w14:textId="0EBF9310" w:rsidR="003B037A" w:rsidRPr="00AA49D2" w:rsidRDefault="003B037A" w:rsidP="76C15C94">
            <w:pPr>
              <w:pStyle w:val="BodyText2"/>
              <w:rPr>
                <w:rFonts w:asciiTheme="minorHAnsi" w:eastAsia="Arial" w:hAnsiTheme="minorHAnsi" w:cstheme="minorHAnsi"/>
                <w:b/>
                <w:bCs/>
                <w:sz w:val="22"/>
                <w:szCs w:val="22"/>
              </w:rPr>
            </w:pPr>
          </w:p>
        </w:tc>
        <w:tc>
          <w:tcPr>
            <w:tcW w:w="1725" w:type="dxa"/>
            <w:gridSpan w:val="3"/>
            <w:shd w:val="clear" w:color="auto" w:fill="auto"/>
          </w:tcPr>
          <w:p w14:paraId="246C6744" w14:textId="5E578BA0" w:rsidR="364558B8" w:rsidRPr="002C1526" w:rsidRDefault="492C4694" w:rsidP="76C15C94">
            <w:pPr>
              <w:rPr>
                <w:rFonts w:asciiTheme="minorHAnsi" w:eastAsia="Arial" w:hAnsiTheme="minorHAnsi" w:cstheme="minorHAnsi"/>
                <w:b/>
                <w:bCs/>
                <w:color w:val="000000" w:themeColor="text1"/>
                <w:sz w:val="22"/>
                <w:szCs w:val="22"/>
              </w:rPr>
            </w:pPr>
            <w:r w:rsidRPr="00AA49D2">
              <w:rPr>
                <w:rFonts w:asciiTheme="minorHAnsi" w:eastAsia="Arial" w:hAnsiTheme="minorHAnsi" w:cstheme="minorHAnsi"/>
                <w:color w:val="FF0000"/>
                <w:sz w:val="22"/>
                <w:szCs w:val="22"/>
                <w:lang w:val="en-US"/>
              </w:rPr>
              <w:lastRenderedPageBreak/>
              <w:t xml:space="preserve">  </w:t>
            </w:r>
            <w:r w:rsidRPr="002C1526">
              <w:rPr>
                <w:rFonts w:asciiTheme="minorHAnsi" w:eastAsia="Arial" w:hAnsiTheme="minorHAnsi" w:cstheme="minorHAnsi"/>
                <w:b/>
                <w:bCs/>
                <w:color w:val="000000" w:themeColor="text1"/>
                <w:sz w:val="22"/>
                <w:szCs w:val="22"/>
              </w:rPr>
              <w:t>33,532,528</w:t>
            </w:r>
          </w:p>
        </w:tc>
        <w:tc>
          <w:tcPr>
            <w:tcW w:w="3442" w:type="dxa"/>
            <w:tcBorders>
              <w:left w:val="single" w:sz="4" w:space="0" w:color="auto"/>
            </w:tcBorders>
          </w:tcPr>
          <w:p w14:paraId="1F7C62A8" w14:textId="126CA0CB" w:rsidR="00783F1B" w:rsidRPr="00AA49D2" w:rsidRDefault="03DA5F29" w:rsidP="76C15C94">
            <w:pPr>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2.1 Percentage of women in national parliaments </w:t>
            </w:r>
          </w:p>
          <w:p w14:paraId="01E18AB2" w14:textId="77777777" w:rsidR="00783F1B" w:rsidRPr="00AA49D2" w:rsidRDefault="00783F1B" w:rsidP="76C15C94">
            <w:pPr>
              <w:rPr>
                <w:rFonts w:asciiTheme="minorHAnsi" w:eastAsia="Arial" w:hAnsiTheme="minorHAnsi" w:cstheme="minorHAnsi"/>
                <w:sz w:val="22"/>
                <w:szCs w:val="22"/>
                <w:lang w:val="en-US"/>
              </w:rPr>
            </w:pPr>
          </w:p>
          <w:p w14:paraId="5AA92B0A" w14:textId="6F6AD61F" w:rsidR="0EF7D37F" w:rsidRPr="00AA49D2" w:rsidRDefault="0EF7D37F" w:rsidP="76C15C94">
            <w:pPr>
              <w:rPr>
                <w:rFonts w:asciiTheme="minorHAnsi" w:eastAsia="Arial" w:hAnsiTheme="minorHAnsi" w:cstheme="minorHAnsi"/>
                <w:sz w:val="22"/>
                <w:szCs w:val="22"/>
                <w:lang w:val="en-US"/>
              </w:rPr>
            </w:pPr>
          </w:p>
          <w:p w14:paraId="449282F7" w14:textId="6C614C68" w:rsidR="00783F1B" w:rsidRPr="00AA49D2" w:rsidRDefault="03DA5F29" w:rsidP="76C15C94">
            <w:pPr>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2.2 Index of corruption perception </w:t>
            </w:r>
          </w:p>
          <w:p w14:paraId="43B70F54" w14:textId="77777777" w:rsidR="00783F1B" w:rsidRPr="00AA49D2" w:rsidRDefault="00783F1B" w:rsidP="76C15C94">
            <w:pPr>
              <w:rPr>
                <w:rFonts w:asciiTheme="minorHAnsi" w:eastAsia="Arial" w:hAnsiTheme="minorHAnsi" w:cstheme="minorHAnsi"/>
                <w:sz w:val="22"/>
                <w:szCs w:val="22"/>
                <w:lang w:val="en-US"/>
              </w:rPr>
            </w:pPr>
          </w:p>
          <w:p w14:paraId="0ACD8A9B" w14:textId="64680100" w:rsidR="0EF7D37F" w:rsidRPr="00AA49D2" w:rsidRDefault="0EF7D37F" w:rsidP="76C15C94">
            <w:pPr>
              <w:rPr>
                <w:rFonts w:asciiTheme="minorHAnsi" w:eastAsia="Arial" w:hAnsiTheme="minorHAnsi" w:cstheme="minorHAnsi"/>
                <w:sz w:val="22"/>
                <w:szCs w:val="22"/>
                <w:lang w:val="en-US"/>
              </w:rPr>
            </w:pPr>
          </w:p>
          <w:p w14:paraId="3E1BD0D5" w14:textId="4802C889" w:rsidR="00783F1B" w:rsidRPr="00AA49D2" w:rsidRDefault="20088F82" w:rsidP="76C15C94">
            <w:pPr>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2.3 Perception of terrorism as a crime by young people and women </w:t>
            </w:r>
          </w:p>
          <w:p w14:paraId="7F2084AA" w14:textId="491E06E0" w:rsidR="0EF7D37F" w:rsidRPr="00AA49D2" w:rsidRDefault="0EF7D37F" w:rsidP="76C15C94">
            <w:pPr>
              <w:rPr>
                <w:rFonts w:asciiTheme="minorHAnsi" w:eastAsia="Arial" w:hAnsiTheme="minorHAnsi" w:cstheme="minorHAnsi"/>
                <w:sz w:val="22"/>
                <w:szCs w:val="22"/>
                <w:lang w:val="en-US"/>
              </w:rPr>
            </w:pPr>
          </w:p>
          <w:p w14:paraId="1B196760" w14:textId="73689F8D" w:rsidR="0EF7D37F" w:rsidRPr="00AA49D2" w:rsidRDefault="0EF7D37F" w:rsidP="76C15C94">
            <w:pPr>
              <w:rPr>
                <w:rFonts w:asciiTheme="minorHAnsi" w:eastAsia="Arial" w:hAnsiTheme="minorHAnsi" w:cstheme="minorHAnsi"/>
                <w:sz w:val="22"/>
                <w:szCs w:val="22"/>
                <w:lang w:val="en-US"/>
              </w:rPr>
            </w:pPr>
          </w:p>
          <w:p w14:paraId="44BC63D4" w14:textId="021990D8" w:rsidR="0EF7D37F" w:rsidRDefault="0EF7D37F" w:rsidP="76C15C94">
            <w:pPr>
              <w:rPr>
                <w:rFonts w:asciiTheme="minorHAnsi" w:eastAsia="Arial" w:hAnsiTheme="minorHAnsi" w:cstheme="minorHAnsi"/>
                <w:sz w:val="22"/>
                <w:szCs w:val="22"/>
                <w:lang w:val="en-US"/>
              </w:rPr>
            </w:pPr>
          </w:p>
          <w:p w14:paraId="29D664CB" w14:textId="77777777" w:rsidR="00AA49D2" w:rsidRPr="00AA49D2" w:rsidRDefault="00AA49D2" w:rsidP="76C15C94">
            <w:pPr>
              <w:rPr>
                <w:rFonts w:asciiTheme="minorHAnsi" w:eastAsia="Arial" w:hAnsiTheme="minorHAnsi" w:cstheme="minorHAnsi"/>
                <w:sz w:val="22"/>
                <w:szCs w:val="22"/>
                <w:lang w:val="en-US"/>
              </w:rPr>
            </w:pPr>
          </w:p>
          <w:p w14:paraId="4C274795" w14:textId="52CC1289" w:rsidR="00783F1B" w:rsidRPr="00AA49D2" w:rsidRDefault="03DA5F29" w:rsidP="76C15C94">
            <w:pPr>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2.4 Extent to which there is open access to data on government budgets, expenditures, and public procurement </w:t>
            </w:r>
          </w:p>
          <w:p w14:paraId="19F1EE8E" w14:textId="77777777" w:rsidR="00783F1B" w:rsidRPr="00AA49D2" w:rsidRDefault="00783F1B" w:rsidP="76C15C94">
            <w:pPr>
              <w:rPr>
                <w:rFonts w:asciiTheme="minorHAnsi" w:eastAsia="Arial" w:hAnsiTheme="minorHAnsi" w:cstheme="minorHAnsi"/>
                <w:sz w:val="22"/>
                <w:szCs w:val="22"/>
                <w:lang w:val="en-US"/>
              </w:rPr>
            </w:pPr>
          </w:p>
          <w:p w14:paraId="715985BD" w14:textId="4ABC62C1" w:rsidR="00783F1B" w:rsidRPr="00AA49D2" w:rsidRDefault="03DA5F29" w:rsidP="76C15C94">
            <w:pPr>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2.5 Percentage of state expenditures allocated to regional and local levels</w:t>
            </w:r>
          </w:p>
          <w:p w14:paraId="0416DF0C" w14:textId="519D1FF1" w:rsidR="003B037A" w:rsidRPr="00AA49D2" w:rsidRDefault="003B037A" w:rsidP="76C15C94">
            <w:pPr>
              <w:pStyle w:val="BodyText2"/>
              <w:rPr>
                <w:rFonts w:asciiTheme="minorHAnsi" w:eastAsia="Arial" w:hAnsiTheme="minorHAnsi" w:cstheme="minorHAnsi"/>
                <w:i/>
                <w:iCs/>
                <w:sz w:val="22"/>
                <w:szCs w:val="22"/>
              </w:rPr>
            </w:pPr>
          </w:p>
        </w:tc>
        <w:tc>
          <w:tcPr>
            <w:tcW w:w="5529" w:type="dxa"/>
            <w:gridSpan w:val="2"/>
            <w:shd w:val="clear" w:color="auto" w:fill="auto"/>
          </w:tcPr>
          <w:p w14:paraId="09A7CE6A" w14:textId="7D4E24D4" w:rsidR="00783F1B" w:rsidRPr="00AA49D2" w:rsidRDefault="00711828" w:rsidP="002C1526">
            <w:pPr>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lastRenderedPageBreak/>
              <w:t>2</w:t>
            </w:r>
            <w:r w:rsidR="20088F82" w:rsidRPr="00AA49D2">
              <w:rPr>
                <w:rFonts w:asciiTheme="minorHAnsi" w:eastAsia="Arial" w:hAnsiTheme="minorHAnsi" w:cstheme="minorHAnsi"/>
                <w:sz w:val="22"/>
                <w:szCs w:val="22"/>
                <w:lang w:val="en-US"/>
              </w:rPr>
              <w:t>.1</w:t>
            </w:r>
            <w:r w:rsidR="4D966BC4" w:rsidRPr="00AA49D2">
              <w:rPr>
                <w:rFonts w:asciiTheme="minorHAnsi" w:eastAsia="Arial" w:hAnsiTheme="minorHAnsi" w:cstheme="minorHAnsi"/>
                <w:sz w:val="22"/>
                <w:szCs w:val="22"/>
                <w:lang w:val="en-US"/>
              </w:rPr>
              <w:t xml:space="preserve">: </w:t>
            </w:r>
            <w:r w:rsidR="3132FBAD" w:rsidRPr="00AA49D2">
              <w:rPr>
                <w:rFonts w:asciiTheme="minorHAnsi" w:eastAsia="Arial" w:hAnsiTheme="minorHAnsi" w:cstheme="minorHAnsi"/>
                <w:sz w:val="22"/>
                <w:szCs w:val="22"/>
                <w:lang w:val="en-US"/>
              </w:rPr>
              <w:t>S</w:t>
            </w:r>
            <w:r w:rsidR="772B7D65" w:rsidRPr="00AA49D2">
              <w:rPr>
                <w:rFonts w:asciiTheme="minorHAnsi" w:eastAsia="Arial" w:hAnsiTheme="minorHAnsi" w:cstheme="minorHAnsi"/>
                <w:sz w:val="22"/>
                <w:szCs w:val="22"/>
                <w:lang w:val="en-US"/>
              </w:rPr>
              <w:t xml:space="preserve">table with a steady drop from </w:t>
            </w:r>
            <w:r w:rsidR="4D966BC4" w:rsidRPr="00AA49D2">
              <w:rPr>
                <w:rFonts w:asciiTheme="minorHAnsi" w:eastAsia="Arial" w:hAnsiTheme="minorHAnsi" w:cstheme="minorHAnsi"/>
                <w:sz w:val="22"/>
                <w:szCs w:val="22"/>
                <w:lang w:val="en-US"/>
              </w:rPr>
              <w:t>21% to 20%</w:t>
            </w:r>
            <w:r w:rsidR="13457306" w:rsidRPr="00AA49D2">
              <w:rPr>
                <w:rFonts w:asciiTheme="minorHAnsi" w:eastAsia="Arial" w:hAnsiTheme="minorHAnsi" w:cstheme="minorHAnsi"/>
                <w:sz w:val="22"/>
                <w:szCs w:val="22"/>
                <w:lang w:val="en-US"/>
              </w:rPr>
              <w:t>, the proportion of women in the national parli</w:t>
            </w:r>
            <w:r w:rsidR="3E2F5446" w:rsidRPr="00AA49D2">
              <w:rPr>
                <w:rFonts w:asciiTheme="minorHAnsi" w:eastAsia="Arial" w:hAnsiTheme="minorHAnsi" w:cstheme="minorHAnsi"/>
                <w:sz w:val="22"/>
                <w:szCs w:val="22"/>
                <w:lang w:val="en-US"/>
              </w:rPr>
              <w:t>a</w:t>
            </w:r>
            <w:r w:rsidR="13457306" w:rsidRPr="00AA49D2">
              <w:rPr>
                <w:rFonts w:asciiTheme="minorHAnsi" w:eastAsia="Arial" w:hAnsiTheme="minorHAnsi" w:cstheme="minorHAnsi"/>
                <w:sz w:val="22"/>
                <w:szCs w:val="22"/>
                <w:lang w:val="en-US"/>
              </w:rPr>
              <w:t xml:space="preserve">ment </w:t>
            </w:r>
            <w:r w:rsidR="14EE0D93" w:rsidRPr="00AA49D2">
              <w:rPr>
                <w:rFonts w:asciiTheme="minorHAnsi" w:eastAsia="Arial" w:hAnsiTheme="minorHAnsi" w:cstheme="minorHAnsi"/>
                <w:sz w:val="22"/>
                <w:szCs w:val="22"/>
                <w:lang w:val="en-US"/>
              </w:rPr>
              <w:t xml:space="preserve">is still </w:t>
            </w:r>
            <w:r w:rsidR="4D966BC4" w:rsidRPr="00AA49D2">
              <w:rPr>
                <w:rFonts w:asciiTheme="minorHAnsi" w:eastAsia="Arial" w:hAnsiTheme="minorHAnsi" w:cstheme="minorHAnsi"/>
                <w:sz w:val="22"/>
                <w:szCs w:val="22"/>
                <w:lang w:val="en-US"/>
              </w:rPr>
              <w:t>lower compared to the 33% expected</w:t>
            </w:r>
          </w:p>
          <w:p w14:paraId="74E0BC71" w14:textId="77777777" w:rsidR="00783F1B" w:rsidRPr="00AA49D2" w:rsidRDefault="00783F1B" w:rsidP="002C1526">
            <w:pPr>
              <w:jc w:val="both"/>
              <w:rPr>
                <w:rFonts w:asciiTheme="minorHAnsi" w:eastAsia="Arial" w:hAnsiTheme="minorHAnsi" w:cstheme="minorHAnsi"/>
                <w:sz w:val="22"/>
                <w:szCs w:val="22"/>
                <w:lang w:val="en-US"/>
              </w:rPr>
            </w:pPr>
          </w:p>
          <w:p w14:paraId="59944382" w14:textId="7F618C28" w:rsidR="00783F1B" w:rsidRPr="00AA49D2" w:rsidRDefault="20088F82" w:rsidP="002C1526">
            <w:pPr>
              <w:jc w:val="both"/>
              <w:rPr>
                <w:rFonts w:asciiTheme="minorHAnsi" w:eastAsia="Arial" w:hAnsiTheme="minorHAnsi" w:cstheme="minorHAnsi"/>
                <w:color w:val="000000" w:themeColor="text1"/>
                <w:sz w:val="22"/>
                <w:szCs w:val="22"/>
                <w:lang w:val="en-US"/>
              </w:rPr>
            </w:pPr>
            <w:r w:rsidRPr="00AA49D2">
              <w:rPr>
                <w:rFonts w:asciiTheme="minorHAnsi" w:eastAsia="Arial" w:hAnsiTheme="minorHAnsi" w:cstheme="minorHAnsi"/>
                <w:sz w:val="22"/>
                <w:szCs w:val="22"/>
                <w:lang w:val="en-US"/>
              </w:rPr>
              <w:t>2.2</w:t>
            </w:r>
            <w:r w:rsidR="4D966BC4" w:rsidRPr="00AA49D2">
              <w:rPr>
                <w:rFonts w:asciiTheme="minorHAnsi" w:eastAsia="Arial" w:hAnsiTheme="minorHAnsi" w:cstheme="minorHAnsi"/>
                <w:sz w:val="22"/>
                <w:szCs w:val="22"/>
                <w:lang w:val="en-US"/>
              </w:rPr>
              <w:t xml:space="preserve">: </w:t>
            </w:r>
            <w:r w:rsidR="176FDBC1" w:rsidRPr="00AA49D2">
              <w:rPr>
                <w:rFonts w:asciiTheme="minorHAnsi" w:eastAsia="Arial" w:hAnsiTheme="minorHAnsi" w:cstheme="minorHAnsi"/>
                <w:sz w:val="22"/>
                <w:szCs w:val="22"/>
                <w:lang w:val="en-US"/>
              </w:rPr>
              <w:t xml:space="preserve">The Index of corruption perception </w:t>
            </w:r>
            <w:r w:rsidR="4D966BC4" w:rsidRPr="00AA49D2">
              <w:rPr>
                <w:rFonts w:asciiTheme="minorHAnsi" w:eastAsia="Arial" w:hAnsiTheme="minorHAnsi" w:cstheme="minorHAnsi"/>
                <w:sz w:val="22"/>
                <w:szCs w:val="22"/>
                <w:lang w:val="en-US"/>
              </w:rPr>
              <w:t xml:space="preserve">29 % </w:t>
            </w:r>
            <w:r w:rsidR="0B27107D" w:rsidRPr="00AA49D2">
              <w:rPr>
                <w:rFonts w:asciiTheme="minorHAnsi" w:eastAsia="Arial" w:hAnsiTheme="minorHAnsi" w:cstheme="minorHAnsi"/>
                <w:sz w:val="22"/>
                <w:szCs w:val="22"/>
                <w:lang w:val="en-US"/>
              </w:rPr>
              <w:t xml:space="preserve">steadily dropped from 29% to </w:t>
            </w:r>
            <w:r w:rsidR="4D966BC4" w:rsidRPr="00AA49D2">
              <w:rPr>
                <w:rFonts w:asciiTheme="minorHAnsi" w:eastAsia="Arial" w:hAnsiTheme="minorHAnsi" w:cstheme="minorHAnsi"/>
                <w:sz w:val="22"/>
                <w:szCs w:val="22"/>
                <w:lang w:val="en-US"/>
              </w:rPr>
              <w:t>28%</w:t>
            </w:r>
          </w:p>
          <w:p w14:paraId="76ABC674" w14:textId="0CB1F8CF" w:rsidR="0EF7D37F" w:rsidRPr="00AA49D2" w:rsidRDefault="0EF7D37F" w:rsidP="002C1526">
            <w:pPr>
              <w:jc w:val="both"/>
              <w:rPr>
                <w:rFonts w:asciiTheme="minorHAnsi" w:eastAsia="Arial" w:hAnsiTheme="minorHAnsi" w:cstheme="minorHAnsi"/>
                <w:sz w:val="22"/>
                <w:szCs w:val="22"/>
                <w:lang w:val="en-US"/>
              </w:rPr>
            </w:pPr>
          </w:p>
          <w:p w14:paraId="70453A14" w14:textId="0578502A" w:rsidR="00783F1B" w:rsidRPr="00AA49D2" w:rsidRDefault="20088F82" w:rsidP="002C1526">
            <w:pPr>
              <w:spacing w:line="259" w:lineRule="auto"/>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2.3</w:t>
            </w:r>
            <w:r w:rsidR="4D966BC4" w:rsidRPr="00AA49D2">
              <w:rPr>
                <w:rFonts w:asciiTheme="minorHAnsi" w:eastAsia="Arial" w:hAnsiTheme="minorHAnsi" w:cstheme="minorHAnsi"/>
                <w:sz w:val="22"/>
                <w:szCs w:val="22"/>
                <w:lang w:val="en-US"/>
              </w:rPr>
              <w:t xml:space="preserve">: </w:t>
            </w:r>
            <w:r w:rsidR="1F055558" w:rsidRPr="00AA49D2">
              <w:rPr>
                <w:rFonts w:asciiTheme="minorHAnsi" w:eastAsia="Arial" w:hAnsiTheme="minorHAnsi" w:cstheme="minorHAnsi"/>
                <w:sz w:val="22"/>
                <w:szCs w:val="22"/>
                <w:lang w:val="en-US"/>
              </w:rPr>
              <w:t xml:space="preserve">The perception of terrorism as a crime </w:t>
            </w:r>
            <w:r w:rsidR="00CE4F7C">
              <w:rPr>
                <w:rFonts w:asciiTheme="minorHAnsi" w:eastAsia="Arial" w:hAnsiTheme="minorHAnsi" w:cstheme="minorHAnsi"/>
                <w:sz w:val="22"/>
                <w:szCs w:val="22"/>
                <w:lang w:val="en-US"/>
              </w:rPr>
              <w:t>increased</w:t>
            </w:r>
            <w:r w:rsidR="409C1EDF" w:rsidRPr="00AA49D2">
              <w:rPr>
                <w:rFonts w:asciiTheme="minorHAnsi" w:eastAsia="Arial" w:hAnsiTheme="minorHAnsi" w:cstheme="minorHAnsi"/>
                <w:sz w:val="22"/>
                <w:szCs w:val="22"/>
                <w:lang w:val="en-US"/>
              </w:rPr>
              <w:t xml:space="preserve"> globally</w:t>
            </w:r>
            <w:r w:rsidR="1F055558" w:rsidRPr="00AA49D2">
              <w:rPr>
                <w:rFonts w:asciiTheme="minorHAnsi" w:eastAsia="Arial" w:hAnsiTheme="minorHAnsi" w:cstheme="minorHAnsi"/>
                <w:sz w:val="22"/>
                <w:szCs w:val="22"/>
                <w:lang w:val="en-US"/>
              </w:rPr>
              <w:t xml:space="preserve"> from </w:t>
            </w:r>
            <w:r w:rsidR="4D966BC4" w:rsidRPr="00AA49D2">
              <w:rPr>
                <w:rFonts w:asciiTheme="minorHAnsi" w:eastAsia="Arial" w:hAnsiTheme="minorHAnsi" w:cstheme="minorHAnsi"/>
                <w:sz w:val="22"/>
                <w:szCs w:val="22"/>
                <w:lang w:val="en-US"/>
              </w:rPr>
              <w:t>49% to 50%</w:t>
            </w:r>
            <w:r w:rsidR="40DD16DA" w:rsidRPr="00AA49D2">
              <w:rPr>
                <w:rFonts w:asciiTheme="minorHAnsi" w:eastAsia="Arial" w:hAnsiTheme="minorHAnsi" w:cstheme="minorHAnsi"/>
                <w:sz w:val="22"/>
                <w:szCs w:val="22"/>
                <w:lang w:val="en-US"/>
              </w:rPr>
              <w:t xml:space="preserve"> while remaining stable </w:t>
            </w:r>
            <w:r w:rsidR="5E71A6FB" w:rsidRPr="00AA49D2">
              <w:rPr>
                <w:rFonts w:asciiTheme="minorHAnsi" w:eastAsia="Arial" w:hAnsiTheme="minorHAnsi" w:cstheme="minorHAnsi"/>
                <w:sz w:val="22"/>
                <w:szCs w:val="22"/>
                <w:lang w:val="en-US"/>
              </w:rPr>
              <w:t xml:space="preserve">both </w:t>
            </w:r>
            <w:r w:rsidR="40DD16DA" w:rsidRPr="00AA49D2">
              <w:rPr>
                <w:rFonts w:asciiTheme="minorHAnsi" w:eastAsia="Arial" w:hAnsiTheme="minorHAnsi" w:cstheme="minorHAnsi"/>
                <w:sz w:val="22"/>
                <w:szCs w:val="22"/>
                <w:lang w:val="en-US"/>
              </w:rPr>
              <w:t xml:space="preserve">for </w:t>
            </w:r>
            <w:r w:rsidR="40DD16DA" w:rsidRPr="00AA49D2">
              <w:rPr>
                <w:rFonts w:asciiTheme="minorHAnsi" w:eastAsia="Arial" w:hAnsiTheme="minorHAnsi" w:cstheme="minorHAnsi"/>
                <w:sz w:val="22"/>
                <w:szCs w:val="22"/>
                <w:lang w:val="en-US"/>
              </w:rPr>
              <w:lastRenderedPageBreak/>
              <w:t>y</w:t>
            </w:r>
            <w:r w:rsidR="4D966BC4" w:rsidRPr="00AA49D2">
              <w:rPr>
                <w:rFonts w:asciiTheme="minorHAnsi" w:eastAsia="Arial" w:hAnsiTheme="minorHAnsi" w:cstheme="minorHAnsi"/>
                <w:sz w:val="22"/>
                <w:szCs w:val="22"/>
                <w:lang w:val="en-US"/>
              </w:rPr>
              <w:t>oung people</w:t>
            </w:r>
            <w:r w:rsidR="7C89FA5A" w:rsidRPr="00AA49D2">
              <w:rPr>
                <w:rFonts w:asciiTheme="minorHAnsi" w:eastAsia="Arial" w:hAnsiTheme="minorHAnsi" w:cstheme="minorHAnsi"/>
                <w:sz w:val="22"/>
                <w:szCs w:val="22"/>
                <w:lang w:val="en-US"/>
              </w:rPr>
              <w:t xml:space="preserve"> (</w:t>
            </w:r>
            <w:r w:rsidR="4D966BC4" w:rsidRPr="00AA49D2">
              <w:rPr>
                <w:rFonts w:asciiTheme="minorHAnsi" w:eastAsia="Arial" w:hAnsiTheme="minorHAnsi" w:cstheme="minorHAnsi"/>
                <w:sz w:val="22"/>
                <w:szCs w:val="22"/>
                <w:lang w:val="en-US"/>
              </w:rPr>
              <w:t>50%</w:t>
            </w:r>
            <w:r w:rsidR="0BF9F63A" w:rsidRPr="00AA49D2">
              <w:rPr>
                <w:rFonts w:asciiTheme="minorHAnsi" w:eastAsia="Arial" w:hAnsiTheme="minorHAnsi" w:cstheme="minorHAnsi"/>
                <w:sz w:val="22"/>
                <w:szCs w:val="22"/>
                <w:lang w:val="en-US"/>
              </w:rPr>
              <w:t>) and women (</w:t>
            </w:r>
            <w:r w:rsidR="4D966BC4" w:rsidRPr="00AA49D2">
              <w:rPr>
                <w:rFonts w:asciiTheme="minorHAnsi" w:eastAsia="Arial" w:hAnsiTheme="minorHAnsi" w:cstheme="minorHAnsi"/>
                <w:sz w:val="22"/>
                <w:szCs w:val="22"/>
                <w:lang w:val="en-US"/>
              </w:rPr>
              <w:t>49%</w:t>
            </w:r>
            <w:r w:rsidR="7C2CEEB4" w:rsidRPr="00AA49D2">
              <w:rPr>
                <w:rFonts w:asciiTheme="minorHAnsi" w:eastAsia="Arial" w:hAnsiTheme="minorHAnsi" w:cstheme="minorHAnsi"/>
                <w:sz w:val="22"/>
                <w:szCs w:val="22"/>
                <w:lang w:val="en-US"/>
              </w:rPr>
              <w:t>)</w:t>
            </w:r>
            <w:r w:rsidR="13ACD44A" w:rsidRPr="00AA49D2">
              <w:rPr>
                <w:rFonts w:asciiTheme="minorHAnsi" w:eastAsia="Arial" w:hAnsiTheme="minorHAnsi" w:cstheme="minorHAnsi"/>
                <w:sz w:val="22"/>
                <w:szCs w:val="22"/>
                <w:lang w:val="en-US"/>
              </w:rPr>
              <w:t xml:space="preserve"> compared to the baseline.</w:t>
            </w:r>
          </w:p>
          <w:p w14:paraId="23FFCB5D" w14:textId="77777777" w:rsidR="00B44BAC" w:rsidRPr="00AA49D2" w:rsidRDefault="00B44BAC" w:rsidP="002C1526">
            <w:pPr>
              <w:jc w:val="both"/>
              <w:rPr>
                <w:rFonts w:asciiTheme="minorHAnsi" w:eastAsia="Arial" w:hAnsiTheme="minorHAnsi" w:cstheme="minorHAnsi"/>
                <w:sz w:val="22"/>
                <w:szCs w:val="22"/>
                <w:lang w:val="en-US"/>
              </w:rPr>
            </w:pPr>
          </w:p>
          <w:p w14:paraId="4685C065" w14:textId="440F3428" w:rsidR="00783F1B" w:rsidRPr="00AA49D2" w:rsidRDefault="20088F82" w:rsidP="002C1526">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2</w:t>
            </w:r>
            <w:r w:rsidR="4D966BC4" w:rsidRPr="00AA49D2">
              <w:rPr>
                <w:rFonts w:asciiTheme="minorHAnsi" w:eastAsia="Arial" w:hAnsiTheme="minorHAnsi" w:cstheme="minorHAnsi"/>
                <w:sz w:val="22"/>
                <w:szCs w:val="22"/>
                <w:lang w:val="en-US"/>
              </w:rPr>
              <w:t>:</w:t>
            </w:r>
            <w:r w:rsidR="46E53E7E" w:rsidRPr="00AA49D2">
              <w:rPr>
                <w:rFonts w:asciiTheme="minorHAnsi" w:eastAsia="Arial" w:hAnsiTheme="minorHAnsi" w:cstheme="minorHAnsi"/>
                <w:sz w:val="22"/>
                <w:szCs w:val="22"/>
                <w:lang w:val="en-US"/>
              </w:rPr>
              <w:t>4</w:t>
            </w:r>
            <w:r w:rsidR="179EB889" w:rsidRPr="00AA49D2">
              <w:rPr>
                <w:rFonts w:asciiTheme="minorHAnsi" w:eastAsia="Arial" w:hAnsiTheme="minorHAnsi" w:cstheme="minorHAnsi"/>
                <w:sz w:val="22"/>
                <w:szCs w:val="22"/>
                <w:lang w:val="en-US"/>
              </w:rPr>
              <w:t>: The extent to which there is open access to data on government budgets, expenditures, and public procurement</w:t>
            </w:r>
            <w:r w:rsidR="4D966BC4" w:rsidRPr="00AA49D2">
              <w:rPr>
                <w:rFonts w:asciiTheme="minorHAnsi" w:eastAsia="Arial" w:hAnsiTheme="minorHAnsi" w:cstheme="minorHAnsi"/>
                <w:sz w:val="22"/>
                <w:szCs w:val="22"/>
                <w:lang w:val="en-US"/>
              </w:rPr>
              <w:t xml:space="preserve"> </w:t>
            </w:r>
            <w:r w:rsidR="5C51B727" w:rsidRPr="00AA49D2">
              <w:rPr>
                <w:rFonts w:asciiTheme="minorHAnsi" w:eastAsia="Arial" w:hAnsiTheme="minorHAnsi" w:cstheme="minorHAnsi"/>
                <w:sz w:val="22"/>
                <w:szCs w:val="22"/>
                <w:lang w:val="en-US"/>
              </w:rPr>
              <w:t>remained higher (</w:t>
            </w:r>
            <w:r w:rsidR="4D966BC4" w:rsidRPr="00AA49D2">
              <w:rPr>
                <w:rFonts w:asciiTheme="minorHAnsi" w:eastAsia="Arial" w:hAnsiTheme="minorHAnsi" w:cstheme="minorHAnsi"/>
                <w:sz w:val="22"/>
                <w:szCs w:val="22"/>
                <w:lang w:val="en-US"/>
              </w:rPr>
              <w:t>3</w:t>
            </w:r>
            <w:r w:rsidR="34400CA6" w:rsidRPr="00AA49D2">
              <w:rPr>
                <w:rFonts w:asciiTheme="minorHAnsi" w:eastAsia="Arial" w:hAnsiTheme="minorHAnsi" w:cstheme="minorHAnsi"/>
                <w:sz w:val="22"/>
                <w:szCs w:val="22"/>
                <w:lang w:val="en-US"/>
              </w:rPr>
              <w:t xml:space="preserve"> points</w:t>
            </w:r>
            <w:r w:rsidR="4D966BC4" w:rsidRPr="00AA49D2">
              <w:rPr>
                <w:rFonts w:asciiTheme="minorHAnsi" w:eastAsia="Arial" w:hAnsiTheme="minorHAnsi" w:cstheme="minorHAnsi"/>
                <w:sz w:val="22"/>
                <w:szCs w:val="22"/>
                <w:lang w:val="en-US"/>
              </w:rPr>
              <w:t xml:space="preserve"> </w:t>
            </w:r>
            <w:r w:rsidR="4434E043" w:rsidRPr="00AA49D2">
              <w:rPr>
                <w:rFonts w:asciiTheme="minorHAnsi" w:eastAsia="Arial" w:hAnsiTheme="minorHAnsi" w:cstheme="minorHAnsi"/>
                <w:sz w:val="22"/>
                <w:szCs w:val="22"/>
                <w:lang w:val="en-US"/>
              </w:rPr>
              <w:t>over 4</w:t>
            </w:r>
            <w:r w:rsidR="5BB55076" w:rsidRPr="00AA49D2">
              <w:rPr>
                <w:rFonts w:asciiTheme="minorHAnsi" w:eastAsia="Arial" w:hAnsiTheme="minorHAnsi" w:cstheme="minorHAnsi"/>
                <w:sz w:val="22"/>
                <w:szCs w:val="22"/>
                <w:lang w:val="en-US"/>
              </w:rPr>
              <w:t>).</w:t>
            </w:r>
          </w:p>
          <w:p w14:paraId="0A972969" w14:textId="77777777" w:rsidR="00783F1B" w:rsidRPr="00AA49D2" w:rsidRDefault="00783F1B" w:rsidP="002C1526">
            <w:pPr>
              <w:pStyle w:val="BodyText2"/>
              <w:jc w:val="both"/>
              <w:rPr>
                <w:rFonts w:asciiTheme="minorHAnsi" w:eastAsia="Arial" w:hAnsiTheme="minorHAnsi" w:cstheme="minorHAnsi"/>
                <w:sz w:val="22"/>
                <w:szCs w:val="22"/>
                <w:lang w:eastAsia="fr-FR"/>
              </w:rPr>
            </w:pPr>
          </w:p>
          <w:p w14:paraId="4D7045A3" w14:textId="16D81E3F" w:rsidR="00783F1B" w:rsidRPr="00AA49D2" w:rsidRDefault="00783F1B" w:rsidP="002C1526">
            <w:pPr>
              <w:pStyle w:val="BodyText2"/>
              <w:jc w:val="both"/>
              <w:rPr>
                <w:rFonts w:asciiTheme="minorHAnsi" w:eastAsia="Arial" w:hAnsiTheme="minorHAnsi" w:cstheme="minorHAnsi"/>
                <w:sz w:val="22"/>
                <w:szCs w:val="22"/>
                <w:lang w:eastAsia="fr-FR"/>
              </w:rPr>
            </w:pPr>
          </w:p>
          <w:p w14:paraId="0416DF0E" w14:textId="34ACEB3D" w:rsidR="003B037A" w:rsidRPr="00AA49D2" w:rsidRDefault="20088F82" w:rsidP="002C1526">
            <w:pPr>
              <w:pStyle w:val="BodyText2"/>
              <w:jc w:val="both"/>
              <w:rPr>
                <w:rFonts w:asciiTheme="minorHAnsi" w:eastAsia="Arial" w:hAnsiTheme="minorHAnsi" w:cstheme="minorHAnsi"/>
                <w:sz w:val="22"/>
                <w:szCs w:val="22"/>
                <w:lang w:eastAsia="fr-FR"/>
              </w:rPr>
            </w:pPr>
            <w:r w:rsidRPr="00AA49D2">
              <w:rPr>
                <w:rFonts w:asciiTheme="minorHAnsi" w:eastAsia="Arial" w:hAnsiTheme="minorHAnsi" w:cstheme="minorHAnsi"/>
                <w:sz w:val="22"/>
                <w:szCs w:val="22"/>
                <w:lang w:eastAsia="fr-FR"/>
              </w:rPr>
              <w:t>2.5</w:t>
            </w:r>
            <w:r w:rsidR="53602557" w:rsidRPr="00AA49D2">
              <w:rPr>
                <w:rFonts w:asciiTheme="minorHAnsi" w:eastAsia="Arial" w:hAnsiTheme="minorHAnsi" w:cstheme="minorHAnsi"/>
                <w:sz w:val="22"/>
                <w:szCs w:val="22"/>
                <w:lang w:eastAsia="fr-FR"/>
              </w:rPr>
              <w:t xml:space="preserve">: </w:t>
            </w:r>
            <w:r w:rsidR="21E7AA91" w:rsidRPr="00AA49D2">
              <w:rPr>
                <w:rFonts w:asciiTheme="minorHAnsi" w:eastAsia="Arial" w:hAnsiTheme="minorHAnsi" w:cstheme="minorHAnsi"/>
                <w:sz w:val="22"/>
                <w:szCs w:val="22"/>
                <w:lang w:eastAsia="fr-FR"/>
              </w:rPr>
              <w:t xml:space="preserve">The </w:t>
            </w:r>
            <w:r w:rsidR="21E7AA91" w:rsidRPr="00AA49D2">
              <w:rPr>
                <w:rFonts w:asciiTheme="minorHAnsi" w:eastAsia="Arial" w:hAnsiTheme="minorHAnsi" w:cstheme="minorHAnsi"/>
                <w:sz w:val="22"/>
                <w:szCs w:val="22"/>
              </w:rPr>
              <w:t>percentage of state expenditures allocated to regional and local levels</w:t>
            </w:r>
            <w:r w:rsidR="21E7AA91" w:rsidRPr="00AA49D2">
              <w:rPr>
                <w:rFonts w:asciiTheme="minorHAnsi" w:eastAsia="Arial" w:hAnsiTheme="minorHAnsi" w:cstheme="minorHAnsi"/>
                <w:sz w:val="22"/>
                <w:szCs w:val="22"/>
                <w:lang w:eastAsia="fr-FR"/>
              </w:rPr>
              <w:t xml:space="preserve"> remained stable with a steady drop f</w:t>
            </w:r>
            <w:r w:rsidR="53602557" w:rsidRPr="00AA49D2">
              <w:rPr>
                <w:rFonts w:asciiTheme="minorHAnsi" w:eastAsia="Arial" w:hAnsiTheme="minorHAnsi" w:cstheme="minorHAnsi"/>
                <w:sz w:val="22"/>
                <w:szCs w:val="22"/>
                <w:lang w:eastAsia="fr-FR"/>
              </w:rPr>
              <w:t>rom 9% to 8%</w:t>
            </w:r>
            <w:r w:rsidR="28CEB1C7" w:rsidRPr="00AA49D2">
              <w:rPr>
                <w:rFonts w:asciiTheme="minorHAnsi" w:eastAsia="Arial" w:hAnsiTheme="minorHAnsi" w:cstheme="minorHAnsi"/>
                <w:sz w:val="22"/>
                <w:szCs w:val="22"/>
                <w:lang w:eastAsia="fr-FR"/>
              </w:rPr>
              <w:t>.</w:t>
            </w:r>
          </w:p>
        </w:tc>
      </w:tr>
      <w:tr w:rsidR="00F225B6" w:rsidRPr="00303DAB" w14:paraId="76822C90" w14:textId="77777777" w:rsidTr="00DB7FD5">
        <w:trPr>
          <w:gridAfter w:val="1"/>
          <w:wAfter w:w="29" w:type="dxa"/>
        </w:trPr>
        <w:tc>
          <w:tcPr>
            <w:tcW w:w="14011" w:type="dxa"/>
            <w:gridSpan w:val="8"/>
            <w:shd w:val="clear" w:color="auto" w:fill="auto"/>
          </w:tcPr>
          <w:p w14:paraId="1401783F" w14:textId="77777777" w:rsidR="002C10C5" w:rsidRPr="00AA49D2" w:rsidRDefault="002C10C5" w:rsidP="002C10C5">
            <w:pPr>
              <w:pStyle w:val="BodyText2"/>
              <w:jc w:val="both"/>
              <w:rPr>
                <w:rFonts w:asciiTheme="minorHAnsi" w:eastAsia="Arial" w:hAnsiTheme="minorHAnsi" w:cstheme="minorHAnsi"/>
                <w:b/>
                <w:bCs/>
                <w:sz w:val="22"/>
                <w:szCs w:val="22"/>
              </w:rPr>
            </w:pPr>
            <w:r w:rsidRPr="00AA49D2">
              <w:rPr>
                <w:rFonts w:asciiTheme="minorHAnsi" w:eastAsia="Arial" w:hAnsiTheme="minorHAnsi" w:cstheme="minorHAnsi"/>
                <w:b/>
                <w:bCs/>
                <w:sz w:val="22"/>
                <w:szCs w:val="22"/>
              </w:rPr>
              <w:lastRenderedPageBreak/>
              <w:t>UNDP Contribution:</w:t>
            </w:r>
          </w:p>
          <w:p w14:paraId="176EB552" w14:textId="77777777" w:rsidR="002C10C5" w:rsidRPr="00AA49D2" w:rsidRDefault="002C10C5" w:rsidP="002C10C5">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The UNDP strategic choices highly contributed to lay the structural foundations for an improvement in the population’s living environment, building on justice modernization and an inclusive digital transformation that articulates the government priorities in term of the national digital Agenda and local taxation as levers for accelerating development, as well as the channeling of Zakat revenues into local socio-economic investments and the operationalization of decentralization allowing the consolidation of the development of local governance.         </w:t>
            </w:r>
          </w:p>
          <w:p w14:paraId="0D2ED99E" w14:textId="77777777" w:rsidR="002C10C5" w:rsidRPr="00AA49D2" w:rsidRDefault="002C10C5" w:rsidP="002C10C5">
            <w:pPr>
              <w:pStyle w:val="BodyText2"/>
              <w:jc w:val="both"/>
              <w:rPr>
                <w:rFonts w:asciiTheme="minorHAnsi" w:eastAsia="Arial" w:hAnsiTheme="minorHAnsi" w:cstheme="minorHAnsi"/>
                <w:sz w:val="22"/>
                <w:szCs w:val="22"/>
              </w:rPr>
            </w:pPr>
          </w:p>
          <w:p w14:paraId="595F392B" w14:textId="77777777" w:rsidR="002C10C5" w:rsidRPr="00AA49D2" w:rsidRDefault="002C10C5" w:rsidP="002C10C5">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u w:val="single"/>
              </w:rPr>
              <w:t>Progress and Achievements in CP Outputs</w:t>
            </w:r>
            <w:r w:rsidRPr="00AA49D2">
              <w:rPr>
                <w:rFonts w:asciiTheme="minorHAnsi" w:eastAsia="Arial" w:hAnsiTheme="minorHAnsi" w:cstheme="minorHAnsi"/>
                <w:sz w:val="22"/>
                <w:szCs w:val="22"/>
              </w:rPr>
              <w:t>:</w:t>
            </w:r>
          </w:p>
          <w:p w14:paraId="35211E5C" w14:textId="77777777" w:rsidR="002C10C5" w:rsidRPr="00AA49D2" w:rsidRDefault="002C10C5" w:rsidP="002C10C5">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The country programme has identified the following priorities, taking into consideration the social and economic factors:  (i) operationalizing frameworks and mechanisms for citizen participation in democratic processes, and in the monitoring of public action, particularly women and youth; (ii) modernizing of public administration using digital transformation to enhance efficiency, and accountability; (iii) bringing justice closer to the citizen; (iv) consolidating decentralization; (v) strengthening the public policies strategic planning and monitoring frameworks, including blended financing compliant with environmental sustainability, and gender equality to reduce inequalities. </w:t>
            </w:r>
          </w:p>
          <w:p w14:paraId="52966CF0" w14:textId="77777777" w:rsidR="002C10C5" w:rsidRPr="00AA49D2" w:rsidRDefault="002C10C5" w:rsidP="002C10C5">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 </w:t>
            </w:r>
          </w:p>
          <w:p w14:paraId="6FDE11E5" w14:textId="77777777" w:rsidR="002C10C5" w:rsidRPr="00AA49D2" w:rsidRDefault="002C10C5" w:rsidP="002C10C5">
            <w:pPr>
              <w:pStyle w:val="ListParagraph"/>
              <w:numPr>
                <w:ilvl w:val="0"/>
                <w:numId w:val="12"/>
              </w:numPr>
              <w:jc w:val="both"/>
              <w:rPr>
                <w:rFonts w:asciiTheme="minorHAnsi" w:eastAsia="Arial" w:hAnsiTheme="minorHAnsi" w:cstheme="minorHAnsi"/>
                <w:sz w:val="22"/>
                <w:szCs w:val="22"/>
              </w:rPr>
            </w:pPr>
            <w:r w:rsidRPr="00AA49D2">
              <w:rPr>
                <w:rFonts w:asciiTheme="minorHAnsi" w:eastAsia="Arial" w:hAnsiTheme="minorHAnsi" w:cstheme="minorHAnsi"/>
                <w:b/>
                <w:bCs/>
                <w:sz w:val="22"/>
                <w:szCs w:val="22"/>
              </w:rPr>
              <w:t>Output 2.1</w:t>
            </w:r>
            <w:r w:rsidRPr="00AA49D2">
              <w:rPr>
                <w:rFonts w:asciiTheme="minorHAnsi" w:eastAsia="Arial" w:hAnsiTheme="minorHAnsi" w:cstheme="minorHAnsi"/>
                <w:sz w:val="22"/>
                <w:szCs w:val="22"/>
              </w:rPr>
              <w:t>: Overall, the technical and organizational capacities of ju</w:t>
            </w:r>
            <w:r>
              <w:rPr>
                <w:rFonts w:asciiTheme="minorHAnsi" w:eastAsia="Arial" w:hAnsiTheme="minorHAnsi" w:cstheme="minorHAnsi"/>
                <w:sz w:val="22"/>
                <w:szCs w:val="22"/>
              </w:rPr>
              <w:t>dicial</w:t>
            </w:r>
            <w:r w:rsidRPr="00AA49D2">
              <w:rPr>
                <w:rFonts w:asciiTheme="minorHAnsi" w:eastAsia="Arial" w:hAnsiTheme="minorHAnsi" w:cstheme="minorHAnsi"/>
                <w:sz w:val="22"/>
                <w:szCs w:val="22"/>
              </w:rPr>
              <w:t xml:space="preserve"> actors have been tremendously strengthened for law enforcement. The opening up of the judicial service offer</w:t>
            </w:r>
            <w:r>
              <w:rPr>
                <w:rFonts w:asciiTheme="minorHAnsi" w:eastAsia="Arial" w:hAnsiTheme="minorHAnsi" w:cstheme="minorHAnsi"/>
                <w:sz w:val="22"/>
                <w:szCs w:val="22"/>
              </w:rPr>
              <w:t xml:space="preserve"> has</w:t>
            </w:r>
            <w:r w:rsidRPr="00AA49D2">
              <w:rPr>
                <w:rFonts w:asciiTheme="minorHAnsi" w:eastAsia="Arial" w:hAnsiTheme="minorHAnsi" w:cstheme="minorHAnsi"/>
                <w:sz w:val="22"/>
                <w:szCs w:val="22"/>
              </w:rPr>
              <w:t xml:space="preserve"> facilitated the awareness and the assistance of more than 1,000,000 million people, through the operationalization of regional houses of justice, and the qualification of more than 2 000 agents and actors of justice. Overall, 15 courts of justice at the national (03) and subnational (12) level were organized and equipped for delivering Justice record.</w:t>
            </w:r>
          </w:p>
          <w:p w14:paraId="35616ECF" w14:textId="77777777" w:rsidR="002C10C5" w:rsidRPr="00AA49D2" w:rsidRDefault="002C10C5" w:rsidP="002C10C5">
            <w:pPr>
              <w:jc w:val="both"/>
              <w:rPr>
                <w:rFonts w:asciiTheme="minorHAnsi" w:eastAsia="Arial" w:hAnsiTheme="minorHAnsi" w:cstheme="minorHAnsi"/>
                <w:sz w:val="22"/>
                <w:szCs w:val="22"/>
                <w:lang w:val="en-US"/>
              </w:rPr>
            </w:pPr>
          </w:p>
          <w:p w14:paraId="75E4D556" w14:textId="77777777" w:rsidR="002C10C5" w:rsidRPr="00AA49D2" w:rsidRDefault="002C10C5" w:rsidP="002C10C5">
            <w:pPr>
              <w:pStyle w:val="ListParagraph"/>
              <w:numPr>
                <w:ilvl w:val="0"/>
                <w:numId w:val="13"/>
              </w:numPr>
              <w:jc w:val="both"/>
              <w:rPr>
                <w:rFonts w:asciiTheme="minorHAnsi" w:eastAsia="Arial" w:hAnsiTheme="minorHAnsi" w:cstheme="minorHAnsi"/>
                <w:sz w:val="22"/>
                <w:szCs w:val="22"/>
              </w:rPr>
            </w:pPr>
            <w:r w:rsidRPr="00AA49D2">
              <w:rPr>
                <w:rFonts w:asciiTheme="minorHAnsi" w:eastAsia="Arial" w:hAnsiTheme="minorHAnsi" w:cstheme="minorHAnsi"/>
                <w:b/>
                <w:bCs/>
                <w:sz w:val="22"/>
                <w:szCs w:val="22"/>
              </w:rPr>
              <w:t>Output 2.2</w:t>
            </w:r>
            <w:r w:rsidRPr="00AA49D2">
              <w:rPr>
                <w:rFonts w:asciiTheme="minorHAnsi" w:eastAsia="Arial" w:hAnsiTheme="minorHAnsi" w:cstheme="minorHAnsi"/>
                <w:sz w:val="22"/>
                <w:szCs w:val="22"/>
              </w:rPr>
              <w:t xml:space="preserve">: Capacities of three (03) operational CSOs legally authorized to represent victims in the justice system were strengthened and supported by UNDP. </w:t>
            </w:r>
          </w:p>
          <w:p w14:paraId="66D931C9" w14:textId="77777777" w:rsidR="002C10C5" w:rsidRPr="00AA49D2" w:rsidRDefault="002C10C5" w:rsidP="002C10C5">
            <w:pPr>
              <w:pStyle w:val="ListParagraph"/>
              <w:ind w:left="0"/>
              <w:jc w:val="both"/>
              <w:rPr>
                <w:rFonts w:asciiTheme="minorHAnsi" w:eastAsia="Arial" w:hAnsiTheme="minorHAnsi" w:cstheme="minorHAnsi"/>
                <w:sz w:val="22"/>
                <w:szCs w:val="22"/>
              </w:rPr>
            </w:pPr>
          </w:p>
          <w:p w14:paraId="3557DB70" w14:textId="77777777" w:rsidR="002C10C5" w:rsidRPr="00AA49D2" w:rsidRDefault="002C10C5" w:rsidP="002C10C5">
            <w:pPr>
              <w:pStyle w:val="ListParagraph"/>
              <w:numPr>
                <w:ilvl w:val="0"/>
                <w:numId w:val="37"/>
              </w:numPr>
              <w:jc w:val="both"/>
              <w:rPr>
                <w:rFonts w:asciiTheme="minorHAnsi" w:eastAsia="Arial" w:hAnsiTheme="minorHAnsi" w:cstheme="minorHAnsi"/>
                <w:sz w:val="22"/>
                <w:szCs w:val="22"/>
              </w:rPr>
            </w:pPr>
            <w:r w:rsidRPr="00AA49D2">
              <w:rPr>
                <w:rFonts w:asciiTheme="minorHAnsi" w:eastAsia="Arial" w:hAnsiTheme="minorHAnsi" w:cstheme="minorHAnsi"/>
                <w:b/>
                <w:bCs/>
                <w:sz w:val="22"/>
                <w:szCs w:val="22"/>
              </w:rPr>
              <w:lastRenderedPageBreak/>
              <w:t>Output 2.3</w:t>
            </w:r>
            <w:r w:rsidRPr="00AA49D2">
              <w:rPr>
                <w:rFonts w:asciiTheme="minorHAnsi" w:eastAsia="Arial" w:hAnsiTheme="minorHAnsi" w:cstheme="minorHAnsi"/>
                <w:sz w:val="22"/>
                <w:szCs w:val="22"/>
              </w:rPr>
              <w:t xml:space="preserve">: The vulnerable groups, particularly women and youth, were supported and have been able to play an important role in community early warning committees. </w:t>
            </w:r>
            <w:r>
              <w:rPr>
                <w:rFonts w:asciiTheme="minorHAnsi" w:eastAsia="Arial" w:hAnsiTheme="minorHAnsi" w:cstheme="minorHAnsi"/>
                <w:sz w:val="22"/>
                <w:szCs w:val="22"/>
              </w:rPr>
              <w:t>In this regard,</w:t>
            </w:r>
            <w:r w:rsidRPr="00AA49D2">
              <w:rPr>
                <w:rFonts w:asciiTheme="minorHAnsi" w:eastAsia="Arial" w:hAnsiTheme="minorHAnsi" w:cstheme="minorHAnsi"/>
                <w:sz w:val="22"/>
                <w:szCs w:val="22"/>
              </w:rPr>
              <w:t xml:space="preserve"> </w:t>
            </w:r>
            <w:r>
              <w:rPr>
                <w:rFonts w:asciiTheme="minorHAnsi" w:eastAsia="Arial" w:hAnsiTheme="minorHAnsi" w:cstheme="minorHAnsi"/>
                <w:sz w:val="22"/>
                <w:szCs w:val="22"/>
              </w:rPr>
              <w:t>i</w:t>
            </w:r>
            <w:r w:rsidRPr="00AA49D2">
              <w:rPr>
                <w:rFonts w:asciiTheme="minorHAnsi" w:eastAsia="Arial" w:hAnsiTheme="minorHAnsi" w:cstheme="minorHAnsi"/>
                <w:sz w:val="22"/>
                <w:szCs w:val="22"/>
              </w:rPr>
              <w:t xml:space="preserve">ncome generated activities were created to improve their resilience to climate risks. </w:t>
            </w:r>
            <w:r>
              <w:rPr>
                <w:rFonts w:asciiTheme="minorHAnsi" w:eastAsia="Arial" w:hAnsiTheme="minorHAnsi" w:cstheme="minorHAnsi"/>
                <w:sz w:val="22"/>
                <w:szCs w:val="22"/>
              </w:rPr>
              <w:t>Overall</w:t>
            </w:r>
            <w:r w:rsidRPr="00AA49D2">
              <w:rPr>
                <w:rFonts w:asciiTheme="minorHAnsi" w:eastAsia="Arial" w:hAnsiTheme="minorHAnsi" w:cstheme="minorHAnsi"/>
                <w:sz w:val="22"/>
                <w:szCs w:val="22"/>
              </w:rPr>
              <w:t xml:space="preserve">, the livelihoods and economic autonomy of 5,097 people were improved, including 3,568 women and 300 youths. About 120 people had a direct access to legal aid services (80 men and 40 women).  </w:t>
            </w:r>
          </w:p>
          <w:p w14:paraId="068A355A" w14:textId="77777777" w:rsidR="002C10C5" w:rsidRPr="00AA49D2" w:rsidRDefault="002C10C5" w:rsidP="002C10C5">
            <w:pPr>
              <w:jc w:val="both"/>
              <w:rPr>
                <w:rFonts w:asciiTheme="minorHAnsi" w:eastAsia="Arial" w:hAnsiTheme="minorHAnsi" w:cstheme="minorHAnsi"/>
                <w:sz w:val="22"/>
                <w:szCs w:val="22"/>
                <w:lang w:val="en-US"/>
              </w:rPr>
            </w:pPr>
          </w:p>
          <w:p w14:paraId="7F2D731E" w14:textId="77777777" w:rsidR="002C10C5" w:rsidRPr="00AA49D2" w:rsidRDefault="002C10C5" w:rsidP="002C10C5">
            <w:pPr>
              <w:pStyle w:val="ListParagraph"/>
              <w:numPr>
                <w:ilvl w:val="0"/>
                <w:numId w:val="11"/>
              </w:numPr>
              <w:spacing w:line="259" w:lineRule="auto"/>
              <w:jc w:val="both"/>
              <w:rPr>
                <w:rFonts w:asciiTheme="minorHAnsi" w:eastAsia="Arial" w:hAnsiTheme="minorHAnsi" w:cstheme="minorHAnsi"/>
                <w:sz w:val="22"/>
                <w:szCs w:val="22"/>
              </w:rPr>
            </w:pPr>
            <w:r w:rsidRPr="00AA49D2">
              <w:rPr>
                <w:rFonts w:asciiTheme="minorHAnsi" w:eastAsia="Arial" w:hAnsiTheme="minorHAnsi" w:cstheme="minorHAnsi"/>
                <w:b/>
                <w:bCs/>
                <w:sz w:val="22"/>
                <w:szCs w:val="22"/>
              </w:rPr>
              <w:t>Output 2.4:</w:t>
            </w:r>
            <w:r w:rsidRPr="00AA49D2">
              <w:rPr>
                <w:rFonts w:asciiTheme="minorHAnsi" w:eastAsia="Arial" w:hAnsiTheme="minorHAnsi" w:cstheme="minorHAnsi"/>
                <w:sz w:val="22"/>
                <w:szCs w:val="22"/>
              </w:rPr>
              <w:t xml:space="preserve"> The national inclusive gender framework was developed in partnership with UNWOMEN and is under dissemination. Capacities of diverse local administrations were strengthened </w:t>
            </w:r>
            <w:r w:rsidRPr="00AA49D2">
              <w:rPr>
                <w:rFonts w:asciiTheme="minorHAnsi" w:eastAsia="Arial" w:hAnsiTheme="minorHAnsi" w:cstheme="minorHAnsi"/>
                <w:color w:val="444444"/>
                <w:sz w:val="22"/>
                <w:szCs w:val="22"/>
                <w:shd w:val="clear" w:color="auto" w:fill="FFFFFF"/>
              </w:rPr>
              <w:t>for budgeting (</w:t>
            </w:r>
            <w:r w:rsidRPr="00AA49D2">
              <w:rPr>
                <w:rFonts w:asciiTheme="minorHAnsi" w:eastAsia="Arial" w:hAnsiTheme="minorHAnsi" w:cstheme="minorHAnsi"/>
                <w:sz w:val="22"/>
                <w:szCs w:val="22"/>
              </w:rPr>
              <w:t xml:space="preserve">3), </w:t>
            </w:r>
            <w:r w:rsidRPr="00AA49D2">
              <w:rPr>
                <w:rFonts w:asciiTheme="minorHAnsi" w:eastAsia="Arial" w:hAnsiTheme="minorHAnsi" w:cstheme="minorHAnsi"/>
                <w:color w:val="444444"/>
                <w:sz w:val="22"/>
                <w:szCs w:val="22"/>
                <w:shd w:val="clear" w:color="auto" w:fill="FFFFFF"/>
              </w:rPr>
              <w:t>monitoring (</w:t>
            </w:r>
            <w:r w:rsidRPr="00AA49D2">
              <w:rPr>
                <w:rFonts w:asciiTheme="minorHAnsi" w:eastAsia="Arial" w:hAnsiTheme="minorHAnsi" w:cstheme="minorHAnsi"/>
                <w:sz w:val="22"/>
                <w:szCs w:val="22"/>
              </w:rPr>
              <w:t>2), and</w:t>
            </w:r>
            <w:r w:rsidRPr="00AA49D2">
              <w:rPr>
                <w:rFonts w:asciiTheme="minorHAnsi" w:eastAsia="Arial" w:hAnsiTheme="minorHAnsi" w:cstheme="minorHAnsi"/>
                <w:color w:val="444444"/>
                <w:sz w:val="22"/>
                <w:szCs w:val="22"/>
                <w:shd w:val="clear" w:color="auto" w:fill="FFFFFF"/>
              </w:rPr>
              <w:t xml:space="preserve"> planning (</w:t>
            </w:r>
            <w:r w:rsidRPr="00AA49D2">
              <w:rPr>
                <w:rFonts w:asciiTheme="minorHAnsi" w:eastAsia="Arial" w:hAnsiTheme="minorHAnsi" w:cstheme="minorHAnsi"/>
                <w:sz w:val="22"/>
                <w:szCs w:val="22"/>
              </w:rPr>
              <w:t xml:space="preserve">3). At the vein, six (06) regional SCAPP-based were developed.  </w:t>
            </w:r>
          </w:p>
          <w:p w14:paraId="0DA6334C" w14:textId="77777777" w:rsidR="002C10C5" w:rsidRPr="00AA49D2" w:rsidRDefault="002C10C5" w:rsidP="001651BC">
            <w:pPr>
              <w:jc w:val="both"/>
              <w:rPr>
                <w:rFonts w:asciiTheme="minorHAnsi" w:eastAsia="Arial" w:hAnsiTheme="minorHAnsi" w:cstheme="minorHAnsi"/>
                <w:sz w:val="22"/>
                <w:szCs w:val="22"/>
                <w:lang w:val="en-US"/>
              </w:rPr>
            </w:pPr>
          </w:p>
          <w:p w14:paraId="3C0AA594" w14:textId="77777777" w:rsidR="002C10C5" w:rsidRPr="00AA49D2" w:rsidRDefault="002C10C5" w:rsidP="002C10C5">
            <w:pPr>
              <w:pStyle w:val="ListParagraph"/>
              <w:numPr>
                <w:ilvl w:val="0"/>
                <w:numId w:val="10"/>
              </w:numPr>
              <w:jc w:val="both"/>
              <w:rPr>
                <w:rFonts w:asciiTheme="minorHAnsi" w:eastAsia="Arial" w:hAnsiTheme="minorHAnsi" w:cstheme="minorHAnsi"/>
                <w:color w:val="444444"/>
                <w:sz w:val="22"/>
                <w:szCs w:val="22"/>
              </w:rPr>
            </w:pPr>
            <w:r w:rsidRPr="00AA49D2">
              <w:rPr>
                <w:rFonts w:asciiTheme="minorHAnsi" w:eastAsia="Arial" w:hAnsiTheme="minorHAnsi" w:cstheme="minorHAnsi"/>
                <w:b/>
                <w:bCs/>
                <w:sz w:val="22"/>
                <w:szCs w:val="22"/>
              </w:rPr>
              <w:t>Output 2.5</w:t>
            </w:r>
            <w:r w:rsidRPr="00AA49D2">
              <w:rPr>
                <w:rFonts w:asciiTheme="minorHAnsi" w:eastAsia="Arial" w:hAnsiTheme="minorHAnsi" w:cstheme="minorHAnsi"/>
                <w:sz w:val="22"/>
                <w:szCs w:val="22"/>
              </w:rPr>
              <w:t xml:space="preserve">: The number of women supported by UNDP participating as candidates in elections was quite impressive (505 with 282 for local and 223 for national) compared to the expectations (400). For the youth, 160 people were supported by UNDP, thus 40 youth men </w:t>
            </w:r>
            <w:r w:rsidRPr="00AA49D2">
              <w:rPr>
                <w:rFonts w:asciiTheme="minorHAnsi" w:eastAsia="Arial" w:hAnsiTheme="minorHAnsi" w:cstheme="minorHAnsi"/>
                <w:color w:val="444444"/>
                <w:sz w:val="22"/>
                <w:szCs w:val="22"/>
              </w:rPr>
              <w:t xml:space="preserve">in national elections and </w:t>
            </w:r>
            <w:r w:rsidRPr="00AA49D2">
              <w:rPr>
                <w:rFonts w:asciiTheme="minorHAnsi" w:eastAsia="Arial" w:hAnsiTheme="minorHAnsi" w:cstheme="minorHAnsi"/>
                <w:sz w:val="22"/>
                <w:szCs w:val="22"/>
              </w:rPr>
              <w:t xml:space="preserve">20 </w:t>
            </w:r>
            <w:r w:rsidRPr="00AA49D2">
              <w:rPr>
                <w:rFonts w:asciiTheme="minorHAnsi" w:eastAsia="Arial" w:hAnsiTheme="minorHAnsi" w:cstheme="minorHAnsi"/>
                <w:color w:val="444444"/>
                <w:sz w:val="22"/>
                <w:szCs w:val="22"/>
              </w:rPr>
              <w:t xml:space="preserve">in local elections; and 40 young women in national elections and 60 in local elections. </w:t>
            </w:r>
          </w:p>
          <w:p w14:paraId="7F7EF6BA" w14:textId="77777777" w:rsidR="002C10C5" w:rsidRPr="00AA49D2" w:rsidRDefault="002C10C5" w:rsidP="002C10C5">
            <w:pPr>
              <w:jc w:val="both"/>
              <w:rPr>
                <w:rFonts w:asciiTheme="minorHAnsi" w:eastAsia="Arial" w:hAnsiTheme="minorHAnsi" w:cstheme="minorHAnsi"/>
                <w:sz w:val="22"/>
                <w:szCs w:val="22"/>
                <w:lang w:val="en-US"/>
              </w:rPr>
            </w:pPr>
          </w:p>
          <w:p w14:paraId="0BC8CBF0" w14:textId="7EFDD1FE" w:rsidR="00F225B6" w:rsidRPr="002C10C5" w:rsidRDefault="002C10C5" w:rsidP="00BF2FBF">
            <w:pPr>
              <w:pStyle w:val="ListParagraph"/>
              <w:numPr>
                <w:ilvl w:val="0"/>
                <w:numId w:val="9"/>
              </w:numPr>
              <w:jc w:val="both"/>
              <w:rPr>
                <w:rFonts w:asciiTheme="minorHAnsi" w:eastAsia="Arial" w:hAnsiTheme="minorHAnsi" w:cstheme="minorHAnsi"/>
                <w:sz w:val="22"/>
                <w:szCs w:val="22"/>
              </w:rPr>
            </w:pPr>
            <w:r w:rsidRPr="002C10C5">
              <w:rPr>
                <w:rFonts w:asciiTheme="minorHAnsi" w:eastAsia="Arial" w:hAnsiTheme="minorHAnsi" w:cstheme="minorHAnsi"/>
                <w:b/>
                <w:bCs/>
                <w:sz w:val="22"/>
                <w:szCs w:val="22"/>
              </w:rPr>
              <w:t>Output 2.6</w:t>
            </w:r>
            <w:r w:rsidRPr="002C10C5">
              <w:rPr>
                <w:rFonts w:asciiTheme="minorHAnsi" w:eastAsia="Arial" w:hAnsiTheme="minorHAnsi" w:cstheme="minorHAnsi"/>
                <w:sz w:val="22"/>
                <w:szCs w:val="22"/>
              </w:rPr>
              <w:t xml:space="preserve">: The contribution of UNDP to improve the awareness and knowledge of the dangers of radicalization and terrorism is impressive (6 young people over 10 in 2022 compared to less than 2 over 10 in 2019). This high level of perception is equal differently from young women or young men. </w:t>
            </w:r>
          </w:p>
          <w:p w14:paraId="208DAF13" w14:textId="4EFAEFA7" w:rsidR="00F225B6" w:rsidRPr="001651BC" w:rsidRDefault="00F225B6" w:rsidP="002C1526">
            <w:pPr>
              <w:jc w:val="both"/>
              <w:rPr>
                <w:rFonts w:asciiTheme="minorHAnsi" w:eastAsia="Arial" w:hAnsiTheme="minorHAnsi" w:cstheme="minorHAnsi"/>
                <w:sz w:val="16"/>
                <w:szCs w:val="16"/>
                <w:lang w:val="en-US"/>
              </w:rPr>
            </w:pPr>
          </w:p>
        </w:tc>
      </w:tr>
      <w:tr w:rsidR="003B037A" w:rsidRPr="00303DAB" w14:paraId="0416DF1A" w14:textId="77777777" w:rsidTr="00DB7FD5">
        <w:tc>
          <w:tcPr>
            <w:tcW w:w="3238" w:type="dxa"/>
            <w:shd w:val="clear" w:color="auto" w:fill="95B3D7" w:themeFill="accent1" w:themeFillTint="99"/>
          </w:tcPr>
          <w:p w14:paraId="4FF6407C" w14:textId="251B9771" w:rsidR="7691F82F" w:rsidRPr="00AA49D2" w:rsidRDefault="28619ABF" w:rsidP="001651BC">
            <w:pPr>
              <w:pStyle w:val="ListParagraph"/>
              <w:numPr>
                <w:ilvl w:val="0"/>
                <w:numId w:val="32"/>
              </w:numPr>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lastRenderedPageBreak/>
              <w:t>The institutions and communities contribute to the sustainable management of natural resources, to anticipate and respond to crises and the effects of climate change</w:t>
            </w:r>
          </w:p>
          <w:p w14:paraId="5AD6443E" w14:textId="634B1802" w:rsidR="00783F1B" w:rsidRPr="00AA49D2" w:rsidRDefault="00783F1B" w:rsidP="76C15C94">
            <w:pPr>
              <w:pStyle w:val="BodyText2"/>
              <w:rPr>
                <w:rFonts w:asciiTheme="minorHAnsi" w:eastAsia="Arial" w:hAnsiTheme="minorHAnsi" w:cstheme="minorHAnsi"/>
                <w:sz w:val="22"/>
                <w:szCs w:val="22"/>
              </w:rPr>
            </w:pPr>
          </w:p>
          <w:p w14:paraId="0416DF16" w14:textId="6034CCAE" w:rsidR="003B037A" w:rsidRPr="00AA49D2" w:rsidRDefault="003B037A" w:rsidP="76C15C94">
            <w:pPr>
              <w:pStyle w:val="BodyText2"/>
              <w:rPr>
                <w:rFonts w:asciiTheme="minorHAnsi" w:eastAsia="Arial" w:hAnsiTheme="minorHAnsi" w:cstheme="minorHAnsi"/>
                <w:b/>
                <w:bCs/>
                <w:sz w:val="22"/>
                <w:szCs w:val="22"/>
              </w:rPr>
            </w:pPr>
          </w:p>
        </w:tc>
        <w:tc>
          <w:tcPr>
            <w:tcW w:w="1352" w:type="dxa"/>
            <w:gridSpan w:val="3"/>
            <w:shd w:val="clear" w:color="auto" w:fill="auto"/>
          </w:tcPr>
          <w:p w14:paraId="783A43A6" w14:textId="3D2DCF1D" w:rsidR="364558B8" w:rsidRPr="00AA49D2" w:rsidRDefault="492C4694" w:rsidP="76C15C94">
            <w:pPr>
              <w:rPr>
                <w:rFonts w:asciiTheme="minorHAnsi" w:eastAsia="Arial" w:hAnsiTheme="minorHAnsi" w:cstheme="minorHAnsi"/>
                <w:b/>
                <w:bCs/>
                <w:color w:val="000000" w:themeColor="text1"/>
                <w:sz w:val="22"/>
                <w:szCs w:val="22"/>
              </w:rPr>
            </w:pPr>
            <w:r w:rsidRPr="00D3321E">
              <w:rPr>
                <w:rFonts w:asciiTheme="minorHAnsi" w:eastAsia="Arial" w:hAnsiTheme="minorHAnsi" w:cstheme="minorHAnsi"/>
                <w:b/>
                <w:bCs/>
                <w:color w:val="000000" w:themeColor="text1"/>
                <w:sz w:val="22"/>
                <w:szCs w:val="22"/>
                <w:lang w:val="en-US"/>
              </w:rPr>
              <w:t xml:space="preserve"> </w:t>
            </w:r>
            <w:r w:rsidRPr="00AA49D2">
              <w:rPr>
                <w:rFonts w:asciiTheme="minorHAnsi" w:eastAsia="Arial" w:hAnsiTheme="minorHAnsi" w:cstheme="minorHAnsi"/>
                <w:b/>
                <w:bCs/>
                <w:color w:val="000000" w:themeColor="text1"/>
                <w:sz w:val="22"/>
                <w:szCs w:val="22"/>
              </w:rPr>
              <w:t>4,334,327</w:t>
            </w:r>
          </w:p>
        </w:tc>
        <w:tc>
          <w:tcPr>
            <w:tcW w:w="3960" w:type="dxa"/>
            <w:gridSpan w:val="3"/>
            <w:tcBorders>
              <w:left w:val="single" w:sz="4" w:space="0" w:color="auto"/>
            </w:tcBorders>
          </w:tcPr>
          <w:p w14:paraId="4B2E748D" w14:textId="77777777" w:rsidR="00783F1B" w:rsidRPr="00AA49D2" w:rsidRDefault="03DA5F29" w:rsidP="76C15C94">
            <w:pPr>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3.1 Share of renewable energies in the mix (SCAPP)</w:t>
            </w:r>
          </w:p>
          <w:p w14:paraId="7BF1DC51" w14:textId="77777777" w:rsidR="00783F1B" w:rsidRPr="00AA49D2" w:rsidRDefault="00783F1B" w:rsidP="76C15C94">
            <w:pPr>
              <w:rPr>
                <w:rFonts w:asciiTheme="minorHAnsi" w:eastAsia="Arial" w:hAnsiTheme="minorHAnsi" w:cstheme="minorHAnsi"/>
                <w:sz w:val="22"/>
                <w:szCs w:val="22"/>
                <w:lang w:val="en-US"/>
              </w:rPr>
            </w:pPr>
          </w:p>
          <w:p w14:paraId="14FACFB7" w14:textId="77777777" w:rsidR="00795518" w:rsidRPr="00AA49D2" w:rsidRDefault="03DA5F29" w:rsidP="76C15C94">
            <w:pPr>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3.2 Percentage of rural population with access to electricity </w:t>
            </w:r>
          </w:p>
          <w:p w14:paraId="00EAC085" w14:textId="77777777" w:rsidR="003B037A" w:rsidRPr="00AA49D2" w:rsidRDefault="003B037A" w:rsidP="76C15C94">
            <w:pPr>
              <w:rPr>
                <w:rFonts w:asciiTheme="minorHAnsi" w:eastAsia="Arial" w:hAnsiTheme="minorHAnsi" w:cstheme="minorHAnsi"/>
                <w:sz w:val="22"/>
                <w:szCs w:val="22"/>
                <w:lang w:val="en-US"/>
              </w:rPr>
            </w:pPr>
          </w:p>
          <w:p w14:paraId="371E9554" w14:textId="77777777" w:rsidR="00795518" w:rsidRDefault="111A893E" w:rsidP="76C15C94">
            <w:pPr>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3.3 Economic loss from natural hazards (e.g. geo-physical and climate-induced hazards) as a proportion of Gross Domestic Product </w:t>
            </w:r>
          </w:p>
          <w:p w14:paraId="0416DF18" w14:textId="2B5397BA" w:rsidR="00AA49D2" w:rsidRPr="00AA49D2" w:rsidRDefault="00AA49D2" w:rsidP="76C15C94">
            <w:pPr>
              <w:rPr>
                <w:rFonts w:asciiTheme="minorHAnsi" w:eastAsia="Arial" w:hAnsiTheme="minorHAnsi" w:cstheme="minorHAnsi"/>
                <w:sz w:val="22"/>
                <w:szCs w:val="22"/>
                <w:lang w:val="en-US"/>
              </w:rPr>
            </w:pPr>
          </w:p>
        </w:tc>
        <w:tc>
          <w:tcPr>
            <w:tcW w:w="5490" w:type="dxa"/>
            <w:gridSpan w:val="2"/>
            <w:shd w:val="clear" w:color="auto" w:fill="auto"/>
          </w:tcPr>
          <w:p w14:paraId="75D4647F" w14:textId="42B3403B" w:rsidR="00795518" w:rsidRPr="00AA49D2" w:rsidRDefault="111A893E" w:rsidP="76C15C94">
            <w:pPr>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3.1</w:t>
            </w:r>
            <w:r w:rsidR="6696ABE5" w:rsidRPr="00AA49D2">
              <w:rPr>
                <w:rFonts w:asciiTheme="minorHAnsi" w:eastAsia="Arial" w:hAnsiTheme="minorHAnsi" w:cstheme="minorHAnsi"/>
                <w:sz w:val="22"/>
                <w:szCs w:val="22"/>
                <w:lang w:val="en-US"/>
              </w:rPr>
              <w:t xml:space="preserve">: </w:t>
            </w:r>
            <w:r w:rsidR="1A6DC3F5" w:rsidRPr="00AA49D2">
              <w:rPr>
                <w:rFonts w:asciiTheme="minorHAnsi" w:eastAsia="Arial" w:hAnsiTheme="minorHAnsi" w:cstheme="minorHAnsi"/>
                <w:sz w:val="22"/>
                <w:szCs w:val="22"/>
                <w:lang w:val="en-US"/>
              </w:rPr>
              <w:t xml:space="preserve"> The share of renewable energies in the mix rose from </w:t>
            </w:r>
            <w:r w:rsidR="6696ABE5" w:rsidRPr="00AA49D2">
              <w:rPr>
                <w:rFonts w:asciiTheme="minorHAnsi" w:eastAsia="Arial" w:hAnsiTheme="minorHAnsi" w:cstheme="minorHAnsi"/>
                <w:sz w:val="22"/>
                <w:szCs w:val="22"/>
                <w:lang w:val="en-US"/>
              </w:rPr>
              <w:t>32% to 48%</w:t>
            </w:r>
            <w:r w:rsidRPr="00AA49D2">
              <w:rPr>
                <w:rFonts w:asciiTheme="minorHAnsi" w:eastAsia="Arial" w:hAnsiTheme="minorHAnsi" w:cstheme="minorHAnsi"/>
                <w:sz w:val="22"/>
                <w:szCs w:val="22"/>
                <w:lang w:val="en-US"/>
              </w:rPr>
              <w:t xml:space="preserve"> </w:t>
            </w:r>
          </w:p>
          <w:p w14:paraId="702058F7" w14:textId="7BAF2017" w:rsidR="00795518" w:rsidRPr="00AA49D2" w:rsidRDefault="00795518" w:rsidP="76C15C94">
            <w:pPr>
              <w:rPr>
                <w:rFonts w:asciiTheme="minorHAnsi" w:eastAsia="Arial" w:hAnsiTheme="minorHAnsi" w:cstheme="minorHAnsi"/>
                <w:sz w:val="22"/>
                <w:szCs w:val="22"/>
                <w:lang w:val="en-US"/>
              </w:rPr>
            </w:pPr>
          </w:p>
          <w:p w14:paraId="36FD97A0" w14:textId="20E58DAD" w:rsidR="00795518" w:rsidRPr="00AA49D2" w:rsidRDefault="111A893E" w:rsidP="76C15C94">
            <w:pPr>
              <w:rPr>
                <w:rFonts w:asciiTheme="minorHAnsi" w:eastAsia="Arial" w:hAnsiTheme="minorHAnsi" w:cstheme="minorHAnsi"/>
                <w:color w:val="000000" w:themeColor="text1"/>
                <w:sz w:val="22"/>
                <w:szCs w:val="22"/>
                <w:lang w:val="en-US"/>
              </w:rPr>
            </w:pPr>
            <w:r w:rsidRPr="00AA49D2">
              <w:rPr>
                <w:rFonts w:asciiTheme="minorHAnsi" w:eastAsia="Arial" w:hAnsiTheme="minorHAnsi" w:cstheme="minorHAnsi"/>
                <w:sz w:val="22"/>
                <w:szCs w:val="22"/>
                <w:lang w:val="en-US"/>
              </w:rPr>
              <w:t>3.2</w:t>
            </w:r>
            <w:r w:rsidR="6696ABE5" w:rsidRPr="00AA49D2">
              <w:rPr>
                <w:rFonts w:asciiTheme="minorHAnsi" w:eastAsia="Arial" w:hAnsiTheme="minorHAnsi" w:cstheme="minorHAnsi"/>
                <w:sz w:val="22"/>
                <w:szCs w:val="22"/>
                <w:lang w:val="en-US"/>
              </w:rPr>
              <w:t xml:space="preserve">: </w:t>
            </w:r>
            <w:r w:rsidR="1211E944" w:rsidRPr="00AA49D2">
              <w:rPr>
                <w:rFonts w:asciiTheme="minorHAnsi" w:eastAsia="Arial" w:hAnsiTheme="minorHAnsi" w:cstheme="minorHAnsi"/>
                <w:sz w:val="22"/>
                <w:szCs w:val="22"/>
                <w:lang w:val="en-US"/>
              </w:rPr>
              <w:t xml:space="preserve"> The percentage of rural population with access to electricity rose </w:t>
            </w:r>
            <w:r w:rsidR="23B8661B" w:rsidRPr="00AA49D2">
              <w:rPr>
                <w:rFonts w:asciiTheme="minorHAnsi" w:eastAsia="Arial" w:hAnsiTheme="minorHAnsi" w:cstheme="minorHAnsi"/>
                <w:sz w:val="22"/>
                <w:szCs w:val="22"/>
                <w:lang w:val="en-US"/>
              </w:rPr>
              <w:t xml:space="preserve">significantly </w:t>
            </w:r>
            <w:r w:rsidR="1211E944" w:rsidRPr="00AA49D2">
              <w:rPr>
                <w:rFonts w:asciiTheme="minorHAnsi" w:eastAsia="Arial" w:hAnsiTheme="minorHAnsi" w:cstheme="minorHAnsi"/>
                <w:sz w:val="22"/>
                <w:szCs w:val="22"/>
                <w:lang w:val="en-US"/>
              </w:rPr>
              <w:t xml:space="preserve">from </w:t>
            </w:r>
            <w:r w:rsidR="6696ABE5" w:rsidRPr="00AA49D2">
              <w:rPr>
                <w:rFonts w:asciiTheme="minorHAnsi" w:eastAsia="Arial" w:hAnsiTheme="minorHAnsi" w:cstheme="minorHAnsi"/>
                <w:sz w:val="22"/>
                <w:szCs w:val="22"/>
                <w:lang w:val="en-US"/>
              </w:rPr>
              <w:t>5% to 43%</w:t>
            </w:r>
          </w:p>
          <w:p w14:paraId="5E32CC2E" w14:textId="2BB04936" w:rsidR="00795518" w:rsidRPr="00AA49D2" w:rsidRDefault="00795518" w:rsidP="76C15C94">
            <w:pPr>
              <w:rPr>
                <w:rFonts w:asciiTheme="minorHAnsi" w:eastAsia="Arial" w:hAnsiTheme="minorHAnsi" w:cstheme="minorHAnsi"/>
                <w:sz w:val="22"/>
                <w:szCs w:val="22"/>
                <w:lang w:val="en-US"/>
              </w:rPr>
            </w:pPr>
          </w:p>
          <w:p w14:paraId="0416DF19" w14:textId="13F3E39B" w:rsidR="003B037A" w:rsidRPr="00AA49D2" w:rsidRDefault="111A893E" w:rsidP="76C15C94">
            <w:pPr>
              <w:pStyle w:val="BodyText2"/>
              <w:rPr>
                <w:rFonts w:asciiTheme="minorHAnsi" w:eastAsia="Arial" w:hAnsiTheme="minorHAnsi" w:cstheme="minorHAnsi"/>
                <w:color w:val="000000" w:themeColor="text1"/>
                <w:sz w:val="22"/>
                <w:szCs w:val="22"/>
              </w:rPr>
            </w:pPr>
            <w:r w:rsidRPr="00AA49D2">
              <w:rPr>
                <w:rFonts w:asciiTheme="minorHAnsi" w:eastAsia="Arial" w:hAnsiTheme="minorHAnsi" w:cstheme="minorHAnsi"/>
                <w:sz w:val="22"/>
                <w:szCs w:val="22"/>
              </w:rPr>
              <w:t>3.3</w:t>
            </w:r>
            <w:r w:rsidR="6696ABE5" w:rsidRPr="00AA49D2">
              <w:rPr>
                <w:rFonts w:asciiTheme="minorHAnsi" w:eastAsia="Arial" w:hAnsiTheme="minorHAnsi" w:cstheme="minorHAnsi"/>
                <w:sz w:val="22"/>
                <w:szCs w:val="22"/>
              </w:rPr>
              <w:t xml:space="preserve">: </w:t>
            </w:r>
            <w:r w:rsidR="3B31D8A8" w:rsidRPr="00AA49D2">
              <w:rPr>
                <w:rFonts w:asciiTheme="minorHAnsi" w:eastAsia="Arial" w:hAnsiTheme="minorHAnsi" w:cstheme="minorHAnsi"/>
                <w:sz w:val="22"/>
                <w:szCs w:val="22"/>
              </w:rPr>
              <w:t xml:space="preserve">The economic loss from natural hazards stayed at its level </w:t>
            </w:r>
            <w:r w:rsidR="712ED7A9" w:rsidRPr="00AA49D2">
              <w:rPr>
                <w:rFonts w:asciiTheme="minorHAnsi" w:eastAsia="Arial" w:hAnsiTheme="minorHAnsi" w:cstheme="minorHAnsi"/>
                <w:sz w:val="22"/>
                <w:szCs w:val="22"/>
              </w:rPr>
              <w:t>of 1</w:t>
            </w:r>
            <w:r w:rsidR="6696ABE5" w:rsidRPr="00AA49D2">
              <w:rPr>
                <w:rFonts w:asciiTheme="minorHAnsi" w:eastAsia="Arial" w:hAnsiTheme="minorHAnsi" w:cstheme="minorHAnsi"/>
                <w:sz w:val="22"/>
                <w:szCs w:val="22"/>
              </w:rPr>
              <w:t xml:space="preserve">7% </w:t>
            </w:r>
            <w:r w:rsidR="02754BD6" w:rsidRPr="00AA49D2">
              <w:rPr>
                <w:rFonts w:asciiTheme="minorHAnsi" w:eastAsia="Arial" w:hAnsiTheme="minorHAnsi" w:cstheme="minorHAnsi"/>
                <w:sz w:val="22"/>
                <w:szCs w:val="22"/>
              </w:rPr>
              <w:t xml:space="preserve">as no new data </w:t>
            </w:r>
            <w:r w:rsidR="61BCA0E8" w:rsidRPr="00AA49D2">
              <w:rPr>
                <w:rFonts w:asciiTheme="minorHAnsi" w:eastAsia="Arial" w:hAnsiTheme="minorHAnsi" w:cstheme="minorHAnsi"/>
                <w:sz w:val="22"/>
                <w:szCs w:val="22"/>
              </w:rPr>
              <w:t xml:space="preserve">was </w:t>
            </w:r>
            <w:r w:rsidR="02754BD6" w:rsidRPr="00AA49D2">
              <w:rPr>
                <w:rFonts w:asciiTheme="minorHAnsi" w:eastAsia="Arial" w:hAnsiTheme="minorHAnsi" w:cstheme="minorHAnsi"/>
                <w:sz w:val="22"/>
                <w:szCs w:val="22"/>
              </w:rPr>
              <w:t>collected.</w:t>
            </w:r>
          </w:p>
        </w:tc>
      </w:tr>
      <w:tr w:rsidR="00DC4D86" w:rsidRPr="00303DAB" w14:paraId="0416DF1F" w14:textId="77777777" w:rsidTr="00DB7FD5">
        <w:tc>
          <w:tcPr>
            <w:tcW w:w="14040" w:type="dxa"/>
            <w:gridSpan w:val="9"/>
          </w:tcPr>
          <w:p w14:paraId="3FC79350" w14:textId="50EF9EA3" w:rsidR="00783F1B" w:rsidRPr="00AA49D2" w:rsidRDefault="20088F82" w:rsidP="76C15C94">
            <w:pPr>
              <w:pStyle w:val="BodyText2"/>
              <w:rPr>
                <w:rFonts w:asciiTheme="minorHAnsi" w:eastAsia="Arial" w:hAnsiTheme="minorHAnsi" w:cstheme="minorHAnsi"/>
                <w:sz w:val="22"/>
                <w:szCs w:val="22"/>
              </w:rPr>
            </w:pPr>
            <w:r w:rsidRPr="00AA49D2">
              <w:rPr>
                <w:rFonts w:asciiTheme="minorHAnsi" w:eastAsia="Arial" w:hAnsiTheme="minorHAnsi" w:cstheme="minorHAnsi"/>
                <w:b/>
                <w:bCs/>
                <w:sz w:val="22"/>
                <w:szCs w:val="22"/>
              </w:rPr>
              <w:t>UNDP Contribution:</w:t>
            </w:r>
            <w:r w:rsidR="6724B0D7" w:rsidRPr="00AA49D2">
              <w:rPr>
                <w:rFonts w:asciiTheme="minorHAnsi" w:eastAsia="Arial" w:hAnsiTheme="minorHAnsi" w:cstheme="minorHAnsi"/>
                <w:sz w:val="22"/>
                <w:szCs w:val="22"/>
              </w:rPr>
              <w:t xml:space="preserve"> </w:t>
            </w:r>
          </w:p>
          <w:p w14:paraId="14104D8A" w14:textId="08D4D911" w:rsidR="76C15C94" w:rsidRPr="00AA49D2" w:rsidRDefault="76C15C94" w:rsidP="76C15C94">
            <w:pPr>
              <w:pStyle w:val="BodyText2"/>
              <w:rPr>
                <w:rFonts w:asciiTheme="minorHAnsi" w:eastAsia="Arial" w:hAnsiTheme="minorHAnsi" w:cstheme="minorHAnsi"/>
                <w:sz w:val="22"/>
                <w:szCs w:val="22"/>
              </w:rPr>
            </w:pPr>
          </w:p>
          <w:p w14:paraId="666B380E" w14:textId="5F647B9E" w:rsidR="00783F1B" w:rsidRPr="00AA49D2" w:rsidRDefault="03DA5F29" w:rsidP="007D1DB4">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The UNDP CP identified </w:t>
            </w:r>
            <w:r w:rsidR="63224BE6" w:rsidRPr="00AA49D2">
              <w:rPr>
                <w:rFonts w:asciiTheme="minorHAnsi" w:eastAsia="Arial" w:hAnsiTheme="minorHAnsi" w:cstheme="minorHAnsi"/>
                <w:sz w:val="22"/>
                <w:szCs w:val="22"/>
              </w:rPr>
              <w:t xml:space="preserve">five </w:t>
            </w:r>
            <w:r w:rsidRPr="00AA49D2">
              <w:rPr>
                <w:rFonts w:asciiTheme="minorHAnsi" w:eastAsia="Arial" w:hAnsiTheme="minorHAnsi" w:cstheme="minorHAnsi"/>
                <w:sz w:val="22"/>
                <w:szCs w:val="22"/>
              </w:rPr>
              <w:t>major outputs to support the Government in achieving this outcome: (</w:t>
            </w:r>
            <w:r w:rsidR="341EF011" w:rsidRPr="00AA49D2">
              <w:rPr>
                <w:rFonts w:asciiTheme="minorHAnsi" w:eastAsia="Arial" w:hAnsiTheme="minorHAnsi" w:cstheme="minorHAnsi"/>
                <w:sz w:val="22"/>
                <w:szCs w:val="22"/>
              </w:rPr>
              <w:t>i</w:t>
            </w:r>
            <w:r w:rsidRPr="00AA49D2">
              <w:rPr>
                <w:rFonts w:asciiTheme="minorHAnsi" w:eastAsia="Arial" w:hAnsiTheme="minorHAnsi" w:cstheme="minorHAnsi"/>
                <w:sz w:val="22"/>
                <w:szCs w:val="22"/>
              </w:rPr>
              <w:t xml:space="preserve">) </w:t>
            </w:r>
            <w:r w:rsidR="02540384" w:rsidRPr="00AA49D2">
              <w:rPr>
                <w:rFonts w:asciiTheme="minorHAnsi" w:eastAsia="Arial" w:hAnsiTheme="minorHAnsi" w:cstheme="minorHAnsi"/>
                <w:sz w:val="22"/>
                <w:szCs w:val="22"/>
              </w:rPr>
              <w:t>S</w:t>
            </w:r>
            <w:r w:rsidR="1E8C9782" w:rsidRPr="00AA49D2">
              <w:rPr>
                <w:rFonts w:asciiTheme="minorHAnsi" w:eastAsia="Arial" w:hAnsiTheme="minorHAnsi" w:cstheme="minorHAnsi"/>
                <w:sz w:val="22"/>
                <w:szCs w:val="22"/>
              </w:rPr>
              <w:t xml:space="preserve">trengthening the </w:t>
            </w:r>
            <w:r w:rsidR="49DE35F2" w:rsidRPr="00AA49D2">
              <w:rPr>
                <w:rFonts w:asciiTheme="minorHAnsi" w:eastAsia="Arial" w:hAnsiTheme="minorHAnsi" w:cstheme="minorHAnsi"/>
                <w:sz w:val="22"/>
                <w:szCs w:val="22"/>
              </w:rPr>
              <w:t>n</w:t>
            </w:r>
            <w:r w:rsidR="6D41DD70" w:rsidRPr="00AA49D2">
              <w:rPr>
                <w:rFonts w:asciiTheme="minorHAnsi" w:eastAsia="Arial" w:hAnsiTheme="minorHAnsi" w:cstheme="minorHAnsi"/>
                <w:sz w:val="22"/>
                <w:szCs w:val="22"/>
              </w:rPr>
              <w:t>ational institutions technical, financial and organizational capacities to ensure operational environmental coordination, ecosystem protection and effective disaster risk management</w:t>
            </w:r>
            <w:r w:rsidR="71934E9A" w:rsidRPr="00AA49D2">
              <w:rPr>
                <w:rFonts w:asciiTheme="minorHAnsi" w:eastAsia="Arial" w:hAnsiTheme="minorHAnsi" w:cstheme="minorHAnsi"/>
                <w:sz w:val="22"/>
                <w:szCs w:val="22"/>
              </w:rPr>
              <w:t>, (</w:t>
            </w:r>
            <w:r w:rsidR="14725439" w:rsidRPr="00AA49D2">
              <w:rPr>
                <w:rFonts w:asciiTheme="minorHAnsi" w:eastAsia="Arial" w:hAnsiTheme="minorHAnsi" w:cstheme="minorHAnsi"/>
                <w:sz w:val="22"/>
                <w:szCs w:val="22"/>
              </w:rPr>
              <w:t>ii</w:t>
            </w:r>
            <w:r w:rsidR="71934E9A" w:rsidRPr="00AA49D2">
              <w:rPr>
                <w:rFonts w:asciiTheme="minorHAnsi" w:eastAsia="Arial" w:hAnsiTheme="minorHAnsi" w:cstheme="minorHAnsi"/>
                <w:sz w:val="22"/>
                <w:szCs w:val="22"/>
              </w:rPr>
              <w:t xml:space="preserve">) </w:t>
            </w:r>
            <w:r w:rsidR="2A77F625" w:rsidRPr="00AA49D2">
              <w:rPr>
                <w:rFonts w:asciiTheme="minorHAnsi" w:eastAsia="Arial" w:hAnsiTheme="minorHAnsi" w:cstheme="minorHAnsi"/>
                <w:sz w:val="22"/>
                <w:szCs w:val="22"/>
              </w:rPr>
              <w:t xml:space="preserve">Equipping </w:t>
            </w:r>
            <w:r w:rsidR="6E9BF328" w:rsidRPr="00AA49D2">
              <w:rPr>
                <w:rFonts w:asciiTheme="minorHAnsi" w:eastAsia="Arial" w:hAnsiTheme="minorHAnsi" w:cstheme="minorHAnsi"/>
                <w:sz w:val="22"/>
                <w:szCs w:val="22"/>
              </w:rPr>
              <w:t>the v</w:t>
            </w:r>
            <w:r w:rsidR="71934E9A" w:rsidRPr="00AA49D2">
              <w:rPr>
                <w:rFonts w:asciiTheme="minorHAnsi" w:eastAsia="Arial" w:hAnsiTheme="minorHAnsi" w:cstheme="minorHAnsi"/>
                <w:sz w:val="22"/>
                <w:szCs w:val="22"/>
              </w:rPr>
              <w:t xml:space="preserve">ulnerable communities </w:t>
            </w:r>
            <w:r w:rsidR="26A2637F" w:rsidRPr="00AA49D2">
              <w:rPr>
                <w:rFonts w:asciiTheme="minorHAnsi" w:eastAsia="Arial" w:hAnsiTheme="minorHAnsi" w:cstheme="minorHAnsi"/>
                <w:sz w:val="22"/>
                <w:szCs w:val="22"/>
              </w:rPr>
              <w:t xml:space="preserve">with </w:t>
            </w:r>
            <w:r w:rsidR="71934E9A" w:rsidRPr="00AA49D2">
              <w:rPr>
                <w:rFonts w:asciiTheme="minorHAnsi" w:eastAsia="Arial" w:hAnsiTheme="minorHAnsi" w:cstheme="minorHAnsi"/>
                <w:sz w:val="22"/>
                <w:szCs w:val="22"/>
              </w:rPr>
              <w:t xml:space="preserve">capacities, resources and </w:t>
            </w:r>
            <w:r w:rsidR="3DB45C8E" w:rsidRPr="00AA49D2">
              <w:rPr>
                <w:rFonts w:asciiTheme="minorHAnsi" w:eastAsia="Arial" w:hAnsiTheme="minorHAnsi" w:cstheme="minorHAnsi"/>
                <w:sz w:val="22"/>
                <w:szCs w:val="22"/>
              </w:rPr>
              <w:t xml:space="preserve">create </w:t>
            </w:r>
            <w:r w:rsidR="71934E9A" w:rsidRPr="00AA49D2">
              <w:rPr>
                <w:rFonts w:asciiTheme="minorHAnsi" w:eastAsia="Arial" w:hAnsiTheme="minorHAnsi" w:cstheme="minorHAnsi"/>
                <w:sz w:val="22"/>
                <w:szCs w:val="22"/>
              </w:rPr>
              <w:t xml:space="preserve">an enabling environment to enhance the resilience of socio-economic </w:t>
            </w:r>
            <w:r w:rsidR="71934E9A" w:rsidRPr="00AA49D2">
              <w:rPr>
                <w:rFonts w:asciiTheme="minorHAnsi" w:eastAsia="Arial" w:hAnsiTheme="minorHAnsi" w:cstheme="minorHAnsi"/>
                <w:sz w:val="22"/>
                <w:szCs w:val="22"/>
              </w:rPr>
              <w:lastRenderedPageBreak/>
              <w:t>development assets and community livelihoods through effective disaster and climate risk management</w:t>
            </w:r>
            <w:r w:rsidR="43DBDB28" w:rsidRPr="00AA49D2">
              <w:rPr>
                <w:rFonts w:asciiTheme="minorHAnsi" w:eastAsia="Arial" w:hAnsiTheme="minorHAnsi" w:cstheme="minorHAnsi"/>
                <w:sz w:val="22"/>
                <w:szCs w:val="22"/>
              </w:rPr>
              <w:t xml:space="preserve">, </w:t>
            </w:r>
            <w:r w:rsidR="5661B86A" w:rsidRPr="00AA49D2">
              <w:rPr>
                <w:rFonts w:asciiTheme="minorHAnsi" w:eastAsia="Arial" w:hAnsiTheme="minorHAnsi" w:cstheme="minorHAnsi"/>
                <w:sz w:val="22"/>
                <w:szCs w:val="22"/>
              </w:rPr>
              <w:t xml:space="preserve">(iii) </w:t>
            </w:r>
            <w:r w:rsidR="3F57C984" w:rsidRPr="00AA49D2">
              <w:rPr>
                <w:rFonts w:asciiTheme="minorHAnsi" w:eastAsia="Arial" w:hAnsiTheme="minorHAnsi" w:cstheme="minorHAnsi"/>
                <w:sz w:val="22"/>
                <w:szCs w:val="22"/>
              </w:rPr>
              <w:t xml:space="preserve">Providing the national </w:t>
            </w:r>
            <w:r w:rsidR="5661B86A" w:rsidRPr="00AA49D2">
              <w:rPr>
                <w:rFonts w:asciiTheme="minorHAnsi" w:eastAsia="Arial" w:hAnsiTheme="minorHAnsi" w:cstheme="minorHAnsi"/>
                <w:sz w:val="22"/>
                <w:szCs w:val="22"/>
              </w:rPr>
              <w:t xml:space="preserve">actors </w:t>
            </w:r>
            <w:r w:rsidR="0B2BAA36" w:rsidRPr="00AA49D2">
              <w:rPr>
                <w:rFonts w:asciiTheme="minorHAnsi" w:eastAsia="Arial" w:hAnsiTheme="minorHAnsi" w:cstheme="minorHAnsi"/>
                <w:sz w:val="22"/>
                <w:szCs w:val="22"/>
              </w:rPr>
              <w:t xml:space="preserve">with adequate </w:t>
            </w:r>
            <w:r w:rsidR="5661B86A" w:rsidRPr="00AA49D2">
              <w:rPr>
                <w:rFonts w:asciiTheme="minorHAnsi" w:eastAsia="Arial" w:hAnsiTheme="minorHAnsi" w:cstheme="minorHAnsi"/>
                <w:sz w:val="22"/>
                <w:szCs w:val="22"/>
              </w:rPr>
              <w:t>technical, financial and organizational capacities for the effective integration of Climate Change and disaster risk reduction into development policies and strategies and for the promotion of the use of renewable energies</w:t>
            </w:r>
            <w:r w:rsidR="55B21B44" w:rsidRPr="00AA49D2">
              <w:rPr>
                <w:rFonts w:asciiTheme="minorHAnsi" w:eastAsia="Arial" w:hAnsiTheme="minorHAnsi" w:cstheme="minorHAnsi"/>
                <w:sz w:val="22"/>
                <w:szCs w:val="22"/>
              </w:rPr>
              <w:t xml:space="preserve">, (iv) </w:t>
            </w:r>
            <w:r w:rsidR="43DFBFBB" w:rsidRPr="00AA49D2">
              <w:rPr>
                <w:rFonts w:asciiTheme="minorHAnsi" w:eastAsia="Arial" w:hAnsiTheme="minorHAnsi" w:cstheme="minorHAnsi"/>
                <w:sz w:val="22"/>
                <w:szCs w:val="22"/>
              </w:rPr>
              <w:t>Strengthening the capacities of the national institutions and rural communities to develop and implement sustainable models to access renewable energy</w:t>
            </w:r>
            <w:r w:rsidR="008613FA">
              <w:rPr>
                <w:rFonts w:asciiTheme="minorHAnsi" w:eastAsia="Arial" w:hAnsiTheme="minorHAnsi" w:cstheme="minorHAnsi"/>
                <w:sz w:val="22"/>
                <w:szCs w:val="22"/>
              </w:rPr>
              <w:t xml:space="preserve">, (v) </w:t>
            </w:r>
            <w:r w:rsidR="008613FA" w:rsidRPr="00AA49D2">
              <w:rPr>
                <w:rFonts w:asciiTheme="minorHAnsi" w:eastAsia="Arial" w:hAnsiTheme="minorHAnsi" w:cstheme="minorHAnsi"/>
                <w:sz w:val="22"/>
                <w:szCs w:val="22"/>
              </w:rPr>
              <w:t xml:space="preserve">Strengthening </w:t>
            </w:r>
            <w:r w:rsidR="008613FA">
              <w:rPr>
                <w:rFonts w:asciiTheme="minorHAnsi" w:eastAsia="Arial" w:hAnsiTheme="minorHAnsi" w:cstheme="minorHAnsi"/>
                <w:sz w:val="22"/>
                <w:szCs w:val="22"/>
              </w:rPr>
              <w:t xml:space="preserve"> the </w:t>
            </w:r>
            <w:r w:rsidR="008613FA" w:rsidRPr="008613FA">
              <w:rPr>
                <w:rFonts w:asciiTheme="minorHAnsi" w:eastAsia="Arial" w:hAnsiTheme="minorHAnsi" w:cstheme="minorHAnsi"/>
                <w:sz w:val="22"/>
                <w:szCs w:val="22"/>
              </w:rPr>
              <w:t xml:space="preserve">technical and organizational capacities </w:t>
            </w:r>
            <w:r w:rsidR="008613FA">
              <w:rPr>
                <w:rFonts w:asciiTheme="minorHAnsi" w:eastAsia="Arial" w:hAnsiTheme="minorHAnsi" w:cstheme="minorHAnsi"/>
                <w:sz w:val="22"/>
                <w:szCs w:val="22"/>
              </w:rPr>
              <w:t xml:space="preserve">of the national institutions </w:t>
            </w:r>
            <w:r w:rsidR="008613FA" w:rsidRPr="008613FA">
              <w:rPr>
                <w:rFonts w:asciiTheme="minorHAnsi" w:eastAsia="Arial" w:hAnsiTheme="minorHAnsi" w:cstheme="minorHAnsi"/>
                <w:sz w:val="22"/>
                <w:szCs w:val="22"/>
              </w:rPr>
              <w:t>for effective gender responsive management of</w:t>
            </w:r>
            <w:r w:rsidR="008613FA">
              <w:rPr>
                <w:rFonts w:asciiTheme="minorHAnsi" w:eastAsia="Arial" w:hAnsiTheme="minorHAnsi" w:cstheme="minorHAnsi"/>
                <w:sz w:val="22"/>
                <w:szCs w:val="22"/>
              </w:rPr>
              <w:t xml:space="preserve"> </w:t>
            </w:r>
            <w:r w:rsidR="008613FA" w:rsidRPr="008613FA">
              <w:rPr>
                <w:rFonts w:asciiTheme="minorHAnsi" w:eastAsia="Arial" w:hAnsiTheme="minorHAnsi" w:cstheme="minorHAnsi"/>
                <w:sz w:val="22"/>
                <w:szCs w:val="22"/>
              </w:rPr>
              <w:t>water resources.</w:t>
            </w:r>
          </w:p>
          <w:p w14:paraId="3A5262AE" w14:textId="77777777" w:rsidR="00783F1B" w:rsidRPr="00AA49D2" w:rsidRDefault="00783F1B" w:rsidP="76C15C94">
            <w:pPr>
              <w:pStyle w:val="BodyText2"/>
              <w:jc w:val="both"/>
              <w:rPr>
                <w:rFonts w:asciiTheme="minorHAnsi" w:eastAsia="Arial" w:hAnsiTheme="minorHAnsi" w:cstheme="minorHAnsi"/>
                <w:sz w:val="22"/>
                <w:szCs w:val="22"/>
              </w:rPr>
            </w:pPr>
          </w:p>
          <w:p w14:paraId="2D73E0E7" w14:textId="0B09A0A9" w:rsidR="00783F1B" w:rsidRPr="007D1DB4" w:rsidRDefault="03DA5F29" w:rsidP="76C15C94">
            <w:pPr>
              <w:pStyle w:val="BodyText2"/>
              <w:jc w:val="both"/>
              <w:rPr>
                <w:rFonts w:asciiTheme="minorHAnsi" w:eastAsia="Arial" w:hAnsiTheme="minorHAnsi" w:cstheme="minorHAnsi"/>
                <w:b/>
                <w:sz w:val="22"/>
                <w:szCs w:val="22"/>
              </w:rPr>
            </w:pPr>
            <w:r w:rsidRPr="007D1DB4">
              <w:rPr>
                <w:rFonts w:asciiTheme="minorHAnsi" w:eastAsia="Arial" w:hAnsiTheme="minorHAnsi" w:cstheme="minorHAnsi"/>
                <w:b/>
                <w:sz w:val="22"/>
                <w:szCs w:val="22"/>
                <w:u w:val="single"/>
              </w:rPr>
              <w:t>Progress and Achievements</w:t>
            </w:r>
            <w:r w:rsidR="5DA89DD2" w:rsidRPr="007D1DB4">
              <w:rPr>
                <w:rFonts w:asciiTheme="minorHAnsi" w:eastAsia="Arial" w:hAnsiTheme="minorHAnsi" w:cstheme="minorHAnsi"/>
                <w:b/>
                <w:sz w:val="22"/>
                <w:szCs w:val="22"/>
                <w:u w:val="single"/>
              </w:rPr>
              <w:t xml:space="preserve"> in CP Outputs</w:t>
            </w:r>
            <w:r w:rsidR="5DA89DD2" w:rsidRPr="007D1DB4">
              <w:rPr>
                <w:rFonts w:asciiTheme="minorHAnsi" w:eastAsia="Arial" w:hAnsiTheme="minorHAnsi" w:cstheme="minorHAnsi"/>
                <w:b/>
                <w:sz w:val="22"/>
                <w:szCs w:val="22"/>
              </w:rPr>
              <w:t>:</w:t>
            </w:r>
          </w:p>
          <w:p w14:paraId="01520CB4" w14:textId="56C49E06" w:rsidR="00783F1B" w:rsidRPr="00AA49D2" w:rsidRDefault="00783F1B" w:rsidP="76C15C94">
            <w:pPr>
              <w:pStyle w:val="BodyText2"/>
              <w:jc w:val="both"/>
              <w:rPr>
                <w:rFonts w:asciiTheme="minorHAnsi" w:eastAsia="Arial" w:hAnsiTheme="minorHAnsi" w:cstheme="minorHAnsi"/>
                <w:sz w:val="22"/>
                <w:szCs w:val="22"/>
              </w:rPr>
            </w:pPr>
          </w:p>
          <w:p w14:paraId="329038B7" w14:textId="64080507" w:rsidR="00783F1B" w:rsidRDefault="77D49E08" w:rsidP="76C15C94">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At the end of the cycle, technical, financial and organizational capacities of national institutions to ensure operational coordination in terms of the environment, ecosystem protection and effective disaster risk management have been improved. 15 regional, inclusive and gender-sensitive bodies (at the level of the 15 Wilayas of the Country) were operationalized for early warning and crisis management. The energy mix and the extension of the rural electrification network increased respectively from 32% in 2015 to over 48% in 2022 and from 5% in 2015 to 43% in 2022. </w:t>
            </w:r>
          </w:p>
          <w:p w14:paraId="22B5CB9D" w14:textId="77777777" w:rsidR="00AA49D2" w:rsidRPr="00AA49D2" w:rsidRDefault="00AA49D2" w:rsidP="76C15C94">
            <w:pPr>
              <w:jc w:val="both"/>
              <w:rPr>
                <w:rFonts w:asciiTheme="minorHAnsi" w:eastAsia="Arial" w:hAnsiTheme="minorHAnsi" w:cstheme="minorHAnsi"/>
                <w:sz w:val="22"/>
                <w:szCs w:val="22"/>
                <w:lang w:val="en-US"/>
              </w:rPr>
            </w:pPr>
          </w:p>
          <w:p w14:paraId="22BB6433" w14:textId="30CAFDF6" w:rsidR="00783F1B" w:rsidRPr="00AA49D2" w:rsidRDefault="77D49E08" w:rsidP="76C15C94">
            <w:pPr>
              <w:pStyle w:val="ListParagraph"/>
              <w:numPr>
                <w:ilvl w:val="0"/>
                <w:numId w:val="37"/>
              </w:numPr>
              <w:spacing w:line="257" w:lineRule="auto"/>
              <w:jc w:val="both"/>
              <w:rPr>
                <w:rFonts w:asciiTheme="minorHAnsi" w:eastAsia="Arial" w:hAnsiTheme="minorHAnsi" w:cstheme="minorHAnsi"/>
                <w:sz w:val="22"/>
                <w:szCs w:val="22"/>
              </w:rPr>
            </w:pPr>
            <w:r w:rsidRPr="00AA49D2">
              <w:rPr>
                <w:rFonts w:asciiTheme="minorHAnsi" w:eastAsia="Arial" w:hAnsiTheme="minorHAnsi" w:cstheme="minorHAnsi"/>
                <w:b/>
                <w:sz w:val="22"/>
                <w:szCs w:val="22"/>
              </w:rPr>
              <w:t>Output 3.1</w:t>
            </w:r>
            <w:r w:rsidR="7448CE85" w:rsidRPr="00AA49D2">
              <w:rPr>
                <w:rFonts w:asciiTheme="minorHAnsi" w:eastAsia="Arial" w:hAnsiTheme="minorHAnsi" w:cstheme="minorHAnsi"/>
                <w:sz w:val="22"/>
                <w:szCs w:val="22"/>
              </w:rPr>
              <w:t xml:space="preserve">: </w:t>
            </w:r>
            <w:r w:rsidRPr="00AA49D2">
              <w:rPr>
                <w:rFonts w:asciiTheme="minorHAnsi" w:eastAsia="Arial" w:hAnsiTheme="minorHAnsi" w:cstheme="minorHAnsi"/>
                <w:sz w:val="22"/>
                <w:szCs w:val="22"/>
              </w:rPr>
              <w:t>110 experts (36 women) of the Government at national level have strengthened their technical capacities and are able to perform effective management of national climate commitments and apply advocacy techniques for environmental justice and the adoption of resilient production and consumption patterns. 70 experts (10 women) of the Government and Civil Society have strengthened their technical capacities on disaster risk management, ecosystem protection, urban resilience, and the integration of the climate change dimension into development strategies and policies. UNDP support has allowed Mauritania to acquire its first legal framework for the management of waste.</w:t>
            </w:r>
          </w:p>
          <w:p w14:paraId="1AB9A892" w14:textId="5304CBBF" w:rsidR="00783F1B" w:rsidRPr="00AA49D2" w:rsidRDefault="00783F1B" w:rsidP="76C15C94">
            <w:pPr>
              <w:spacing w:line="257" w:lineRule="auto"/>
              <w:jc w:val="both"/>
              <w:rPr>
                <w:rFonts w:asciiTheme="minorHAnsi" w:eastAsia="Arial" w:hAnsiTheme="minorHAnsi" w:cstheme="minorHAnsi"/>
                <w:sz w:val="22"/>
                <w:szCs w:val="22"/>
                <w:lang w:val="en-US"/>
              </w:rPr>
            </w:pPr>
          </w:p>
          <w:p w14:paraId="2C8FA8F6" w14:textId="7ACC75FE" w:rsidR="00783F1B" w:rsidRPr="00AA49D2" w:rsidRDefault="77D49E08" w:rsidP="76C15C94">
            <w:pPr>
              <w:pStyle w:val="ListParagraph"/>
              <w:numPr>
                <w:ilvl w:val="0"/>
                <w:numId w:val="37"/>
              </w:numPr>
              <w:spacing w:line="257" w:lineRule="auto"/>
              <w:jc w:val="both"/>
              <w:rPr>
                <w:rFonts w:asciiTheme="minorHAnsi" w:eastAsia="Arial" w:hAnsiTheme="minorHAnsi" w:cstheme="minorHAnsi"/>
                <w:sz w:val="22"/>
                <w:szCs w:val="22"/>
              </w:rPr>
            </w:pPr>
            <w:r w:rsidRPr="00AA49D2">
              <w:rPr>
                <w:rFonts w:asciiTheme="minorHAnsi" w:eastAsia="Arial" w:hAnsiTheme="minorHAnsi" w:cstheme="minorHAnsi"/>
                <w:b/>
                <w:sz w:val="22"/>
                <w:szCs w:val="22"/>
              </w:rPr>
              <w:t>Output 3.2</w:t>
            </w:r>
            <w:r w:rsidR="214031F9" w:rsidRPr="00AA49D2">
              <w:rPr>
                <w:rFonts w:asciiTheme="minorHAnsi" w:eastAsia="Arial" w:hAnsiTheme="minorHAnsi" w:cstheme="minorHAnsi"/>
                <w:sz w:val="22"/>
                <w:szCs w:val="22"/>
              </w:rPr>
              <w:t>:</w:t>
            </w:r>
            <w:r w:rsidRPr="00AA49D2">
              <w:rPr>
                <w:rFonts w:asciiTheme="minorHAnsi" w:eastAsia="Arial" w:hAnsiTheme="minorHAnsi" w:cstheme="minorHAnsi"/>
                <w:sz w:val="22"/>
                <w:szCs w:val="22"/>
              </w:rPr>
              <w:t xml:space="preserve"> The partnership between the UNDP and the specialized actors of civil society in communities at risk of degradation have made it possible to secure more than 10 hectares of agricultural production areas allowing 15 000 inhabitants of the municipality of </w:t>
            </w:r>
            <w:proofErr w:type="spellStart"/>
            <w:r w:rsidRPr="00AA49D2">
              <w:rPr>
                <w:rFonts w:asciiTheme="minorHAnsi" w:eastAsia="Arial" w:hAnsiTheme="minorHAnsi" w:cstheme="minorHAnsi"/>
                <w:sz w:val="22"/>
                <w:szCs w:val="22"/>
              </w:rPr>
              <w:t>Tidjikja</w:t>
            </w:r>
            <w:proofErr w:type="spellEnd"/>
            <w:r w:rsidRPr="00AA49D2">
              <w:rPr>
                <w:rFonts w:asciiTheme="minorHAnsi" w:eastAsia="Arial" w:hAnsiTheme="minorHAnsi" w:cstheme="minorHAnsi"/>
                <w:sz w:val="22"/>
                <w:szCs w:val="22"/>
              </w:rPr>
              <w:t xml:space="preserve"> to continue their economic exploitation threatened by advancing sand dunes. </w:t>
            </w:r>
          </w:p>
          <w:p w14:paraId="13658DFA" w14:textId="3CF4C8D8" w:rsidR="00783F1B" w:rsidRPr="00AA49D2" w:rsidRDefault="00783F1B" w:rsidP="76C15C94">
            <w:pPr>
              <w:spacing w:line="257" w:lineRule="auto"/>
              <w:rPr>
                <w:rFonts w:asciiTheme="minorHAnsi" w:eastAsia="Arial" w:hAnsiTheme="minorHAnsi" w:cstheme="minorHAnsi"/>
                <w:sz w:val="22"/>
                <w:szCs w:val="22"/>
                <w:lang w:val="en-US"/>
              </w:rPr>
            </w:pPr>
          </w:p>
          <w:p w14:paraId="57313509" w14:textId="6B8DF8E9" w:rsidR="00783F1B" w:rsidRPr="00AA49D2" w:rsidRDefault="77D49E08" w:rsidP="007D1DB4">
            <w:pPr>
              <w:pStyle w:val="ListParagraph"/>
              <w:numPr>
                <w:ilvl w:val="0"/>
                <w:numId w:val="37"/>
              </w:numPr>
              <w:spacing w:line="257" w:lineRule="auto"/>
              <w:jc w:val="both"/>
              <w:rPr>
                <w:rFonts w:asciiTheme="minorHAnsi" w:eastAsia="Arial" w:hAnsiTheme="minorHAnsi" w:cstheme="minorHAnsi"/>
                <w:sz w:val="22"/>
                <w:szCs w:val="22"/>
              </w:rPr>
            </w:pPr>
            <w:r w:rsidRPr="00AA49D2">
              <w:rPr>
                <w:rFonts w:asciiTheme="minorHAnsi" w:eastAsia="Arial" w:hAnsiTheme="minorHAnsi" w:cstheme="minorHAnsi"/>
                <w:b/>
                <w:sz w:val="22"/>
                <w:szCs w:val="22"/>
              </w:rPr>
              <w:t>Output 3.3</w:t>
            </w:r>
            <w:r w:rsidR="3AF0F64F" w:rsidRPr="00AA49D2">
              <w:rPr>
                <w:rFonts w:asciiTheme="minorHAnsi" w:eastAsia="Arial" w:hAnsiTheme="minorHAnsi" w:cstheme="minorHAnsi"/>
                <w:sz w:val="22"/>
                <w:szCs w:val="22"/>
              </w:rPr>
              <w:t>:</w:t>
            </w:r>
            <w:r w:rsidRPr="00AA49D2">
              <w:rPr>
                <w:rFonts w:asciiTheme="minorHAnsi" w:eastAsia="Arial" w:hAnsiTheme="minorHAnsi" w:cstheme="minorHAnsi"/>
                <w:sz w:val="22"/>
                <w:szCs w:val="22"/>
              </w:rPr>
              <w:t xml:space="preserve"> UNDP support has allowed renewable energies to be institutionalized in the electricity code through consideration of rural electrification. While renewable energies were previously considered as experimental, their institutionalization in the electrical code makes it possible to consider a strategy for the sustainability of renewable energies in Mauritania.</w:t>
            </w:r>
          </w:p>
          <w:p w14:paraId="6B893193" w14:textId="32DD8F80" w:rsidR="00783F1B" w:rsidRPr="00AA49D2" w:rsidRDefault="00783F1B" w:rsidP="76C15C94">
            <w:pPr>
              <w:spacing w:line="257" w:lineRule="auto"/>
              <w:rPr>
                <w:rFonts w:asciiTheme="minorHAnsi" w:eastAsia="Arial" w:hAnsiTheme="minorHAnsi" w:cstheme="minorHAnsi"/>
                <w:sz w:val="22"/>
                <w:szCs w:val="22"/>
                <w:lang w:val="en-US"/>
              </w:rPr>
            </w:pPr>
          </w:p>
          <w:p w14:paraId="0416DF1E" w14:textId="798ED8BC" w:rsidR="007D1DB4" w:rsidRPr="00D3321E" w:rsidRDefault="77D49E08" w:rsidP="001651BC">
            <w:pPr>
              <w:pStyle w:val="ListParagraph"/>
              <w:numPr>
                <w:ilvl w:val="0"/>
                <w:numId w:val="37"/>
              </w:numPr>
              <w:spacing w:line="257" w:lineRule="auto"/>
              <w:jc w:val="both"/>
              <w:rPr>
                <w:rFonts w:asciiTheme="minorHAnsi" w:eastAsia="Arial" w:hAnsiTheme="minorHAnsi" w:cstheme="minorHAnsi"/>
                <w:sz w:val="22"/>
                <w:szCs w:val="22"/>
              </w:rPr>
            </w:pPr>
            <w:r w:rsidRPr="00AA49D2">
              <w:rPr>
                <w:rFonts w:asciiTheme="minorHAnsi" w:eastAsia="Arial" w:hAnsiTheme="minorHAnsi" w:cstheme="minorHAnsi"/>
                <w:b/>
                <w:sz w:val="22"/>
                <w:szCs w:val="22"/>
              </w:rPr>
              <w:t>Output 3.4</w:t>
            </w:r>
            <w:r w:rsidR="668503B0" w:rsidRPr="00AA49D2">
              <w:rPr>
                <w:rFonts w:asciiTheme="minorHAnsi" w:eastAsia="Arial" w:hAnsiTheme="minorHAnsi" w:cstheme="minorHAnsi"/>
                <w:sz w:val="22"/>
                <w:szCs w:val="22"/>
              </w:rPr>
              <w:t>:</w:t>
            </w:r>
            <w:r w:rsidRPr="00AA49D2">
              <w:rPr>
                <w:rFonts w:asciiTheme="minorHAnsi" w:eastAsia="Arial" w:hAnsiTheme="minorHAnsi" w:cstheme="minorHAnsi"/>
                <w:sz w:val="22"/>
                <w:szCs w:val="22"/>
              </w:rPr>
              <w:t xml:space="preserve"> UNDP technical support and advocacy in partnership with the GEF and the government have improved the strategic and operational framework for sustainable energy transition in Mauritania through the availability of a Master Plan for Rural Electrification. In terms of population access to a sustainable source of energy, an innovative national model of isolated solar power plants is available, making it possible to envisage access to energy, at affordable cost, for more than 250,000 inhabitants of 200 poor and isolated villages. In 2022, 23000 people (14</w:t>
            </w:r>
            <w:r w:rsidR="0040350C">
              <w:rPr>
                <w:rFonts w:asciiTheme="minorHAnsi" w:eastAsia="Arial" w:hAnsiTheme="minorHAnsi" w:cstheme="minorHAnsi"/>
                <w:sz w:val="22"/>
                <w:szCs w:val="22"/>
              </w:rPr>
              <w:t>,</w:t>
            </w:r>
            <w:r w:rsidRPr="00AA49D2">
              <w:rPr>
                <w:rFonts w:asciiTheme="minorHAnsi" w:eastAsia="Arial" w:hAnsiTheme="minorHAnsi" w:cstheme="minorHAnsi"/>
                <w:sz w:val="22"/>
                <w:szCs w:val="22"/>
              </w:rPr>
              <w:t xml:space="preserve">000 women) have improved access to energy through UNDP support. </w:t>
            </w:r>
          </w:p>
        </w:tc>
      </w:tr>
      <w:tr w:rsidR="009E7526" w:rsidRPr="00303DAB" w14:paraId="0416DF27" w14:textId="77777777" w:rsidTr="00DB7FD5">
        <w:tc>
          <w:tcPr>
            <w:tcW w:w="14040" w:type="dxa"/>
            <w:gridSpan w:val="9"/>
          </w:tcPr>
          <w:p w14:paraId="79F41FBE" w14:textId="05317218" w:rsidR="421EEF22" w:rsidRPr="00AA49D2" w:rsidRDefault="03844FAD" w:rsidP="007D1DB4">
            <w:pPr>
              <w:jc w:val="both"/>
              <w:rPr>
                <w:rFonts w:asciiTheme="minorHAnsi" w:eastAsia="Arial" w:hAnsiTheme="minorHAnsi" w:cstheme="minorHAnsi"/>
                <w:b/>
                <w:bCs/>
                <w:sz w:val="22"/>
                <w:szCs w:val="22"/>
                <w:u w:val="single"/>
                <w:lang w:val="en-US"/>
              </w:rPr>
            </w:pPr>
            <w:r w:rsidRPr="00AA49D2">
              <w:rPr>
                <w:rFonts w:asciiTheme="minorHAnsi" w:eastAsia="Arial" w:hAnsiTheme="minorHAnsi" w:cstheme="minorHAnsi"/>
                <w:b/>
                <w:bCs/>
                <w:sz w:val="22"/>
                <w:szCs w:val="22"/>
                <w:u w:val="single"/>
                <w:lang w:val="en-US"/>
              </w:rPr>
              <w:lastRenderedPageBreak/>
              <w:t xml:space="preserve">Summary of </w:t>
            </w:r>
            <w:r w:rsidR="00A90B42">
              <w:rPr>
                <w:rFonts w:asciiTheme="minorHAnsi" w:eastAsia="Arial" w:hAnsiTheme="minorHAnsi" w:cstheme="minorHAnsi"/>
                <w:b/>
                <w:bCs/>
                <w:sz w:val="22"/>
                <w:szCs w:val="22"/>
                <w:u w:val="single"/>
                <w:lang w:val="en-US"/>
              </w:rPr>
              <w:t xml:space="preserve">the CPD final </w:t>
            </w:r>
            <w:r w:rsidRPr="00AA49D2">
              <w:rPr>
                <w:rFonts w:asciiTheme="minorHAnsi" w:eastAsia="Arial" w:hAnsiTheme="minorHAnsi" w:cstheme="minorHAnsi"/>
                <w:b/>
                <w:bCs/>
                <w:sz w:val="22"/>
                <w:szCs w:val="22"/>
                <w:u w:val="single"/>
                <w:lang w:val="en-US"/>
              </w:rPr>
              <w:t>evaluation</w:t>
            </w:r>
          </w:p>
          <w:p w14:paraId="4946914C" w14:textId="77777777" w:rsidR="00AA49D2" w:rsidRDefault="00AA49D2" w:rsidP="00A90B42">
            <w:pPr>
              <w:jc w:val="both"/>
              <w:rPr>
                <w:rFonts w:asciiTheme="minorHAnsi" w:eastAsia="Arial" w:hAnsiTheme="minorHAnsi" w:cstheme="minorHAnsi"/>
                <w:b/>
                <w:bCs/>
                <w:sz w:val="22"/>
                <w:szCs w:val="22"/>
                <w:lang w:val="en-US"/>
              </w:rPr>
            </w:pPr>
          </w:p>
          <w:p w14:paraId="69BB8A1C" w14:textId="3351195B" w:rsidR="5D2E91BF" w:rsidRPr="00AA49D2" w:rsidRDefault="2780B077" w:rsidP="00A90B42">
            <w:pPr>
              <w:jc w:val="both"/>
              <w:rPr>
                <w:rFonts w:asciiTheme="minorHAnsi" w:eastAsia="Arial" w:hAnsiTheme="minorHAnsi" w:cstheme="minorHAnsi"/>
                <w:b/>
                <w:bCs/>
                <w:sz w:val="22"/>
                <w:szCs w:val="22"/>
                <w:lang w:val="en-US"/>
              </w:rPr>
            </w:pPr>
            <w:r w:rsidRPr="00AA49D2">
              <w:rPr>
                <w:rFonts w:asciiTheme="minorHAnsi" w:eastAsia="Arial" w:hAnsiTheme="minorHAnsi" w:cstheme="minorHAnsi"/>
                <w:b/>
                <w:bCs/>
                <w:sz w:val="22"/>
                <w:szCs w:val="22"/>
                <w:lang w:val="en-US"/>
              </w:rPr>
              <w:t>Cohe</w:t>
            </w:r>
            <w:r w:rsidR="4976C072" w:rsidRPr="00AA49D2">
              <w:rPr>
                <w:rFonts w:asciiTheme="minorHAnsi" w:eastAsia="Arial" w:hAnsiTheme="minorHAnsi" w:cstheme="minorHAnsi"/>
                <w:b/>
                <w:bCs/>
                <w:sz w:val="22"/>
                <w:szCs w:val="22"/>
                <w:lang w:val="en-US"/>
              </w:rPr>
              <w:t>re</w:t>
            </w:r>
            <w:r w:rsidRPr="00AA49D2">
              <w:rPr>
                <w:rFonts w:asciiTheme="minorHAnsi" w:eastAsia="Arial" w:hAnsiTheme="minorHAnsi" w:cstheme="minorHAnsi"/>
                <w:b/>
                <w:bCs/>
                <w:sz w:val="22"/>
                <w:szCs w:val="22"/>
                <w:lang w:val="en-US"/>
              </w:rPr>
              <w:t>nce</w:t>
            </w:r>
          </w:p>
          <w:p w14:paraId="5A396931" w14:textId="257E85C4" w:rsidR="5D2E91BF" w:rsidRPr="00AA49D2" w:rsidRDefault="2780B077" w:rsidP="00A90B42">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The CPD is strategically and operationally relevant, </w:t>
            </w:r>
            <w:r w:rsidR="684D7158" w:rsidRPr="00AA49D2">
              <w:rPr>
                <w:rFonts w:asciiTheme="minorHAnsi" w:eastAsia="Arial" w:hAnsiTheme="minorHAnsi" w:cstheme="minorHAnsi"/>
                <w:sz w:val="22"/>
                <w:szCs w:val="22"/>
                <w:lang w:val="en-US"/>
              </w:rPr>
              <w:t>and</w:t>
            </w:r>
            <w:r w:rsidRPr="00AA49D2">
              <w:rPr>
                <w:rFonts w:asciiTheme="minorHAnsi" w:eastAsia="Arial" w:hAnsiTheme="minorHAnsi" w:cstheme="minorHAnsi"/>
                <w:sz w:val="22"/>
                <w:szCs w:val="22"/>
                <w:lang w:val="en-US"/>
              </w:rPr>
              <w:t xml:space="preserve"> is perfectly aligned with the development priorities of </w:t>
            </w:r>
            <w:r w:rsidR="001651BC" w:rsidRPr="00AA49D2">
              <w:rPr>
                <w:rFonts w:asciiTheme="minorHAnsi" w:eastAsia="Arial" w:hAnsiTheme="minorHAnsi" w:cstheme="minorHAnsi"/>
                <w:sz w:val="22"/>
                <w:szCs w:val="22"/>
                <w:lang w:val="en-US"/>
              </w:rPr>
              <w:t>Mauritania</w:t>
            </w:r>
            <w:r w:rsidRPr="00AA49D2">
              <w:rPr>
                <w:rFonts w:asciiTheme="minorHAnsi" w:eastAsia="Arial" w:hAnsiTheme="minorHAnsi" w:cstheme="minorHAnsi"/>
                <w:sz w:val="22"/>
                <w:szCs w:val="22"/>
                <w:lang w:val="en-US"/>
              </w:rPr>
              <w:t>.</w:t>
            </w:r>
            <w:r w:rsidR="261D7318" w:rsidRPr="00AA49D2">
              <w:rPr>
                <w:rFonts w:asciiTheme="minorHAnsi" w:eastAsia="Arial" w:hAnsiTheme="minorHAnsi" w:cstheme="minorHAnsi"/>
                <w:sz w:val="22"/>
                <w:szCs w:val="22"/>
                <w:lang w:val="en-US"/>
              </w:rPr>
              <w:t xml:space="preserve"> </w:t>
            </w:r>
            <w:r w:rsidRPr="00AA49D2">
              <w:rPr>
                <w:rFonts w:asciiTheme="minorHAnsi" w:eastAsia="Arial" w:hAnsiTheme="minorHAnsi" w:cstheme="minorHAnsi"/>
                <w:sz w:val="22"/>
                <w:szCs w:val="22"/>
                <w:lang w:val="en-US"/>
              </w:rPr>
              <w:t>It is in line with the President Expanded Priority Program for Economic Recovery (</w:t>
            </w:r>
            <w:proofErr w:type="spellStart"/>
            <w:r w:rsidRPr="00AA49D2">
              <w:rPr>
                <w:rFonts w:asciiTheme="minorHAnsi" w:eastAsia="Arial" w:hAnsiTheme="minorHAnsi" w:cstheme="minorHAnsi"/>
                <w:sz w:val="22"/>
                <w:szCs w:val="22"/>
                <w:lang w:val="en-US"/>
              </w:rPr>
              <w:t>ProPEP</w:t>
            </w:r>
            <w:proofErr w:type="spellEnd"/>
            <w:r w:rsidRPr="00AA49D2">
              <w:rPr>
                <w:rFonts w:asciiTheme="minorHAnsi" w:eastAsia="Arial" w:hAnsiTheme="minorHAnsi" w:cstheme="minorHAnsi"/>
                <w:sz w:val="22"/>
                <w:szCs w:val="22"/>
                <w:lang w:val="en-US"/>
              </w:rPr>
              <w:t>), the Strategy for Accelerated Growth and Shared Prosperity (SCAPP 2016-2030), the National Strategy for the Environment and Sustainable Development (SNEDD), the National Determined Contribution CDN</w:t>
            </w:r>
            <w:r w:rsidR="2EF4BE18" w:rsidRPr="00AA49D2">
              <w:rPr>
                <w:rFonts w:asciiTheme="minorHAnsi" w:eastAsia="Arial" w:hAnsiTheme="minorHAnsi" w:cstheme="minorHAnsi"/>
                <w:sz w:val="22"/>
                <w:szCs w:val="22"/>
                <w:lang w:val="en-US"/>
              </w:rPr>
              <w:t>, while concentrated to the</w:t>
            </w:r>
            <w:r w:rsidR="00A90B42">
              <w:rPr>
                <w:rFonts w:asciiTheme="minorHAnsi" w:eastAsia="Arial" w:hAnsiTheme="minorHAnsi" w:cstheme="minorHAnsi"/>
                <w:sz w:val="22"/>
                <w:szCs w:val="22"/>
                <w:lang w:val="en-US"/>
              </w:rPr>
              <w:t xml:space="preserve"> UNSD</w:t>
            </w:r>
            <w:r w:rsidR="2EF4BE18" w:rsidRPr="00AA49D2">
              <w:rPr>
                <w:rFonts w:asciiTheme="minorHAnsi" w:eastAsia="Arial" w:hAnsiTheme="minorHAnsi" w:cstheme="minorHAnsi"/>
                <w:sz w:val="22"/>
                <w:szCs w:val="22"/>
                <w:lang w:val="en-US"/>
              </w:rPr>
              <w:t xml:space="preserve">CF priorities. </w:t>
            </w:r>
          </w:p>
          <w:p w14:paraId="153F04A0" w14:textId="40532E4C" w:rsidR="421EEF22" w:rsidRPr="00AA49D2" w:rsidRDefault="421EEF22" w:rsidP="00A90B42">
            <w:pPr>
              <w:jc w:val="both"/>
              <w:rPr>
                <w:rFonts w:asciiTheme="minorHAnsi" w:eastAsia="Arial" w:hAnsiTheme="minorHAnsi" w:cstheme="minorHAnsi"/>
                <w:sz w:val="22"/>
                <w:szCs w:val="22"/>
                <w:lang w:val="en-US"/>
              </w:rPr>
            </w:pPr>
          </w:p>
          <w:p w14:paraId="0715E72C" w14:textId="0AEA2ACF" w:rsidR="694211E1" w:rsidRPr="00AA49D2" w:rsidRDefault="0E043359" w:rsidP="00A90B42">
            <w:pPr>
              <w:jc w:val="both"/>
              <w:rPr>
                <w:rFonts w:asciiTheme="minorHAnsi" w:eastAsia="Arial" w:hAnsiTheme="minorHAnsi" w:cstheme="minorHAnsi"/>
                <w:b/>
                <w:bCs/>
                <w:sz w:val="22"/>
                <w:szCs w:val="22"/>
                <w:lang w:val="en-US"/>
              </w:rPr>
            </w:pPr>
            <w:r w:rsidRPr="00AA49D2">
              <w:rPr>
                <w:rFonts w:asciiTheme="minorHAnsi" w:eastAsia="Arial" w:hAnsiTheme="minorHAnsi" w:cstheme="minorHAnsi"/>
                <w:b/>
                <w:bCs/>
                <w:sz w:val="22"/>
                <w:szCs w:val="22"/>
                <w:lang w:val="en-US"/>
              </w:rPr>
              <w:t>Effectiveness</w:t>
            </w:r>
          </w:p>
          <w:p w14:paraId="7E4560AB" w14:textId="5E5A9955" w:rsidR="694211E1" w:rsidRPr="00AA49D2" w:rsidRDefault="0E043359" w:rsidP="00A90B42">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The effectiveness </w:t>
            </w:r>
            <w:r w:rsidR="5BC1BEB8" w:rsidRPr="00AA49D2">
              <w:rPr>
                <w:rFonts w:asciiTheme="minorHAnsi" w:eastAsia="Arial" w:hAnsiTheme="minorHAnsi" w:cstheme="minorHAnsi"/>
                <w:sz w:val="22"/>
                <w:szCs w:val="22"/>
                <w:lang w:val="en-US"/>
              </w:rPr>
              <w:t>is viewed through</w:t>
            </w:r>
            <w:r w:rsidRPr="00AA49D2">
              <w:rPr>
                <w:rFonts w:asciiTheme="minorHAnsi" w:eastAsia="Arial" w:hAnsiTheme="minorHAnsi" w:cstheme="minorHAnsi"/>
                <w:sz w:val="22"/>
                <w:szCs w:val="22"/>
                <w:lang w:val="en-US"/>
              </w:rPr>
              <w:t xml:space="preserve"> </w:t>
            </w:r>
            <w:r w:rsidR="45CA0261" w:rsidRPr="00AA49D2">
              <w:rPr>
                <w:rFonts w:asciiTheme="minorHAnsi" w:eastAsia="Arial" w:hAnsiTheme="minorHAnsi" w:cstheme="minorHAnsi"/>
                <w:sz w:val="22"/>
                <w:szCs w:val="22"/>
                <w:lang w:val="en-US"/>
              </w:rPr>
              <w:t>the</w:t>
            </w:r>
            <w:r w:rsidRPr="00AA49D2">
              <w:rPr>
                <w:rFonts w:asciiTheme="minorHAnsi" w:eastAsia="Arial" w:hAnsiTheme="minorHAnsi" w:cstheme="minorHAnsi"/>
                <w:sz w:val="22"/>
                <w:szCs w:val="22"/>
                <w:lang w:val="en-US"/>
              </w:rPr>
              <w:t xml:space="preserve"> package </w:t>
            </w:r>
            <w:r w:rsidR="5A24C084" w:rsidRPr="00AA49D2">
              <w:rPr>
                <w:rFonts w:asciiTheme="minorHAnsi" w:eastAsia="Arial" w:hAnsiTheme="minorHAnsi" w:cstheme="minorHAnsi"/>
                <w:sz w:val="22"/>
                <w:szCs w:val="22"/>
                <w:lang w:val="en-US"/>
              </w:rPr>
              <w:t>and the qua</w:t>
            </w:r>
            <w:r w:rsidR="00AA49D2">
              <w:rPr>
                <w:rFonts w:asciiTheme="minorHAnsi" w:eastAsia="Arial" w:hAnsiTheme="minorHAnsi" w:cstheme="minorHAnsi"/>
                <w:sz w:val="22"/>
                <w:szCs w:val="22"/>
                <w:lang w:val="en-US"/>
              </w:rPr>
              <w:t>l</w:t>
            </w:r>
            <w:r w:rsidR="5A24C084" w:rsidRPr="00AA49D2">
              <w:rPr>
                <w:rFonts w:asciiTheme="minorHAnsi" w:eastAsia="Arial" w:hAnsiTheme="minorHAnsi" w:cstheme="minorHAnsi"/>
                <w:sz w:val="22"/>
                <w:szCs w:val="22"/>
                <w:lang w:val="en-US"/>
              </w:rPr>
              <w:t xml:space="preserve">ity </w:t>
            </w:r>
            <w:r w:rsidRPr="00AA49D2">
              <w:rPr>
                <w:rFonts w:asciiTheme="minorHAnsi" w:eastAsia="Arial" w:hAnsiTheme="minorHAnsi" w:cstheme="minorHAnsi"/>
                <w:sz w:val="22"/>
                <w:szCs w:val="22"/>
                <w:lang w:val="en-US"/>
              </w:rPr>
              <w:t xml:space="preserve">of projects developed and implemented during the 2018-2022 period. In addition to </w:t>
            </w:r>
            <w:r w:rsidR="1719C4B6" w:rsidRPr="00AA49D2">
              <w:rPr>
                <w:rFonts w:asciiTheme="minorHAnsi" w:eastAsia="Arial" w:hAnsiTheme="minorHAnsi" w:cstheme="minorHAnsi"/>
                <w:sz w:val="22"/>
                <w:szCs w:val="22"/>
                <w:lang w:val="en-US"/>
              </w:rPr>
              <w:t xml:space="preserve">the </w:t>
            </w:r>
            <w:r w:rsidRPr="00AA49D2">
              <w:rPr>
                <w:rFonts w:asciiTheme="minorHAnsi" w:eastAsia="Arial" w:hAnsiTheme="minorHAnsi" w:cstheme="minorHAnsi"/>
                <w:sz w:val="22"/>
                <w:szCs w:val="22"/>
                <w:lang w:val="en-US"/>
              </w:rPr>
              <w:t xml:space="preserve">physical achievements, </w:t>
            </w:r>
            <w:r w:rsidR="28B05FC8" w:rsidRPr="00AA49D2">
              <w:rPr>
                <w:rFonts w:asciiTheme="minorHAnsi" w:eastAsia="Arial" w:hAnsiTheme="minorHAnsi" w:cstheme="minorHAnsi"/>
                <w:sz w:val="22"/>
                <w:szCs w:val="22"/>
                <w:lang w:val="en-US"/>
              </w:rPr>
              <w:t>the CPD</w:t>
            </w:r>
            <w:r w:rsidRPr="00AA49D2">
              <w:rPr>
                <w:rFonts w:asciiTheme="minorHAnsi" w:eastAsia="Arial" w:hAnsiTheme="minorHAnsi" w:cstheme="minorHAnsi"/>
                <w:sz w:val="22"/>
                <w:szCs w:val="22"/>
                <w:lang w:val="en-US"/>
              </w:rPr>
              <w:t xml:space="preserve"> has produced results and induced important changes in the strategic plan that reinforce its degree of effectiveness</w:t>
            </w:r>
            <w:r w:rsidR="5530603D" w:rsidRPr="00AA49D2">
              <w:rPr>
                <w:rFonts w:asciiTheme="minorHAnsi" w:eastAsia="Arial" w:hAnsiTheme="minorHAnsi" w:cstheme="minorHAnsi"/>
                <w:sz w:val="22"/>
                <w:szCs w:val="22"/>
                <w:lang w:val="en-US"/>
              </w:rPr>
              <w:t xml:space="preserve"> t</w:t>
            </w:r>
            <w:r w:rsidR="7F5D71E5" w:rsidRPr="00AA49D2">
              <w:rPr>
                <w:rFonts w:asciiTheme="minorHAnsi" w:eastAsia="Arial" w:hAnsiTheme="minorHAnsi" w:cstheme="minorHAnsi"/>
                <w:sz w:val="22"/>
                <w:szCs w:val="22"/>
                <w:lang w:val="en-US"/>
              </w:rPr>
              <w:t xml:space="preserve">hrough </w:t>
            </w:r>
            <w:r w:rsidRPr="00AA49D2">
              <w:rPr>
                <w:rFonts w:asciiTheme="minorHAnsi" w:eastAsia="Arial" w:hAnsiTheme="minorHAnsi" w:cstheme="minorHAnsi"/>
                <w:sz w:val="22"/>
                <w:szCs w:val="22"/>
                <w:lang w:val="en-US"/>
              </w:rPr>
              <w:t>numerous reforms and the development of relevant</w:t>
            </w:r>
            <w:r w:rsidR="6317C9CA" w:rsidRPr="00AA49D2">
              <w:rPr>
                <w:rFonts w:asciiTheme="minorHAnsi" w:eastAsia="Arial" w:hAnsiTheme="minorHAnsi" w:cstheme="minorHAnsi"/>
                <w:sz w:val="22"/>
                <w:szCs w:val="22"/>
                <w:lang w:val="en-US"/>
              </w:rPr>
              <w:t xml:space="preserve"> institutional</w:t>
            </w:r>
            <w:r w:rsidRPr="00AA49D2">
              <w:rPr>
                <w:rFonts w:asciiTheme="minorHAnsi" w:eastAsia="Arial" w:hAnsiTheme="minorHAnsi" w:cstheme="minorHAnsi"/>
                <w:sz w:val="22"/>
                <w:szCs w:val="22"/>
                <w:lang w:val="en-US"/>
              </w:rPr>
              <w:t xml:space="preserve"> tools and instruments </w:t>
            </w:r>
            <w:r w:rsidR="7BFC30EF" w:rsidRPr="00AA49D2">
              <w:rPr>
                <w:rFonts w:asciiTheme="minorHAnsi" w:eastAsia="Arial" w:hAnsiTheme="minorHAnsi" w:cstheme="minorHAnsi"/>
                <w:sz w:val="22"/>
                <w:szCs w:val="22"/>
                <w:lang w:val="en-US"/>
              </w:rPr>
              <w:t>that have been</w:t>
            </w:r>
            <w:r w:rsidRPr="00AA49D2">
              <w:rPr>
                <w:rFonts w:asciiTheme="minorHAnsi" w:eastAsia="Arial" w:hAnsiTheme="minorHAnsi" w:cstheme="minorHAnsi"/>
                <w:sz w:val="22"/>
                <w:szCs w:val="22"/>
                <w:lang w:val="en-US"/>
              </w:rPr>
              <w:t xml:space="preserve"> carried out in various areas</w:t>
            </w:r>
            <w:r w:rsidR="6A7825BE" w:rsidRPr="00AA49D2">
              <w:rPr>
                <w:rFonts w:asciiTheme="minorHAnsi" w:eastAsia="Arial" w:hAnsiTheme="minorHAnsi" w:cstheme="minorHAnsi"/>
                <w:sz w:val="22"/>
                <w:szCs w:val="22"/>
                <w:lang w:val="en-US"/>
              </w:rPr>
              <w:t>.</w:t>
            </w:r>
          </w:p>
          <w:p w14:paraId="4C042709" w14:textId="5B31AF34" w:rsidR="421EEF22" w:rsidRPr="00AA49D2" w:rsidRDefault="421EEF22" w:rsidP="00A90B42">
            <w:pPr>
              <w:jc w:val="both"/>
              <w:rPr>
                <w:rFonts w:asciiTheme="minorHAnsi" w:eastAsia="Arial" w:hAnsiTheme="minorHAnsi" w:cstheme="minorHAnsi"/>
                <w:sz w:val="22"/>
                <w:szCs w:val="22"/>
                <w:lang w:val="en-US"/>
              </w:rPr>
            </w:pPr>
          </w:p>
          <w:p w14:paraId="0F08F967" w14:textId="2B4FFED6" w:rsidR="14846C08" w:rsidRPr="00AA49D2" w:rsidRDefault="28E24F57" w:rsidP="00A90B42">
            <w:pPr>
              <w:jc w:val="both"/>
              <w:rPr>
                <w:rFonts w:asciiTheme="minorHAnsi" w:eastAsia="Arial" w:hAnsiTheme="minorHAnsi" w:cstheme="minorHAnsi"/>
                <w:b/>
                <w:bCs/>
                <w:sz w:val="22"/>
                <w:szCs w:val="22"/>
                <w:lang w:val="en-US"/>
              </w:rPr>
            </w:pPr>
            <w:r w:rsidRPr="00AA49D2">
              <w:rPr>
                <w:rFonts w:asciiTheme="minorHAnsi" w:eastAsia="Arial" w:hAnsiTheme="minorHAnsi" w:cstheme="minorHAnsi"/>
                <w:b/>
                <w:bCs/>
                <w:sz w:val="22"/>
                <w:szCs w:val="22"/>
                <w:lang w:val="en-US"/>
              </w:rPr>
              <w:t>Eff</w:t>
            </w:r>
            <w:r w:rsidR="3335B818" w:rsidRPr="00AA49D2">
              <w:rPr>
                <w:rFonts w:asciiTheme="minorHAnsi" w:eastAsia="Arial" w:hAnsiTheme="minorHAnsi" w:cstheme="minorHAnsi"/>
                <w:b/>
                <w:bCs/>
                <w:sz w:val="22"/>
                <w:szCs w:val="22"/>
                <w:lang w:val="en-US"/>
              </w:rPr>
              <w:t>i</w:t>
            </w:r>
            <w:r w:rsidRPr="00AA49D2">
              <w:rPr>
                <w:rFonts w:asciiTheme="minorHAnsi" w:eastAsia="Arial" w:hAnsiTheme="minorHAnsi" w:cstheme="minorHAnsi"/>
                <w:b/>
                <w:bCs/>
                <w:sz w:val="22"/>
                <w:szCs w:val="22"/>
                <w:lang w:val="en-US"/>
              </w:rPr>
              <w:t>ciency</w:t>
            </w:r>
          </w:p>
          <w:p w14:paraId="34C73768" w14:textId="1820C4AA" w:rsidR="14846C08" w:rsidRPr="00AA49D2" w:rsidRDefault="28E24F57" w:rsidP="00A90B42">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The financial management of this offer has shown some efficiency, as it has been supported within a management framework of good standing that optimizes the use of resources. The support and technical assistance provided by UNDP were deemed satisfactory and planning of activities was done on a </w:t>
            </w:r>
            <w:proofErr w:type="gramStart"/>
            <w:r w:rsidRPr="00AA49D2">
              <w:rPr>
                <w:rFonts w:asciiTheme="minorHAnsi" w:eastAsia="Arial" w:hAnsiTheme="minorHAnsi" w:cstheme="minorHAnsi"/>
                <w:sz w:val="22"/>
                <w:szCs w:val="22"/>
                <w:lang w:val="en-US"/>
              </w:rPr>
              <w:t>fairly regular</w:t>
            </w:r>
            <w:proofErr w:type="gramEnd"/>
            <w:r w:rsidRPr="00AA49D2">
              <w:rPr>
                <w:rFonts w:asciiTheme="minorHAnsi" w:eastAsia="Arial" w:hAnsiTheme="minorHAnsi" w:cstheme="minorHAnsi"/>
                <w:sz w:val="22"/>
                <w:szCs w:val="22"/>
                <w:lang w:val="en-US"/>
              </w:rPr>
              <w:t xml:space="preserve"> basis with results that were well appreciated by the various partners met. The CPD</w:t>
            </w:r>
            <w:r w:rsidR="5691E8CC" w:rsidRPr="00AA49D2">
              <w:rPr>
                <w:rFonts w:asciiTheme="minorHAnsi" w:eastAsia="Arial" w:hAnsiTheme="minorHAnsi" w:cstheme="minorHAnsi"/>
                <w:sz w:val="22"/>
                <w:szCs w:val="22"/>
                <w:lang w:val="en-US"/>
              </w:rPr>
              <w:t xml:space="preserve"> </w:t>
            </w:r>
            <w:r w:rsidRPr="00AA49D2">
              <w:rPr>
                <w:rFonts w:asciiTheme="minorHAnsi" w:eastAsia="Arial" w:hAnsiTheme="minorHAnsi" w:cstheme="minorHAnsi"/>
                <w:sz w:val="22"/>
                <w:szCs w:val="22"/>
                <w:lang w:val="en-US"/>
              </w:rPr>
              <w:t xml:space="preserve">has developed partnerships with government authorities through the ministries concerned, as well as with the supporting NGOs that have accompanied the implementation of projects in the field. </w:t>
            </w:r>
          </w:p>
          <w:p w14:paraId="6531742A" w14:textId="3648FC1A" w:rsidR="421EEF22" w:rsidRPr="00AA49D2" w:rsidRDefault="421EEF22" w:rsidP="00A90B42">
            <w:pPr>
              <w:jc w:val="both"/>
              <w:rPr>
                <w:rFonts w:asciiTheme="minorHAnsi" w:eastAsia="Arial" w:hAnsiTheme="minorHAnsi" w:cstheme="minorHAnsi"/>
                <w:sz w:val="22"/>
                <w:szCs w:val="22"/>
                <w:lang w:val="en-US"/>
              </w:rPr>
            </w:pPr>
          </w:p>
          <w:p w14:paraId="354F0CEA" w14:textId="4EA7301A" w:rsidR="6AE87B17" w:rsidRPr="00AA49D2" w:rsidRDefault="3BB030D9" w:rsidP="00A90B42">
            <w:pPr>
              <w:jc w:val="both"/>
              <w:rPr>
                <w:rFonts w:asciiTheme="minorHAnsi" w:eastAsia="Arial" w:hAnsiTheme="minorHAnsi" w:cstheme="minorHAnsi"/>
                <w:b/>
                <w:sz w:val="22"/>
                <w:szCs w:val="22"/>
                <w:lang w:val="en-US"/>
              </w:rPr>
            </w:pPr>
            <w:r w:rsidRPr="00AA49D2">
              <w:rPr>
                <w:rFonts w:asciiTheme="minorHAnsi" w:eastAsia="Arial" w:hAnsiTheme="minorHAnsi" w:cstheme="minorHAnsi"/>
                <w:b/>
                <w:sz w:val="22"/>
                <w:szCs w:val="22"/>
                <w:lang w:val="en-US"/>
              </w:rPr>
              <w:t>Durability</w:t>
            </w:r>
          </w:p>
          <w:p w14:paraId="0DD078C5" w14:textId="24EEE178" w:rsidR="6AE87B17" w:rsidRPr="00AA49D2" w:rsidRDefault="3BB030D9" w:rsidP="00A90B42">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The anchoring of the CPD outputs under the seal of national execution modalities which gives responsibility to national entities</w:t>
            </w:r>
            <w:r w:rsidR="64609C96" w:rsidRPr="00AA49D2">
              <w:rPr>
                <w:rFonts w:asciiTheme="minorHAnsi" w:eastAsia="Arial" w:hAnsiTheme="minorHAnsi" w:cstheme="minorHAnsi"/>
                <w:sz w:val="22"/>
                <w:szCs w:val="22"/>
                <w:lang w:val="en-US"/>
              </w:rPr>
              <w:t xml:space="preserve"> </w:t>
            </w:r>
            <w:r w:rsidRPr="00AA49D2">
              <w:rPr>
                <w:rFonts w:asciiTheme="minorHAnsi" w:eastAsia="Arial" w:hAnsiTheme="minorHAnsi" w:cstheme="minorHAnsi"/>
                <w:sz w:val="22"/>
                <w:szCs w:val="22"/>
                <w:lang w:val="en-US"/>
              </w:rPr>
              <w:t xml:space="preserve">encouraged </w:t>
            </w:r>
            <w:r w:rsidR="30062E72" w:rsidRPr="00AA49D2">
              <w:rPr>
                <w:rFonts w:asciiTheme="minorHAnsi" w:eastAsia="Arial" w:hAnsiTheme="minorHAnsi" w:cstheme="minorHAnsi"/>
                <w:sz w:val="22"/>
                <w:szCs w:val="22"/>
                <w:lang w:val="en-US"/>
              </w:rPr>
              <w:t xml:space="preserve">to a </w:t>
            </w:r>
            <w:r w:rsidR="00A90B42" w:rsidRPr="00AA49D2">
              <w:rPr>
                <w:rFonts w:asciiTheme="minorHAnsi" w:eastAsia="Arial" w:hAnsiTheme="minorHAnsi" w:cstheme="minorHAnsi"/>
                <w:sz w:val="22"/>
                <w:szCs w:val="22"/>
                <w:lang w:val="en-US"/>
              </w:rPr>
              <w:t>certain</w:t>
            </w:r>
            <w:r w:rsidR="30062E72" w:rsidRPr="00AA49D2">
              <w:rPr>
                <w:rFonts w:asciiTheme="minorHAnsi" w:eastAsia="Arial" w:hAnsiTheme="minorHAnsi" w:cstheme="minorHAnsi"/>
                <w:sz w:val="22"/>
                <w:szCs w:val="22"/>
                <w:lang w:val="en-US"/>
              </w:rPr>
              <w:t xml:space="preserve"> extent, </w:t>
            </w:r>
            <w:r w:rsidRPr="00AA49D2">
              <w:rPr>
                <w:rFonts w:asciiTheme="minorHAnsi" w:eastAsia="Arial" w:hAnsiTheme="minorHAnsi" w:cstheme="minorHAnsi"/>
                <w:sz w:val="22"/>
                <w:szCs w:val="22"/>
                <w:lang w:val="en-US"/>
              </w:rPr>
              <w:t xml:space="preserve">national authorities to take ownership of projects, which in turn ensures the sustainability of results, particularly in terms of strategic institutional levels. </w:t>
            </w:r>
          </w:p>
          <w:p w14:paraId="5FF9E1D8" w14:textId="611E10E9" w:rsidR="421EEF22" w:rsidRPr="00AA49D2" w:rsidRDefault="421EEF22" w:rsidP="00A90B42">
            <w:pPr>
              <w:jc w:val="both"/>
              <w:rPr>
                <w:rFonts w:asciiTheme="minorHAnsi" w:eastAsia="Arial" w:hAnsiTheme="minorHAnsi" w:cstheme="minorHAnsi"/>
                <w:sz w:val="22"/>
                <w:szCs w:val="22"/>
                <w:lang w:val="en-US"/>
              </w:rPr>
            </w:pPr>
          </w:p>
          <w:p w14:paraId="31507592" w14:textId="1578B62D" w:rsidR="23F617C8" w:rsidRPr="00AA49D2" w:rsidRDefault="2A238089" w:rsidP="00A90B42">
            <w:pPr>
              <w:jc w:val="both"/>
              <w:rPr>
                <w:rFonts w:asciiTheme="minorHAnsi" w:eastAsia="Arial" w:hAnsiTheme="minorHAnsi" w:cstheme="minorHAnsi"/>
                <w:sz w:val="22"/>
                <w:szCs w:val="22"/>
                <w:lang w:val="en-US"/>
              </w:rPr>
            </w:pPr>
            <w:r w:rsidRPr="00AA49D2">
              <w:rPr>
                <w:rFonts w:asciiTheme="minorHAnsi" w:eastAsia="Arial" w:hAnsiTheme="minorHAnsi" w:cstheme="minorHAnsi"/>
                <w:b/>
                <w:bCs/>
                <w:sz w:val="22"/>
                <w:szCs w:val="22"/>
                <w:lang w:val="en-US"/>
              </w:rPr>
              <w:t>Key Achievements</w:t>
            </w:r>
            <w:r w:rsidRPr="00AA49D2">
              <w:rPr>
                <w:rFonts w:asciiTheme="minorHAnsi" w:eastAsia="Arial" w:hAnsiTheme="minorHAnsi" w:cstheme="minorHAnsi"/>
                <w:sz w:val="22"/>
                <w:szCs w:val="22"/>
                <w:lang w:val="en-US"/>
              </w:rPr>
              <w:t>:</w:t>
            </w:r>
          </w:p>
          <w:p w14:paraId="2D75B4B0" w14:textId="5AE2CC1F" w:rsidR="33875008" w:rsidRPr="00AA49D2" w:rsidRDefault="1B7CBC65" w:rsidP="00A90B42">
            <w:pPr>
              <w:jc w:val="both"/>
              <w:rPr>
                <w:rFonts w:asciiTheme="minorHAnsi" w:eastAsia="Arial" w:hAnsiTheme="minorHAnsi" w:cstheme="minorHAnsi"/>
                <w:sz w:val="22"/>
                <w:szCs w:val="22"/>
                <w:lang w:val="en-US"/>
              </w:rPr>
            </w:pPr>
            <w:r w:rsidRPr="00AA49D2">
              <w:rPr>
                <w:rFonts w:asciiTheme="minorHAnsi" w:eastAsia="Arial" w:hAnsiTheme="minorHAnsi" w:cstheme="minorHAnsi"/>
                <w:sz w:val="22"/>
                <w:szCs w:val="22"/>
                <w:lang w:val="en-US"/>
              </w:rPr>
              <w:t xml:space="preserve">Globally, the CPD 2018-2023 is a relevant response at the regional and local levels </w:t>
            </w:r>
            <w:proofErr w:type="gramStart"/>
            <w:r w:rsidRPr="00AA49D2">
              <w:rPr>
                <w:rFonts w:asciiTheme="minorHAnsi" w:eastAsia="Arial" w:hAnsiTheme="minorHAnsi" w:cstheme="minorHAnsi"/>
                <w:sz w:val="22"/>
                <w:szCs w:val="22"/>
                <w:lang w:val="en-US"/>
              </w:rPr>
              <w:t>with regard to</w:t>
            </w:r>
            <w:proofErr w:type="gramEnd"/>
            <w:r w:rsidRPr="00AA49D2">
              <w:rPr>
                <w:rFonts w:asciiTheme="minorHAnsi" w:eastAsia="Arial" w:hAnsiTheme="minorHAnsi" w:cstheme="minorHAnsi"/>
                <w:sz w:val="22"/>
                <w:szCs w:val="22"/>
                <w:lang w:val="en-US"/>
              </w:rPr>
              <w:t xml:space="preserve"> environmental conservation, building people's resilience to climate change</w:t>
            </w:r>
            <w:r w:rsidR="3E958C1A" w:rsidRPr="00AA49D2">
              <w:rPr>
                <w:rFonts w:asciiTheme="minorHAnsi" w:eastAsia="Arial" w:hAnsiTheme="minorHAnsi" w:cstheme="minorHAnsi"/>
                <w:sz w:val="22"/>
                <w:szCs w:val="22"/>
                <w:lang w:val="en-US"/>
              </w:rPr>
              <w:t xml:space="preserve"> </w:t>
            </w:r>
            <w:r w:rsidRPr="00AA49D2">
              <w:rPr>
                <w:rFonts w:asciiTheme="minorHAnsi" w:eastAsia="Arial" w:hAnsiTheme="minorHAnsi" w:cstheme="minorHAnsi"/>
                <w:sz w:val="22"/>
                <w:szCs w:val="22"/>
                <w:lang w:val="en-US"/>
              </w:rPr>
              <w:t>and disaster risks,</w:t>
            </w:r>
            <w:r w:rsidR="04140316" w:rsidRPr="00AA49D2">
              <w:rPr>
                <w:rFonts w:asciiTheme="minorHAnsi" w:eastAsia="Arial" w:hAnsiTheme="minorHAnsi" w:cstheme="minorHAnsi"/>
                <w:sz w:val="22"/>
                <w:szCs w:val="22"/>
                <w:lang w:val="en-US"/>
              </w:rPr>
              <w:t xml:space="preserve"> </w:t>
            </w:r>
            <w:r w:rsidRPr="00AA49D2">
              <w:rPr>
                <w:rFonts w:asciiTheme="minorHAnsi" w:eastAsia="Arial" w:hAnsiTheme="minorHAnsi" w:cstheme="minorHAnsi"/>
                <w:sz w:val="22"/>
                <w:szCs w:val="22"/>
                <w:lang w:val="en-US"/>
              </w:rPr>
              <w:t>access to water</w:t>
            </w:r>
            <w:r w:rsidR="2833F179" w:rsidRPr="00AA49D2">
              <w:rPr>
                <w:rFonts w:asciiTheme="minorHAnsi" w:eastAsia="Arial" w:hAnsiTheme="minorHAnsi" w:cstheme="minorHAnsi"/>
                <w:sz w:val="22"/>
                <w:szCs w:val="22"/>
                <w:lang w:val="en-US"/>
              </w:rPr>
              <w:t xml:space="preserve"> and</w:t>
            </w:r>
            <w:r w:rsidRPr="00AA49D2">
              <w:rPr>
                <w:rFonts w:asciiTheme="minorHAnsi" w:eastAsia="Arial" w:hAnsiTheme="minorHAnsi" w:cstheme="minorHAnsi"/>
                <w:sz w:val="22"/>
                <w:szCs w:val="22"/>
                <w:lang w:val="en-US"/>
              </w:rPr>
              <w:t xml:space="preserve"> energy</w:t>
            </w:r>
            <w:r w:rsidR="72DBE251" w:rsidRPr="00AA49D2">
              <w:rPr>
                <w:rFonts w:asciiTheme="minorHAnsi" w:eastAsia="Arial" w:hAnsiTheme="minorHAnsi" w:cstheme="minorHAnsi"/>
                <w:sz w:val="22"/>
                <w:szCs w:val="22"/>
                <w:lang w:val="en-US"/>
              </w:rPr>
              <w:t xml:space="preserve">. </w:t>
            </w:r>
            <w:r w:rsidRPr="00AA49D2">
              <w:rPr>
                <w:rFonts w:asciiTheme="minorHAnsi" w:eastAsia="Arial" w:hAnsiTheme="minorHAnsi" w:cstheme="minorHAnsi"/>
                <w:sz w:val="22"/>
                <w:szCs w:val="22"/>
                <w:lang w:val="en-US"/>
              </w:rPr>
              <w:t xml:space="preserve"> </w:t>
            </w:r>
            <w:r w:rsidR="41E219ED" w:rsidRPr="00AA49D2">
              <w:rPr>
                <w:rFonts w:asciiTheme="minorHAnsi" w:eastAsia="Arial" w:hAnsiTheme="minorHAnsi" w:cstheme="minorHAnsi"/>
                <w:sz w:val="22"/>
                <w:szCs w:val="22"/>
                <w:lang w:val="en-US"/>
              </w:rPr>
              <w:t>It</w:t>
            </w:r>
            <w:r w:rsidR="792DF9C1" w:rsidRPr="00AA49D2">
              <w:rPr>
                <w:rFonts w:asciiTheme="minorHAnsi" w:eastAsia="Arial" w:hAnsiTheme="minorHAnsi" w:cstheme="minorHAnsi"/>
                <w:sz w:val="22"/>
                <w:szCs w:val="22"/>
                <w:lang w:val="en-US"/>
              </w:rPr>
              <w:t xml:space="preserve"> has </w:t>
            </w:r>
            <w:r w:rsidR="1BCEFFD3" w:rsidRPr="00AA49D2">
              <w:rPr>
                <w:rFonts w:asciiTheme="minorHAnsi" w:eastAsia="Arial" w:hAnsiTheme="minorHAnsi" w:cstheme="minorHAnsi"/>
                <w:sz w:val="22"/>
                <w:szCs w:val="22"/>
                <w:lang w:val="en-US"/>
              </w:rPr>
              <w:t xml:space="preserve">highly </w:t>
            </w:r>
            <w:r w:rsidR="792DF9C1" w:rsidRPr="00AA49D2">
              <w:rPr>
                <w:rFonts w:asciiTheme="minorHAnsi" w:eastAsia="Arial" w:hAnsiTheme="minorHAnsi" w:cstheme="minorHAnsi"/>
                <w:sz w:val="22"/>
                <w:szCs w:val="22"/>
                <w:lang w:val="en-US"/>
              </w:rPr>
              <w:t>supported the government in integrating environment, climate change and renewable energy into national development strategies and policies. Thus, the Strategy for Accelerated Growth and Shared Prosperity (SCAPP 2016-2030) devotes the 8</w:t>
            </w:r>
            <w:r w:rsidR="792DF9C1" w:rsidRPr="00436432">
              <w:rPr>
                <w:rFonts w:asciiTheme="minorHAnsi" w:eastAsia="Arial" w:hAnsiTheme="minorHAnsi" w:cstheme="minorHAnsi"/>
                <w:sz w:val="22"/>
                <w:szCs w:val="22"/>
                <w:vertAlign w:val="superscript"/>
                <w:lang w:val="en-US"/>
              </w:rPr>
              <w:t>th</w:t>
            </w:r>
            <w:r w:rsidR="792DF9C1" w:rsidRPr="00AA49D2">
              <w:rPr>
                <w:rFonts w:asciiTheme="minorHAnsi" w:eastAsia="Arial" w:hAnsiTheme="minorHAnsi" w:cstheme="minorHAnsi"/>
                <w:sz w:val="22"/>
                <w:szCs w:val="22"/>
                <w:lang w:val="en-US"/>
              </w:rPr>
              <w:t xml:space="preserve"> building block of its 3</w:t>
            </w:r>
            <w:r w:rsidR="792DF9C1" w:rsidRPr="001651BC">
              <w:rPr>
                <w:rFonts w:asciiTheme="minorHAnsi" w:eastAsia="Arial" w:hAnsiTheme="minorHAnsi" w:cstheme="minorHAnsi"/>
                <w:sz w:val="22"/>
                <w:szCs w:val="22"/>
                <w:vertAlign w:val="superscript"/>
                <w:lang w:val="en-US"/>
              </w:rPr>
              <w:t>rd</w:t>
            </w:r>
            <w:r w:rsidR="792DF9C1" w:rsidRPr="00AA49D2">
              <w:rPr>
                <w:rFonts w:asciiTheme="minorHAnsi" w:eastAsia="Arial" w:hAnsiTheme="minorHAnsi" w:cstheme="minorHAnsi"/>
                <w:sz w:val="22"/>
                <w:szCs w:val="22"/>
                <w:lang w:val="en-US"/>
              </w:rPr>
              <w:t xml:space="preserve"> lever to environmental governance, rational management of natural resources and disaster risk reduction. </w:t>
            </w:r>
            <w:r w:rsidR="20715442" w:rsidRPr="00AA49D2">
              <w:rPr>
                <w:rFonts w:asciiTheme="minorHAnsi" w:eastAsia="Arial" w:hAnsiTheme="minorHAnsi" w:cstheme="minorHAnsi"/>
                <w:sz w:val="22"/>
                <w:szCs w:val="22"/>
                <w:lang w:val="en-US"/>
              </w:rPr>
              <w:t xml:space="preserve">The securing of 31 market gardening and rain-fed areas in the Wilaya of </w:t>
            </w:r>
            <w:proofErr w:type="spellStart"/>
            <w:r w:rsidR="20715442" w:rsidRPr="00AA49D2">
              <w:rPr>
                <w:rFonts w:asciiTheme="minorHAnsi" w:eastAsia="Arial" w:hAnsiTheme="minorHAnsi" w:cstheme="minorHAnsi"/>
                <w:sz w:val="22"/>
                <w:szCs w:val="22"/>
                <w:lang w:val="en-US"/>
              </w:rPr>
              <w:t>Assaba</w:t>
            </w:r>
            <w:proofErr w:type="spellEnd"/>
            <w:r w:rsidR="20715442" w:rsidRPr="00AA49D2">
              <w:rPr>
                <w:rFonts w:asciiTheme="minorHAnsi" w:eastAsia="Arial" w:hAnsiTheme="minorHAnsi" w:cstheme="minorHAnsi"/>
                <w:sz w:val="22"/>
                <w:szCs w:val="22"/>
                <w:lang w:val="en-US"/>
              </w:rPr>
              <w:t>, for a population of about 6,650, 65% of whom are women, has helped strengthen livelihoods of women's resilience to the effects of climate change and various crises related to natural and</w:t>
            </w:r>
            <w:r w:rsidR="3558B8B0" w:rsidRPr="00AA49D2">
              <w:rPr>
                <w:rFonts w:asciiTheme="minorHAnsi" w:eastAsia="Arial" w:hAnsiTheme="minorHAnsi" w:cstheme="minorHAnsi"/>
                <w:sz w:val="22"/>
                <w:szCs w:val="22"/>
                <w:lang w:val="en-US"/>
              </w:rPr>
              <w:t xml:space="preserve"> climatic disasters.</w:t>
            </w:r>
          </w:p>
          <w:p w14:paraId="2CEE1B97" w14:textId="4E841B49" w:rsidR="421EEF22" w:rsidRDefault="421EEF22" w:rsidP="002C1526">
            <w:pPr>
              <w:jc w:val="both"/>
              <w:rPr>
                <w:rFonts w:asciiTheme="minorHAnsi" w:eastAsia="Arial" w:hAnsiTheme="minorHAnsi" w:cstheme="minorHAnsi"/>
                <w:sz w:val="22"/>
                <w:szCs w:val="22"/>
                <w:lang w:val="en-US"/>
              </w:rPr>
            </w:pPr>
          </w:p>
          <w:p w14:paraId="3D17ABF1" w14:textId="77777777" w:rsidR="007D1DB4" w:rsidRPr="00AA49D2" w:rsidRDefault="007D1DB4" w:rsidP="002C1526">
            <w:pPr>
              <w:jc w:val="both"/>
              <w:rPr>
                <w:rFonts w:asciiTheme="minorHAnsi" w:eastAsia="Arial" w:hAnsiTheme="minorHAnsi" w:cstheme="minorHAnsi"/>
                <w:sz w:val="22"/>
                <w:szCs w:val="22"/>
                <w:lang w:val="en-US"/>
              </w:rPr>
            </w:pPr>
          </w:p>
          <w:p w14:paraId="499533B8" w14:textId="7687583F" w:rsidR="009E7526" w:rsidRPr="00AA49D2" w:rsidRDefault="03844FAD" w:rsidP="002C1526">
            <w:pPr>
              <w:pStyle w:val="BodyText2"/>
              <w:jc w:val="both"/>
              <w:rPr>
                <w:rFonts w:asciiTheme="minorHAnsi" w:eastAsia="Arial" w:hAnsiTheme="minorHAnsi" w:cstheme="minorHAnsi"/>
                <w:b/>
                <w:bCs/>
                <w:sz w:val="22"/>
                <w:szCs w:val="22"/>
              </w:rPr>
            </w:pPr>
            <w:r w:rsidRPr="00AA49D2">
              <w:rPr>
                <w:rFonts w:asciiTheme="minorHAnsi" w:eastAsia="Arial" w:hAnsiTheme="minorHAnsi" w:cstheme="minorHAnsi"/>
                <w:b/>
                <w:bCs/>
                <w:sz w:val="22"/>
                <w:szCs w:val="22"/>
                <w:u w:val="single"/>
              </w:rPr>
              <w:lastRenderedPageBreak/>
              <w:t>Major Lessons Learnt</w:t>
            </w:r>
            <w:r w:rsidR="69BD8DC3" w:rsidRPr="00AA49D2">
              <w:rPr>
                <w:rFonts w:asciiTheme="minorHAnsi" w:eastAsia="Arial" w:hAnsiTheme="minorHAnsi" w:cstheme="minorHAnsi"/>
                <w:b/>
                <w:bCs/>
                <w:sz w:val="22"/>
                <w:szCs w:val="22"/>
              </w:rPr>
              <w:t>:</w:t>
            </w:r>
          </w:p>
          <w:p w14:paraId="45959E8C" w14:textId="36684781" w:rsidR="009E7526" w:rsidRPr="00AA49D2" w:rsidRDefault="59C418E0" w:rsidP="002C1526">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The implementation of </w:t>
            </w:r>
            <w:r w:rsidR="2B668F34" w:rsidRPr="00AA49D2">
              <w:rPr>
                <w:rFonts w:asciiTheme="minorHAnsi" w:eastAsia="Arial" w:hAnsiTheme="minorHAnsi" w:cstheme="minorHAnsi"/>
                <w:sz w:val="22"/>
                <w:szCs w:val="22"/>
              </w:rPr>
              <w:t xml:space="preserve">this CPD </w:t>
            </w:r>
            <w:r w:rsidRPr="00AA49D2">
              <w:rPr>
                <w:rFonts w:asciiTheme="minorHAnsi" w:eastAsia="Arial" w:hAnsiTheme="minorHAnsi" w:cstheme="minorHAnsi"/>
                <w:sz w:val="22"/>
                <w:szCs w:val="22"/>
              </w:rPr>
              <w:t>ha</w:t>
            </w:r>
            <w:r w:rsidR="6C115368" w:rsidRPr="00AA49D2">
              <w:rPr>
                <w:rFonts w:asciiTheme="minorHAnsi" w:eastAsia="Arial" w:hAnsiTheme="minorHAnsi" w:cstheme="minorHAnsi"/>
                <w:sz w:val="22"/>
                <w:szCs w:val="22"/>
              </w:rPr>
              <w:t>s</w:t>
            </w:r>
            <w:r w:rsidRPr="00AA49D2">
              <w:rPr>
                <w:rFonts w:asciiTheme="minorHAnsi" w:eastAsia="Arial" w:hAnsiTheme="minorHAnsi" w:cstheme="minorHAnsi"/>
                <w:sz w:val="22"/>
                <w:szCs w:val="22"/>
              </w:rPr>
              <w:t xml:space="preserve"> revealed the cross-cutting dimension of the of UNDP Mauritania's CPD 2018-2022, which also reflects its relevance and coherence with the country's development policies and strategies. Most of the projects are complementary and have a direct or indirect impact on a wide range of development areas such as the economy, environment, governance, resilience, energy, water and sanitation, etc.</w:t>
            </w:r>
          </w:p>
          <w:p w14:paraId="26F51D53" w14:textId="6E2B0D69" w:rsidR="009E7526" w:rsidRPr="00AA49D2" w:rsidRDefault="59C418E0" w:rsidP="002C1526">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 </w:t>
            </w:r>
          </w:p>
          <w:p w14:paraId="1493F3A6" w14:textId="6C4B24DF" w:rsidR="009E7526" w:rsidRPr="00AA49D2" w:rsidRDefault="59C418E0" w:rsidP="002C1526">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The institutional support mechanism for the activities of the Sustainable Development Unit has brought speed to the execution of specific activities with the national part</w:t>
            </w:r>
            <w:r w:rsidR="00A90B42">
              <w:rPr>
                <w:rFonts w:asciiTheme="minorHAnsi" w:eastAsia="Arial" w:hAnsiTheme="minorHAnsi" w:cstheme="minorHAnsi"/>
                <w:sz w:val="22"/>
                <w:szCs w:val="22"/>
              </w:rPr>
              <w:t>ners</w:t>
            </w:r>
            <w:r w:rsidRPr="00AA49D2">
              <w:rPr>
                <w:rFonts w:asciiTheme="minorHAnsi" w:eastAsia="Arial" w:hAnsiTheme="minorHAnsi" w:cstheme="minorHAnsi"/>
                <w:sz w:val="22"/>
                <w:szCs w:val="22"/>
              </w:rPr>
              <w:t>, thus contributing to the effectiveness of the intervention</w:t>
            </w:r>
            <w:r w:rsidR="00A90B42">
              <w:rPr>
                <w:rFonts w:asciiTheme="minorHAnsi" w:eastAsia="Arial" w:hAnsiTheme="minorHAnsi" w:cstheme="minorHAnsi"/>
                <w:sz w:val="22"/>
                <w:szCs w:val="22"/>
              </w:rPr>
              <w:t xml:space="preserve">s. </w:t>
            </w:r>
          </w:p>
          <w:p w14:paraId="73A0B18D" w14:textId="076006D6" w:rsidR="009E7526" w:rsidRPr="00AA49D2" w:rsidRDefault="59C418E0" w:rsidP="002C1526">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 </w:t>
            </w:r>
          </w:p>
          <w:p w14:paraId="69E0D8EC" w14:textId="77777777" w:rsidR="009E7526" w:rsidRDefault="59C418E0" w:rsidP="002C1526">
            <w:pPr>
              <w:pStyle w:val="BodyText2"/>
              <w:jc w:val="both"/>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The national institutional anchoring of large-scale projects with strong environmental and socio-economic impacts, such as the EPA project and MINIGRIDS, contributes significantly to strengthen the strategic positioning of UNDP in Mauritania. This anchoring has been a driving factor in the </w:t>
            </w:r>
            <w:r w:rsidR="00A90B42">
              <w:rPr>
                <w:rFonts w:asciiTheme="minorHAnsi" w:eastAsia="Arial" w:hAnsiTheme="minorHAnsi" w:cstheme="minorHAnsi"/>
                <w:sz w:val="22"/>
                <w:szCs w:val="22"/>
              </w:rPr>
              <w:t>ownership</w:t>
            </w:r>
            <w:r w:rsidRPr="00AA49D2">
              <w:rPr>
                <w:rFonts w:asciiTheme="minorHAnsi" w:eastAsia="Arial" w:hAnsiTheme="minorHAnsi" w:cstheme="minorHAnsi"/>
                <w:sz w:val="22"/>
                <w:szCs w:val="22"/>
              </w:rPr>
              <w:t xml:space="preserve"> of UNDP intervention by government authorities.</w:t>
            </w:r>
            <w:r w:rsidR="00436432">
              <w:rPr>
                <w:rFonts w:asciiTheme="minorHAnsi" w:eastAsia="Arial" w:hAnsiTheme="minorHAnsi" w:cstheme="minorHAnsi"/>
                <w:sz w:val="22"/>
                <w:szCs w:val="22"/>
              </w:rPr>
              <w:t xml:space="preserve"> </w:t>
            </w:r>
          </w:p>
          <w:p w14:paraId="0416DF26" w14:textId="0910F056" w:rsidR="00436432" w:rsidRPr="00AA49D2" w:rsidRDefault="00436432" w:rsidP="002C1526">
            <w:pPr>
              <w:pStyle w:val="BodyText2"/>
              <w:jc w:val="both"/>
              <w:rPr>
                <w:rFonts w:asciiTheme="minorHAnsi" w:eastAsia="Arial" w:hAnsiTheme="minorHAnsi" w:cstheme="minorHAnsi"/>
                <w:sz w:val="22"/>
                <w:szCs w:val="22"/>
              </w:rPr>
            </w:pPr>
          </w:p>
        </w:tc>
      </w:tr>
    </w:tbl>
    <w:p w14:paraId="0416DF28" w14:textId="3BBA7F74" w:rsidR="004B3911" w:rsidRPr="00AA49D2" w:rsidRDefault="004B3911" w:rsidP="76C15C94">
      <w:pPr>
        <w:pStyle w:val="BodyText2"/>
        <w:rPr>
          <w:rFonts w:asciiTheme="minorHAnsi" w:eastAsia="Arial" w:hAnsiTheme="minorHAnsi" w:cstheme="minorHAnsi"/>
          <w:sz w:val="22"/>
          <w:szCs w:val="22"/>
        </w:rPr>
      </w:pPr>
    </w:p>
    <w:p w14:paraId="0416DF29" w14:textId="502C1005" w:rsidR="00E37E7A" w:rsidRDefault="5F7A72CE" w:rsidP="76C15C94">
      <w:pPr>
        <w:pStyle w:val="BodyText2"/>
        <w:rPr>
          <w:rFonts w:asciiTheme="minorHAnsi" w:eastAsia="Arial" w:hAnsiTheme="minorHAnsi" w:cstheme="minorHAnsi"/>
          <w:b/>
          <w:sz w:val="22"/>
          <w:szCs w:val="22"/>
        </w:rPr>
      </w:pPr>
      <w:r w:rsidRPr="007D1DB4">
        <w:rPr>
          <w:rFonts w:asciiTheme="minorHAnsi" w:eastAsia="Arial" w:hAnsiTheme="minorHAnsi" w:cstheme="minorHAnsi"/>
          <w:b/>
          <w:sz w:val="22"/>
          <w:szCs w:val="22"/>
        </w:rPr>
        <w:t xml:space="preserve">III. </w:t>
      </w:r>
      <w:r w:rsidR="3B80857D" w:rsidRPr="007D1DB4">
        <w:rPr>
          <w:rFonts w:asciiTheme="minorHAnsi" w:eastAsia="Arial" w:hAnsiTheme="minorHAnsi" w:cstheme="minorHAnsi"/>
          <w:b/>
          <w:sz w:val="22"/>
          <w:szCs w:val="22"/>
        </w:rPr>
        <w:t xml:space="preserve">Country Programme </w:t>
      </w:r>
      <w:r w:rsidR="36333EC0" w:rsidRPr="007D1DB4">
        <w:rPr>
          <w:rFonts w:asciiTheme="minorHAnsi" w:eastAsia="Arial" w:hAnsiTheme="minorHAnsi" w:cstheme="minorHAnsi"/>
          <w:b/>
          <w:sz w:val="22"/>
          <w:szCs w:val="22"/>
        </w:rPr>
        <w:t>Resources</w:t>
      </w:r>
    </w:p>
    <w:p w14:paraId="456F76FE" w14:textId="77777777" w:rsidR="007D1DB4" w:rsidRPr="007D1DB4" w:rsidRDefault="007D1DB4" w:rsidP="76C15C94">
      <w:pPr>
        <w:pStyle w:val="BodyText2"/>
        <w:rPr>
          <w:rFonts w:asciiTheme="minorHAnsi" w:eastAsia="Arial" w:hAnsiTheme="minorHAnsi" w:cstheme="minorHAnsi"/>
          <w:b/>
          <w:sz w:val="22"/>
          <w:szCs w:val="22"/>
        </w:rPr>
      </w:pPr>
    </w:p>
    <w:tbl>
      <w:tblPr>
        <w:tblStyle w:val="TableGrid"/>
        <w:tblW w:w="0" w:type="auto"/>
        <w:tblLook w:val="04A0" w:firstRow="1" w:lastRow="0" w:firstColumn="1" w:lastColumn="0" w:noHBand="0" w:noVBand="1"/>
      </w:tblPr>
      <w:tblGrid>
        <w:gridCol w:w="6099"/>
        <w:gridCol w:w="1872"/>
        <w:gridCol w:w="2047"/>
        <w:gridCol w:w="1959"/>
        <w:gridCol w:w="1973"/>
      </w:tblGrid>
      <w:tr w:rsidR="0015409F" w:rsidRPr="00AA49D2" w14:paraId="0416DF2D" w14:textId="77777777" w:rsidTr="76C15C94">
        <w:tc>
          <w:tcPr>
            <w:tcW w:w="6228" w:type="dxa"/>
            <w:shd w:val="clear" w:color="auto" w:fill="000000" w:themeFill="text1"/>
          </w:tcPr>
          <w:p w14:paraId="0416DF2A" w14:textId="43786A07" w:rsidR="0015409F" w:rsidRPr="00AA49D2" w:rsidRDefault="0B7D207C" w:rsidP="76C15C94">
            <w:pPr>
              <w:pStyle w:val="BodyText2"/>
              <w:jc w:val="center"/>
              <w:rPr>
                <w:rFonts w:asciiTheme="minorHAnsi" w:eastAsia="Arial" w:hAnsiTheme="minorHAnsi" w:cstheme="minorHAnsi"/>
                <w:b/>
                <w:bCs/>
                <w:color w:val="FFFFFF" w:themeColor="background1"/>
                <w:sz w:val="22"/>
                <w:szCs w:val="22"/>
              </w:rPr>
            </w:pPr>
            <w:r w:rsidRPr="00AA49D2">
              <w:rPr>
                <w:rFonts w:asciiTheme="minorHAnsi" w:eastAsia="Arial" w:hAnsiTheme="minorHAnsi" w:cstheme="minorHAnsi"/>
                <w:b/>
                <w:bCs/>
                <w:color w:val="FFFFFF" w:themeColor="background1"/>
                <w:sz w:val="22"/>
                <w:szCs w:val="22"/>
              </w:rPr>
              <w:t>Focus Area</w:t>
            </w:r>
          </w:p>
        </w:tc>
        <w:tc>
          <w:tcPr>
            <w:tcW w:w="5940" w:type="dxa"/>
            <w:gridSpan w:val="3"/>
            <w:shd w:val="clear" w:color="auto" w:fill="000000" w:themeFill="text1"/>
          </w:tcPr>
          <w:p w14:paraId="0416DF2B" w14:textId="77777777" w:rsidR="0015409F" w:rsidRPr="00AA49D2" w:rsidRDefault="0DFE09E6" w:rsidP="76C15C94">
            <w:pPr>
              <w:pStyle w:val="BodyText2"/>
              <w:jc w:val="center"/>
              <w:rPr>
                <w:rFonts w:asciiTheme="minorHAnsi" w:eastAsia="Arial" w:hAnsiTheme="minorHAnsi" w:cstheme="minorHAnsi"/>
                <w:b/>
                <w:bCs/>
                <w:color w:val="FFFFFF" w:themeColor="background1"/>
                <w:sz w:val="22"/>
                <w:szCs w:val="22"/>
              </w:rPr>
            </w:pPr>
            <w:r w:rsidRPr="00AA49D2">
              <w:rPr>
                <w:rFonts w:asciiTheme="minorHAnsi" w:eastAsia="Arial" w:hAnsiTheme="minorHAnsi" w:cstheme="minorHAnsi"/>
                <w:b/>
                <w:bCs/>
                <w:color w:val="FFFFFF" w:themeColor="background1"/>
                <w:sz w:val="22"/>
                <w:szCs w:val="22"/>
              </w:rPr>
              <w:t xml:space="preserve">Programme </w:t>
            </w:r>
            <w:r w:rsidR="0B7D207C" w:rsidRPr="00AA49D2">
              <w:rPr>
                <w:rFonts w:asciiTheme="minorHAnsi" w:eastAsia="Arial" w:hAnsiTheme="minorHAnsi" w:cstheme="minorHAnsi"/>
                <w:b/>
                <w:bCs/>
                <w:color w:val="FFFFFF" w:themeColor="background1"/>
                <w:sz w:val="22"/>
                <w:szCs w:val="22"/>
              </w:rPr>
              <w:t>Expenditure ($)</w:t>
            </w:r>
          </w:p>
        </w:tc>
        <w:tc>
          <w:tcPr>
            <w:tcW w:w="2008" w:type="dxa"/>
            <w:shd w:val="clear" w:color="auto" w:fill="000000" w:themeFill="text1"/>
          </w:tcPr>
          <w:p w14:paraId="0416DF2C" w14:textId="77777777" w:rsidR="0015409F" w:rsidRPr="00AA49D2" w:rsidRDefault="0B7D207C" w:rsidP="76C15C94">
            <w:pPr>
              <w:pStyle w:val="BodyText2"/>
              <w:jc w:val="center"/>
              <w:rPr>
                <w:rFonts w:asciiTheme="minorHAnsi" w:eastAsia="Arial" w:hAnsiTheme="minorHAnsi" w:cstheme="minorHAnsi"/>
                <w:b/>
                <w:bCs/>
                <w:color w:val="FFFFFF" w:themeColor="background1"/>
                <w:sz w:val="22"/>
                <w:szCs w:val="22"/>
              </w:rPr>
            </w:pPr>
            <w:r w:rsidRPr="00AA49D2">
              <w:rPr>
                <w:rFonts w:asciiTheme="minorHAnsi" w:eastAsia="Arial" w:hAnsiTheme="minorHAnsi" w:cstheme="minorHAnsi"/>
                <w:b/>
                <w:bCs/>
                <w:color w:val="FFFFFF" w:themeColor="background1"/>
                <w:sz w:val="22"/>
                <w:szCs w:val="22"/>
              </w:rPr>
              <w:t>% of Total</w:t>
            </w:r>
          </w:p>
        </w:tc>
      </w:tr>
      <w:tr w:rsidR="000D6DE5" w:rsidRPr="00AA49D2" w14:paraId="0416DF33" w14:textId="77777777" w:rsidTr="76C15C94">
        <w:tc>
          <w:tcPr>
            <w:tcW w:w="6228" w:type="dxa"/>
          </w:tcPr>
          <w:p w14:paraId="0416DF2E" w14:textId="77777777" w:rsidR="000D6DE5" w:rsidRPr="00AA49D2" w:rsidRDefault="000D6DE5" w:rsidP="76C15C94">
            <w:pPr>
              <w:pStyle w:val="BodyText2"/>
              <w:rPr>
                <w:rFonts w:asciiTheme="minorHAnsi" w:eastAsia="Arial" w:hAnsiTheme="minorHAnsi" w:cstheme="minorHAnsi"/>
                <w:sz w:val="22"/>
                <w:szCs w:val="22"/>
              </w:rPr>
            </w:pPr>
          </w:p>
        </w:tc>
        <w:tc>
          <w:tcPr>
            <w:tcW w:w="1890" w:type="dxa"/>
          </w:tcPr>
          <w:p w14:paraId="0416DF2F" w14:textId="77777777" w:rsidR="000D6DE5" w:rsidRPr="00AA49D2" w:rsidRDefault="0DFE09E6" w:rsidP="76C15C94">
            <w:pPr>
              <w:pStyle w:val="BodyText2"/>
              <w:jc w:val="center"/>
              <w:rPr>
                <w:rFonts w:asciiTheme="minorHAnsi" w:eastAsia="Arial" w:hAnsiTheme="minorHAnsi" w:cstheme="minorHAnsi"/>
                <w:sz w:val="22"/>
                <w:szCs w:val="22"/>
              </w:rPr>
            </w:pPr>
            <w:r w:rsidRPr="00AA49D2">
              <w:rPr>
                <w:rFonts w:asciiTheme="minorHAnsi" w:eastAsia="Arial" w:hAnsiTheme="minorHAnsi" w:cstheme="minorHAnsi"/>
                <w:sz w:val="22"/>
                <w:szCs w:val="22"/>
              </w:rPr>
              <w:t>Regular (TRAC)</w:t>
            </w:r>
          </w:p>
        </w:tc>
        <w:tc>
          <w:tcPr>
            <w:tcW w:w="2070" w:type="dxa"/>
          </w:tcPr>
          <w:p w14:paraId="0416DF30" w14:textId="77777777" w:rsidR="000D6DE5" w:rsidRPr="00AA49D2" w:rsidRDefault="0DFE09E6" w:rsidP="76C15C94">
            <w:pPr>
              <w:pStyle w:val="BodyText2"/>
              <w:jc w:val="center"/>
              <w:rPr>
                <w:rFonts w:asciiTheme="minorHAnsi" w:eastAsia="Arial" w:hAnsiTheme="minorHAnsi" w:cstheme="minorHAnsi"/>
                <w:sz w:val="22"/>
                <w:szCs w:val="22"/>
              </w:rPr>
            </w:pPr>
            <w:r w:rsidRPr="00AA49D2">
              <w:rPr>
                <w:rFonts w:asciiTheme="minorHAnsi" w:eastAsia="Arial" w:hAnsiTheme="minorHAnsi" w:cstheme="minorHAnsi"/>
                <w:sz w:val="22"/>
                <w:szCs w:val="22"/>
              </w:rPr>
              <w:t>Other</w:t>
            </w:r>
          </w:p>
        </w:tc>
        <w:tc>
          <w:tcPr>
            <w:tcW w:w="1980" w:type="dxa"/>
          </w:tcPr>
          <w:p w14:paraId="0416DF31" w14:textId="77777777" w:rsidR="000D6DE5" w:rsidRPr="00AA49D2" w:rsidRDefault="0DFE09E6" w:rsidP="76C15C94">
            <w:pPr>
              <w:pStyle w:val="BodyText2"/>
              <w:jc w:val="center"/>
              <w:rPr>
                <w:rFonts w:asciiTheme="minorHAnsi" w:eastAsia="Arial" w:hAnsiTheme="minorHAnsi" w:cstheme="minorHAnsi"/>
                <w:sz w:val="22"/>
                <w:szCs w:val="22"/>
              </w:rPr>
            </w:pPr>
            <w:r w:rsidRPr="00AA49D2">
              <w:rPr>
                <w:rFonts w:asciiTheme="minorHAnsi" w:eastAsia="Arial" w:hAnsiTheme="minorHAnsi" w:cstheme="minorHAnsi"/>
                <w:sz w:val="22"/>
                <w:szCs w:val="22"/>
              </w:rPr>
              <w:t>Total</w:t>
            </w:r>
          </w:p>
        </w:tc>
        <w:tc>
          <w:tcPr>
            <w:tcW w:w="2008" w:type="dxa"/>
          </w:tcPr>
          <w:p w14:paraId="0416DF32" w14:textId="77777777" w:rsidR="000D6DE5" w:rsidRPr="00AA49D2" w:rsidRDefault="000D6DE5" w:rsidP="76C15C94">
            <w:pPr>
              <w:pStyle w:val="BodyText2"/>
              <w:jc w:val="center"/>
              <w:rPr>
                <w:rFonts w:asciiTheme="minorHAnsi" w:eastAsia="Arial" w:hAnsiTheme="minorHAnsi" w:cstheme="minorHAnsi"/>
                <w:sz w:val="22"/>
                <w:szCs w:val="22"/>
              </w:rPr>
            </w:pPr>
          </w:p>
        </w:tc>
      </w:tr>
      <w:tr w:rsidR="000D6DE5" w:rsidRPr="00AA49D2" w14:paraId="0416DF39" w14:textId="77777777" w:rsidTr="76C15C94">
        <w:tc>
          <w:tcPr>
            <w:tcW w:w="6228" w:type="dxa"/>
          </w:tcPr>
          <w:p w14:paraId="0416DF34" w14:textId="628C17C0" w:rsidR="000D6DE5" w:rsidRPr="00AA49D2" w:rsidRDefault="0DFE09E6" w:rsidP="76C15C94">
            <w:pPr>
              <w:pStyle w:val="BodyText2"/>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Poverty and </w:t>
            </w:r>
            <w:r w:rsidR="62D534C1" w:rsidRPr="00AA49D2">
              <w:rPr>
                <w:rFonts w:asciiTheme="minorHAnsi" w:eastAsia="Arial" w:hAnsiTheme="minorHAnsi" w:cstheme="minorHAnsi"/>
                <w:sz w:val="22"/>
                <w:szCs w:val="22"/>
              </w:rPr>
              <w:t>S</w:t>
            </w:r>
            <w:r w:rsidRPr="00AA49D2">
              <w:rPr>
                <w:rFonts w:asciiTheme="minorHAnsi" w:eastAsia="Arial" w:hAnsiTheme="minorHAnsi" w:cstheme="minorHAnsi"/>
                <w:sz w:val="22"/>
                <w:szCs w:val="22"/>
              </w:rPr>
              <w:t>DGs</w:t>
            </w:r>
          </w:p>
        </w:tc>
        <w:tc>
          <w:tcPr>
            <w:tcW w:w="1890" w:type="dxa"/>
          </w:tcPr>
          <w:p w14:paraId="2407705C" w14:textId="382C2391" w:rsidR="76C15C94" w:rsidRPr="00AA49D2" w:rsidRDefault="76C15C94" w:rsidP="76C15C94">
            <w:pPr>
              <w:jc w:val="center"/>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2,022,680 </w:t>
            </w:r>
          </w:p>
        </w:tc>
        <w:tc>
          <w:tcPr>
            <w:tcW w:w="2070" w:type="dxa"/>
          </w:tcPr>
          <w:p w14:paraId="758646BA" w14:textId="1876E367" w:rsidR="76C15C94" w:rsidRPr="00AA49D2" w:rsidRDefault="76C15C94"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3,235,143 </w:t>
            </w:r>
          </w:p>
        </w:tc>
        <w:tc>
          <w:tcPr>
            <w:tcW w:w="1980" w:type="dxa"/>
          </w:tcPr>
          <w:p w14:paraId="48E02221" w14:textId="5480D88D" w:rsidR="76C15C94" w:rsidRPr="00AA49D2" w:rsidRDefault="76C15C94"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5,257,823 </w:t>
            </w:r>
          </w:p>
        </w:tc>
        <w:tc>
          <w:tcPr>
            <w:tcW w:w="2008" w:type="dxa"/>
          </w:tcPr>
          <w:p w14:paraId="080D6846" w14:textId="6876DB16" w:rsidR="5B337E52" w:rsidRPr="00AA49D2" w:rsidRDefault="5B337E52"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w:t>
            </w:r>
            <w:r w:rsidR="76C15C94" w:rsidRPr="00AA49D2">
              <w:rPr>
                <w:rFonts w:asciiTheme="minorHAnsi" w:eastAsia="Arial" w:hAnsiTheme="minorHAnsi" w:cstheme="minorHAnsi"/>
                <w:color w:val="000000" w:themeColor="text1"/>
                <w:sz w:val="22"/>
                <w:szCs w:val="22"/>
              </w:rPr>
              <w:t>12%</w:t>
            </w:r>
          </w:p>
        </w:tc>
      </w:tr>
      <w:tr w:rsidR="000D6DE5" w:rsidRPr="00AA49D2" w14:paraId="0416DF3F" w14:textId="77777777" w:rsidTr="76C15C94">
        <w:tc>
          <w:tcPr>
            <w:tcW w:w="6228" w:type="dxa"/>
          </w:tcPr>
          <w:p w14:paraId="0416DF3A" w14:textId="77777777" w:rsidR="000D6DE5" w:rsidRPr="00AA49D2" w:rsidRDefault="0DFE09E6" w:rsidP="76C15C94">
            <w:pPr>
              <w:pStyle w:val="BodyText2"/>
              <w:rPr>
                <w:rFonts w:asciiTheme="minorHAnsi" w:eastAsia="Arial" w:hAnsiTheme="minorHAnsi" w:cstheme="minorHAnsi"/>
                <w:sz w:val="22"/>
                <w:szCs w:val="22"/>
              </w:rPr>
            </w:pPr>
            <w:r w:rsidRPr="00AA49D2">
              <w:rPr>
                <w:rFonts w:asciiTheme="minorHAnsi" w:eastAsia="Arial" w:hAnsiTheme="minorHAnsi" w:cstheme="minorHAnsi"/>
                <w:sz w:val="22"/>
                <w:szCs w:val="22"/>
              </w:rPr>
              <w:t>Democratic Governance</w:t>
            </w:r>
          </w:p>
        </w:tc>
        <w:tc>
          <w:tcPr>
            <w:tcW w:w="1890" w:type="dxa"/>
          </w:tcPr>
          <w:p w14:paraId="707A9DEC" w14:textId="5ED3CF8D" w:rsidR="76C15C94" w:rsidRPr="00AA49D2" w:rsidRDefault="76C15C94" w:rsidP="76C15C94">
            <w:pPr>
              <w:jc w:val="center"/>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8,522,789 </w:t>
            </w:r>
          </w:p>
        </w:tc>
        <w:tc>
          <w:tcPr>
            <w:tcW w:w="2070" w:type="dxa"/>
          </w:tcPr>
          <w:p w14:paraId="5543CB35" w14:textId="485995F2" w:rsidR="76C15C94" w:rsidRPr="00AA49D2" w:rsidRDefault="76C15C94"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25,009,739 </w:t>
            </w:r>
          </w:p>
        </w:tc>
        <w:tc>
          <w:tcPr>
            <w:tcW w:w="1980" w:type="dxa"/>
          </w:tcPr>
          <w:p w14:paraId="53BF69D3" w14:textId="21ACF811" w:rsidR="76C15C94" w:rsidRPr="00AA49D2" w:rsidRDefault="76C15C94"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33,532,528 </w:t>
            </w:r>
          </w:p>
        </w:tc>
        <w:tc>
          <w:tcPr>
            <w:tcW w:w="2008" w:type="dxa"/>
          </w:tcPr>
          <w:p w14:paraId="7937CE7C" w14:textId="47418C72" w:rsidR="0974794A" w:rsidRPr="00AA49D2" w:rsidRDefault="0974794A"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w:t>
            </w:r>
            <w:r w:rsidR="76C15C94" w:rsidRPr="00AA49D2">
              <w:rPr>
                <w:rFonts w:asciiTheme="minorHAnsi" w:eastAsia="Arial" w:hAnsiTheme="minorHAnsi" w:cstheme="minorHAnsi"/>
                <w:color w:val="000000" w:themeColor="text1"/>
                <w:sz w:val="22"/>
                <w:szCs w:val="22"/>
              </w:rPr>
              <w:t>78%</w:t>
            </w:r>
          </w:p>
        </w:tc>
      </w:tr>
      <w:tr w:rsidR="000D6DE5" w:rsidRPr="00AA49D2" w14:paraId="0416DF4B" w14:textId="77777777" w:rsidTr="76C15C94">
        <w:tc>
          <w:tcPr>
            <w:tcW w:w="6228" w:type="dxa"/>
          </w:tcPr>
          <w:p w14:paraId="0416DF46" w14:textId="77777777" w:rsidR="000D6DE5" w:rsidRPr="00AA49D2" w:rsidRDefault="0DFE09E6" w:rsidP="76C15C94">
            <w:pPr>
              <w:pStyle w:val="BodyText2"/>
              <w:rPr>
                <w:rFonts w:asciiTheme="minorHAnsi" w:eastAsia="Arial" w:hAnsiTheme="minorHAnsi" w:cstheme="minorHAnsi"/>
                <w:sz w:val="22"/>
                <w:szCs w:val="22"/>
              </w:rPr>
            </w:pPr>
            <w:r w:rsidRPr="00AA49D2">
              <w:rPr>
                <w:rFonts w:asciiTheme="minorHAnsi" w:eastAsia="Arial" w:hAnsiTheme="minorHAnsi" w:cstheme="minorHAnsi"/>
                <w:sz w:val="22"/>
                <w:szCs w:val="22"/>
              </w:rPr>
              <w:t>Environment and Sustainable Development</w:t>
            </w:r>
          </w:p>
        </w:tc>
        <w:tc>
          <w:tcPr>
            <w:tcW w:w="1890" w:type="dxa"/>
          </w:tcPr>
          <w:p w14:paraId="3E14D8D2" w14:textId="19E534DF" w:rsidR="76C15C94" w:rsidRPr="00AA49D2" w:rsidRDefault="76C15C94" w:rsidP="76C15C94">
            <w:pPr>
              <w:jc w:val="center"/>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2,465,730 </w:t>
            </w:r>
          </w:p>
        </w:tc>
        <w:tc>
          <w:tcPr>
            <w:tcW w:w="2070" w:type="dxa"/>
          </w:tcPr>
          <w:p w14:paraId="015F3E11" w14:textId="52EB9AA8" w:rsidR="76C15C94" w:rsidRPr="00AA49D2" w:rsidRDefault="76C15C94"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1,868,597 </w:t>
            </w:r>
          </w:p>
        </w:tc>
        <w:tc>
          <w:tcPr>
            <w:tcW w:w="1980" w:type="dxa"/>
          </w:tcPr>
          <w:p w14:paraId="042A141B" w14:textId="195349D8" w:rsidR="76C15C94" w:rsidRPr="00AA49D2" w:rsidRDefault="76C15C94"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4,334,327 </w:t>
            </w:r>
          </w:p>
        </w:tc>
        <w:tc>
          <w:tcPr>
            <w:tcW w:w="2008" w:type="dxa"/>
          </w:tcPr>
          <w:p w14:paraId="3148B55E" w14:textId="28BA5B0D" w:rsidR="0974794A" w:rsidRPr="00AA49D2" w:rsidRDefault="0974794A"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w:t>
            </w:r>
            <w:r w:rsidR="76C15C94" w:rsidRPr="00AA49D2">
              <w:rPr>
                <w:rFonts w:asciiTheme="minorHAnsi" w:eastAsia="Arial" w:hAnsiTheme="minorHAnsi" w:cstheme="minorHAnsi"/>
                <w:color w:val="000000" w:themeColor="text1"/>
                <w:sz w:val="22"/>
                <w:szCs w:val="22"/>
              </w:rPr>
              <w:t>10%</w:t>
            </w:r>
          </w:p>
        </w:tc>
      </w:tr>
      <w:tr w:rsidR="000D6DE5" w:rsidRPr="00AA49D2" w14:paraId="0416DF51" w14:textId="77777777" w:rsidTr="76C15C94">
        <w:tc>
          <w:tcPr>
            <w:tcW w:w="6228" w:type="dxa"/>
            <w:shd w:val="clear" w:color="auto" w:fill="00B0F0"/>
          </w:tcPr>
          <w:p w14:paraId="0416DF4C" w14:textId="77777777" w:rsidR="000D6DE5" w:rsidRPr="00AA49D2" w:rsidRDefault="0DFE09E6" w:rsidP="76C15C94">
            <w:pPr>
              <w:pStyle w:val="BodyText2"/>
              <w:jc w:val="center"/>
              <w:rPr>
                <w:rFonts w:asciiTheme="minorHAnsi" w:eastAsia="Arial" w:hAnsiTheme="minorHAnsi" w:cstheme="minorHAnsi"/>
                <w:sz w:val="22"/>
                <w:szCs w:val="22"/>
              </w:rPr>
            </w:pPr>
            <w:r w:rsidRPr="00AA49D2">
              <w:rPr>
                <w:rFonts w:asciiTheme="minorHAnsi" w:eastAsia="Arial" w:hAnsiTheme="minorHAnsi" w:cstheme="minorHAnsi"/>
                <w:sz w:val="22"/>
                <w:szCs w:val="22"/>
              </w:rPr>
              <w:t>Total</w:t>
            </w:r>
          </w:p>
        </w:tc>
        <w:tc>
          <w:tcPr>
            <w:tcW w:w="1890" w:type="dxa"/>
            <w:shd w:val="clear" w:color="auto" w:fill="00B0F0"/>
          </w:tcPr>
          <w:p w14:paraId="2E4CFC2D" w14:textId="0493D5EA" w:rsidR="76C15C94" w:rsidRPr="00AA49D2" w:rsidRDefault="76C15C94" w:rsidP="76C15C94">
            <w:pPr>
              <w:jc w:val="center"/>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13,011,199 </w:t>
            </w:r>
          </w:p>
        </w:tc>
        <w:tc>
          <w:tcPr>
            <w:tcW w:w="2070" w:type="dxa"/>
            <w:shd w:val="clear" w:color="auto" w:fill="00B0F0"/>
          </w:tcPr>
          <w:p w14:paraId="367EBDC9" w14:textId="4568D732" w:rsidR="76C15C94" w:rsidRPr="00AA49D2" w:rsidRDefault="76C15C94"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30,113,479</w:t>
            </w:r>
          </w:p>
        </w:tc>
        <w:tc>
          <w:tcPr>
            <w:tcW w:w="1980" w:type="dxa"/>
            <w:shd w:val="clear" w:color="auto" w:fill="00B0F0"/>
          </w:tcPr>
          <w:p w14:paraId="780F4551" w14:textId="5CAB71FB" w:rsidR="76C15C94" w:rsidRPr="00AA49D2" w:rsidRDefault="76C15C94" w:rsidP="00AA49D2">
            <w:pPr>
              <w:jc w:val="right"/>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 xml:space="preserve">      43,124,678 </w:t>
            </w:r>
          </w:p>
        </w:tc>
        <w:tc>
          <w:tcPr>
            <w:tcW w:w="2008" w:type="dxa"/>
            <w:shd w:val="clear" w:color="auto" w:fill="00B0F0"/>
          </w:tcPr>
          <w:p w14:paraId="1474F11B" w14:textId="13492D50" w:rsidR="76C15C94" w:rsidRPr="00AA49D2" w:rsidRDefault="76C15C94" w:rsidP="76C15C94">
            <w:pPr>
              <w:rPr>
                <w:rFonts w:asciiTheme="minorHAnsi" w:eastAsia="Arial" w:hAnsiTheme="minorHAnsi" w:cstheme="minorHAnsi"/>
                <w:color w:val="000000" w:themeColor="text1"/>
                <w:sz w:val="22"/>
                <w:szCs w:val="22"/>
              </w:rPr>
            </w:pPr>
            <w:r w:rsidRPr="00AA49D2">
              <w:rPr>
                <w:rFonts w:asciiTheme="minorHAnsi" w:eastAsia="Arial" w:hAnsiTheme="minorHAnsi" w:cstheme="minorHAnsi"/>
                <w:color w:val="000000" w:themeColor="text1"/>
                <w:sz w:val="22"/>
                <w:szCs w:val="22"/>
              </w:rPr>
              <w:t>100</w:t>
            </w:r>
            <w:r w:rsidR="05F26CE6" w:rsidRPr="00AA49D2">
              <w:rPr>
                <w:rFonts w:asciiTheme="minorHAnsi" w:eastAsia="Arial" w:hAnsiTheme="minorHAnsi" w:cstheme="minorHAnsi"/>
                <w:color w:val="000000" w:themeColor="text1"/>
                <w:sz w:val="22"/>
                <w:szCs w:val="22"/>
              </w:rPr>
              <w:t>%</w:t>
            </w:r>
          </w:p>
        </w:tc>
      </w:tr>
    </w:tbl>
    <w:p w14:paraId="0416DF52" w14:textId="182123BE" w:rsidR="00635929" w:rsidRDefault="00D3321E" w:rsidP="00D3321E">
      <w:pPr>
        <w:pStyle w:val="BodyText2"/>
        <w:rPr>
          <w:rFonts w:asciiTheme="minorHAnsi" w:eastAsia="Arial" w:hAnsiTheme="minorHAnsi" w:cstheme="minorHAnsi"/>
          <w:sz w:val="22"/>
          <w:szCs w:val="22"/>
        </w:rPr>
      </w:pPr>
      <w:r>
        <w:rPr>
          <w:rFonts w:asciiTheme="minorHAnsi" w:eastAsia="Arial" w:hAnsiTheme="minorHAnsi" w:cstheme="minorHAnsi"/>
          <w:sz w:val="22"/>
          <w:szCs w:val="22"/>
        </w:rPr>
        <w:t>*Data source: 2018-2022 expenditures (not 2023) from Stream  and Executive snapshot .</w:t>
      </w:r>
    </w:p>
    <w:p w14:paraId="6F8D9A4C" w14:textId="77777777" w:rsidR="00D3321E" w:rsidRPr="00AA49D2" w:rsidRDefault="00D3321E" w:rsidP="00D3321E">
      <w:pPr>
        <w:pStyle w:val="BodyText2"/>
        <w:rPr>
          <w:rFonts w:asciiTheme="minorHAnsi" w:eastAsia="Arial" w:hAnsiTheme="minorHAnsi" w:cstheme="minorHAnsi"/>
          <w:sz w:val="22"/>
          <w:szCs w:val="22"/>
        </w:rPr>
      </w:pPr>
    </w:p>
    <w:tbl>
      <w:tblPr>
        <w:tblStyle w:val="TableGrid"/>
        <w:tblW w:w="0" w:type="auto"/>
        <w:tblLook w:val="04A0" w:firstRow="1" w:lastRow="0" w:firstColumn="1" w:lastColumn="0" w:noHBand="0" w:noVBand="1"/>
      </w:tblPr>
      <w:tblGrid>
        <w:gridCol w:w="13950"/>
      </w:tblGrid>
      <w:tr w:rsidR="002547CF" w:rsidRPr="00AA49D2" w14:paraId="0416DF54" w14:textId="77777777" w:rsidTr="76C15C94">
        <w:tc>
          <w:tcPr>
            <w:tcW w:w="14176" w:type="dxa"/>
          </w:tcPr>
          <w:p w14:paraId="0416DF53" w14:textId="6E579657" w:rsidR="002547CF" w:rsidRPr="00AA49D2" w:rsidRDefault="0A04152A" w:rsidP="76C15C94">
            <w:pPr>
              <w:pStyle w:val="BodyText2"/>
              <w:rPr>
                <w:rFonts w:asciiTheme="minorHAnsi" w:eastAsia="Arial" w:hAnsiTheme="minorHAnsi" w:cstheme="minorHAnsi"/>
                <w:b/>
                <w:bCs/>
                <w:sz w:val="22"/>
                <w:szCs w:val="22"/>
              </w:rPr>
            </w:pPr>
            <w:r w:rsidRPr="00AA49D2">
              <w:rPr>
                <w:rFonts w:asciiTheme="minorHAnsi" w:eastAsia="Arial" w:hAnsiTheme="minorHAnsi" w:cstheme="minorHAnsi"/>
                <w:b/>
                <w:bCs/>
                <w:sz w:val="22"/>
                <w:szCs w:val="22"/>
              </w:rPr>
              <w:t xml:space="preserve">Data sources:  </w:t>
            </w:r>
          </w:p>
        </w:tc>
      </w:tr>
      <w:tr w:rsidR="00B64ACA" w:rsidRPr="00303DAB" w14:paraId="0416DF5A" w14:textId="77777777" w:rsidTr="76C15C94">
        <w:tc>
          <w:tcPr>
            <w:tcW w:w="14176" w:type="dxa"/>
          </w:tcPr>
          <w:p w14:paraId="18359FB9" w14:textId="71E0EFB6" w:rsidR="00B64ACA" w:rsidRPr="00AA49D2" w:rsidRDefault="7E83BE14" w:rsidP="76C15C94">
            <w:pPr>
              <w:pStyle w:val="ListParagraph"/>
              <w:numPr>
                <w:ilvl w:val="0"/>
                <w:numId w:val="8"/>
              </w:numPr>
              <w:rPr>
                <w:rFonts w:asciiTheme="minorHAnsi" w:eastAsia="Arial" w:hAnsiTheme="minorHAnsi" w:cstheme="minorHAnsi"/>
                <w:sz w:val="22"/>
                <w:szCs w:val="22"/>
              </w:rPr>
            </w:pPr>
            <w:r w:rsidRPr="00AA49D2">
              <w:rPr>
                <w:rFonts w:asciiTheme="minorHAnsi" w:eastAsia="Arial" w:hAnsiTheme="minorHAnsi" w:cstheme="minorHAnsi"/>
                <w:sz w:val="22"/>
                <w:szCs w:val="22"/>
              </w:rPr>
              <w:t>UNDP Human Development Report, 2018 and 2021</w:t>
            </w:r>
          </w:p>
          <w:p w14:paraId="7B99DC05" w14:textId="60178E40" w:rsidR="00B64ACA" w:rsidRPr="00AA49D2" w:rsidRDefault="1C5E4FD9" w:rsidP="76C15C94">
            <w:pPr>
              <w:pStyle w:val="ListParagraph"/>
              <w:numPr>
                <w:ilvl w:val="0"/>
                <w:numId w:val="8"/>
              </w:numPr>
              <w:rPr>
                <w:rFonts w:asciiTheme="minorHAnsi" w:eastAsia="Arial" w:hAnsiTheme="minorHAnsi" w:cstheme="minorHAnsi"/>
                <w:sz w:val="22"/>
                <w:szCs w:val="22"/>
              </w:rPr>
            </w:pPr>
            <w:r w:rsidRPr="00AA49D2">
              <w:rPr>
                <w:rFonts w:asciiTheme="minorHAnsi" w:eastAsia="Arial" w:hAnsiTheme="minorHAnsi" w:cstheme="minorHAnsi"/>
                <w:sz w:val="22"/>
                <w:szCs w:val="22"/>
              </w:rPr>
              <w:t>Comm</w:t>
            </w:r>
            <w:r w:rsidR="00A90B42">
              <w:rPr>
                <w:rFonts w:asciiTheme="minorHAnsi" w:eastAsia="Arial" w:hAnsiTheme="minorHAnsi" w:cstheme="minorHAnsi"/>
                <w:sz w:val="22"/>
                <w:szCs w:val="22"/>
              </w:rPr>
              <w:t>o</w:t>
            </w:r>
            <w:r w:rsidRPr="00AA49D2">
              <w:rPr>
                <w:rFonts w:asciiTheme="minorHAnsi" w:eastAsia="Arial" w:hAnsiTheme="minorHAnsi" w:cstheme="minorHAnsi"/>
                <w:sz w:val="22"/>
                <w:szCs w:val="22"/>
              </w:rPr>
              <w:t xml:space="preserve">n Country Assessment, 2020, Mauritania </w:t>
            </w:r>
          </w:p>
          <w:p w14:paraId="1D6FB7D1" w14:textId="576B20A3" w:rsidR="00B64ACA" w:rsidRPr="00AA49D2" w:rsidRDefault="7E83BE14" w:rsidP="76C15C94">
            <w:pPr>
              <w:pStyle w:val="ListParagraph"/>
              <w:numPr>
                <w:ilvl w:val="0"/>
                <w:numId w:val="8"/>
              </w:numPr>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UNDP, 2020, Results Oriented Annual Report, UNDP Mauritania </w:t>
            </w:r>
          </w:p>
          <w:p w14:paraId="767316D1" w14:textId="25FD4861" w:rsidR="00B64ACA" w:rsidRPr="00AA49D2" w:rsidRDefault="7E83BE14" w:rsidP="76C15C94">
            <w:pPr>
              <w:pStyle w:val="ListParagraph"/>
              <w:numPr>
                <w:ilvl w:val="0"/>
                <w:numId w:val="8"/>
              </w:numPr>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UNDP, 2021, Results Oriented Annual Report, UNDP Mauritania </w:t>
            </w:r>
          </w:p>
          <w:p w14:paraId="611DD3CD" w14:textId="5932D221" w:rsidR="00B64ACA" w:rsidRPr="00AA49D2" w:rsidRDefault="7E83BE14" w:rsidP="76C15C94">
            <w:pPr>
              <w:pStyle w:val="ListParagraph"/>
              <w:numPr>
                <w:ilvl w:val="0"/>
                <w:numId w:val="8"/>
              </w:numPr>
              <w:rPr>
                <w:rFonts w:asciiTheme="minorHAnsi" w:eastAsia="Arial" w:hAnsiTheme="minorHAnsi" w:cstheme="minorHAnsi"/>
                <w:sz w:val="22"/>
                <w:szCs w:val="22"/>
              </w:rPr>
            </w:pPr>
            <w:r w:rsidRPr="00AA49D2">
              <w:rPr>
                <w:rFonts w:asciiTheme="minorHAnsi" w:eastAsia="Arial" w:hAnsiTheme="minorHAnsi" w:cstheme="minorHAnsi"/>
                <w:sz w:val="22"/>
                <w:szCs w:val="22"/>
              </w:rPr>
              <w:t xml:space="preserve">UNSDCF, 2022, CPDD 2018-2022 Final Evaluation Report, UNSDCF Mauritania </w:t>
            </w:r>
          </w:p>
          <w:p w14:paraId="0416DF59" w14:textId="5E9567B0" w:rsidR="008D791F" w:rsidRPr="00AA49D2" w:rsidRDefault="7E83BE14" w:rsidP="76C15C94">
            <w:pPr>
              <w:pStyle w:val="ListParagraph"/>
              <w:numPr>
                <w:ilvl w:val="0"/>
                <w:numId w:val="8"/>
              </w:numPr>
              <w:rPr>
                <w:rFonts w:asciiTheme="minorHAnsi" w:eastAsia="Arial" w:hAnsiTheme="minorHAnsi" w:cstheme="minorHAnsi"/>
                <w:sz w:val="22"/>
                <w:szCs w:val="22"/>
              </w:rPr>
            </w:pPr>
            <w:r w:rsidRPr="00AA49D2">
              <w:rPr>
                <w:rFonts w:asciiTheme="minorHAnsi" w:eastAsia="Arial" w:hAnsiTheme="minorHAnsi" w:cstheme="minorHAnsi"/>
                <w:sz w:val="22"/>
                <w:szCs w:val="22"/>
              </w:rPr>
              <w:t>UNDP, 2022, CPD 2018-2022 Final Evaluation Report, UNDP Mauritania</w:t>
            </w:r>
          </w:p>
        </w:tc>
      </w:tr>
    </w:tbl>
    <w:p w14:paraId="0416DF5B" w14:textId="77777777" w:rsidR="00635929" w:rsidRPr="00AA49D2" w:rsidRDefault="00635929" w:rsidP="76C15C94">
      <w:pPr>
        <w:pStyle w:val="BodyText2"/>
        <w:rPr>
          <w:rFonts w:asciiTheme="minorHAnsi" w:eastAsia="Arial" w:hAnsiTheme="minorHAnsi" w:cstheme="minorHAnsi"/>
          <w:sz w:val="22"/>
          <w:szCs w:val="22"/>
        </w:rPr>
      </w:pPr>
    </w:p>
    <w:sectPr w:rsidR="00635929" w:rsidRPr="00AA49D2" w:rsidSect="0037523B">
      <w:headerReference w:type="default" r:id="rId13"/>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92C1" w14:textId="77777777" w:rsidR="00D47229" w:rsidRDefault="00D47229">
      <w:r>
        <w:separator/>
      </w:r>
    </w:p>
  </w:endnote>
  <w:endnote w:type="continuationSeparator" w:id="0">
    <w:p w14:paraId="71F385CA" w14:textId="77777777" w:rsidR="00D47229" w:rsidRDefault="00D4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07"/>
      <w:docPartObj>
        <w:docPartGallery w:val="Page Numbers (Bottom of Page)"/>
        <w:docPartUnique/>
      </w:docPartObj>
    </w:sdtPr>
    <w:sdtEndPr/>
    <w:sdtContent>
      <w:p w14:paraId="0416DF61" w14:textId="77777777" w:rsidR="0032777F" w:rsidRDefault="0032777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416DF62" w14:textId="77777777" w:rsidR="0032777F" w:rsidRDefault="00327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3A2E" w14:textId="77777777" w:rsidR="00D47229" w:rsidRDefault="00D47229">
      <w:r>
        <w:separator/>
      </w:r>
    </w:p>
  </w:footnote>
  <w:footnote w:type="continuationSeparator" w:id="0">
    <w:p w14:paraId="786FBA07" w14:textId="77777777" w:rsidR="00D47229" w:rsidRDefault="00D47229">
      <w:r>
        <w:continuationSeparator/>
      </w:r>
    </w:p>
  </w:footnote>
  <w:footnote w:id="1">
    <w:p w14:paraId="0416DF63" w14:textId="4CA22EC2" w:rsidR="0032777F" w:rsidRPr="0064746F" w:rsidRDefault="0032777F">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w:t>
      </w:r>
      <w:r w:rsidRPr="00AA49D2">
        <w:rPr>
          <w:rFonts w:asciiTheme="minorHAnsi" w:hAnsiTheme="minorHAnsi"/>
          <w:sz w:val="13"/>
        </w:rPr>
        <w:t>This assessment of results is to be prepared only in the absence of a completed Independent Country Programme Evaluation (ICPE) for the cycle.</w:t>
      </w:r>
    </w:p>
  </w:footnote>
  <w:footnote w:id="2">
    <w:p w14:paraId="05D1E14B" w14:textId="72AFC3EB" w:rsidR="00E22189" w:rsidRPr="00025AC1" w:rsidRDefault="00E22189">
      <w:pPr>
        <w:pStyle w:val="FootnoteText"/>
        <w:rPr>
          <w:rFonts w:ascii="Calibri" w:eastAsia="Calibri" w:hAnsi="Calibri" w:cs="Calibri"/>
          <w:color w:val="000000" w:themeColor="text1"/>
          <w:sz w:val="18"/>
          <w:szCs w:val="22"/>
          <w:lang w:eastAsia="fr-FR"/>
        </w:rPr>
      </w:pPr>
      <w:r w:rsidRPr="007D1DB4">
        <w:rPr>
          <w:rStyle w:val="FootnoteReference"/>
          <w:sz w:val="15"/>
        </w:rPr>
        <w:footnoteRef/>
      </w:r>
      <w:r w:rsidRPr="007D1DB4">
        <w:rPr>
          <w:sz w:val="15"/>
        </w:rPr>
        <w:t xml:space="preserve"> </w:t>
      </w:r>
      <w:r w:rsidRPr="007D1DB4">
        <w:rPr>
          <w:rFonts w:ascii="Calibri" w:eastAsia="Calibri" w:hAnsi="Calibri" w:cs="Calibri"/>
          <w:color w:val="000000" w:themeColor="text1"/>
          <w:sz w:val="18"/>
          <w:szCs w:val="22"/>
          <w:lang w:eastAsia="fr-FR"/>
        </w:rPr>
        <w:t>From 142</w:t>
      </w:r>
      <w:r w:rsidRPr="007D1DB4">
        <w:rPr>
          <w:rFonts w:ascii="Calibri" w:eastAsia="Calibri" w:hAnsi="Calibri" w:cs="Calibri"/>
          <w:color w:val="000000" w:themeColor="text1"/>
          <w:sz w:val="18"/>
          <w:szCs w:val="22"/>
          <w:vertAlign w:val="superscript"/>
          <w:lang w:eastAsia="fr-FR"/>
        </w:rPr>
        <w:t>nd</w:t>
      </w:r>
      <w:r w:rsidRPr="007D1DB4">
        <w:rPr>
          <w:rFonts w:ascii="Calibri" w:eastAsia="Calibri" w:hAnsi="Calibri" w:cs="Calibri"/>
          <w:color w:val="000000" w:themeColor="text1"/>
          <w:sz w:val="18"/>
          <w:szCs w:val="22"/>
          <w:lang w:eastAsia="fr-FR"/>
        </w:rPr>
        <w:t>/189 in 2016 to 137</w:t>
      </w:r>
      <w:r w:rsidRPr="007D1DB4">
        <w:rPr>
          <w:rFonts w:ascii="Calibri" w:eastAsia="Calibri" w:hAnsi="Calibri" w:cs="Calibri"/>
          <w:color w:val="000000" w:themeColor="text1"/>
          <w:sz w:val="18"/>
          <w:szCs w:val="22"/>
          <w:vertAlign w:val="superscript"/>
          <w:lang w:eastAsia="fr-FR"/>
        </w:rPr>
        <w:t>th</w:t>
      </w:r>
      <w:r w:rsidRPr="007D1DB4">
        <w:rPr>
          <w:rFonts w:ascii="Calibri" w:eastAsia="Calibri" w:hAnsi="Calibri" w:cs="Calibri"/>
          <w:color w:val="000000" w:themeColor="text1"/>
          <w:sz w:val="18"/>
          <w:szCs w:val="22"/>
          <w:lang w:eastAsia="fr-FR"/>
        </w:rPr>
        <w:t xml:space="preserve">/189 in </w:t>
      </w:r>
      <w:r w:rsidRPr="00025AC1">
        <w:rPr>
          <w:rFonts w:ascii="Calibri" w:eastAsia="Calibri" w:hAnsi="Calibri" w:cs="Calibri"/>
          <w:color w:val="000000" w:themeColor="text1"/>
          <w:sz w:val="18"/>
          <w:szCs w:val="22"/>
          <w:lang w:eastAsia="fr-FR"/>
        </w:rPr>
        <w:t xml:space="preserve">2020  </w:t>
      </w:r>
    </w:p>
    <w:p w14:paraId="60539971" w14:textId="59CECEE0" w:rsidR="00E22189" w:rsidRPr="00E22189" w:rsidRDefault="00E221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4558B8" w14:paraId="02B78723" w14:textId="77777777" w:rsidTr="364558B8">
      <w:trPr>
        <w:trHeight w:val="300"/>
      </w:trPr>
      <w:tc>
        <w:tcPr>
          <w:tcW w:w="3005" w:type="dxa"/>
        </w:tcPr>
        <w:p w14:paraId="77CCB7F8" w14:textId="5FE54355" w:rsidR="364558B8" w:rsidRDefault="364558B8" w:rsidP="364558B8">
          <w:pPr>
            <w:pStyle w:val="Header"/>
            <w:ind w:left="-115"/>
          </w:pPr>
        </w:p>
      </w:tc>
      <w:tc>
        <w:tcPr>
          <w:tcW w:w="3005" w:type="dxa"/>
        </w:tcPr>
        <w:p w14:paraId="65C64C52" w14:textId="164587C2" w:rsidR="364558B8" w:rsidRDefault="364558B8" w:rsidP="364558B8">
          <w:pPr>
            <w:pStyle w:val="Header"/>
            <w:jc w:val="center"/>
          </w:pPr>
        </w:p>
      </w:tc>
      <w:tc>
        <w:tcPr>
          <w:tcW w:w="3005" w:type="dxa"/>
        </w:tcPr>
        <w:p w14:paraId="2707C679" w14:textId="6C05B78D" w:rsidR="364558B8" w:rsidRDefault="364558B8" w:rsidP="364558B8">
          <w:pPr>
            <w:pStyle w:val="Header"/>
            <w:ind w:right="-115"/>
            <w:jc w:val="right"/>
          </w:pPr>
        </w:p>
      </w:tc>
    </w:tr>
  </w:tbl>
  <w:p w14:paraId="2CC7A6C5" w14:textId="20C32A5D" w:rsidR="364558B8" w:rsidRDefault="364558B8" w:rsidP="36455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64558B8" w14:paraId="016ECD52" w14:textId="77777777" w:rsidTr="364558B8">
      <w:trPr>
        <w:trHeight w:val="300"/>
      </w:trPr>
      <w:tc>
        <w:tcPr>
          <w:tcW w:w="4650" w:type="dxa"/>
        </w:tcPr>
        <w:p w14:paraId="0B0FCEA4" w14:textId="13314333" w:rsidR="364558B8" w:rsidRDefault="364558B8" w:rsidP="364558B8">
          <w:pPr>
            <w:pStyle w:val="Header"/>
            <w:ind w:left="-115"/>
          </w:pPr>
        </w:p>
      </w:tc>
      <w:tc>
        <w:tcPr>
          <w:tcW w:w="4650" w:type="dxa"/>
        </w:tcPr>
        <w:p w14:paraId="28D8EBBA" w14:textId="0A32478C" w:rsidR="364558B8" w:rsidRDefault="364558B8" w:rsidP="364558B8">
          <w:pPr>
            <w:pStyle w:val="Header"/>
            <w:jc w:val="center"/>
          </w:pPr>
        </w:p>
      </w:tc>
      <w:tc>
        <w:tcPr>
          <w:tcW w:w="4650" w:type="dxa"/>
        </w:tcPr>
        <w:p w14:paraId="45E0E745" w14:textId="6C0BF08A" w:rsidR="364558B8" w:rsidRDefault="364558B8" w:rsidP="364558B8">
          <w:pPr>
            <w:pStyle w:val="Header"/>
            <w:ind w:right="-115"/>
            <w:jc w:val="right"/>
          </w:pPr>
        </w:p>
      </w:tc>
    </w:tr>
  </w:tbl>
  <w:p w14:paraId="4C33C07D" w14:textId="344A8DCE" w:rsidR="364558B8" w:rsidRDefault="364558B8" w:rsidP="364558B8">
    <w:pPr>
      <w:pStyle w:val="Header"/>
    </w:pPr>
  </w:p>
</w:hdr>
</file>

<file path=word/intelligence2.xml><?xml version="1.0" encoding="utf-8"?>
<int2:intelligence xmlns:int2="http://schemas.microsoft.com/office/intelligence/2020/intelligence" xmlns:oel="http://schemas.microsoft.com/office/2019/extlst">
  <int2:observations>
    <int2:textHash int2:hashCode="o1NR06qaX42D8S" int2:id="Tk8DD3k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925"/>
    <w:multiLevelType w:val="hybridMultilevel"/>
    <w:tmpl w:val="3F064320"/>
    <w:lvl w:ilvl="0" w:tplc="9B1033F6">
      <w:start w:val="1"/>
      <w:numFmt w:val="decimal"/>
      <w:lvlText w:val="%1."/>
      <w:lvlJc w:val="left"/>
      <w:pPr>
        <w:ind w:left="720" w:hanging="360"/>
      </w:pPr>
    </w:lvl>
    <w:lvl w:ilvl="1" w:tplc="EA80F6EA">
      <w:start w:val="1"/>
      <w:numFmt w:val="lowerLetter"/>
      <w:lvlText w:val="%2."/>
      <w:lvlJc w:val="left"/>
      <w:pPr>
        <w:ind w:left="1440" w:hanging="360"/>
      </w:pPr>
    </w:lvl>
    <w:lvl w:ilvl="2" w:tplc="19C02636">
      <w:start w:val="1"/>
      <w:numFmt w:val="lowerRoman"/>
      <w:lvlText w:val="%3."/>
      <w:lvlJc w:val="right"/>
      <w:pPr>
        <w:ind w:left="2160" w:hanging="180"/>
      </w:pPr>
    </w:lvl>
    <w:lvl w:ilvl="3" w:tplc="6A2A27F4">
      <w:start w:val="1"/>
      <w:numFmt w:val="decimal"/>
      <w:lvlText w:val="%4."/>
      <w:lvlJc w:val="left"/>
      <w:pPr>
        <w:ind w:left="2880" w:hanging="360"/>
      </w:pPr>
    </w:lvl>
    <w:lvl w:ilvl="4" w:tplc="00C045BC">
      <w:start w:val="1"/>
      <w:numFmt w:val="lowerLetter"/>
      <w:lvlText w:val="%5."/>
      <w:lvlJc w:val="left"/>
      <w:pPr>
        <w:ind w:left="3600" w:hanging="360"/>
      </w:pPr>
    </w:lvl>
    <w:lvl w:ilvl="5" w:tplc="CE981282">
      <w:start w:val="1"/>
      <w:numFmt w:val="lowerRoman"/>
      <w:lvlText w:val="%6."/>
      <w:lvlJc w:val="right"/>
      <w:pPr>
        <w:ind w:left="4320" w:hanging="180"/>
      </w:pPr>
    </w:lvl>
    <w:lvl w:ilvl="6" w:tplc="54967D0C">
      <w:start w:val="1"/>
      <w:numFmt w:val="decimal"/>
      <w:lvlText w:val="%7."/>
      <w:lvlJc w:val="left"/>
      <w:pPr>
        <w:ind w:left="5040" w:hanging="360"/>
      </w:pPr>
    </w:lvl>
    <w:lvl w:ilvl="7" w:tplc="C8ACFBAE">
      <w:start w:val="1"/>
      <w:numFmt w:val="lowerLetter"/>
      <w:lvlText w:val="%8."/>
      <w:lvlJc w:val="left"/>
      <w:pPr>
        <w:ind w:left="5760" w:hanging="360"/>
      </w:pPr>
    </w:lvl>
    <w:lvl w:ilvl="8" w:tplc="0C4280BC">
      <w:start w:val="1"/>
      <w:numFmt w:val="lowerRoman"/>
      <w:lvlText w:val="%9."/>
      <w:lvlJc w:val="right"/>
      <w:pPr>
        <w:ind w:left="6480" w:hanging="180"/>
      </w:p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67C3E"/>
    <w:multiLevelType w:val="multilevel"/>
    <w:tmpl w:val="C5A627F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34A674"/>
    <w:multiLevelType w:val="hybridMultilevel"/>
    <w:tmpl w:val="0016A398"/>
    <w:lvl w:ilvl="0" w:tplc="9014E3C8">
      <w:start w:val="1"/>
      <w:numFmt w:val="bullet"/>
      <w:lvlText w:val="-"/>
      <w:lvlJc w:val="left"/>
      <w:pPr>
        <w:ind w:left="720" w:hanging="360"/>
      </w:pPr>
      <w:rPr>
        <w:rFonts w:ascii="Calibri" w:hAnsi="Calibri" w:hint="default"/>
      </w:rPr>
    </w:lvl>
    <w:lvl w:ilvl="1" w:tplc="FA4E4318">
      <w:start w:val="1"/>
      <w:numFmt w:val="bullet"/>
      <w:lvlText w:val="o"/>
      <w:lvlJc w:val="left"/>
      <w:pPr>
        <w:ind w:left="1440" w:hanging="360"/>
      </w:pPr>
      <w:rPr>
        <w:rFonts w:ascii="Courier New" w:hAnsi="Courier New" w:hint="default"/>
      </w:rPr>
    </w:lvl>
    <w:lvl w:ilvl="2" w:tplc="7DD60A78">
      <w:start w:val="1"/>
      <w:numFmt w:val="bullet"/>
      <w:lvlText w:val=""/>
      <w:lvlJc w:val="left"/>
      <w:pPr>
        <w:ind w:left="2160" w:hanging="360"/>
      </w:pPr>
      <w:rPr>
        <w:rFonts w:ascii="Wingdings" w:hAnsi="Wingdings" w:hint="default"/>
      </w:rPr>
    </w:lvl>
    <w:lvl w:ilvl="3" w:tplc="FC9CA51E">
      <w:start w:val="1"/>
      <w:numFmt w:val="bullet"/>
      <w:lvlText w:val=""/>
      <w:lvlJc w:val="left"/>
      <w:pPr>
        <w:ind w:left="2880" w:hanging="360"/>
      </w:pPr>
      <w:rPr>
        <w:rFonts w:ascii="Symbol" w:hAnsi="Symbol" w:hint="default"/>
      </w:rPr>
    </w:lvl>
    <w:lvl w:ilvl="4" w:tplc="10E2EA26">
      <w:start w:val="1"/>
      <w:numFmt w:val="bullet"/>
      <w:lvlText w:val="o"/>
      <w:lvlJc w:val="left"/>
      <w:pPr>
        <w:ind w:left="3600" w:hanging="360"/>
      </w:pPr>
      <w:rPr>
        <w:rFonts w:ascii="Courier New" w:hAnsi="Courier New" w:hint="default"/>
      </w:rPr>
    </w:lvl>
    <w:lvl w:ilvl="5" w:tplc="6780F098">
      <w:start w:val="1"/>
      <w:numFmt w:val="bullet"/>
      <w:lvlText w:val=""/>
      <w:lvlJc w:val="left"/>
      <w:pPr>
        <w:ind w:left="4320" w:hanging="360"/>
      </w:pPr>
      <w:rPr>
        <w:rFonts w:ascii="Wingdings" w:hAnsi="Wingdings" w:hint="default"/>
      </w:rPr>
    </w:lvl>
    <w:lvl w:ilvl="6" w:tplc="7B969722">
      <w:start w:val="1"/>
      <w:numFmt w:val="bullet"/>
      <w:lvlText w:val=""/>
      <w:lvlJc w:val="left"/>
      <w:pPr>
        <w:ind w:left="5040" w:hanging="360"/>
      </w:pPr>
      <w:rPr>
        <w:rFonts w:ascii="Symbol" w:hAnsi="Symbol" w:hint="default"/>
      </w:rPr>
    </w:lvl>
    <w:lvl w:ilvl="7" w:tplc="607CE688">
      <w:start w:val="1"/>
      <w:numFmt w:val="bullet"/>
      <w:lvlText w:val="o"/>
      <w:lvlJc w:val="left"/>
      <w:pPr>
        <w:ind w:left="5760" w:hanging="360"/>
      </w:pPr>
      <w:rPr>
        <w:rFonts w:ascii="Courier New" w:hAnsi="Courier New" w:hint="default"/>
      </w:rPr>
    </w:lvl>
    <w:lvl w:ilvl="8" w:tplc="97E23BE0">
      <w:start w:val="1"/>
      <w:numFmt w:val="bullet"/>
      <w:lvlText w:val=""/>
      <w:lvlJc w:val="left"/>
      <w:pPr>
        <w:ind w:left="6480" w:hanging="360"/>
      </w:pPr>
      <w:rPr>
        <w:rFonts w:ascii="Wingdings" w:hAnsi="Wingdings" w:hint="default"/>
      </w:rPr>
    </w:lvl>
  </w:abstractNum>
  <w:abstractNum w:abstractNumId="5"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0202F2"/>
    <w:multiLevelType w:val="hybridMultilevel"/>
    <w:tmpl w:val="FA16AA5A"/>
    <w:lvl w:ilvl="0" w:tplc="AA7C0544">
      <w:start w:val="2"/>
      <w:numFmt w:val="decimal"/>
      <w:lvlText w:val="%1."/>
      <w:lvlJc w:val="left"/>
      <w:pPr>
        <w:ind w:left="720" w:hanging="360"/>
      </w:pPr>
    </w:lvl>
    <w:lvl w:ilvl="1" w:tplc="7A9E6038">
      <w:start w:val="1"/>
      <w:numFmt w:val="lowerLetter"/>
      <w:lvlText w:val="%2."/>
      <w:lvlJc w:val="left"/>
      <w:pPr>
        <w:ind w:left="1440" w:hanging="360"/>
      </w:pPr>
    </w:lvl>
    <w:lvl w:ilvl="2" w:tplc="AF5E3712">
      <w:start w:val="1"/>
      <w:numFmt w:val="lowerRoman"/>
      <w:lvlText w:val="%3."/>
      <w:lvlJc w:val="right"/>
      <w:pPr>
        <w:ind w:left="2160" w:hanging="180"/>
      </w:pPr>
    </w:lvl>
    <w:lvl w:ilvl="3" w:tplc="2662D612">
      <w:start w:val="1"/>
      <w:numFmt w:val="decimal"/>
      <w:lvlText w:val="%4."/>
      <w:lvlJc w:val="left"/>
      <w:pPr>
        <w:ind w:left="2880" w:hanging="360"/>
      </w:pPr>
    </w:lvl>
    <w:lvl w:ilvl="4" w:tplc="1C88DB16">
      <w:start w:val="1"/>
      <w:numFmt w:val="lowerLetter"/>
      <w:lvlText w:val="%5."/>
      <w:lvlJc w:val="left"/>
      <w:pPr>
        <w:ind w:left="3600" w:hanging="360"/>
      </w:pPr>
    </w:lvl>
    <w:lvl w:ilvl="5" w:tplc="7F76342C">
      <w:start w:val="1"/>
      <w:numFmt w:val="lowerRoman"/>
      <w:lvlText w:val="%6."/>
      <w:lvlJc w:val="right"/>
      <w:pPr>
        <w:ind w:left="4320" w:hanging="180"/>
      </w:pPr>
    </w:lvl>
    <w:lvl w:ilvl="6" w:tplc="E0BE52C4">
      <w:start w:val="1"/>
      <w:numFmt w:val="decimal"/>
      <w:lvlText w:val="%7."/>
      <w:lvlJc w:val="left"/>
      <w:pPr>
        <w:ind w:left="5040" w:hanging="360"/>
      </w:pPr>
    </w:lvl>
    <w:lvl w:ilvl="7" w:tplc="B18E0B8C">
      <w:start w:val="1"/>
      <w:numFmt w:val="lowerLetter"/>
      <w:lvlText w:val="%8."/>
      <w:lvlJc w:val="left"/>
      <w:pPr>
        <w:ind w:left="5760" w:hanging="360"/>
      </w:pPr>
    </w:lvl>
    <w:lvl w:ilvl="8" w:tplc="398E83EA">
      <w:start w:val="1"/>
      <w:numFmt w:val="lowerRoman"/>
      <w:lvlText w:val="%9."/>
      <w:lvlJc w:val="right"/>
      <w:pPr>
        <w:ind w:left="6480" w:hanging="180"/>
      </w:pPr>
    </w:lvl>
  </w:abstractNum>
  <w:abstractNum w:abstractNumId="7"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46A348"/>
    <w:multiLevelType w:val="hybridMultilevel"/>
    <w:tmpl w:val="9336FC46"/>
    <w:lvl w:ilvl="0" w:tplc="9CEC9F68">
      <w:start w:val="1"/>
      <w:numFmt w:val="bullet"/>
      <w:lvlText w:val="-"/>
      <w:lvlJc w:val="left"/>
      <w:pPr>
        <w:ind w:left="720" w:hanging="360"/>
      </w:pPr>
      <w:rPr>
        <w:rFonts w:ascii="Calibri" w:hAnsi="Calibri" w:hint="default"/>
      </w:rPr>
    </w:lvl>
    <w:lvl w:ilvl="1" w:tplc="E8440ECE">
      <w:start w:val="1"/>
      <w:numFmt w:val="bullet"/>
      <w:lvlText w:val="o"/>
      <w:lvlJc w:val="left"/>
      <w:pPr>
        <w:ind w:left="1440" w:hanging="360"/>
      </w:pPr>
      <w:rPr>
        <w:rFonts w:ascii="Courier New" w:hAnsi="Courier New" w:hint="default"/>
      </w:rPr>
    </w:lvl>
    <w:lvl w:ilvl="2" w:tplc="61DA5F4C">
      <w:start w:val="1"/>
      <w:numFmt w:val="bullet"/>
      <w:lvlText w:val=""/>
      <w:lvlJc w:val="left"/>
      <w:pPr>
        <w:ind w:left="2160" w:hanging="360"/>
      </w:pPr>
      <w:rPr>
        <w:rFonts w:ascii="Wingdings" w:hAnsi="Wingdings" w:hint="default"/>
      </w:rPr>
    </w:lvl>
    <w:lvl w:ilvl="3" w:tplc="735C13D2">
      <w:start w:val="1"/>
      <w:numFmt w:val="bullet"/>
      <w:lvlText w:val=""/>
      <w:lvlJc w:val="left"/>
      <w:pPr>
        <w:ind w:left="2880" w:hanging="360"/>
      </w:pPr>
      <w:rPr>
        <w:rFonts w:ascii="Symbol" w:hAnsi="Symbol" w:hint="default"/>
      </w:rPr>
    </w:lvl>
    <w:lvl w:ilvl="4" w:tplc="C42E96BC">
      <w:start w:val="1"/>
      <w:numFmt w:val="bullet"/>
      <w:lvlText w:val="o"/>
      <w:lvlJc w:val="left"/>
      <w:pPr>
        <w:ind w:left="3600" w:hanging="360"/>
      </w:pPr>
      <w:rPr>
        <w:rFonts w:ascii="Courier New" w:hAnsi="Courier New" w:hint="default"/>
      </w:rPr>
    </w:lvl>
    <w:lvl w:ilvl="5" w:tplc="5428E842">
      <w:start w:val="1"/>
      <w:numFmt w:val="bullet"/>
      <w:lvlText w:val=""/>
      <w:lvlJc w:val="left"/>
      <w:pPr>
        <w:ind w:left="4320" w:hanging="360"/>
      </w:pPr>
      <w:rPr>
        <w:rFonts w:ascii="Wingdings" w:hAnsi="Wingdings" w:hint="default"/>
      </w:rPr>
    </w:lvl>
    <w:lvl w:ilvl="6" w:tplc="E5EE9FD0">
      <w:start w:val="1"/>
      <w:numFmt w:val="bullet"/>
      <w:lvlText w:val=""/>
      <w:lvlJc w:val="left"/>
      <w:pPr>
        <w:ind w:left="5040" w:hanging="360"/>
      </w:pPr>
      <w:rPr>
        <w:rFonts w:ascii="Symbol" w:hAnsi="Symbol" w:hint="default"/>
      </w:rPr>
    </w:lvl>
    <w:lvl w:ilvl="7" w:tplc="61487CAE">
      <w:start w:val="1"/>
      <w:numFmt w:val="bullet"/>
      <w:lvlText w:val="o"/>
      <w:lvlJc w:val="left"/>
      <w:pPr>
        <w:ind w:left="5760" w:hanging="360"/>
      </w:pPr>
      <w:rPr>
        <w:rFonts w:ascii="Courier New" w:hAnsi="Courier New" w:hint="default"/>
      </w:rPr>
    </w:lvl>
    <w:lvl w:ilvl="8" w:tplc="B07AE5DE">
      <w:start w:val="1"/>
      <w:numFmt w:val="bullet"/>
      <w:lvlText w:val=""/>
      <w:lvlJc w:val="left"/>
      <w:pPr>
        <w:ind w:left="6480" w:hanging="360"/>
      </w:pPr>
      <w:rPr>
        <w:rFonts w:ascii="Wingdings" w:hAnsi="Wingdings" w:hint="default"/>
      </w:rPr>
    </w:lvl>
  </w:abstractNum>
  <w:abstractNum w:abstractNumId="9"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4ECFA"/>
    <w:multiLevelType w:val="hybridMultilevel"/>
    <w:tmpl w:val="FB42B8D6"/>
    <w:lvl w:ilvl="0" w:tplc="77A8FFEA">
      <w:start w:val="1"/>
      <w:numFmt w:val="bullet"/>
      <w:lvlText w:val="-"/>
      <w:lvlJc w:val="left"/>
      <w:pPr>
        <w:ind w:left="720" w:hanging="360"/>
      </w:pPr>
      <w:rPr>
        <w:rFonts w:ascii="Calibri" w:hAnsi="Calibri" w:hint="default"/>
      </w:rPr>
    </w:lvl>
    <w:lvl w:ilvl="1" w:tplc="6E80B6D4">
      <w:start w:val="1"/>
      <w:numFmt w:val="bullet"/>
      <w:lvlText w:val="o"/>
      <w:lvlJc w:val="left"/>
      <w:pPr>
        <w:ind w:left="1440" w:hanging="360"/>
      </w:pPr>
      <w:rPr>
        <w:rFonts w:ascii="Courier New" w:hAnsi="Courier New" w:hint="default"/>
      </w:rPr>
    </w:lvl>
    <w:lvl w:ilvl="2" w:tplc="6B564FB0">
      <w:start w:val="1"/>
      <w:numFmt w:val="bullet"/>
      <w:lvlText w:val=""/>
      <w:lvlJc w:val="left"/>
      <w:pPr>
        <w:ind w:left="2160" w:hanging="360"/>
      </w:pPr>
      <w:rPr>
        <w:rFonts w:ascii="Wingdings" w:hAnsi="Wingdings" w:hint="default"/>
      </w:rPr>
    </w:lvl>
    <w:lvl w:ilvl="3" w:tplc="7AC45024">
      <w:start w:val="1"/>
      <w:numFmt w:val="bullet"/>
      <w:lvlText w:val=""/>
      <w:lvlJc w:val="left"/>
      <w:pPr>
        <w:ind w:left="2880" w:hanging="360"/>
      </w:pPr>
      <w:rPr>
        <w:rFonts w:ascii="Symbol" w:hAnsi="Symbol" w:hint="default"/>
      </w:rPr>
    </w:lvl>
    <w:lvl w:ilvl="4" w:tplc="CB587268">
      <w:start w:val="1"/>
      <w:numFmt w:val="bullet"/>
      <w:lvlText w:val="o"/>
      <w:lvlJc w:val="left"/>
      <w:pPr>
        <w:ind w:left="3600" w:hanging="360"/>
      </w:pPr>
      <w:rPr>
        <w:rFonts w:ascii="Courier New" w:hAnsi="Courier New" w:hint="default"/>
      </w:rPr>
    </w:lvl>
    <w:lvl w:ilvl="5" w:tplc="7534AD02">
      <w:start w:val="1"/>
      <w:numFmt w:val="bullet"/>
      <w:lvlText w:val=""/>
      <w:lvlJc w:val="left"/>
      <w:pPr>
        <w:ind w:left="4320" w:hanging="360"/>
      </w:pPr>
      <w:rPr>
        <w:rFonts w:ascii="Wingdings" w:hAnsi="Wingdings" w:hint="default"/>
      </w:rPr>
    </w:lvl>
    <w:lvl w:ilvl="6" w:tplc="AE88276E">
      <w:start w:val="1"/>
      <w:numFmt w:val="bullet"/>
      <w:lvlText w:val=""/>
      <w:lvlJc w:val="left"/>
      <w:pPr>
        <w:ind w:left="5040" w:hanging="360"/>
      </w:pPr>
      <w:rPr>
        <w:rFonts w:ascii="Symbol" w:hAnsi="Symbol" w:hint="default"/>
      </w:rPr>
    </w:lvl>
    <w:lvl w:ilvl="7" w:tplc="0972D630">
      <w:start w:val="1"/>
      <w:numFmt w:val="bullet"/>
      <w:lvlText w:val="o"/>
      <w:lvlJc w:val="left"/>
      <w:pPr>
        <w:ind w:left="5760" w:hanging="360"/>
      </w:pPr>
      <w:rPr>
        <w:rFonts w:ascii="Courier New" w:hAnsi="Courier New" w:hint="default"/>
      </w:rPr>
    </w:lvl>
    <w:lvl w:ilvl="8" w:tplc="AEF0CA86">
      <w:start w:val="1"/>
      <w:numFmt w:val="bullet"/>
      <w:lvlText w:val=""/>
      <w:lvlJc w:val="left"/>
      <w:pPr>
        <w:ind w:left="6480" w:hanging="360"/>
      </w:pPr>
      <w:rPr>
        <w:rFonts w:ascii="Wingdings" w:hAnsi="Wingdings" w:hint="default"/>
      </w:rPr>
    </w:lvl>
  </w:abstractNum>
  <w:abstractNum w:abstractNumId="11" w15:restartNumberingAfterBreak="0">
    <w:nsid w:val="1A06E186"/>
    <w:multiLevelType w:val="hybridMultilevel"/>
    <w:tmpl w:val="34DAEBAE"/>
    <w:lvl w:ilvl="0" w:tplc="05E453E4">
      <w:start w:val="1"/>
      <w:numFmt w:val="bullet"/>
      <w:lvlText w:val="-"/>
      <w:lvlJc w:val="left"/>
      <w:pPr>
        <w:ind w:left="720" w:hanging="360"/>
      </w:pPr>
      <w:rPr>
        <w:rFonts w:ascii="Calibri" w:hAnsi="Calibri" w:hint="default"/>
      </w:rPr>
    </w:lvl>
    <w:lvl w:ilvl="1" w:tplc="E7F89BCC">
      <w:start w:val="1"/>
      <w:numFmt w:val="bullet"/>
      <w:lvlText w:val="o"/>
      <w:lvlJc w:val="left"/>
      <w:pPr>
        <w:ind w:left="1440" w:hanging="360"/>
      </w:pPr>
      <w:rPr>
        <w:rFonts w:ascii="Courier New" w:hAnsi="Courier New" w:hint="default"/>
      </w:rPr>
    </w:lvl>
    <w:lvl w:ilvl="2" w:tplc="7F16F634">
      <w:start w:val="1"/>
      <w:numFmt w:val="bullet"/>
      <w:lvlText w:val=""/>
      <w:lvlJc w:val="left"/>
      <w:pPr>
        <w:ind w:left="2160" w:hanging="360"/>
      </w:pPr>
      <w:rPr>
        <w:rFonts w:ascii="Wingdings" w:hAnsi="Wingdings" w:hint="default"/>
      </w:rPr>
    </w:lvl>
    <w:lvl w:ilvl="3" w:tplc="F4ECB12C">
      <w:start w:val="1"/>
      <w:numFmt w:val="bullet"/>
      <w:lvlText w:val=""/>
      <w:lvlJc w:val="left"/>
      <w:pPr>
        <w:ind w:left="2880" w:hanging="360"/>
      </w:pPr>
      <w:rPr>
        <w:rFonts w:ascii="Symbol" w:hAnsi="Symbol" w:hint="default"/>
      </w:rPr>
    </w:lvl>
    <w:lvl w:ilvl="4" w:tplc="6C36B81E">
      <w:start w:val="1"/>
      <w:numFmt w:val="bullet"/>
      <w:lvlText w:val="o"/>
      <w:lvlJc w:val="left"/>
      <w:pPr>
        <w:ind w:left="3600" w:hanging="360"/>
      </w:pPr>
      <w:rPr>
        <w:rFonts w:ascii="Courier New" w:hAnsi="Courier New" w:hint="default"/>
      </w:rPr>
    </w:lvl>
    <w:lvl w:ilvl="5" w:tplc="067E717E">
      <w:start w:val="1"/>
      <w:numFmt w:val="bullet"/>
      <w:lvlText w:val=""/>
      <w:lvlJc w:val="left"/>
      <w:pPr>
        <w:ind w:left="4320" w:hanging="360"/>
      </w:pPr>
      <w:rPr>
        <w:rFonts w:ascii="Wingdings" w:hAnsi="Wingdings" w:hint="default"/>
      </w:rPr>
    </w:lvl>
    <w:lvl w:ilvl="6" w:tplc="7F46477C">
      <w:start w:val="1"/>
      <w:numFmt w:val="bullet"/>
      <w:lvlText w:val=""/>
      <w:lvlJc w:val="left"/>
      <w:pPr>
        <w:ind w:left="5040" w:hanging="360"/>
      </w:pPr>
      <w:rPr>
        <w:rFonts w:ascii="Symbol" w:hAnsi="Symbol" w:hint="default"/>
      </w:rPr>
    </w:lvl>
    <w:lvl w:ilvl="7" w:tplc="DCB8082E">
      <w:start w:val="1"/>
      <w:numFmt w:val="bullet"/>
      <w:lvlText w:val="o"/>
      <w:lvlJc w:val="left"/>
      <w:pPr>
        <w:ind w:left="5760" w:hanging="360"/>
      </w:pPr>
      <w:rPr>
        <w:rFonts w:ascii="Courier New" w:hAnsi="Courier New" w:hint="default"/>
      </w:rPr>
    </w:lvl>
    <w:lvl w:ilvl="8" w:tplc="4BAC5FA4">
      <w:start w:val="1"/>
      <w:numFmt w:val="bullet"/>
      <w:lvlText w:val=""/>
      <w:lvlJc w:val="left"/>
      <w:pPr>
        <w:ind w:left="6480" w:hanging="360"/>
      </w:pPr>
      <w:rPr>
        <w:rFonts w:ascii="Wingdings" w:hAnsi="Wingdings" w:hint="default"/>
      </w:rPr>
    </w:lvl>
  </w:abstractNum>
  <w:abstractNum w:abstractNumId="12" w15:restartNumberingAfterBreak="0">
    <w:nsid w:val="1F106E00"/>
    <w:multiLevelType w:val="hybridMultilevel"/>
    <w:tmpl w:val="9B1C0A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F39BEF"/>
    <w:multiLevelType w:val="hybridMultilevel"/>
    <w:tmpl w:val="3618A2BC"/>
    <w:lvl w:ilvl="0" w:tplc="9D7C3A92">
      <w:start w:val="1"/>
      <w:numFmt w:val="bullet"/>
      <w:lvlText w:val="-"/>
      <w:lvlJc w:val="left"/>
      <w:pPr>
        <w:ind w:left="360" w:hanging="360"/>
      </w:pPr>
      <w:rPr>
        <w:rFonts w:ascii="Calibri" w:hAnsi="Calibri" w:hint="default"/>
      </w:rPr>
    </w:lvl>
    <w:lvl w:ilvl="1" w:tplc="751644BE">
      <w:start w:val="1"/>
      <w:numFmt w:val="bullet"/>
      <w:lvlText w:val="o"/>
      <w:lvlJc w:val="left"/>
      <w:pPr>
        <w:ind w:left="1080" w:hanging="360"/>
      </w:pPr>
      <w:rPr>
        <w:rFonts w:ascii="Courier New" w:hAnsi="Courier New" w:hint="default"/>
      </w:rPr>
    </w:lvl>
    <w:lvl w:ilvl="2" w:tplc="B8508A58">
      <w:start w:val="1"/>
      <w:numFmt w:val="bullet"/>
      <w:lvlText w:val=""/>
      <w:lvlJc w:val="left"/>
      <w:pPr>
        <w:ind w:left="1800" w:hanging="360"/>
      </w:pPr>
      <w:rPr>
        <w:rFonts w:ascii="Wingdings" w:hAnsi="Wingdings" w:hint="default"/>
      </w:rPr>
    </w:lvl>
    <w:lvl w:ilvl="3" w:tplc="B7EEBFF0">
      <w:start w:val="1"/>
      <w:numFmt w:val="bullet"/>
      <w:lvlText w:val=""/>
      <w:lvlJc w:val="left"/>
      <w:pPr>
        <w:ind w:left="2520" w:hanging="360"/>
      </w:pPr>
      <w:rPr>
        <w:rFonts w:ascii="Symbol" w:hAnsi="Symbol" w:hint="default"/>
      </w:rPr>
    </w:lvl>
    <w:lvl w:ilvl="4" w:tplc="CC50CFA2">
      <w:start w:val="1"/>
      <w:numFmt w:val="bullet"/>
      <w:lvlText w:val="o"/>
      <w:lvlJc w:val="left"/>
      <w:pPr>
        <w:ind w:left="3240" w:hanging="360"/>
      </w:pPr>
      <w:rPr>
        <w:rFonts w:ascii="Courier New" w:hAnsi="Courier New" w:hint="default"/>
      </w:rPr>
    </w:lvl>
    <w:lvl w:ilvl="5" w:tplc="25021752">
      <w:start w:val="1"/>
      <w:numFmt w:val="bullet"/>
      <w:lvlText w:val=""/>
      <w:lvlJc w:val="left"/>
      <w:pPr>
        <w:ind w:left="3960" w:hanging="360"/>
      </w:pPr>
      <w:rPr>
        <w:rFonts w:ascii="Wingdings" w:hAnsi="Wingdings" w:hint="default"/>
      </w:rPr>
    </w:lvl>
    <w:lvl w:ilvl="6" w:tplc="090A3E16">
      <w:start w:val="1"/>
      <w:numFmt w:val="bullet"/>
      <w:lvlText w:val=""/>
      <w:lvlJc w:val="left"/>
      <w:pPr>
        <w:ind w:left="4680" w:hanging="360"/>
      </w:pPr>
      <w:rPr>
        <w:rFonts w:ascii="Symbol" w:hAnsi="Symbol" w:hint="default"/>
      </w:rPr>
    </w:lvl>
    <w:lvl w:ilvl="7" w:tplc="430A44D4">
      <w:start w:val="1"/>
      <w:numFmt w:val="bullet"/>
      <w:lvlText w:val="o"/>
      <w:lvlJc w:val="left"/>
      <w:pPr>
        <w:ind w:left="5400" w:hanging="360"/>
      </w:pPr>
      <w:rPr>
        <w:rFonts w:ascii="Courier New" w:hAnsi="Courier New" w:hint="default"/>
      </w:rPr>
    </w:lvl>
    <w:lvl w:ilvl="8" w:tplc="DC7AB2FE">
      <w:start w:val="1"/>
      <w:numFmt w:val="bullet"/>
      <w:lvlText w:val=""/>
      <w:lvlJc w:val="left"/>
      <w:pPr>
        <w:ind w:left="6120" w:hanging="360"/>
      </w:pPr>
      <w:rPr>
        <w:rFonts w:ascii="Wingdings" w:hAnsi="Wingdings" w:hint="default"/>
      </w:rPr>
    </w:lvl>
  </w:abstractNum>
  <w:abstractNum w:abstractNumId="16" w15:restartNumberingAfterBreak="0">
    <w:nsid w:val="287D703C"/>
    <w:multiLevelType w:val="hybridMultilevel"/>
    <w:tmpl w:val="7666C5D0"/>
    <w:lvl w:ilvl="0" w:tplc="11A656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3F1DFE"/>
    <w:multiLevelType w:val="hybridMultilevel"/>
    <w:tmpl w:val="734EEBD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18B6ECF"/>
    <w:multiLevelType w:val="hybridMultilevel"/>
    <w:tmpl w:val="4AD8C0C8"/>
    <w:lvl w:ilvl="0" w:tplc="E8D6E64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70997D"/>
    <w:multiLevelType w:val="hybridMultilevel"/>
    <w:tmpl w:val="DC58CA52"/>
    <w:lvl w:ilvl="0" w:tplc="40E27734">
      <w:start w:val="1"/>
      <w:numFmt w:val="bullet"/>
      <w:lvlText w:val="-"/>
      <w:lvlJc w:val="left"/>
      <w:pPr>
        <w:ind w:left="720" w:hanging="360"/>
      </w:pPr>
      <w:rPr>
        <w:rFonts w:ascii="Calibri" w:hAnsi="Calibri" w:hint="default"/>
      </w:rPr>
    </w:lvl>
    <w:lvl w:ilvl="1" w:tplc="AB1A9CB0">
      <w:start w:val="1"/>
      <w:numFmt w:val="bullet"/>
      <w:lvlText w:val="o"/>
      <w:lvlJc w:val="left"/>
      <w:pPr>
        <w:ind w:left="1440" w:hanging="360"/>
      </w:pPr>
      <w:rPr>
        <w:rFonts w:ascii="Courier New" w:hAnsi="Courier New" w:hint="default"/>
      </w:rPr>
    </w:lvl>
    <w:lvl w:ilvl="2" w:tplc="92903240">
      <w:start w:val="1"/>
      <w:numFmt w:val="bullet"/>
      <w:lvlText w:val=""/>
      <w:lvlJc w:val="left"/>
      <w:pPr>
        <w:ind w:left="2160" w:hanging="360"/>
      </w:pPr>
      <w:rPr>
        <w:rFonts w:ascii="Wingdings" w:hAnsi="Wingdings" w:hint="default"/>
      </w:rPr>
    </w:lvl>
    <w:lvl w:ilvl="3" w:tplc="50F8ACF4">
      <w:start w:val="1"/>
      <w:numFmt w:val="bullet"/>
      <w:lvlText w:val=""/>
      <w:lvlJc w:val="left"/>
      <w:pPr>
        <w:ind w:left="2880" w:hanging="360"/>
      </w:pPr>
      <w:rPr>
        <w:rFonts w:ascii="Symbol" w:hAnsi="Symbol" w:hint="default"/>
      </w:rPr>
    </w:lvl>
    <w:lvl w:ilvl="4" w:tplc="BDC4BD3E">
      <w:start w:val="1"/>
      <w:numFmt w:val="bullet"/>
      <w:lvlText w:val="o"/>
      <w:lvlJc w:val="left"/>
      <w:pPr>
        <w:ind w:left="3600" w:hanging="360"/>
      </w:pPr>
      <w:rPr>
        <w:rFonts w:ascii="Courier New" w:hAnsi="Courier New" w:hint="default"/>
      </w:rPr>
    </w:lvl>
    <w:lvl w:ilvl="5" w:tplc="9D646E30">
      <w:start w:val="1"/>
      <w:numFmt w:val="bullet"/>
      <w:lvlText w:val=""/>
      <w:lvlJc w:val="left"/>
      <w:pPr>
        <w:ind w:left="4320" w:hanging="360"/>
      </w:pPr>
      <w:rPr>
        <w:rFonts w:ascii="Wingdings" w:hAnsi="Wingdings" w:hint="default"/>
      </w:rPr>
    </w:lvl>
    <w:lvl w:ilvl="6" w:tplc="CAA6FE04">
      <w:start w:val="1"/>
      <w:numFmt w:val="bullet"/>
      <w:lvlText w:val=""/>
      <w:lvlJc w:val="left"/>
      <w:pPr>
        <w:ind w:left="5040" w:hanging="360"/>
      </w:pPr>
      <w:rPr>
        <w:rFonts w:ascii="Symbol" w:hAnsi="Symbol" w:hint="default"/>
      </w:rPr>
    </w:lvl>
    <w:lvl w:ilvl="7" w:tplc="A3FA5BC0">
      <w:start w:val="1"/>
      <w:numFmt w:val="bullet"/>
      <w:lvlText w:val="o"/>
      <w:lvlJc w:val="left"/>
      <w:pPr>
        <w:ind w:left="5760" w:hanging="360"/>
      </w:pPr>
      <w:rPr>
        <w:rFonts w:ascii="Courier New" w:hAnsi="Courier New" w:hint="default"/>
      </w:rPr>
    </w:lvl>
    <w:lvl w:ilvl="8" w:tplc="6C80E1CE">
      <w:start w:val="1"/>
      <w:numFmt w:val="bullet"/>
      <w:lvlText w:val=""/>
      <w:lvlJc w:val="left"/>
      <w:pPr>
        <w:ind w:left="6480" w:hanging="360"/>
      </w:pPr>
      <w:rPr>
        <w:rFonts w:ascii="Wingdings" w:hAnsi="Wingdings" w:hint="default"/>
      </w:rPr>
    </w:lvl>
  </w:abstractNum>
  <w:abstractNum w:abstractNumId="20"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9460D3E"/>
    <w:multiLevelType w:val="hybridMultilevel"/>
    <w:tmpl w:val="E60A9EF2"/>
    <w:lvl w:ilvl="0" w:tplc="11DC6DF0">
      <w:start w:val="4"/>
      <w:numFmt w:val="decimal"/>
      <w:lvlText w:val="%1."/>
      <w:lvlJc w:val="left"/>
      <w:pPr>
        <w:ind w:left="720" w:hanging="360"/>
      </w:pPr>
    </w:lvl>
    <w:lvl w:ilvl="1" w:tplc="F354A0C4">
      <w:start w:val="1"/>
      <w:numFmt w:val="lowerLetter"/>
      <w:lvlText w:val="%2."/>
      <w:lvlJc w:val="left"/>
      <w:pPr>
        <w:ind w:left="1440" w:hanging="360"/>
      </w:pPr>
    </w:lvl>
    <w:lvl w:ilvl="2" w:tplc="07BE7988">
      <w:start w:val="1"/>
      <w:numFmt w:val="lowerRoman"/>
      <w:lvlText w:val="%3."/>
      <w:lvlJc w:val="right"/>
      <w:pPr>
        <w:ind w:left="2160" w:hanging="180"/>
      </w:pPr>
    </w:lvl>
    <w:lvl w:ilvl="3" w:tplc="D7FC56C6">
      <w:start w:val="1"/>
      <w:numFmt w:val="decimal"/>
      <w:lvlText w:val="%4."/>
      <w:lvlJc w:val="left"/>
      <w:pPr>
        <w:ind w:left="2880" w:hanging="360"/>
      </w:pPr>
    </w:lvl>
    <w:lvl w:ilvl="4" w:tplc="490A7394">
      <w:start w:val="1"/>
      <w:numFmt w:val="lowerLetter"/>
      <w:lvlText w:val="%5."/>
      <w:lvlJc w:val="left"/>
      <w:pPr>
        <w:ind w:left="3600" w:hanging="360"/>
      </w:pPr>
    </w:lvl>
    <w:lvl w:ilvl="5" w:tplc="57B8A7FC">
      <w:start w:val="1"/>
      <w:numFmt w:val="lowerRoman"/>
      <w:lvlText w:val="%6."/>
      <w:lvlJc w:val="right"/>
      <w:pPr>
        <w:ind w:left="4320" w:hanging="180"/>
      </w:pPr>
    </w:lvl>
    <w:lvl w:ilvl="6" w:tplc="E9286026">
      <w:start w:val="1"/>
      <w:numFmt w:val="decimal"/>
      <w:lvlText w:val="%7."/>
      <w:lvlJc w:val="left"/>
      <w:pPr>
        <w:ind w:left="5040" w:hanging="360"/>
      </w:pPr>
    </w:lvl>
    <w:lvl w:ilvl="7" w:tplc="07E2A7C8">
      <w:start w:val="1"/>
      <w:numFmt w:val="lowerLetter"/>
      <w:lvlText w:val="%8."/>
      <w:lvlJc w:val="left"/>
      <w:pPr>
        <w:ind w:left="5760" w:hanging="360"/>
      </w:pPr>
    </w:lvl>
    <w:lvl w:ilvl="8" w:tplc="3934FEB4">
      <w:start w:val="1"/>
      <w:numFmt w:val="lowerRoman"/>
      <w:lvlText w:val="%9."/>
      <w:lvlJc w:val="right"/>
      <w:pPr>
        <w:ind w:left="6480" w:hanging="180"/>
      </w:pPr>
    </w:lvl>
  </w:abstractNum>
  <w:abstractNum w:abstractNumId="22" w15:restartNumberingAfterBreak="0">
    <w:nsid w:val="3A947099"/>
    <w:multiLevelType w:val="hybridMultilevel"/>
    <w:tmpl w:val="81B2FA14"/>
    <w:lvl w:ilvl="0" w:tplc="C8EE0A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4"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461C3"/>
    <w:multiLevelType w:val="hybridMultilevel"/>
    <w:tmpl w:val="560EAA06"/>
    <w:lvl w:ilvl="0" w:tplc="2CCAC300">
      <w:start w:val="3"/>
      <w:numFmt w:val="bullet"/>
      <w:lvlText w:val=""/>
      <w:lvlJc w:val="left"/>
      <w:pPr>
        <w:ind w:left="720" w:hanging="360"/>
      </w:pPr>
      <w:rPr>
        <w:rFonts w:ascii="Symbol" w:eastAsia="Arial"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3A57B6"/>
    <w:multiLevelType w:val="hybridMultilevel"/>
    <w:tmpl w:val="EF5C642C"/>
    <w:lvl w:ilvl="0" w:tplc="C19C2E9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3D2615"/>
    <w:multiLevelType w:val="hybridMultilevel"/>
    <w:tmpl w:val="6130D896"/>
    <w:lvl w:ilvl="0" w:tplc="90AECE48">
      <w:start w:val="1"/>
      <w:numFmt w:val="bullet"/>
      <w:lvlText w:val="-"/>
      <w:lvlJc w:val="left"/>
      <w:pPr>
        <w:ind w:left="720" w:hanging="360"/>
      </w:pPr>
      <w:rPr>
        <w:rFonts w:ascii="Calibri" w:hAnsi="Calibri" w:hint="default"/>
      </w:rPr>
    </w:lvl>
    <w:lvl w:ilvl="1" w:tplc="51DCEE2E">
      <w:start w:val="1"/>
      <w:numFmt w:val="bullet"/>
      <w:lvlText w:val="o"/>
      <w:lvlJc w:val="left"/>
      <w:pPr>
        <w:ind w:left="1440" w:hanging="360"/>
      </w:pPr>
      <w:rPr>
        <w:rFonts w:ascii="Courier New" w:hAnsi="Courier New" w:hint="default"/>
      </w:rPr>
    </w:lvl>
    <w:lvl w:ilvl="2" w:tplc="2234AF3A">
      <w:start w:val="1"/>
      <w:numFmt w:val="bullet"/>
      <w:lvlText w:val=""/>
      <w:lvlJc w:val="left"/>
      <w:pPr>
        <w:ind w:left="2160" w:hanging="360"/>
      </w:pPr>
      <w:rPr>
        <w:rFonts w:ascii="Wingdings" w:hAnsi="Wingdings" w:hint="default"/>
      </w:rPr>
    </w:lvl>
    <w:lvl w:ilvl="3" w:tplc="B914DEAE">
      <w:start w:val="1"/>
      <w:numFmt w:val="bullet"/>
      <w:lvlText w:val=""/>
      <w:lvlJc w:val="left"/>
      <w:pPr>
        <w:ind w:left="2880" w:hanging="360"/>
      </w:pPr>
      <w:rPr>
        <w:rFonts w:ascii="Symbol" w:hAnsi="Symbol" w:hint="default"/>
      </w:rPr>
    </w:lvl>
    <w:lvl w:ilvl="4" w:tplc="34E49F66">
      <w:start w:val="1"/>
      <w:numFmt w:val="bullet"/>
      <w:lvlText w:val="o"/>
      <w:lvlJc w:val="left"/>
      <w:pPr>
        <w:ind w:left="3600" w:hanging="360"/>
      </w:pPr>
      <w:rPr>
        <w:rFonts w:ascii="Courier New" w:hAnsi="Courier New" w:hint="default"/>
      </w:rPr>
    </w:lvl>
    <w:lvl w:ilvl="5" w:tplc="A128FA82">
      <w:start w:val="1"/>
      <w:numFmt w:val="bullet"/>
      <w:lvlText w:val=""/>
      <w:lvlJc w:val="left"/>
      <w:pPr>
        <w:ind w:left="4320" w:hanging="360"/>
      </w:pPr>
      <w:rPr>
        <w:rFonts w:ascii="Wingdings" w:hAnsi="Wingdings" w:hint="default"/>
      </w:rPr>
    </w:lvl>
    <w:lvl w:ilvl="6" w:tplc="CFB01A6A">
      <w:start w:val="1"/>
      <w:numFmt w:val="bullet"/>
      <w:lvlText w:val=""/>
      <w:lvlJc w:val="left"/>
      <w:pPr>
        <w:ind w:left="5040" w:hanging="360"/>
      </w:pPr>
      <w:rPr>
        <w:rFonts w:ascii="Symbol" w:hAnsi="Symbol" w:hint="default"/>
      </w:rPr>
    </w:lvl>
    <w:lvl w:ilvl="7" w:tplc="C65E9E14">
      <w:start w:val="1"/>
      <w:numFmt w:val="bullet"/>
      <w:lvlText w:val="o"/>
      <w:lvlJc w:val="left"/>
      <w:pPr>
        <w:ind w:left="5760" w:hanging="360"/>
      </w:pPr>
      <w:rPr>
        <w:rFonts w:ascii="Courier New" w:hAnsi="Courier New" w:hint="default"/>
      </w:rPr>
    </w:lvl>
    <w:lvl w:ilvl="8" w:tplc="DCE0097A">
      <w:start w:val="1"/>
      <w:numFmt w:val="bullet"/>
      <w:lvlText w:val=""/>
      <w:lvlJc w:val="left"/>
      <w:pPr>
        <w:ind w:left="6480" w:hanging="360"/>
      </w:pPr>
      <w:rPr>
        <w:rFonts w:ascii="Wingdings" w:hAnsi="Wingdings" w:hint="default"/>
      </w:rPr>
    </w:lvl>
  </w:abstractNum>
  <w:abstractNum w:abstractNumId="28" w15:restartNumberingAfterBreak="0">
    <w:nsid w:val="478928EB"/>
    <w:multiLevelType w:val="hybridMultilevel"/>
    <w:tmpl w:val="14066A4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8843B1D"/>
    <w:multiLevelType w:val="hybridMultilevel"/>
    <w:tmpl w:val="AC805E6E"/>
    <w:lvl w:ilvl="0" w:tplc="312EF8A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F137F1"/>
    <w:multiLevelType w:val="hybridMultilevel"/>
    <w:tmpl w:val="51908416"/>
    <w:lvl w:ilvl="0" w:tplc="84121FCC">
      <w:start w:val="1"/>
      <w:numFmt w:val="bullet"/>
      <w:lvlText w:val="-"/>
      <w:lvlJc w:val="left"/>
      <w:pPr>
        <w:ind w:left="720" w:hanging="360"/>
      </w:pPr>
      <w:rPr>
        <w:rFonts w:ascii="Calibri" w:eastAsia="Arial"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7A7289"/>
    <w:multiLevelType w:val="multilevel"/>
    <w:tmpl w:val="8C2AA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01862"/>
    <w:multiLevelType w:val="hybridMultilevel"/>
    <w:tmpl w:val="D4CC1958"/>
    <w:lvl w:ilvl="0" w:tplc="C4CC5876">
      <w:start w:val="3"/>
      <w:numFmt w:val="decimal"/>
      <w:lvlText w:val="%1."/>
      <w:lvlJc w:val="left"/>
      <w:pPr>
        <w:ind w:left="720" w:hanging="360"/>
      </w:pPr>
    </w:lvl>
    <w:lvl w:ilvl="1" w:tplc="25741704">
      <w:start w:val="1"/>
      <w:numFmt w:val="lowerLetter"/>
      <w:lvlText w:val="%2."/>
      <w:lvlJc w:val="left"/>
      <w:pPr>
        <w:ind w:left="1440" w:hanging="360"/>
      </w:pPr>
    </w:lvl>
    <w:lvl w:ilvl="2" w:tplc="6F185304">
      <w:start w:val="1"/>
      <w:numFmt w:val="lowerRoman"/>
      <w:lvlText w:val="%3."/>
      <w:lvlJc w:val="right"/>
      <w:pPr>
        <w:ind w:left="2160" w:hanging="180"/>
      </w:pPr>
    </w:lvl>
    <w:lvl w:ilvl="3" w:tplc="1AF0C1F2">
      <w:start w:val="1"/>
      <w:numFmt w:val="decimal"/>
      <w:lvlText w:val="%4."/>
      <w:lvlJc w:val="left"/>
      <w:pPr>
        <w:ind w:left="2880" w:hanging="360"/>
      </w:pPr>
    </w:lvl>
    <w:lvl w:ilvl="4" w:tplc="1D1C4436">
      <w:start w:val="1"/>
      <w:numFmt w:val="lowerLetter"/>
      <w:lvlText w:val="%5."/>
      <w:lvlJc w:val="left"/>
      <w:pPr>
        <w:ind w:left="3600" w:hanging="360"/>
      </w:pPr>
    </w:lvl>
    <w:lvl w:ilvl="5" w:tplc="1F86B622">
      <w:start w:val="1"/>
      <w:numFmt w:val="lowerRoman"/>
      <w:lvlText w:val="%6."/>
      <w:lvlJc w:val="right"/>
      <w:pPr>
        <w:ind w:left="4320" w:hanging="180"/>
      </w:pPr>
    </w:lvl>
    <w:lvl w:ilvl="6" w:tplc="D876A356">
      <w:start w:val="1"/>
      <w:numFmt w:val="decimal"/>
      <w:lvlText w:val="%7."/>
      <w:lvlJc w:val="left"/>
      <w:pPr>
        <w:ind w:left="5040" w:hanging="360"/>
      </w:pPr>
    </w:lvl>
    <w:lvl w:ilvl="7" w:tplc="B1BC2CA2">
      <w:start w:val="1"/>
      <w:numFmt w:val="lowerLetter"/>
      <w:lvlText w:val="%8."/>
      <w:lvlJc w:val="left"/>
      <w:pPr>
        <w:ind w:left="5760" w:hanging="360"/>
      </w:pPr>
    </w:lvl>
    <w:lvl w:ilvl="8" w:tplc="8F0C31C0">
      <w:start w:val="1"/>
      <w:numFmt w:val="lowerRoman"/>
      <w:lvlText w:val="%9."/>
      <w:lvlJc w:val="right"/>
      <w:pPr>
        <w:ind w:left="6480" w:hanging="180"/>
      </w:pPr>
    </w:lvl>
  </w:abstractNum>
  <w:abstractNum w:abstractNumId="34"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5C700B"/>
    <w:multiLevelType w:val="hybridMultilevel"/>
    <w:tmpl w:val="5A26F574"/>
    <w:lvl w:ilvl="0" w:tplc="152CA79C">
      <w:start w:val="1"/>
      <w:numFmt w:val="bullet"/>
      <w:lvlText w:val=""/>
      <w:lvlJc w:val="left"/>
      <w:pPr>
        <w:ind w:left="720" w:hanging="360"/>
      </w:pPr>
      <w:rPr>
        <w:rFonts w:ascii="Symbol" w:hAnsi="Symbol" w:hint="default"/>
      </w:rPr>
    </w:lvl>
    <w:lvl w:ilvl="1" w:tplc="984C122E">
      <w:start w:val="1"/>
      <w:numFmt w:val="bullet"/>
      <w:lvlText w:val="o"/>
      <w:lvlJc w:val="left"/>
      <w:pPr>
        <w:ind w:left="1440" w:hanging="360"/>
      </w:pPr>
      <w:rPr>
        <w:rFonts w:ascii="Courier New" w:hAnsi="Courier New" w:hint="default"/>
      </w:rPr>
    </w:lvl>
    <w:lvl w:ilvl="2" w:tplc="AF828DE2">
      <w:start w:val="1"/>
      <w:numFmt w:val="bullet"/>
      <w:lvlText w:val=""/>
      <w:lvlJc w:val="left"/>
      <w:pPr>
        <w:ind w:left="2160" w:hanging="360"/>
      </w:pPr>
      <w:rPr>
        <w:rFonts w:ascii="Wingdings" w:hAnsi="Wingdings" w:hint="default"/>
      </w:rPr>
    </w:lvl>
    <w:lvl w:ilvl="3" w:tplc="A8EAC64E">
      <w:start w:val="1"/>
      <w:numFmt w:val="bullet"/>
      <w:lvlText w:val=""/>
      <w:lvlJc w:val="left"/>
      <w:pPr>
        <w:ind w:left="2880" w:hanging="360"/>
      </w:pPr>
      <w:rPr>
        <w:rFonts w:ascii="Symbol" w:hAnsi="Symbol" w:hint="default"/>
      </w:rPr>
    </w:lvl>
    <w:lvl w:ilvl="4" w:tplc="3BCEBF8A">
      <w:start w:val="1"/>
      <w:numFmt w:val="bullet"/>
      <w:lvlText w:val="o"/>
      <w:lvlJc w:val="left"/>
      <w:pPr>
        <w:ind w:left="3600" w:hanging="360"/>
      </w:pPr>
      <w:rPr>
        <w:rFonts w:ascii="Courier New" w:hAnsi="Courier New" w:hint="default"/>
      </w:rPr>
    </w:lvl>
    <w:lvl w:ilvl="5" w:tplc="A75AD72E">
      <w:start w:val="1"/>
      <w:numFmt w:val="bullet"/>
      <w:lvlText w:val=""/>
      <w:lvlJc w:val="left"/>
      <w:pPr>
        <w:ind w:left="4320" w:hanging="360"/>
      </w:pPr>
      <w:rPr>
        <w:rFonts w:ascii="Wingdings" w:hAnsi="Wingdings" w:hint="default"/>
      </w:rPr>
    </w:lvl>
    <w:lvl w:ilvl="6" w:tplc="9C5E463C">
      <w:start w:val="1"/>
      <w:numFmt w:val="bullet"/>
      <w:lvlText w:val=""/>
      <w:lvlJc w:val="left"/>
      <w:pPr>
        <w:ind w:left="5040" w:hanging="360"/>
      </w:pPr>
      <w:rPr>
        <w:rFonts w:ascii="Symbol" w:hAnsi="Symbol" w:hint="default"/>
      </w:rPr>
    </w:lvl>
    <w:lvl w:ilvl="7" w:tplc="E29C1258">
      <w:start w:val="1"/>
      <w:numFmt w:val="bullet"/>
      <w:lvlText w:val="o"/>
      <w:lvlJc w:val="left"/>
      <w:pPr>
        <w:ind w:left="5760" w:hanging="360"/>
      </w:pPr>
      <w:rPr>
        <w:rFonts w:ascii="Courier New" w:hAnsi="Courier New" w:hint="default"/>
      </w:rPr>
    </w:lvl>
    <w:lvl w:ilvl="8" w:tplc="1FECF03C">
      <w:start w:val="1"/>
      <w:numFmt w:val="bullet"/>
      <w:lvlText w:val=""/>
      <w:lvlJc w:val="left"/>
      <w:pPr>
        <w:ind w:left="6480" w:hanging="360"/>
      </w:pPr>
      <w:rPr>
        <w:rFonts w:ascii="Wingdings" w:hAnsi="Wingdings" w:hint="default"/>
      </w:rPr>
    </w:lvl>
  </w:abstractNum>
  <w:abstractNum w:abstractNumId="40" w15:restartNumberingAfterBreak="0">
    <w:nsid w:val="6D5D50E0"/>
    <w:multiLevelType w:val="hybridMultilevel"/>
    <w:tmpl w:val="ABD46B60"/>
    <w:lvl w:ilvl="0" w:tplc="FFFFFFFF">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976CA27"/>
    <w:multiLevelType w:val="hybridMultilevel"/>
    <w:tmpl w:val="91E43EE8"/>
    <w:lvl w:ilvl="0" w:tplc="94B424AC">
      <w:start w:val="1"/>
      <w:numFmt w:val="bullet"/>
      <w:lvlText w:val="-"/>
      <w:lvlJc w:val="left"/>
      <w:pPr>
        <w:ind w:left="720" w:hanging="360"/>
      </w:pPr>
      <w:rPr>
        <w:rFonts w:ascii="Calibri" w:hAnsi="Calibri" w:hint="default"/>
      </w:rPr>
    </w:lvl>
    <w:lvl w:ilvl="1" w:tplc="3C22669A">
      <w:start w:val="1"/>
      <w:numFmt w:val="bullet"/>
      <w:lvlText w:val="o"/>
      <w:lvlJc w:val="left"/>
      <w:pPr>
        <w:ind w:left="1440" w:hanging="360"/>
      </w:pPr>
      <w:rPr>
        <w:rFonts w:ascii="Courier New" w:hAnsi="Courier New" w:hint="default"/>
      </w:rPr>
    </w:lvl>
    <w:lvl w:ilvl="2" w:tplc="BDD65450">
      <w:start w:val="1"/>
      <w:numFmt w:val="bullet"/>
      <w:lvlText w:val=""/>
      <w:lvlJc w:val="left"/>
      <w:pPr>
        <w:ind w:left="2160" w:hanging="360"/>
      </w:pPr>
      <w:rPr>
        <w:rFonts w:ascii="Wingdings" w:hAnsi="Wingdings" w:hint="default"/>
      </w:rPr>
    </w:lvl>
    <w:lvl w:ilvl="3" w:tplc="179C43EC">
      <w:start w:val="1"/>
      <w:numFmt w:val="bullet"/>
      <w:lvlText w:val=""/>
      <w:lvlJc w:val="left"/>
      <w:pPr>
        <w:ind w:left="2880" w:hanging="360"/>
      </w:pPr>
      <w:rPr>
        <w:rFonts w:ascii="Symbol" w:hAnsi="Symbol" w:hint="default"/>
      </w:rPr>
    </w:lvl>
    <w:lvl w:ilvl="4" w:tplc="35D6C8E4">
      <w:start w:val="1"/>
      <w:numFmt w:val="bullet"/>
      <w:lvlText w:val="o"/>
      <w:lvlJc w:val="left"/>
      <w:pPr>
        <w:ind w:left="3600" w:hanging="360"/>
      </w:pPr>
      <w:rPr>
        <w:rFonts w:ascii="Courier New" w:hAnsi="Courier New" w:hint="default"/>
      </w:rPr>
    </w:lvl>
    <w:lvl w:ilvl="5" w:tplc="55087F0A">
      <w:start w:val="1"/>
      <w:numFmt w:val="bullet"/>
      <w:lvlText w:val=""/>
      <w:lvlJc w:val="left"/>
      <w:pPr>
        <w:ind w:left="4320" w:hanging="360"/>
      </w:pPr>
      <w:rPr>
        <w:rFonts w:ascii="Wingdings" w:hAnsi="Wingdings" w:hint="default"/>
      </w:rPr>
    </w:lvl>
    <w:lvl w:ilvl="6" w:tplc="08A4E998">
      <w:start w:val="1"/>
      <w:numFmt w:val="bullet"/>
      <w:lvlText w:val=""/>
      <w:lvlJc w:val="left"/>
      <w:pPr>
        <w:ind w:left="5040" w:hanging="360"/>
      </w:pPr>
      <w:rPr>
        <w:rFonts w:ascii="Symbol" w:hAnsi="Symbol" w:hint="default"/>
      </w:rPr>
    </w:lvl>
    <w:lvl w:ilvl="7" w:tplc="0FC6648A">
      <w:start w:val="1"/>
      <w:numFmt w:val="bullet"/>
      <w:lvlText w:val="o"/>
      <w:lvlJc w:val="left"/>
      <w:pPr>
        <w:ind w:left="5760" w:hanging="360"/>
      </w:pPr>
      <w:rPr>
        <w:rFonts w:ascii="Courier New" w:hAnsi="Courier New" w:hint="default"/>
      </w:rPr>
    </w:lvl>
    <w:lvl w:ilvl="8" w:tplc="6D90A1BE">
      <w:start w:val="1"/>
      <w:numFmt w:val="bullet"/>
      <w:lvlText w:val=""/>
      <w:lvlJc w:val="left"/>
      <w:pPr>
        <w:ind w:left="6480" w:hanging="360"/>
      </w:pPr>
      <w:rPr>
        <w:rFonts w:ascii="Wingdings" w:hAnsi="Wingdings" w:hint="default"/>
      </w:rPr>
    </w:lvl>
  </w:abstractNum>
  <w:abstractNum w:abstractNumId="43" w15:restartNumberingAfterBreak="0">
    <w:nsid w:val="79882DA6"/>
    <w:multiLevelType w:val="hybridMultilevel"/>
    <w:tmpl w:val="61A456D2"/>
    <w:lvl w:ilvl="0" w:tplc="18E2DD9C">
      <w:start w:val="5"/>
      <w:numFmt w:val="decimal"/>
      <w:lvlText w:val="%1."/>
      <w:lvlJc w:val="left"/>
      <w:pPr>
        <w:ind w:left="720" w:hanging="360"/>
      </w:pPr>
    </w:lvl>
    <w:lvl w:ilvl="1" w:tplc="607E3724">
      <w:start w:val="1"/>
      <w:numFmt w:val="lowerLetter"/>
      <w:lvlText w:val="%2."/>
      <w:lvlJc w:val="left"/>
      <w:pPr>
        <w:ind w:left="1440" w:hanging="360"/>
      </w:pPr>
    </w:lvl>
    <w:lvl w:ilvl="2" w:tplc="B804F39E">
      <w:start w:val="1"/>
      <w:numFmt w:val="lowerRoman"/>
      <w:lvlText w:val="%3."/>
      <w:lvlJc w:val="right"/>
      <w:pPr>
        <w:ind w:left="2160" w:hanging="180"/>
      </w:pPr>
    </w:lvl>
    <w:lvl w:ilvl="3" w:tplc="9CE2F9AE">
      <w:start w:val="1"/>
      <w:numFmt w:val="decimal"/>
      <w:lvlText w:val="%4."/>
      <w:lvlJc w:val="left"/>
      <w:pPr>
        <w:ind w:left="2880" w:hanging="360"/>
      </w:pPr>
    </w:lvl>
    <w:lvl w:ilvl="4" w:tplc="3CBC846C">
      <w:start w:val="1"/>
      <w:numFmt w:val="lowerLetter"/>
      <w:lvlText w:val="%5."/>
      <w:lvlJc w:val="left"/>
      <w:pPr>
        <w:ind w:left="3600" w:hanging="360"/>
      </w:pPr>
    </w:lvl>
    <w:lvl w:ilvl="5" w:tplc="92A43E42">
      <w:start w:val="1"/>
      <w:numFmt w:val="lowerRoman"/>
      <w:lvlText w:val="%6."/>
      <w:lvlJc w:val="right"/>
      <w:pPr>
        <w:ind w:left="4320" w:hanging="180"/>
      </w:pPr>
    </w:lvl>
    <w:lvl w:ilvl="6" w:tplc="D3109E08">
      <w:start w:val="1"/>
      <w:numFmt w:val="decimal"/>
      <w:lvlText w:val="%7."/>
      <w:lvlJc w:val="left"/>
      <w:pPr>
        <w:ind w:left="5040" w:hanging="360"/>
      </w:pPr>
    </w:lvl>
    <w:lvl w:ilvl="7" w:tplc="22D49D86">
      <w:start w:val="1"/>
      <w:numFmt w:val="lowerLetter"/>
      <w:lvlText w:val="%8."/>
      <w:lvlJc w:val="left"/>
      <w:pPr>
        <w:ind w:left="5760" w:hanging="360"/>
      </w:pPr>
    </w:lvl>
    <w:lvl w:ilvl="8" w:tplc="993AB7B4">
      <w:start w:val="1"/>
      <w:numFmt w:val="lowerRoman"/>
      <w:lvlText w:val="%9."/>
      <w:lvlJc w:val="right"/>
      <w:pPr>
        <w:ind w:left="6480" w:hanging="180"/>
      </w:pPr>
    </w:lvl>
  </w:abstractNum>
  <w:num w:numId="1" w16cid:durableId="172694959">
    <w:abstractNumId w:val="39"/>
  </w:num>
  <w:num w:numId="2" w16cid:durableId="1771506563">
    <w:abstractNumId w:val="19"/>
  </w:num>
  <w:num w:numId="3" w16cid:durableId="1333029134">
    <w:abstractNumId w:val="15"/>
  </w:num>
  <w:num w:numId="4" w16cid:durableId="355372">
    <w:abstractNumId w:val="43"/>
  </w:num>
  <w:num w:numId="5" w16cid:durableId="1746299262">
    <w:abstractNumId w:val="21"/>
  </w:num>
  <w:num w:numId="6" w16cid:durableId="438260153">
    <w:abstractNumId w:val="33"/>
  </w:num>
  <w:num w:numId="7" w16cid:durableId="653487405">
    <w:abstractNumId w:val="6"/>
  </w:num>
  <w:num w:numId="8" w16cid:durableId="1538817001">
    <w:abstractNumId w:val="0"/>
  </w:num>
  <w:num w:numId="9" w16cid:durableId="1709986452">
    <w:abstractNumId w:val="11"/>
  </w:num>
  <w:num w:numId="10" w16cid:durableId="2027363470">
    <w:abstractNumId w:val="8"/>
  </w:num>
  <w:num w:numId="11" w16cid:durableId="1623413226">
    <w:abstractNumId w:val="10"/>
  </w:num>
  <w:num w:numId="12" w16cid:durableId="430320248">
    <w:abstractNumId w:val="4"/>
  </w:num>
  <w:num w:numId="13" w16cid:durableId="462500052">
    <w:abstractNumId w:val="42"/>
  </w:num>
  <w:num w:numId="14" w16cid:durableId="1369722661">
    <w:abstractNumId w:val="27"/>
  </w:num>
  <w:num w:numId="15" w16cid:durableId="48841372">
    <w:abstractNumId w:val="23"/>
  </w:num>
  <w:num w:numId="16" w16cid:durableId="985664927">
    <w:abstractNumId w:val="2"/>
  </w:num>
  <w:num w:numId="17" w16cid:durableId="1781997565">
    <w:abstractNumId w:val="13"/>
  </w:num>
  <w:num w:numId="18" w16cid:durableId="1295910230">
    <w:abstractNumId w:val="7"/>
  </w:num>
  <w:num w:numId="19" w16cid:durableId="1940941564">
    <w:abstractNumId w:val="34"/>
  </w:num>
  <w:num w:numId="20" w16cid:durableId="1146123134">
    <w:abstractNumId w:val="36"/>
  </w:num>
  <w:num w:numId="21" w16cid:durableId="1685593679">
    <w:abstractNumId w:val="5"/>
  </w:num>
  <w:num w:numId="22" w16cid:durableId="558396787">
    <w:abstractNumId w:val="35"/>
  </w:num>
  <w:num w:numId="23" w16cid:durableId="1858613533">
    <w:abstractNumId w:val="9"/>
  </w:num>
  <w:num w:numId="24" w16cid:durableId="1020661544">
    <w:abstractNumId w:val="20"/>
  </w:num>
  <w:num w:numId="25" w16cid:durableId="738748933">
    <w:abstractNumId w:val="41"/>
  </w:num>
  <w:num w:numId="26" w16cid:durableId="432171345">
    <w:abstractNumId w:val="24"/>
  </w:num>
  <w:num w:numId="27" w16cid:durableId="2135633386">
    <w:abstractNumId w:val="30"/>
  </w:num>
  <w:num w:numId="28" w16cid:durableId="514997874">
    <w:abstractNumId w:val="14"/>
  </w:num>
  <w:num w:numId="29" w16cid:durableId="1912035463">
    <w:abstractNumId w:val="1"/>
  </w:num>
  <w:num w:numId="30" w16cid:durableId="1989357513">
    <w:abstractNumId w:val="38"/>
  </w:num>
  <w:num w:numId="31" w16cid:durableId="322583194">
    <w:abstractNumId w:val="37"/>
  </w:num>
  <w:num w:numId="32" w16cid:durableId="1414010278">
    <w:abstractNumId w:val="3"/>
  </w:num>
  <w:num w:numId="33" w16cid:durableId="1023869920">
    <w:abstractNumId w:val="17"/>
  </w:num>
  <w:num w:numId="34" w16cid:durableId="1048142981">
    <w:abstractNumId w:val="12"/>
  </w:num>
  <w:num w:numId="35" w16cid:durableId="1718236386">
    <w:abstractNumId w:val="28"/>
  </w:num>
  <w:num w:numId="36" w16cid:durableId="1450708746">
    <w:abstractNumId w:val="18"/>
  </w:num>
  <w:num w:numId="37" w16cid:durableId="1073695555">
    <w:abstractNumId w:val="40"/>
  </w:num>
  <w:num w:numId="38" w16cid:durableId="1355495992">
    <w:abstractNumId w:val="26"/>
  </w:num>
  <w:num w:numId="39" w16cid:durableId="1902056480">
    <w:abstractNumId w:val="29"/>
  </w:num>
  <w:num w:numId="40" w16cid:durableId="1570572205">
    <w:abstractNumId w:val="22"/>
  </w:num>
  <w:num w:numId="41" w16cid:durableId="405154187">
    <w:abstractNumId w:val="16"/>
  </w:num>
  <w:num w:numId="42" w16cid:durableId="1039208247">
    <w:abstractNumId w:val="32"/>
  </w:num>
  <w:num w:numId="43" w16cid:durableId="1256090710">
    <w:abstractNumId w:val="31"/>
  </w:num>
  <w:num w:numId="44" w16cid:durableId="1827168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68"/>
    <w:rsid w:val="00007461"/>
    <w:rsid w:val="000079CC"/>
    <w:rsid w:val="00011A63"/>
    <w:rsid w:val="00025AC1"/>
    <w:rsid w:val="000502AD"/>
    <w:rsid w:val="000823AC"/>
    <w:rsid w:val="000A049E"/>
    <w:rsid w:val="000C09B4"/>
    <w:rsid w:val="000C4457"/>
    <w:rsid w:val="000D40A0"/>
    <w:rsid w:val="000D6DE5"/>
    <w:rsid w:val="000F6A11"/>
    <w:rsid w:val="000F77FD"/>
    <w:rsid w:val="001347FC"/>
    <w:rsid w:val="0015409F"/>
    <w:rsid w:val="00157815"/>
    <w:rsid w:val="0015E0A8"/>
    <w:rsid w:val="001651BC"/>
    <w:rsid w:val="001663A4"/>
    <w:rsid w:val="00166F0B"/>
    <w:rsid w:val="00167DA9"/>
    <w:rsid w:val="001717F2"/>
    <w:rsid w:val="00176076"/>
    <w:rsid w:val="0019225F"/>
    <w:rsid w:val="0019479D"/>
    <w:rsid w:val="001956C7"/>
    <w:rsid w:val="001A3564"/>
    <w:rsid w:val="001A4D75"/>
    <w:rsid w:val="001B721D"/>
    <w:rsid w:val="001E73B2"/>
    <w:rsid w:val="001F3524"/>
    <w:rsid w:val="00224A91"/>
    <w:rsid w:val="00230A0E"/>
    <w:rsid w:val="002315A5"/>
    <w:rsid w:val="00232597"/>
    <w:rsid w:val="00253A8F"/>
    <w:rsid w:val="002547CF"/>
    <w:rsid w:val="0026321D"/>
    <w:rsid w:val="002769C2"/>
    <w:rsid w:val="00287E2C"/>
    <w:rsid w:val="002B0F0C"/>
    <w:rsid w:val="002B7CF5"/>
    <w:rsid w:val="002C10C5"/>
    <w:rsid w:val="002C1526"/>
    <w:rsid w:val="002C4B80"/>
    <w:rsid w:val="002D6FB9"/>
    <w:rsid w:val="002E990E"/>
    <w:rsid w:val="002F0B99"/>
    <w:rsid w:val="002F7E65"/>
    <w:rsid w:val="00303DAB"/>
    <w:rsid w:val="0032175A"/>
    <w:rsid w:val="0032230B"/>
    <w:rsid w:val="00322DEA"/>
    <w:rsid w:val="0032777F"/>
    <w:rsid w:val="00346615"/>
    <w:rsid w:val="00354CB5"/>
    <w:rsid w:val="00357B0E"/>
    <w:rsid w:val="00363EC5"/>
    <w:rsid w:val="00366AD1"/>
    <w:rsid w:val="0037523B"/>
    <w:rsid w:val="00394055"/>
    <w:rsid w:val="003B037A"/>
    <w:rsid w:val="003B422F"/>
    <w:rsid w:val="003C747D"/>
    <w:rsid w:val="003D653B"/>
    <w:rsid w:val="004004FC"/>
    <w:rsid w:val="0040350C"/>
    <w:rsid w:val="00417008"/>
    <w:rsid w:val="00422348"/>
    <w:rsid w:val="004234BC"/>
    <w:rsid w:val="00424E4F"/>
    <w:rsid w:val="004250E4"/>
    <w:rsid w:val="00436432"/>
    <w:rsid w:val="00461D62"/>
    <w:rsid w:val="004A7408"/>
    <w:rsid w:val="004B3911"/>
    <w:rsid w:val="004C595C"/>
    <w:rsid w:val="004D3DBE"/>
    <w:rsid w:val="004F538D"/>
    <w:rsid w:val="00513496"/>
    <w:rsid w:val="00516AC8"/>
    <w:rsid w:val="00517955"/>
    <w:rsid w:val="00530FDE"/>
    <w:rsid w:val="005474ED"/>
    <w:rsid w:val="005A7B65"/>
    <w:rsid w:val="005C6168"/>
    <w:rsid w:val="005D7D4B"/>
    <w:rsid w:val="005E0C05"/>
    <w:rsid w:val="005F2E08"/>
    <w:rsid w:val="005F6261"/>
    <w:rsid w:val="005F6BA3"/>
    <w:rsid w:val="00612159"/>
    <w:rsid w:val="00635929"/>
    <w:rsid w:val="0064746F"/>
    <w:rsid w:val="00662E9A"/>
    <w:rsid w:val="006656D1"/>
    <w:rsid w:val="00672319"/>
    <w:rsid w:val="00673710"/>
    <w:rsid w:val="00674B1A"/>
    <w:rsid w:val="006900FE"/>
    <w:rsid w:val="006E38DD"/>
    <w:rsid w:val="00700521"/>
    <w:rsid w:val="007025AC"/>
    <w:rsid w:val="00711828"/>
    <w:rsid w:val="00760E32"/>
    <w:rsid w:val="00764E41"/>
    <w:rsid w:val="00771515"/>
    <w:rsid w:val="00776056"/>
    <w:rsid w:val="00783F1B"/>
    <w:rsid w:val="00790C12"/>
    <w:rsid w:val="00795518"/>
    <w:rsid w:val="007A7773"/>
    <w:rsid w:val="007C1B15"/>
    <w:rsid w:val="007D1DB4"/>
    <w:rsid w:val="007D27A6"/>
    <w:rsid w:val="007E1663"/>
    <w:rsid w:val="008018C5"/>
    <w:rsid w:val="00813F1E"/>
    <w:rsid w:val="0081403B"/>
    <w:rsid w:val="0081518E"/>
    <w:rsid w:val="00817A1E"/>
    <w:rsid w:val="00823EF9"/>
    <w:rsid w:val="00837C4B"/>
    <w:rsid w:val="00842737"/>
    <w:rsid w:val="00843006"/>
    <w:rsid w:val="008440D9"/>
    <w:rsid w:val="00845340"/>
    <w:rsid w:val="008613FA"/>
    <w:rsid w:val="00867AAC"/>
    <w:rsid w:val="00882ECA"/>
    <w:rsid w:val="008B06DD"/>
    <w:rsid w:val="008B1AD8"/>
    <w:rsid w:val="008D4556"/>
    <w:rsid w:val="008D791F"/>
    <w:rsid w:val="008F0A97"/>
    <w:rsid w:val="008F2081"/>
    <w:rsid w:val="00920DBC"/>
    <w:rsid w:val="00930541"/>
    <w:rsid w:val="009353D7"/>
    <w:rsid w:val="00942B3B"/>
    <w:rsid w:val="009516AD"/>
    <w:rsid w:val="00962460"/>
    <w:rsid w:val="0097197E"/>
    <w:rsid w:val="00975566"/>
    <w:rsid w:val="00979F66"/>
    <w:rsid w:val="00990CED"/>
    <w:rsid w:val="009B76A1"/>
    <w:rsid w:val="009E147A"/>
    <w:rsid w:val="009E7526"/>
    <w:rsid w:val="009F21FD"/>
    <w:rsid w:val="009F2640"/>
    <w:rsid w:val="009F7CDD"/>
    <w:rsid w:val="00A0001A"/>
    <w:rsid w:val="00A06F2B"/>
    <w:rsid w:val="00A1786A"/>
    <w:rsid w:val="00A210CD"/>
    <w:rsid w:val="00A236F9"/>
    <w:rsid w:val="00A30EBB"/>
    <w:rsid w:val="00A40130"/>
    <w:rsid w:val="00A44F24"/>
    <w:rsid w:val="00A45528"/>
    <w:rsid w:val="00A57912"/>
    <w:rsid w:val="00A647B3"/>
    <w:rsid w:val="00A65A21"/>
    <w:rsid w:val="00A731AE"/>
    <w:rsid w:val="00A74149"/>
    <w:rsid w:val="00A85E34"/>
    <w:rsid w:val="00A90B42"/>
    <w:rsid w:val="00A92BFD"/>
    <w:rsid w:val="00AA49D2"/>
    <w:rsid w:val="00AD2708"/>
    <w:rsid w:val="00ADF8D4"/>
    <w:rsid w:val="00AE5DC4"/>
    <w:rsid w:val="00B00E5C"/>
    <w:rsid w:val="00B053BE"/>
    <w:rsid w:val="00B05D44"/>
    <w:rsid w:val="00B2050D"/>
    <w:rsid w:val="00B23234"/>
    <w:rsid w:val="00B25B8C"/>
    <w:rsid w:val="00B32ADA"/>
    <w:rsid w:val="00B4476C"/>
    <w:rsid w:val="00B44BAC"/>
    <w:rsid w:val="00B64ACA"/>
    <w:rsid w:val="00B74E23"/>
    <w:rsid w:val="00B7570E"/>
    <w:rsid w:val="00B8575E"/>
    <w:rsid w:val="00BC38E0"/>
    <w:rsid w:val="00BE2925"/>
    <w:rsid w:val="00C312B2"/>
    <w:rsid w:val="00C66DE1"/>
    <w:rsid w:val="00C804B4"/>
    <w:rsid w:val="00C871B1"/>
    <w:rsid w:val="00C97E31"/>
    <w:rsid w:val="00CB35A2"/>
    <w:rsid w:val="00CB647D"/>
    <w:rsid w:val="00CD4B54"/>
    <w:rsid w:val="00CE4F7C"/>
    <w:rsid w:val="00CF1560"/>
    <w:rsid w:val="00D30BE3"/>
    <w:rsid w:val="00D3321E"/>
    <w:rsid w:val="00D47229"/>
    <w:rsid w:val="00D80A4F"/>
    <w:rsid w:val="00D9192E"/>
    <w:rsid w:val="00D93317"/>
    <w:rsid w:val="00D945B5"/>
    <w:rsid w:val="00D94A33"/>
    <w:rsid w:val="00D94F84"/>
    <w:rsid w:val="00DA5DD8"/>
    <w:rsid w:val="00DAA1CA"/>
    <w:rsid w:val="00DB7FD5"/>
    <w:rsid w:val="00DC4D86"/>
    <w:rsid w:val="00DC67C5"/>
    <w:rsid w:val="00DC7354"/>
    <w:rsid w:val="00DD4368"/>
    <w:rsid w:val="00DE6D23"/>
    <w:rsid w:val="00DF0357"/>
    <w:rsid w:val="00DF0C24"/>
    <w:rsid w:val="00E06A4E"/>
    <w:rsid w:val="00E1547F"/>
    <w:rsid w:val="00E22189"/>
    <w:rsid w:val="00E271D0"/>
    <w:rsid w:val="00E32ACA"/>
    <w:rsid w:val="00E37E7A"/>
    <w:rsid w:val="00E445F1"/>
    <w:rsid w:val="00E53E6F"/>
    <w:rsid w:val="00E5685A"/>
    <w:rsid w:val="00E770DC"/>
    <w:rsid w:val="00EA7740"/>
    <w:rsid w:val="00EB78B9"/>
    <w:rsid w:val="00EC2BDE"/>
    <w:rsid w:val="00EC7BBC"/>
    <w:rsid w:val="00EE0911"/>
    <w:rsid w:val="00EE1D60"/>
    <w:rsid w:val="00F01FDE"/>
    <w:rsid w:val="00F16195"/>
    <w:rsid w:val="00F2046F"/>
    <w:rsid w:val="00F225B6"/>
    <w:rsid w:val="00F31949"/>
    <w:rsid w:val="00F33566"/>
    <w:rsid w:val="00F37FA7"/>
    <w:rsid w:val="00F812EE"/>
    <w:rsid w:val="00F826EC"/>
    <w:rsid w:val="00F84FD4"/>
    <w:rsid w:val="00FB2C4C"/>
    <w:rsid w:val="00FB3DB2"/>
    <w:rsid w:val="00FE3711"/>
    <w:rsid w:val="00FF5BC4"/>
    <w:rsid w:val="0106B2EB"/>
    <w:rsid w:val="011686E6"/>
    <w:rsid w:val="011E38D2"/>
    <w:rsid w:val="0136E8F1"/>
    <w:rsid w:val="016A278E"/>
    <w:rsid w:val="01910203"/>
    <w:rsid w:val="01B771AB"/>
    <w:rsid w:val="01C6FEFF"/>
    <w:rsid w:val="01E8E423"/>
    <w:rsid w:val="01EA2A4C"/>
    <w:rsid w:val="01F94DAC"/>
    <w:rsid w:val="02336FC7"/>
    <w:rsid w:val="023B7105"/>
    <w:rsid w:val="02540384"/>
    <w:rsid w:val="025B3871"/>
    <w:rsid w:val="02754BD6"/>
    <w:rsid w:val="029C8002"/>
    <w:rsid w:val="02B4B6CA"/>
    <w:rsid w:val="02C36E9F"/>
    <w:rsid w:val="02D81662"/>
    <w:rsid w:val="02E823D3"/>
    <w:rsid w:val="0318BD10"/>
    <w:rsid w:val="032A138F"/>
    <w:rsid w:val="033E86A8"/>
    <w:rsid w:val="03663EA3"/>
    <w:rsid w:val="03844FAD"/>
    <w:rsid w:val="03BC256A"/>
    <w:rsid w:val="03C998DB"/>
    <w:rsid w:val="03CC2A50"/>
    <w:rsid w:val="03CCBC83"/>
    <w:rsid w:val="03DA5F29"/>
    <w:rsid w:val="03E883AA"/>
    <w:rsid w:val="03F15DAA"/>
    <w:rsid w:val="03F3B851"/>
    <w:rsid w:val="03F6C65B"/>
    <w:rsid w:val="04140316"/>
    <w:rsid w:val="0450DF35"/>
    <w:rsid w:val="045B14E5"/>
    <w:rsid w:val="047EEFA9"/>
    <w:rsid w:val="04B8B08A"/>
    <w:rsid w:val="04F88A96"/>
    <w:rsid w:val="05002C0E"/>
    <w:rsid w:val="052FECE4"/>
    <w:rsid w:val="053ECD6E"/>
    <w:rsid w:val="0545A171"/>
    <w:rsid w:val="0556B46D"/>
    <w:rsid w:val="056B1089"/>
    <w:rsid w:val="0573DFCB"/>
    <w:rsid w:val="0584540B"/>
    <w:rsid w:val="058CFA5A"/>
    <w:rsid w:val="05B20525"/>
    <w:rsid w:val="05B75BD2"/>
    <w:rsid w:val="05D08CE7"/>
    <w:rsid w:val="05DEF11F"/>
    <w:rsid w:val="05F26CE6"/>
    <w:rsid w:val="067B7F90"/>
    <w:rsid w:val="06A4A732"/>
    <w:rsid w:val="06ACD11E"/>
    <w:rsid w:val="06ACDCF4"/>
    <w:rsid w:val="06D17994"/>
    <w:rsid w:val="0727140F"/>
    <w:rsid w:val="076EE430"/>
    <w:rsid w:val="0774E666"/>
    <w:rsid w:val="0779C293"/>
    <w:rsid w:val="077A40B9"/>
    <w:rsid w:val="07839D0A"/>
    <w:rsid w:val="07E68504"/>
    <w:rsid w:val="07F0514C"/>
    <w:rsid w:val="081894A5"/>
    <w:rsid w:val="082B96DE"/>
    <w:rsid w:val="082C4573"/>
    <w:rsid w:val="08508F05"/>
    <w:rsid w:val="08902F1D"/>
    <w:rsid w:val="08A2B14B"/>
    <w:rsid w:val="08A3216C"/>
    <w:rsid w:val="08C3D5F7"/>
    <w:rsid w:val="08CB245E"/>
    <w:rsid w:val="090B3F97"/>
    <w:rsid w:val="091E5A8A"/>
    <w:rsid w:val="09618B81"/>
    <w:rsid w:val="0961EDA5"/>
    <w:rsid w:val="0965FD62"/>
    <w:rsid w:val="0974794A"/>
    <w:rsid w:val="09AFAB64"/>
    <w:rsid w:val="09D6E225"/>
    <w:rsid w:val="09E59CF0"/>
    <w:rsid w:val="09EBC3FC"/>
    <w:rsid w:val="09EC5F66"/>
    <w:rsid w:val="0A04152A"/>
    <w:rsid w:val="0A310620"/>
    <w:rsid w:val="0A737FEA"/>
    <w:rsid w:val="0AB8E696"/>
    <w:rsid w:val="0ABB3DCC"/>
    <w:rsid w:val="0AD2C3DD"/>
    <w:rsid w:val="0ADE5E52"/>
    <w:rsid w:val="0B10185C"/>
    <w:rsid w:val="0B27107D"/>
    <w:rsid w:val="0B27F20E"/>
    <w:rsid w:val="0B2BAA36"/>
    <w:rsid w:val="0B2FD7D8"/>
    <w:rsid w:val="0B3B8EE4"/>
    <w:rsid w:val="0B490035"/>
    <w:rsid w:val="0B7D207C"/>
    <w:rsid w:val="0B84CB30"/>
    <w:rsid w:val="0BB4EFE0"/>
    <w:rsid w:val="0BC9F8BE"/>
    <w:rsid w:val="0BCA4F85"/>
    <w:rsid w:val="0BF9F63A"/>
    <w:rsid w:val="0C0A3540"/>
    <w:rsid w:val="0C1CC67F"/>
    <w:rsid w:val="0C48F033"/>
    <w:rsid w:val="0C570E2D"/>
    <w:rsid w:val="0C652EA7"/>
    <w:rsid w:val="0C811D08"/>
    <w:rsid w:val="0CE74C26"/>
    <w:rsid w:val="0CF75E5F"/>
    <w:rsid w:val="0CFFB696"/>
    <w:rsid w:val="0D204706"/>
    <w:rsid w:val="0D20B1FF"/>
    <w:rsid w:val="0D4F81F4"/>
    <w:rsid w:val="0D50523B"/>
    <w:rsid w:val="0D8C7C2B"/>
    <w:rsid w:val="0D8FBFF0"/>
    <w:rsid w:val="0DFE09E6"/>
    <w:rsid w:val="0E043359"/>
    <w:rsid w:val="0E08341C"/>
    <w:rsid w:val="0E4B91A3"/>
    <w:rsid w:val="0E67789A"/>
    <w:rsid w:val="0E7B88C4"/>
    <w:rsid w:val="0E8B0A0D"/>
    <w:rsid w:val="0E96703D"/>
    <w:rsid w:val="0EAB9C80"/>
    <w:rsid w:val="0EF7D37F"/>
    <w:rsid w:val="0F235C28"/>
    <w:rsid w:val="0F4451E7"/>
    <w:rsid w:val="0F5536C7"/>
    <w:rsid w:val="0F6CDCFF"/>
    <w:rsid w:val="0F966CF5"/>
    <w:rsid w:val="0FBD7263"/>
    <w:rsid w:val="0FD9041D"/>
    <w:rsid w:val="0FE0AECA"/>
    <w:rsid w:val="0FF11AED"/>
    <w:rsid w:val="100BB828"/>
    <w:rsid w:val="100E03F7"/>
    <w:rsid w:val="100F84A3"/>
    <w:rsid w:val="1026DA6E"/>
    <w:rsid w:val="1046A3A8"/>
    <w:rsid w:val="1052EC92"/>
    <w:rsid w:val="108206A4"/>
    <w:rsid w:val="10A29017"/>
    <w:rsid w:val="10A5BEF9"/>
    <w:rsid w:val="10CC6B51"/>
    <w:rsid w:val="10DF98CB"/>
    <w:rsid w:val="1117C28E"/>
    <w:rsid w:val="111A893E"/>
    <w:rsid w:val="112C3CC9"/>
    <w:rsid w:val="113FD4DE"/>
    <w:rsid w:val="116ADA22"/>
    <w:rsid w:val="119F195C"/>
    <w:rsid w:val="11AB5FCE"/>
    <w:rsid w:val="11B1CBE3"/>
    <w:rsid w:val="11D502F6"/>
    <w:rsid w:val="11D7F3D2"/>
    <w:rsid w:val="11F23DD0"/>
    <w:rsid w:val="12034508"/>
    <w:rsid w:val="1206A851"/>
    <w:rsid w:val="1211E944"/>
    <w:rsid w:val="12BEDDB2"/>
    <w:rsid w:val="12C6D032"/>
    <w:rsid w:val="1300A6B1"/>
    <w:rsid w:val="131006D1"/>
    <w:rsid w:val="13124936"/>
    <w:rsid w:val="132A35E5"/>
    <w:rsid w:val="132A734E"/>
    <w:rsid w:val="132D2248"/>
    <w:rsid w:val="13457306"/>
    <w:rsid w:val="136B6F89"/>
    <w:rsid w:val="13ACD44A"/>
    <w:rsid w:val="13B42E5B"/>
    <w:rsid w:val="13CD5CD8"/>
    <w:rsid w:val="13CFC61F"/>
    <w:rsid w:val="13E94C34"/>
    <w:rsid w:val="141773D4"/>
    <w:rsid w:val="141FD7AC"/>
    <w:rsid w:val="14725439"/>
    <w:rsid w:val="147775A0"/>
    <w:rsid w:val="14846C08"/>
    <w:rsid w:val="14857D42"/>
    <w:rsid w:val="1488745A"/>
    <w:rsid w:val="148FF992"/>
    <w:rsid w:val="1495FB95"/>
    <w:rsid w:val="14D521A1"/>
    <w:rsid w:val="14E12334"/>
    <w:rsid w:val="14EE0D93"/>
    <w:rsid w:val="14F36BF1"/>
    <w:rsid w:val="14FD45C4"/>
    <w:rsid w:val="15057837"/>
    <w:rsid w:val="152F120D"/>
    <w:rsid w:val="155B4674"/>
    <w:rsid w:val="1560A27F"/>
    <w:rsid w:val="1576013A"/>
    <w:rsid w:val="1590AD83"/>
    <w:rsid w:val="159638F1"/>
    <w:rsid w:val="15A258FF"/>
    <w:rsid w:val="15B23384"/>
    <w:rsid w:val="15CC3B53"/>
    <w:rsid w:val="15D78C8F"/>
    <w:rsid w:val="15E01A01"/>
    <w:rsid w:val="15F23214"/>
    <w:rsid w:val="15F23D39"/>
    <w:rsid w:val="15F2C891"/>
    <w:rsid w:val="1606AB73"/>
    <w:rsid w:val="16196EF0"/>
    <w:rsid w:val="1621ACCE"/>
    <w:rsid w:val="162AC42C"/>
    <w:rsid w:val="1644D3A7"/>
    <w:rsid w:val="164C0405"/>
    <w:rsid w:val="1656279C"/>
    <w:rsid w:val="166B8DCC"/>
    <w:rsid w:val="166D2265"/>
    <w:rsid w:val="16A1AB60"/>
    <w:rsid w:val="16B78506"/>
    <w:rsid w:val="16EBCF1D"/>
    <w:rsid w:val="16FC4A8C"/>
    <w:rsid w:val="1719C4B6"/>
    <w:rsid w:val="1720DDB6"/>
    <w:rsid w:val="1737F284"/>
    <w:rsid w:val="17462F2F"/>
    <w:rsid w:val="176829CD"/>
    <w:rsid w:val="176FDBC1"/>
    <w:rsid w:val="179A2EF0"/>
    <w:rsid w:val="179EB889"/>
    <w:rsid w:val="17CF35BA"/>
    <w:rsid w:val="17E35965"/>
    <w:rsid w:val="17E4848C"/>
    <w:rsid w:val="180D6BF5"/>
    <w:rsid w:val="181563A5"/>
    <w:rsid w:val="182D4274"/>
    <w:rsid w:val="1830FACC"/>
    <w:rsid w:val="1836D153"/>
    <w:rsid w:val="183A4132"/>
    <w:rsid w:val="187A4A8B"/>
    <w:rsid w:val="1891EF76"/>
    <w:rsid w:val="18A4B186"/>
    <w:rsid w:val="18CA539B"/>
    <w:rsid w:val="18F27EC4"/>
    <w:rsid w:val="1921160D"/>
    <w:rsid w:val="19305E99"/>
    <w:rsid w:val="196045A1"/>
    <w:rsid w:val="1964C894"/>
    <w:rsid w:val="19729303"/>
    <w:rsid w:val="1975EC07"/>
    <w:rsid w:val="1982F5C4"/>
    <w:rsid w:val="199059D3"/>
    <w:rsid w:val="19A46132"/>
    <w:rsid w:val="19AA2B41"/>
    <w:rsid w:val="19DA6B85"/>
    <w:rsid w:val="1A1E59A8"/>
    <w:rsid w:val="1A2C22C6"/>
    <w:rsid w:val="1A35CEBD"/>
    <w:rsid w:val="1A50648D"/>
    <w:rsid w:val="1A5427A9"/>
    <w:rsid w:val="1A6DC3F5"/>
    <w:rsid w:val="1A8096EA"/>
    <w:rsid w:val="1A84192F"/>
    <w:rsid w:val="1AB0ABAC"/>
    <w:rsid w:val="1AC9EF97"/>
    <w:rsid w:val="1AE4F3F9"/>
    <w:rsid w:val="1AF48EA3"/>
    <w:rsid w:val="1B11BC68"/>
    <w:rsid w:val="1B170643"/>
    <w:rsid w:val="1B201109"/>
    <w:rsid w:val="1B25E765"/>
    <w:rsid w:val="1B538C9B"/>
    <w:rsid w:val="1B5745FF"/>
    <w:rsid w:val="1B7634A8"/>
    <w:rsid w:val="1B7B322B"/>
    <w:rsid w:val="1B7CBC65"/>
    <w:rsid w:val="1B81911A"/>
    <w:rsid w:val="1B83DA42"/>
    <w:rsid w:val="1B8F5D05"/>
    <w:rsid w:val="1B8F66BD"/>
    <w:rsid w:val="1B96B066"/>
    <w:rsid w:val="1BA3135C"/>
    <w:rsid w:val="1BB7DE03"/>
    <w:rsid w:val="1BCEFFD3"/>
    <w:rsid w:val="1C113097"/>
    <w:rsid w:val="1C26AA9F"/>
    <w:rsid w:val="1C27C66F"/>
    <w:rsid w:val="1C367AF4"/>
    <w:rsid w:val="1C583532"/>
    <w:rsid w:val="1C5E4FD9"/>
    <w:rsid w:val="1C65BFF8"/>
    <w:rsid w:val="1CA4614F"/>
    <w:rsid w:val="1CB6CA88"/>
    <w:rsid w:val="1CD18581"/>
    <w:rsid w:val="1CF66CC7"/>
    <w:rsid w:val="1D535D1D"/>
    <w:rsid w:val="1D67F0A3"/>
    <w:rsid w:val="1D6A59F8"/>
    <w:rsid w:val="1E081454"/>
    <w:rsid w:val="1E0B9988"/>
    <w:rsid w:val="1E819290"/>
    <w:rsid w:val="1E8A7052"/>
    <w:rsid w:val="1E8C9782"/>
    <w:rsid w:val="1EA93ED3"/>
    <w:rsid w:val="1EAF4ABA"/>
    <w:rsid w:val="1EC2AB13"/>
    <w:rsid w:val="1ECFF109"/>
    <w:rsid w:val="1EFEC39E"/>
    <w:rsid w:val="1F055558"/>
    <w:rsid w:val="1F518AA3"/>
    <w:rsid w:val="1F618E36"/>
    <w:rsid w:val="1F8859CD"/>
    <w:rsid w:val="1F97EAE1"/>
    <w:rsid w:val="1F99145A"/>
    <w:rsid w:val="1F9CF828"/>
    <w:rsid w:val="1FB516DD"/>
    <w:rsid w:val="1FC9B746"/>
    <w:rsid w:val="1FEF9671"/>
    <w:rsid w:val="20088F82"/>
    <w:rsid w:val="20377AC6"/>
    <w:rsid w:val="20715442"/>
    <w:rsid w:val="20AF2F0E"/>
    <w:rsid w:val="20E50BA6"/>
    <w:rsid w:val="21110523"/>
    <w:rsid w:val="211D9BA3"/>
    <w:rsid w:val="213FB516"/>
    <w:rsid w:val="21401EB2"/>
    <w:rsid w:val="214031F9"/>
    <w:rsid w:val="21995529"/>
    <w:rsid w:val="21E7AA91"/>
    <w:rsid w:val="2200E232"/>
    <w:rsid w:val="220149B6"/>
    <w:rsid w:val="220DF1C5"/>
    <w:rsid w:val="2211E24E"/>
    <w:rsid w:val="221B3DB0"/>
    <w:rsid w:val="228A4E76"/>
    <w:rsid w:val="228DF5EF"/>
    <w:rsid w:val="228FD7BC"/>
    <w:rsid w:val="229E28A4"/>
    <w:rsid w:val="22ACD584"/>
    <w:rsid w:val="22D72620"/>
    <w:rsid w:val="22ED6D65"/>
    <w:rsid w:val="22FACC72"/>
    <w:rsid w:val="23013FBF"/>
    <w:rsid w:val="230AF7B3"/>
    <w:rsid w:val="234372DB"/>
    <w:rsid w:val="2353A095"/>
    <w:rsid w:val="23564F45"/>
    <w:rsid w:val="23B80CBD"/>
    <w:rsid w:val="23B8661B"/>
    <w:rsid w:val="23BE74BB"/>
    <w:rsid w:val="23CB580E"/>
    <w:rsid w:val="23D6CF38"/>
    <w:rsid w:val="23DBF29E"/>
    <w:rsid w:val="23F07A80"/>
    <w:rsid w:val="23F617C8"/>
    <w:rsid w:val="2405162D"/>
    <w:rsid w:val="243B15A9"/>
    <w:rsid w:val="243D9DAD"/>
    <w:rsid w:val="2482BDAB"/>
    <w:rsid w:val="24A52347"/>
    <w:rsid w:val="24BD33BE"/>
    <w:rsid w:val="24BEFF8F"/>
    <w:rsid w:val="24C6DEFE"/>
    <w:rsid w:val="24D7BA64"/>
    <w:rsid w:val="24F042F2"/>
    <w:rsid w:val="24F746FE"/>
    <w:rsid w:val="2519664A"/>
    <w:rsid w:val="25223245"/>
    <w:rsid w:val="2535F1A3"/>
    <w:rsid w:val="2544D8E0"/>
    <w:rsid w:val="255346F5"/>
    <w:rsid w:val="255C921A"/>
    <w:rsid w:val="25769ACD"/>
    <w:rsid w:val="25785426"/>
    <w:rsid w:val="25891A68"/>
    <w:rsid w:val="25A9E7ED"/>
    <w:rsid w:val="25B87CC9"/>
    <w:rsid w:val="25BF92B4"/>
    <w:rsid w:val="25C7787E"/>
    <w:rsid w:val="25EE3271"/>
    <w:rsid w:val="25F32ED8"/>
    <w:rsid w:val="261D7318"/>
    <w:rsid w:val="2664E939"/>
    <w:rsid w:val="2671F2B3"/>
    <w:rsid w:val="2685FEC5"/>
    <w:rsid w:val="268E8512"/>
    <w:rsid w:val="269D2AAB"/>
    <w:rsid w:val="26A2637F"/>
    <w:rsid w:val="26AC3FBC"/>
    <w:rsid w:val="26BAC183"/>
    <w:rsid w:val="26D6065F"/>
    <w:rsid w:val="27020C54"/>
    <w:rsid w:val="270B815A"/>
    <w:rsid w:val="272E61A0"/>
    <w:rsid w:val="2734253E"/>
    <w:rsid w:val="273D5DE3"/>
    <w:rsid w:val="274D063A"/>
    <w:rsid w:val="2759D0CE"/>
    <w:rsid w:val="2780B077"/>
    <w:rsid w:val="2793F1DC"/>
    <w:rsid w:val="2833F179"/>
    <w:rsid w:val="2846EBC5"/>
    <w:rsid w:val="285F6035"/>
    <w:rsid w:val="28619ABF"/>
    <w:rsid w:val="28627C9A"/>
    <w:rsid w:val="2871D632"/>
    <w:rsid w:val="2878451A"/>
    <w:rsid w:val="288A8C59"/>
    <w:rsid w:val="28A13E27"/>
    <w:rsid w:val="28B05FC8"/>
    <w:rsid w:val="28B32DF7"/>
    <w:rsid w:val="28CEB1C7"/>
    <w:rsid w:val="28E24F57"/>
    <w:rsid w:val="28E7E15C"/>
    <w:rsid w:val="28F01D8B"/>
    <w:rsid w:val="28FBDEBA"/>
    <w:rsid w:val="28FF1940"/>
    <w:rsid w:val="28FFFE77"/>
    <w:rsid w:val="2918419D"/>
    <w:rsid w:val="291B1ED6"/>
    <w:rsid w:val="291B7BC0"/>
    <w:rsid w:val="296E32B2"/>
    <w:rsid w:val="298460D9"/>
    <w:rsid w:val="29B51BE8"/>
    <w:rsid w:val="29F5FC4D"/>
    <w:rsid w:val="2A04078C"/>
    <w:rsid w:val="2A1EDD96"/>
    <w:rsid w:val="2A238089"/>
    <w:rsid w:val="2A3E89EE"/>
    <w:rsid w:val="2A4E9656"/>
    <w:rsid w:val="2A52AF2B"/>
    <w:rsid w:val="2A64D268"/>
    <w:rsid w:val="2A64FB5E"/>
    <w:rsid w:val="2A77F625"/>
    <w:rsid w:val="2A7B7175"/>
    <w:rsid w:val="2AAA8BFB"/>
    <w:rsid w:val="2B18651D"/>
    <w:rsid w:val="2B2D988A"/>
    <w:rsid w:val="2B2FCDB8"/>
    <w:rsid w:val="2B3A30BD"/>
    <w:rsid w:val="2B539683"/>
    <w:rsid w:val="2B668882"/>
    <w:rsid w:val="2B668F34"/>
    <w:rsid w:val="2B6E7608"/>
    <w:rsid w:val="2B781D45"/>
    <w:rsid w:val="2B795733"/>
    <w:rsid w:val="2BB20FFC"/>
    <w:rsid w:val="2BC22D1B"/>
    <w:rsid w:val="2BEA2BB1"/>
    <w:rsid w:val="2BFAC89E"/>
    <w:rsid w:val="2C00CAC6"/>
    <w:rsid w:val="2C0BB887"/>
    <w:rsid w:val="2C112953"/>
    <w:rsid w:val="2C45ABDF"/>
    <w:rsid w:val="2C489DE5"/>
    <w:rsid w:val="2C782443"/>
    <w:rsid w:val="2C7E14C6"/>
    <w:rsid w:val="2C90B8CF"/>
    <w:rsid w:val="2CCB9E19"/>
    <w:rsid w:val="2CFFDD53"/>
    <w:rsid w:val="2D0A4669"/>
    <w:rsid w:val="2D1AEA70"/>
    <w:rsid w:val="2D3BA84E"/>
    <w:rsid w:val="2D7E6CDD"/>
    <w:rsid w:val="2DB4CA2D"/>
    <w:rsid w:val="2DBF9732"/>
    <w:rsid w:val="2E0D0EF3"/>
    <w:rsid w:val="2E19E527"/>
    <w:rsid w:val="2E22B1DF"/>
    <w:rsid w:val="2E270431"/>
    <w:rsid w:val="2E3CCEA3"/>
    <w:rsid w:val="2E60F78D"/>
    <w:rsid w:val="2E6BC9C1"/>
    <w:rsid w:val="2E787A3F"/>
    <w:rsid w:val="2E87E6FA"/>
    <w:rsid w:val="2EA52543"/>
    <w:rsid w:val="2EB9F4D1"/>
    <w:rsid w:val="2ECFF1E9"/>
    <w:rsid w:val="2ED12D7F"/>
    <w:rsid w:val="2EEAD3AF"/>
    <w:rsid w:val="2EF34137"/>
    <w:rsid w:val="2EF4BE18"/>
    <w:rsid w:val="2F3E2A2B"/>
    <w:rsid w:val="2F60CBF0"/>
    <w:rsid w:val="2F85F3E1"/>
    <w:rsid w:val="2F957A66"/>
    <w:rsid w:val="2FB36973"/>
    <w:rsid w:val="30062E72"/>
    <w:rsid w:val="306D590A"/>
    <w:rsid w:val="30A74777"/>
    <w:rsid w:val="30BC13CD"/>
    <w:rsid w:val="30C34490"/>
    <w:rsid w:val="30D26663"/>
    <w:rsid w:val="30F1EEB6"/>
    <w:rsid w:val="3132FBAD"/>
    <w:rsid w:val="3151483D"/>
    <w:rsid w:val="316140B3"/>
    <w:rsid w:val="31628314"/>
    <w:rsid w:val="319F0F3C"/>
    <w:rsid w:val="31A8F7E2"/>
    <w:rsid w:val="31DCC605"/>
    <w:rsid w:val="31E86307"/>
    <w:rsid w:val="3276E62A"/>
    <w:rsid w:val="327AFA0B"/>
    <w:rsid w:val="32B92671"/>
    <w:rsid w:val="3335B818"/>
    <w:rsid w:val="335A0890"/>
    <w:rsid w:val="335F9642"/>
    <w:rsid w:val="337987ED"/>
    <w:rsid w:val="33875008"/>
    <w:rsid w:val="33CD62C7"/>
    <w:rsid w:val="33E38533"/>
    <w:rsid w:val="33FB3C7B"/>
    <w:rsid w:val="33FBE149"/>
    <w:rsid w:val="34015DFE"/>
    <w:rsid w:val="341EF011"/>
    <w:rsid w:val="34400CA6"/>
    <w:rsid w:val="345CB1E7"/>
    <w:rsid w:val="3460B37B"/>
    <w:rsid w:val="346DB239"/>
    <w:rsid w:val="3483C4BE"/>
    <w:rsid w:val="3488E8FF"/>
    <w:rsid w:val="3496C447"/>
    <w:rsid w:val="34C7F087"/>
    <w:rsid w:val="34E4B129"/>
    <w:rsid w:val="3518332A"/>
    <w:rsid w:val="351BB9D5"/>
    <w:rsid w:val="351BC228"/>
    <w:rsid w:val="353B3DF4"/>
    <w:rsid w:val="3558B8B0"/>
    <w:rsid w:val="356BB2B9"/>
    <w:rsid w:val="35ABC017"/>
    <w:rsid w:val="35BDEEEB"/>
    <w:rsid w:val="35DEA18C"/>
    <w:rsid w:val="35F01994"/>
    <w:rsid w:val="3609E932"/>
    <w:rsid w:val="36333EC0"/>
    <w:rsid w:val="3642A16C"/>
    <w:rsid w:val="364558B8"/>
    <w:rsid w:val="3665732A"/>
    <w:rsid w:val="36839864"/>
    <w:rsid w:val="36A3222B"/>
    <w:rsid w:val="36B78A36"/>
    <w:rsid w:val="36D70E55"/>
    <w:rsid w:val="36DE8EAA"/>
    <w:rsid w:val="36FD609E"/>
    <w:rsid w:val="37002DBD"/>
    <w:rsid w:val="370363D2"/>
    <w:rsid w:val="370A68ED"/>
    <w:rsid w:val="37191B33"/>
    <w:rsid w:val="3758AB70"/>
    <w:rsid w:val="379FEEC0"/>
    <w:rsid w:val="37A552FB"/>
    <w:rsid w:val="37BFEB03"/>
    <w:rsid w:val="37D1C498"/>
    <w:rsid w:val="37DCF2F6"/>
    <w:rsid w:val="37E8D05D"/>
    <w:rsid w:val="380C28B5"/>
    <w:rsid w:val="38220211"/>
    <w:rsid w:val="383BAB73"/>
    <w:rsid w:val="384CF910"/>
    <w:rsid w:val="38535A97"/>
    <w:rsid w:val="386F185C"/>
    <w:rsid w:val="389930FF"/>
    <w:rsid w:val="38AFF1E6"/>
    <w:rsid w:val="38BEC3FF"/>
    <w:rsid w:val="38C13192"/>
    <w:rsid w:val="38C72E69"/>
    <w:rsid w:val="38CE8B1C"/>
    <w:rsid w:val="38CE986E"/>
    <w:rsid w:val="38FB4F05"/>
    <w:rsid w:val="38FD02CF"/>
    <w:rsid w:val="392E6081"/>
    <w:rsid w:val="3941235C"/>
    <w:rsid w:val="394FCC0E"/>
    <w:rsid w:val="39666FD5"/>
    <w:rsid w:val="399B61AA"/>
    <w:rsid w:val="39F69193"/>
    <w:rsid w:val="3A00DE5C"/>
    <w:rsid w:val="3A3A866E"/>
    <w:rsid w:val="3A4209AF"/>
    <w:rsid w:val="3A59B673"/>
    <w:rsid w:val="3A96881D"/>
    <w:rsid w:val="3AB28C2F"/>
    <w:rsid w:val="3AE97C44"/>
    <w:rsid w:val="3AED81B4"/>
    <w:rsid w:val="3AF0F64F"/>
    <w:rsid w:val="3AF82A83"/>
    <w:rsid w:val="3B2508BA"/>
    <w:rsid w:val="3B2D8749"/>
    <w:rsid w:val="3B31D8A8"/>
    <w:rsid w:val="3B37320B"/>
    <w:rsid w:val="3B44B9CF"/>
    <w:rsid w:val="3B517FCA"/>
    <w:rsid w:val="3B58420D"/>
    <w:rsid w:val="3B634178"/>
    <w:rsid w:val="3B80857D"/>
    <w:rsid w:val="3B83A84B"/>
    <w:rsid w:val="3B8499D2"/>
    <w:rsid w:val="3B879BD5"/>
    <w:rsid w:val="3BAA7F78"/>
    <w:rsid w:val="3BB030D9"/>
    <w:rsid w:val="3BB2C68A"/>
    <w:rsid w:val="3BDDDA10"/>
    <w:rsid w:val="3C02F152"/>
    <w:rsid w:val="3C1D6595"/>
    <w:rsid w:val="3C3167A9"/>
    <w:rsid w:val="3C5066D7"/>
    <w:rsid w:val="3C514032"/>
    <w:rsid w:val="3C645E6C"/>
    <w:rsid w:val="3C93FAE4"/>
    <w:rsid w:val="3CE4085B"/>
    <w:rsid w:val="3D024035"/>
    <w:rsid w:val="3D11EAA4"/>
    <w:rsid w:val="3D35C94A"/>
    <w:rsid w:val="3D597CF9"/>
    <w:rsid w:val="3D5F8853"/>
    <w:rsid w:val="3D900E19"/>
    <w:rsid w:val="3D9124B7"/>
    <w:rsid w:val="3DB45C8E"/>
    <w:rsid w:val="3DC129F1"/>
    <w:rsid w:val="3DC4EE7E"/>
    <w:rsid w:val="3DCB0B04"/>
    <w:rsid w:val="3DE02544"/>
    <w:rsid w:val="3DF5AA9F"/>
    <w:rsid w:val="3E14947F"/>
    <w:rsid w:val="3E2F5446"/>
    <w:rsid w:val="3E75B3BB"/>
    <w:rsid w:val="3E77BD4F"/>
    <w:rsid w:val="3E846200"/>
    <w:rsid w:val="3E9276CC"/>
    <w:rsid w:val="3E958C1A"/>
    <w:rsid w:val="3E984CE1"/>
    <w:rsid w:val="3ECC4607"/>
    <w:rsid w:val="3F3C708A"/>
    <w:rsid w:val="3F57C984"/>
    <w:rsid w:val="3F7DFF37"/>
    <w:rsid w:val="3F84515C"/>
    <w:rsid w:val="3F8D09E5"/>
    <w:rsid w:val="3F924AF5"/>
    <w:rsid w:val="3FC18EC4"/>
    <w:rsid w:val="3FDABEB5"/>
    <w:rsid w:val="3FE81A1A"/>
    <w:rsid w:val="3FF8A180"/>
    <w:rsid w:val="3FFC3576"/>
    <w:rsid w:val="407DF09B"/>
    <w:rsid w:val="409C1EDF"/>
    <w:rsid w:val="40C8F7F7"/>
    <w:rsid w:val="40DD0EEA"/>
    <w:rsid w:val="40DD16DA"/>
    <w:rsid w:val="40FE6040"/>
    <w:rsid w:val="4105895E"/>
    <w:rsid w:val="41283C75"/>
    <w:rsid w:val="41570221"/>
    <w:rsid w:val="41640770"/>
    <w:rsid w:val="416F8428"/>
    <w:rsid w:val="4186819F"/>
    <w:rsid w:val="4188BB74"/>
    <w:rsid w:val="41E219ED"/>
    <w:rsid w:val="41F90E01"/>
    <w:rsid w:val="420B23D4"/>
    <w:rsid w:val="420C31B1"/>
    <w:rsid w:val="42119658"/>
    <w:rsid w:val="421EEF22"/>
    <w:rsid w:val="422B9282"/>
    <w:rsid w:val="42429833"/>
    <w:rsid w:val="424800CB"/>
    <w:rsid w:val="4271A1B4"/>
    <w:rsid w:val="42909512"/>
    <w:rsid w:val="42B1552D"/>
    <w:rsid w:val="42BC7194"/>
    <w:rsid w:val="42D014D7"/>
    <w:rsid w:val="4320BC89"/>
    <w:rsid w:val="433D5174"/>
    <w:rsid w:val="4370A8DC"/>
    <w:rsid w:val="43C11429"/>
    <w:rsid w:val="43D59227"/>
    <w:rsid w:val="43DBDB28"/>
    <w:rsid w:val="43DFBFBB"/>
    <w:rsid w:val="43F3EAEC"/>
    <w:rsid w:val="440098B9"/>
    <w:rsid w:val="4434E043"/>
    <w:rsid w:val="443D2A20"/>
    <w:rsid w:val="44458435"/>
    <w:rsid w:val="444F96B5"/>
    <w:rsid w:val="44798827"/>
    <w:rsid w:val="448B8524"/>
    <w:rsid w:val="449136CC"/>
    <w:rsid w:val="449AAFF0"/>
    <w:rsid w:val="449F0CC9"/>
    <w:rsid w:val="44CF928B"/>
    <w:rsid w:val="44D21269"/>
    <w:rsid w:val="4531FC62"/>
    <w:rsid w:val="4535AD2C"/>
    <w:rsid w:val="45633344"/>
    <w:rsid w:val="459AE9BE"/>
    <w:rsid w:val="45A89522"/>
    <w:rsid w:val="45C1C620"/>
    <w:rsid w:val="45CA0261"/>
    <w:rsid w:val="45D1D163"/>
    <w:rsid w:val="461895A5"/>
    <w:rsid w:val="4626029A"/>
    <w:rsid w:val="462D072D"/>
    <w:rsid w:val="465F37E4"/>
    <w:rsid w:val="4674F236"/>
    <w:rsid w:val="4691173E"/>
    <w:rsid w:val="46B12F6D"/>
    <w:rsid w:val="46C3AED8"/>
    <w:rsid w:val="46E53E7E"/>
    <w:rsid w:val="46F1E620"/>
    <w:rsid w:val="472D0426"/>
    <w:rsid w:val="473F88C8"/>
    <w:rsid w:val="47403BEE"/>
    <w:rsid w:val="4769F091"/>
    <w:rsid w:val="478837AA"/>
    <w:rsid w:val="479A9144"/>
    <w:rsid w:val="47A1F025"/>
    <w:rsid w:val="47C3644B"/>
    <w:rsid w:val="47D348F4"/>
    <w:rsid w:val="47D6AD8B"/>
    <w:rsid w:val="48036DA4"/>
    <w:rsid w:val="4807475B"/>
    <w:rsid w:val="481E05E5"/>
    <w:rsid w:val="4890A92D"/>
    <w:rsid w:val="48DF483D"/>
    <w:rsid w:val="48E60DF3"/>
    <w:rsid w:val="4909DF7B"/>
    <w:rsid w:val="492C4694"/>
    <w:rsid w:val="493535E7"/>
    <w:rsid w:val="4935C9EA"/>
    <w:rsid w:val="493D7950"/>
    <w:rsid w:val="493D8910"/>
    <w:rsid w:val="49401491"/>
    <w:rsid w:val="494C8C57"/>
    <w:rsid w:val="4976C072"/>
    <w:rsid w:val="498B18CF"/>
    <w:rsid w:val="49DE35F2"/>
    <w:rsid w:val="49FEED3B"/>
    <w:rsid w:val="4A0A1241"/>
    <w:rsid w:val="4A416977"/>
    <w:rsid w:val="4A41A17B"/>
    <w:rsid w:val="4A5351FA"/>
    <w:rsid w:val="4A8B1372"/>
    <w:rsid w:val="4A9F3AC8"/>
    <w:rsid w:val="4AA0F4BA"/>
    <w:rsid w:val="4AC6F92D"/>
    <w:rsid w:val="4AEA888F"/>
    <w:rsid w:val="4AFB050D"/>
    <w:rsid w:val="4B111792"/>
    <w:rsid w:val="4B27EFD5"/>
    <w:rsid w:val="4B4F596F"/>
    <w:rsid w:val="4B5E242D"/>
    <w:rsid w:val="4B6F6C35"/>
    <w:rsid w:val="4BDB621A"/>
    <w:rsid w:val="4BE17543"/>
    <w:rsid w:val="4C3B0B29"/>
    <w:rsid w:val="4C46FC9C"/>
    <w:rsid w:val="4C5DD96A"/>
    <w:rsid w:val="4C6AEF1C"/>
    <w:rsid w:val="4C7466AB"/>
    <w:rsid w:val="4C7FB805"/>
    <w:rsid w:val="4C970B6D"/>
    <w:rsid w:val="4CB46635"/>
    <w:rsid w:val="4CBAD8BF"/>
    <w:rsid w:val="4CCF2BF8"/>
    <w:rsid w:val="4D129AB1"/>
    <w:rsid w:val="4D25E477"/>
    <w:rsid w:val="4D368DFD"/>
    <w:rsid w:val="4D4715EC"/>
    <w:rsid w:val="4D4EB2BD"/>
    <w:rsid w:val="4D966BC4"/>
    <w:rsid w:val="4DE4D95B"/>
    <w:rsid w:val="4E052C83"/>
    <w:rsid w:val="4E093B50"/>
    <w:rsid w:val="4E112893"/>
    <w:rsid w:val="4E515F8B"/>
    <w:rsid w:val="4E625794"/>
    <w:rsid w:val="4E63734B"/>
    <w:rsid w:val="4E72AF28"/>
    <w:rsid w:val="4E77CFCF"/>
    <w:rsid w:val="4E8A1808"/>
    <w:rsid w:val="4EC41B28"/>
    <w:rsid w:val="4EF59510"/>
    <w:rsid w:val="4F00318A"/>
    <w:rsid w:val="4F0F1464"/>
    <w:rsid w:val="4F22FA34"/>
    <w:rsid w:val="4F38784E"/>
    <w:rsid w:val="4F71FDF8"/>
    <w:rsid w:val="4F72ABEB"/>
    <w:rsid w:val="4F92B716"/>
    <w:rsid w:val="4FA50B6E"/>
    <w:rsid w:val="4FC4B607"/>
    <w:rsid w:val="4FEFCF6C"/>
    <w:rsid w:val="4FF4E483"/>
    <w:rsid w:val="4FFEB5F1"/>
    <w:rsid w:val="50035DF9"/>
    <w:rsid w:val="5025E869"/>
    <w:rsid w:val="5050F669"/>
    <w:rsid w:val="5051960B"/>
    <w:rsid w:val="5056AF2F"/>
    <w:rsid w:val="50573343"/>
    <w:rsid w:val="50A24957"/>
    <w:rsid w:val="50AEE390"/>
    <w:rsid w:val="50B504F3"/>
    <w:rsid w:val="50EED103"/>
    <w:rsid w:val="5102D6D2"/>
    <w:rsid w:val="5127AE94"/>
    <w:rsid w:val="51341EEB"/>
    <w:rsid w:val="513CE198"/>
    <w:rsid w:val="51430287"/>
    <w:rsid w:val="514524CA"/>
    <w:rsid w:val="51489B1C"/>
    <w:rsid w:val="516EAEFB"/>
    <w:rsid w:val="51944A40"/>
    <w:rsid w:val="51BD8A33"/>
    <w:rsid w:val="51F2BFBC"/>
    <w:rsid w:val="520B4340"/>
    <w:rsid w:val="5217D1DA"/>
    <w:rsid w:val="5218BA52"/>
    <w:rsid w:val="5237D24C"/>
    <w:rsid w:val="523991C4"/>
    <w:rsid w:val="526180DC"/>
    <w:rsid w:val="52E3A82F"/>
    <w:rsid w:val="52E9B6E5"/>
    <w:rsid w:val="530A69A6"/>
    <w:rsid w:val="530E411C"/>
    <w:rsid w:val="53295139"/>
    <w:rsid w:val="532DC84C"/>
    <w:rsid w:val="534110ED"/>
    <w:rsid w:val="5349B01B"/>
    <w:rsid w:val="53602557"/>
    <w:rsid w:val="536A34FA"/>
    <w:rsid w:val="53881D6D"/>
    <w:rsid w:val="538D2444"/>
    <w:rsid w:val="5395E922"/>
    <w:rsid w:val="53AF0C93"/>
    <w:rsid w:val="53C112B4"/>
    <w:rsid w:val="53C76C54"/>
    <w:rsid w:val="53D56225"/>
    <w:rsid w:val="53FC25FA"/>
    <w:rsid w:val="5400B8F4"/>
    <w:rsid w:val="542F35A9"/>
    <w:rsid w:val="544BB266"/>
    <w:rsid w:val="5458DA50"/>
    <w:rsid w:val="546A5CA5"/>
    <w:rsid w:val="5493591B"/>
    <w:rsid w:val="5495F7E0"/>
    <w:rsid w:val="54984CAA"/>
    <w:rsid w:val="549C0836"/>
    <w:rsid w:val="549E0E57"/>
    <w:rsid w:val="54A28963"/>
    <w:rsid w:val="54CC9EEA"/>
    <w:rsid w:val="54D32601"/>
    <w:rsid w:val="54DE2404"/>
    <w:rsid w:val="54DF46AE"/>
    <w:rsid w:val="55020975"/>
    <w:rsid w:val="551072FD"/>
    <w:rsid w:val="5530603D"/>
    <w:rsid w:val="55577BF4"/>
    <w:rsid w:val="557466ED"/>
    <w:rsid w:val="557DAB36"/>
    <w:rsid w:val="55B21B44"/>
    <w:rsid w:val="55EA7254"/>
    <w:rsid w:val="560D0EFE"/>
    <w:rsid w:val="561B48F1"/>
    <w:rsid w:val="561F699A"/>
    <w:rsid w:val="562C1E43"/>
    <w:rsid w:val="562F297C"/>
    <w:rsid w:val="56405744"/>
    <w:rsid w:val="5661B86A"/>
    <w:rsid w:val="566AA36B"/>
    <w:rsid w:val="56705FED"/>
    <w:rsid w:val="568D277A"/>
    <w:rsid w:val="568FF5A9"/>
    <w:rsid w:val="5691E8CC"/>
    <w:rsid w:val="569B8E47"/>
    <w:rsid w:val="56EAD37B"/>
    <w:rsid w:val="57060319"/>
    <w:rsid w:val="570B436F"/>
    <w:rsid w:val="5733C6BC"/>
    <w:rsid w:val="5756B3C4"/>
    <w:rsid w:val="576AA312"/>
    <w:rsid w:val="57781683"/>
    <w:rsid w:val="5789EC17"/>
    <w:rsid w:val="57928A7C"/>
    <w:rsid w:val="57CAF9DD"/>
    <w:rsid w:val="57CF8391"/>
    <w:rsid w:val="57F92F0F"/>
    <w:rsid w:val="581C2BD0"/>
    <w:rsid w:val="581CF943"/>
    <w:rsid w:val="581E364B"/>
    <w:rsid w:val="581F9C29"/>
    <w:rsid w:val="582A4A3C"/>
    <w:rsid w:val="5830B756"/>
    <w:rsid w:val="58BC4AB6"/>
    <w:rsid w:val="58CA872E"/>
    <w:rsid w:val="58CF971D"/>
    <w:rsid w:val="58D99AEB"/>
    <w:rsid w:val="58F549BE"/>
    <w:rsid w:val="5917D316"/>
    <w:rsid w:val="599A20EE"/>
    <w:rsid w:val="59A80A79"/>
    <w:rsid w:val="59AAC92B"/>
    <w:rsid w:val="59C418E0"/>
    <w:rsid w:val="59C971D2"/>
    <w:rsid w:val="59DACED1"/>
    <w:rsid w:val="59F54A18"/>
    <w:rsid w:val="5A06E17F"/>
    <w:rsid w:val="5A0D708B"/>
    <w:rsid w:val="5A13C638"/>
    <w:rsid w:val="5A24C084"/>
    <w:rsid w:val="5A2A8A3B"/>
    <w:rsid w:val="5A2B7EC2"/>
    <w:rsid w:val="5A3C8D26"/>
    <w:rsid w:val="5A3D5277"/>
    <w:rsid w:val="5A6932C1"/>
    <w:rsid w:val="5AA243D4"/>
    <w:rsid w:val="5AEE104A"/>
    <w:rsid w:val="5B0ACF88"/>
    <w:rsid w:val="5B337E52"/>
    <w:rsid w:val="5B3F9614"/>
    <w:rsid w:val="5B601996"/>
    <w:rsid w:val="5B79B7FD"/>
    <w:rsid w:val="5B9364AF"/>
    <w:rsid w:val="5B9ECEF4"/>
    <w:rsid w:val="5BB55076"/>
    <w:rsid w:val="5BBFDD1B"/>
    <w:rsid w:val="5BC1BEB8"/>
    <w:rsid w:val="5BDAC31B"/>
    <w:rsid w:val="5BDACB4C"/>
    <w:rsid w:val="5BEAD6CD"/>
    <w:rsid w:val="5BF72AFD"/>
    <w:rsid w:val="5C45FBDA"/>
    <w:rsid w:val="5C51B727"/>
    <w:rsid w:val="5C71313F"/>
    <w:rsid w:val="5C954C91"/>
    <w:rsid w:val="5CA5E879"/>
    <w:rsid w:val="5CC4109C"/>
    <w:rsid w:val="5D24153E"/>
    <w:rsid w:val="5D2E91BF"/>
    <w:rsid w:val="5D76937C"/>
    <w:rsid w:val="5D7E4AC3"/>
    <w:rsid w:val="5D8C5679"/>
    <w:rsid w:val="5DA89DD2"/>
    <w:rsid w:val="5DAE0221"/>
    <w:rsid w:val="5DD9E496"/>
    <w:rsid w:val="5DDB0EA0"/>
    <w:rsid w:val="5E15A6B8"/>
    <w:rsid w:val="5E161186"/>
    <w:rsid w:val="5E18BA19"/>
    <w:rsid w:val="5E71A6FB"/>
    <w:rsid w:val="5E7B71D2"/>
    <w:rsid w:val="5E7FDFB3"/>
    <w:rsid w:val="5EA0DC63"/>
    <w:rsid w:val="5EA353C1"/>
    <w:rsid w:val="5F36AD6F"/>
    <w:rsid w:val="5F3C8C8C"/>
    <w:rsid w:val="5F429FE3"/>
    <w:rsid w:val="5F4BFE85"/>
    <w:rsid w:val="5F542D90"/>
    <w:rsid w:val="5F7A72CE"/>
    <w:rsid w:val="5F96C4F9"/>
    <w:rsid w:val="5FA5D114"/>
    <w:rsid w:val="6024E9D7"/>
    <w:rsid w:val="602A7062"/>
    <w:rsid w:val="602D2B29"/>
    <w:rsid w:val="603409C0"/>
    <w:rsid w:val="604AAA05"/>
    <w:rsid w:val="60685DDC"/>
    <w:rsid w:val="60788D64"/>
    <w:rsid w:val="60AE343E"/>
    <w:rsid w:val="60C2151E"/>
    <w:rsid w:val="60D54715"/>
    <w:rsid w:val="60DA6B56"/>
    <w:rsid w:val="60F16E67"/>
    <w:rsid w:val="60F7FAA8"/>
    <w:rsid w:val="610626F6"/>
    <w:rsid w:val="612452C2"/>
    <w:rsid w:val="6164C135"/>
    <w:rsid w:val="616D447F"/>
    <w:rsid w:val="617E84C4"/>
    <w:rsid w:val="6185E836"/>
    <w:rsid w:val="61B9B2AF"/>
    <w:rsid w:val="61BCA0E8"/>
    <w:rsid w:val="61BCAA9B"/>
    <w:rsid w:val="61CB3517"/>
    <w:rsid w:val="61F78661"/>
    <w:rsid w:val="62283735"/>
    <w:rsid w:val="6231A68B"/>
    <w:rsid w:val="6235436A"/>
    <w:rsid w:val="62356DB7"/>
    <w:rsid w:val="624900DC"/>
    <w:rsid w:val="62742D4E"/>
    <w:rsid w:val="62A9FB5E"/>
    <w:rsid w:val="62CA3371"/>
    <w:rsid w:val="62CEA324"/>
    <w:rsid w:val="62D534C1"/>
    <w:rsid w:val="62F7F5CD"/>
    <w:rsid w:val="62F99928"/>
    <w:rsid w:val="6317C9CA"/>
    <w:rsid w:val="63224BE6"/>
    <w:rsid w:val="63297740"/>
    <w:rsid w:val="63B76007"/>
    <w:rsid w:val="63C18761"/>
    <w:rsid w:val="6436DEAB"/>
    <w:rsid w:val="644F129D"/>
    <w:rsid w:val="64504A53"/>
    <w:rsid w:val="64609C96"/>
    <w:rsid w:val="648F4FB2"/>
    <w:rsid w:val="64B1EF25"/>
    <w:rsid w:val="64CC16D4"/>
    <w:rsid w:val="64CF5DA5"/>
    <w:rsid w:val="64FF1206"/>
    <w:rsid w:val="654BFE87"/>
    <w:rsid w:val="6581A561"/>
    <w:rsid w:val="6593B42E"/>
    <w:rsid w:val="659B7A66"/>
    <w:rsid w:val="659F232A"/>
    <w:rsid w:val="65DDB6F8"/>
    <w:rsid w:val="66414CD5"/>
    <w:rsid w:val="667CCBDD"/>
    <w:rsid w:val="66808766"/>
    <w:rsid w:val="668503B0"/>
    <w:rsid w:val="6696ABE5"/>
    <w:rsid w:val="669889B4"/>
    <w:rsid w:val="669F484A"/>
    <w:rsid w:val="66A4BB07"/>
    <w:rsid w:val="66A72020"/>
    <w:rsid w:val="66BF904A"/>
    <w:rsid w:val="66D57DB9"/>
    <w:rsid w:val="6724B0D7"/>
    <w:rsid w:val="674E49A6"/>
    <w:rsid w:val="679D307B"/>
    <w:rsid w:val="67B43BC4"/>
    <w:rsid w:val="68092BBB"/>
    <w:rsid w:val="684D7158"/>
    <w:rsid w:val="685A364B"/>
    <w:rsid w:val="6864489F"/>
    <w:rsid w:val="68836650"/>
    <w:rsid w:val="688C5FA0"/>
    <w:rsid w:val="68B0088D"/>
    <w:rsid w:val="68DD8FB5"/>
    <w:rsid w:val="68E80026"/>
    <w:rsid w:val="68E8A0F9"/>
    <w:rsid w:val="690A4FCE"/>
    <w:rsid w:val="690BC504"/>
    <w:rsid w:val="692A10BA"/>
    <w:rsid w:val="694211E1"/>
    <w:rsid w:val="6988B943"/>
    <w:rsid w:val="69BBE9D4"/>
    <w:rsid w:val="69BD8DC3"/>
    <w:rsid w:val="69BF6155"/>
    <w:rsid w:val="69C2FAE8"/>
    <w:rsid w:val="69D4F1FD"/>
    <w:rsid w:val="69D92572"/>
    <w:rsid w:val="6A087B5A"/>
    <w:rsid w:val="6A10C1A5"/>
    <w:rsid w:val="6A3F6A7A"/>
    <w:rsid w:val="6A56AFDD"/>
    <w:rsid w:val="6A5FC020"/>
    <w:rsid w:val="6A710B0E"/>
    <w:rsid w:val="6A7825BE"/>
    <w:rsid w:val="6A982418"/>
    <w:rsid w:val="6AA39C0C"/>
    <w:rsid w:val="6ABB62A8"/>
    <w:rsid w:val="6AE87B17"/>
    <w:rsid w:val="6AFEAA6D"/>
    <w:rsid w:val="6B28CBAC"/>
    <w:rsid w:val="6B691857"/>
    <w:rsid w:val="6B73535E"/>
    <w:rsid w:val="6B825C7E"/>
    <w:rsid w:val="6BDBC01C"/>
    <w:rsid w:val="6BE3F1B4"/>
    <w:rsid w:val="6C115368"/>
    <w:rsid w:val="6C195E38"/>
    <w:rsid w:val="6C1D1DFD"/>
    <w:rsid w:val="6C457D60"/>
    <w:rsid w:val="6C573EC5"/>
    <w:rsid w:val="6C60E5FC"/>
    <w:rsid w:val="6C88BB20"/>
    <w:rsid w:val="6CA1F48C"/>
    <w:rsid w:val="6CE221EC"/>
    <w:rsid w:val="6CFF058C"/>
    <w:rsid w:val="6D2496CE"/>
    <w:rsid w:val="6D27E401"/>
    <w:rsid w:val="6D41DD70"/>
    <w:rsid w:val="6D486267"/>
    <w:rsid w:val="6D9D8A22"/>
    <w:rsid w:val="6DB1315E"/>
    <w:rsid w:val="6DC06559"/>
    <w:rsid w:val="6E308AE4"/>
    <w:rsid w:val="6E3D7027"/>
    <w:rsid w:val="6E3EB447"/>
    <w:rsid w:val="6E611350"/>
    <w:rsid w:val="6E93C6A0"/>
    <w:rsid w:val="6E9BF328"/>
    <w:rsid w:val="6E9DC865"/>
    <w:rsid w:val="6EA0DEF6"/>
    <w:rsid w:val="6EB48727"/>
    <w:rsid w:val="6EBCE10C"/>
    <w:rsid w:val="6EDDBDB4"/>
    <w:rsid w:val="6EE14FF3"/>
    <w:rsid w:val="6F02D784"/>
    <w:rsid w:val="6F031140"/>
    <w:rsid w:val="6F119A1F"/>
    <w:rsid w:val="6F180ABD"/>
    <w:rsid w:val="6F27C55B"/>
    <w:rsid w:val="6F3059DF"/>
    <w:rsid w:val="6F3D457C"/>
    <w:rsid w:val="6F3EC8A5"/>
    <w:rsid w:val="6F4CD139"/>
    <w:rsid w:val="6F63E1CE"/>
    <w:rsid w:val="6F7A81BD"/>
    <w:rsid w:val="6F99AA1B"/>
    <w:rsid w:val="6F9EE8FD"/>
    <w:rsid w:val="7000FA3D"/>
    <w:rsid w:val="7010121C"/>
    <w:rsid w:val="70475980"/>
    <w:rsid w:val="7048D38C"/>
    <w:rsid w:val="705A7A27"/>
    <w:rsid w:val="70629F2F"/>
    <w:rsid w:val="70654830"/>
    <w:rsid w:val="707D2054"/>
    <w:rsid w:val="70AC75C0"/>
    <w:rsid w:val="70E10197"/>
    <w:rsid w:val="71267F3F"/>
    <w:rsid w:val="712ED7A9"/>
    <w:rsid w:val="715DC874"/>
    <w:rsid w:val="715E7BEF"/>
    <w:rsid w:val="7162FE77"/>
    <w:rsid w:val="71827421"/>
    <w:rsid w:val="719228E9"/>
    <w:rsid w:val="71934E9A"/>
    <w:rsid w:val="71A1BEC7"/>
    <w:rsid w:val="71C33C30"/>
    <w:rsid w:val="71D9E9C2"/>
    <w:rsid w:val="71E2DD84"/>
    <w:rsid w:val="71E329E1"/>
    <w:rsid w:val="72087041"/>
    <w:rsid w:val="72155E76"/>
    <w:rsid w:val="7223C110"/>
    <w:rsid w:val="727128BB"/>
    <w:rsid w:val="72A9DFA2"/>
    <w:rsid w:val="72B70F78"/>
    <w:rsid w:val="72CC8C6B"/>
    <w:rsid w:val="72CCE48E"/>
    <w:rsid w:val="72DBE251"/>
    <w:rsid w:val="72F0DE69"/>
    <w:rsid w:val="7314FE96"/>
    <w:rsid w:val="732AEA5D"/>
    <w:rsid w:val="732CAD86"/>
    <w:rsid w:val="73572AE1"/>
    <w:rsid w:val="735A1C60"/>
    <w:rsid w:val="735E5D3A"/>
    <w:rsid w:val="7369B700"/>
    <w:rsid w:val="737834EE"/>
    <w:rsid w:val="739ADB0B"/>
    <w:rsid w:val="73BF9171"/>
    <w:rsid w:val="73DE9948"/>
    <w:rsid w:val="73F6E031"/>
    <w:rsid w:val="74443039"/>
    <w:rsid w:val="7448CE85"/>
    <w:rsid w:val="74630E0D"/>
    <w:rsid w:val="7467376A"/>
    <w:rsid w:val="74901F5F"/>
    <w:rsid w:val="74926478"/>
    <w:rsid w:val="74972148"/>
    <w:rsid w:val="7498FA49"/>
    <w:rsid w:val="749B813F"/>
    <w:rsid w:val="74C7D72C"/>
    <w:rsid w:val="7539E47A"/>
    <w:rsid w:val="754A9A2D"/>
    <w:rsid w:val="754CFF38"/>
    <w:rsid w:val="755B31E5"/>
    <w:rsid w:val="755B61D2"/>
    <w:rsid w:val="755E92A2"/>
    <w:rsid w:val="759E769D"/>
    <w:rsid w:val="75D2600E"/>
    <w:rsid w:val="75F13841"/>
    <w:rsid w:val="76027194"/>
    <w:rsid w:val="760307CB"/>
    <w:rsid w:val="76042D2D"/>
    <w:rsid w:val="7604A2F5"/>
    <w:rsid w:val="761911FF"/>
    <w:rsid w:val="765D1887"/>
    <w:rsid w:val="7664D034"/>
    <w:rsid w:val="768A031F"/>
    <w:rsid w:val="7691F82F"/>
    <w:rsid w:val="76953B30"/>
    <w:rsid w:val="769ED885"/>
    <w:rsid w:val="76B95225"/>
    <w:rsid w:val="76C15C94"/>
    <w:rsid w:val="76E8CF99"/>
    <w:rsid w:val="77055BD8"/>
    <w:rsid w:val="772B7D65"/>
    <w:rsid w:val="773134F8"/>
    <w:rsid w:val="77678C53"/>
    <w:rsid w:val="776E8454"/>
    <w:rsid w:val="779F8CEE"/>
    <w:rsid w:val="77A92F07"/>
    <w:rsid w:val="77D49E08"/>
    <w:rsid w:val="77DEB332"/>
    <w:rsid w:val="77E24009"/>
    <w:rsid w:val="77EDEC67"/>
    <w:rsid w:val="780418B1"/>
    <w:rsid w:val="78526B65"/>
    <w:rsid w:val="7892D2A7"/>
    <w:rsid w:val="78930294"/>
    <w:rsid w:val="78B15806"/>
    <w:rsid w:val="78BBC982"/>
    <w:rsid w:val="78D17729"/>
    <w:rsid w:val="78DCCB2D"/>
    <w:rsid w:val="78F49D1F"/>
    <w:rsid w:val="790D624B"/>
    <w:rsid w:val="790EC618"/>
    <w:rsid w:val="792DF9C1"/>
    <w:rsid w:val="79382433"/>
    <w:rsid w:val="795D4252"/>
    <w:rsid w:val="79668BED"/>
    <w:rsid w:val="7972BBA0"/>
    <w:rsid w:val="79E1DE5E"/>
    <w:rsid w:val="79E83478"/>
    <w:rsid w:val="79EE3BC6"/>
    <w:rsid w:val="79F39072"/>
    <w:rsid w:val="7A030874"/>
    <w:rsid w:val="7A12D5F1"/>
    <w:rsid w:val="7A380740"/>
    <w:rsid w:val="7A49828D"/>
    <w:rsid w:val="7A4ED0BC"/>
    <w:rsid w:val="7A531200"/>
    <w:rsid w:val="7A5ABD64"/>
    <w:rsid w:val="7A9B03F9"/>
    <w:rsid w:val="7AC4317F"/>
    <w:rsid w:val="7ADB9A5F"/>
    <w:rsid w:val="7AF912B3"/>
    <w:rsid w:val="7AFB0AF1"/>
    <w:rsid w:val="7B1E0CF9"/>
    <w:rsid w:val="7B32DC6A"/>
    <w:rsid w:val="7B5248C7"/>
    <w:rsid w:val="7B59257E"/>
    <w:rsid w:val="7B66D04D"/>
    <w:rsid w:val="7B74715B"/>
    <w:rsid w:val="7B88ED8C"/>
    <w:rsid w:val="7BC42E42"/>
    <w:rsid w:val="7BCAA356"/>
    <w:rsid w:val="7BD1485E"/>
    <w:rsid w:val="7BEFDEAE"/>
    <w:rsid w:val="7BF36A44"/>
    <w:rsid w:val="7BFC30EF"/>
    <w:rsid w:val="7C028D53"/>
    <w:rsid w:val="7C2751AD"/>
    <w:rsid w:val="7C2CEEB4"/>
    <w:rsid w:val="7C4666DA"/>
    <w:rsid w:val="7C58E3E5"/>
    <w:rsid w:val="7C89FA5A"/>
    <w:rsid w:val="7C954DE2"/>
    <w:rsid w:val="7CCEACCB"/>
    <w:rsid w:val="7CD1285B"/>
    <w:rsid w:val="7CDE3FE5"/>
    <w:rsid w:val="7D0DE158"/>
    <w:rsid w:val="7D8031C8"/>
    <w:rsid w:val="7D842BF6"/>
    <w:rsid w:val="7D8C8277"/>
    <w:rsid w:val="7D8F3AA5"/>
    <w:rsid w:val="7D995A25"/>
    <w:rsid w:val="7DA9CE60"/>
    <w:rsid w:val="7E1B433F"/>
    <w:rsid w:val="7E5CC597"/>
    <w:rsid w:val="7E83BE14"/>
    <w:rsid w:val="7E95AB44"/>
    <w:rsid w:val="7EA12C36"/>
    <w:rsid w:val="7EB3461C"/>
    <w:rsid w:val="7EF627B7"/>
    <w:rsid w:val="7F0DF391"/>
    <w:rsid w:val="7F130DD7"/>
    <w:rsid w:val="7F1C0229"/>
    <w:rsid w:val="7F3034ED"/>
    <w:rsid w:val="7F5D71E5"/>
    <w:rsid w:val="7F64DF3F"/>
    <w:rsid w:val="7F6F7AF6"/>
    <w:rsid w:val="7F86E47F"/>
    <w:rsid w:val="7F88D7F7"/>
    <w:rsid w:val="7F94CB9B"/>
    <w:rsid w:val="7FB545CB"/>
    <w:rsid w:val="7FC63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DEC6"/>
  <w15:docId w15:val="{33B4BF7F-9982-4F2A-83CB-41CCE137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77F"/>
    <w:rPr>
      <w:sz w:val="24"/>
      <w:szCs w:val="24"/>
      <w:lang w:val="fr-FR" w:eastAsia="fr-FR"/>
    </w:rPr>
  </w:style>
  <w:style w:type="paragraph" w:styleId="Heading1">
    <w:name w:val="heading 1"/>
    <w:basedOn w:val="Normal"/>
    <w:next w:val="Normal"/>
    <w:link w:val="Heading1Char"/>
    <w:qFormat/>
    <w:rsid w:val="00DC7354"/>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qFormat/>
    <w:rsid w:val="00FF5BC4"/>
    <w:pPr>
      <w:keepNext/>
      <w:widowControl w:val="0"/>
      <w:shd w:val="pct15" w:color="auto" w:fill="FFFFFF"/>
      <w:jc w:val="center"/>
      <w:outlineLvl w:val="2"/>
    </w:pPr>
    <w:rPr>
      <w:rFonts w:ascii="Arial" w:hAnsi="Arial"/>
      <w:bCs/>
      <w:szCs w:val="20"/>
      <w:lang w:val="en-US" w:eastAsia="en-US"/>
    </w:rPr>
  </w:style>
  <w:style w:type="paragraph" w:styleId="Heading4">
    <w:name w:val="heading 4"/>
    <w:basedOn w:val="Normal"/>
    <w:next w:val="Normal"/>
    <w:qFormat/>
    <w:rsid w:val="00FF5BC4"/>
    <w:pPr>
      <w:keepNext/>
      <w:widowControl w:val="0"/>
      <w:jc w:val="center"/>
      <w:outlineLvl w:val="3"/>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rPr>
      <w:rFonts w:ascii="Univers" w:hAnsi="Univers"/>
      <w:sz w:val="22"/>
      <w:szCs w:val="20"/>
      <w:lang w:val="en-US" w:eastAsia="en-US"/>
    </w:rPr>
  </w:style>
  <w:style w:type="paragraph" w:styleId="BodyText2">
    <w:name w:val="Body Text 2"/>
    <w:basedOn w:val="Normal"/>
    <w:rsid w:val="00FF5BC4"/>
    <w:rPr>
      <w:rFonts w:ascii="Arial" w:hAnsi="Arial"/>
      <w:sz w:val="20"/>
      <w:szCs w:val="20"/>
      <w:lang w:val="en-US" w:eastAsia="en-US"/>
    </w:rPr>
  </w:style>
  <w:style w:type="paragraph" w:styleId="BodyText3">
    <w:name w:val="Body Text 3"/>
    <w:basedOn w:val="Normal"/>
    <w:rsid w:val="00FF5BC4"/>
    <w:pPr>
      <w:widowControl w:val="0"/>
      <w:jc w:val="both"/>
    </w:pPr>
    <w:rPr>
      <w:lang w:val="en-US" w:eastAsia="en-US"/>
    </w:rPr>
  </w:style>
  <w:style w:type="paragraph" w:styleId="Header">
    <w:name w:val="header"/>
    <w:basedOn w:val="Normal"/>
    <w:rsid w:val="00FF5BC4"/>
    <w:pPr>
      <w:widowControl w:val="0"/>
      <w:tabs>
        <w:tab w:val="center" w:pos="4320"/>
        <w:tab w:val="right" w:pos="8640"/>
      </w:tabs>
    </w:pPr>
    <w:rPr>
      <w:szCs w:val="20"/>
      <w:lang w:val="en-US" w:eastAsia="en-US"/>
    </w:rPr>
  </w:style>
  <w:style w:type="paragraph" w:styleId="Footer">
    <w:name w:val="footer"/>
    <w:basedOn w:val="Normal"/>
    <w:link w:val="FooterChar"/>
    <w:uiPriority w:val="99"/>
    <w:rsid w:val="00FF5BC4"/>
    <w:pPr>
      <w:widowControl w:val="0"/>
      <w:tabs>
        <w:tab w:val="center" w:pos="4320"/>
        <w:tab w:val="right" w:pos="8640"/>
      </w:tabs>
    </w:pPr>
    <w:rPr>
      <w:szCs w:val="20"/>
      <w:lang w:val="en-US" w:eastAsia="en-US"/>
    </w:r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pPr>
      <w:widowControl w:val="0"/>
    </w:pPr>
    <w:rPr>
      <w:sz w:val="20"/>
      <w:szCs w:val="20"/>
      <w:lang w:val="en-US" w:eastAsia="en-US"/>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styleId="ListParagraph">
    <w:name w:val="List Paragraph"/>
    <w:basedOn w:val="Normal"/>
    <w:uiPriority w:val="34"/>
    <w:qFormat/>
    <w:rsid w:val="007D27A6"/>
    <w:pPr>
      <w:widowControl w:val="0"/>
      <w:ind w:left="720"/>
      <w:contextualSpacing/>
    </w:pPr>
    <w:rPr>
      <w:szCs w:val="20"/>
      <w:lang w:val="en-US" w:eastAsia="en-US"/>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fr-FR" w:eastAsia="fr-FR"/>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AA49D2"/>
    <w:rPr>
      <w:sz w:val="18"/>
      <w:szCs w:val="18"/>
    </w:rPr>
  </w:style>
  <w:style w:type="character" w:customStyle="1" w:styleId="BalloonTextChar">
    <w:name w:val="Balloon Text Char"/>
    <w:basedOn w:val="DefaultParagraphFont"/>
    <w:link w:val="BalloonText"/>
    <w:semiHidden/>
    <w:rsid w:val="00AA49D2"/>
    <w:rPr>
      <w:sz w:val="18"/>
      <w:szCs w:val="18"/>
      <w:lang w:val="fr-FR" w:eastAsia="fr-FR"/>
    </w:rPr>
  </w:style>
  <w:style w:type="paragraph" w:styleId="Revision">
    <w:name w:val="Revision"/>
    <w:hidden/>
    <w:uiPriority w:val="99"/>
    <w:semiHidden/>
    <w:rsid w:val="00E271D0"/>
    <w:rPr>
      <w:sz w:val="24"/>
      <w:szCs w:val="24"/>
      <w:lang w:val="fr-FR" w:eastAsia="fr-FR"/>
    </w:rPr>
  </w:style>
  <w:style w:type="paragraph" w:styleId="CommentSubject">
    <w:name w:val="annotation subject"/>
    <w:basedOn w:val="CommentText"/>
    <w:next w:val="CommentText"/>
    <w:link w:val="CommentSubjectChar"/>
    <w:semiHidden/>
    <w:unhideWhenUsed/>
    <w:rsid w:val="00E271D0"/>
    <w:rPr>
      <w:b/>
      <w:bCs/>
    </w:rPr>
  </w:style>
  <w:style w:type="character" w:customStyle="1" w:styleId="CommentSubjectChar">
    <w:name w:val="Comment Subject Char"/>
    <w:basedOn w:val="CommentTextChar"/>
    <w:link w:val="CommentSubject"/>
    <w:semiHidden/>
    <w:rsid w:val="00E271D0"/>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257">
      <w:bodyDiv w:val="1"/>
      <w:marLeft w:val="0"/>
      <w:marRight w:val="0"/>
      <w:marTop w:val="0"/>
      <w:marBottom w:val="0"/>
      <w:divBdr>
        <w:top w:val="none" w:sz="0" w:space="0" w:color="auto"/>
        <w:left w:val="none" w:sz="0" w:space="0" w:color="auto"/>
        <w:bottom w:val="none" w:sz="0" w:space="0" w:color="auto"/>
        <w:right w:val="none" w:sz="0" w:space="0" w:color="auto"/>
      </w:divBdr>
    </w:div>
    <w:div w:id="92211071">
      <w:bodyDiv w:val="1"/>
      <w:marLeft w:val="0"/>
      <w:marRight w:val="0"/>
      <w:marTop w:val="0"/>
      <w:marBottom w:val="0"/>
      <w:divBdr>
        <w:top w:val="none" w:sz="0" w:space="0" w:color="auto"/>
        <w:left w:val="none" w:sz="0" w:space="0" w:color="auto"/>
        <w:bottom w:val="none" w:sz="0" w:space="0" w:color="auto"/>
        <w:right w:val="none" w:sz="0" w:space="0" w:color="auto"/>
      </w:divBdr>
    </w:div>
    <w:div w:id="106507326">
      <w:bodyDiv w:val="1"/>
      <w:marLeft w:val="0"/>
      <w:marRight w:val="0"/>
      <w:marTop w:val="0"/>
      <w:marBottom w:val="0"/>
      <w:divBdr>
        <w:top w:val="none" w:sz="0" w:space="0" w:color="auto"/>
        <w:left w:val="none" w:sz="0" w:space="0" w:color="auto"/>
        <w:bottom w:val="none" w:sz="0" w:space="0" w:color="auto"/>
        <w:right w:val="none" w:sz="0" w:space="0" w:color="auto"/>
      </w:divBdr>
    </w:div>
    <w:div w:id="147552230">
      <w:bodyDiv w:val="1"/>
      <w:marLeft w:val="0"/>
      <w:marRight w:val="0"/>
      <w:marTop w:val="0"/>
      <w:marBottom w:val="0"/>
      <w:divBdr>
        <w:top w:val="none" w:sz="0" w:space="0" w:color="auto"/>
        <w:left w:val="none" w:sz="0" w:space="0" w:color="auto"/>
        <w:bottom w:val="none" w:sz="0" w:space="0" w:color="auto"/>
        <w:right w:val="none" w:sz="0" w:space="0" w:color="auto"/>
      </w:divBdr>
      <w:divsChild>
        <w:div w:id="392243380">
          <w:marLeft w:val="0"/>
          <w:marRight w:val="0"/>
          <w:marTop w:val="0"/>
          <w:marBottom w:val="0"/>
          <w:divBdr>
            <w:top w:val="none" w:sz="0" w:space="0" w:color="auto"/>
            <w:left w:val="none" w:sz="0" w:space="0" w:color="auto"/>
            <w:bottom w:val="none" w:sz="0" w:space="0" w:color="auto"/>
            <w:right w:val="none" w:sz="0" w:space="0" w:color="auto"/>
          </w:divBdr>
          <w:divsChild>
            <w:div w:id="741878390">
              <w:marLeft w:val="0"/>
              <w:marRight w:val="0"/>
              <w:marTop w:val="0"/>
              <w:marBottom w:val="0"/>
              <w:divBdr>
                <w:top w:val="none" w:sz="0" w:space="0" w:color="auto"/>
                <w:left w:val="none" w:sz="0" w:space="0" w:color="auto"/>
                <w:bottom w:val="none" w:sz="0" w:space="0" w:color="auto"/>
                <w:right w:val="none" w:sz="0" w:space="0" w:color="auto"/>
              </w:divBdr>
              <w:divsChild>
                <w:div w:id="1180312833">
                  <w:marLeft w:val="0"/>
                  <w:marRight w:val="0"/>
                  <w:marTop w:val="0"/>
                  <w:marBottom w:val="0"/>
                  <w:divBdr>
                    <w:top w:val="none" w:sz="0" w:space="0" w:color="auto"/>
                    <w:left w:val="none" w:sz="0" w:space="0" w:color="auto"/>
                    <w:bottom w:val="none" w:sz="0" w:space="0" w:color="auto"/>
                    <w:right w:val="none" w:sz="0" w:space="0" w:color="auto"/>
                  </w:divBdr>
                  <w:divsChild>
                    <w:div w:id="1037894538">
                      <w:marLeft w:val="0"/>
                      <w:marRight w:val="0"/>
                      <w:marTop w:val="100"/>
                      <w:marBottom w:val="100"/>
                      <w:divBdr>
                        <w:top w:val="none" w:sz="0" w:space="0" w:color="auto"/>
                        <w:left w:val="none" w:sz="0" w:space="0" w:color="auto"/>
                        <w:bottom w:val="none" w:sz="0" w:space="0" w:color="auto"/>
                        <w:right w:val="none" w:sz="0" w:space="0" w:color="auto"/>
                      </w:divBdr>
                      <w:divsChild>
                        <w:div w:id="75633186">
                          <w:marLeft w:val="0"/>
                          <w:marRight w:val="0"/>
                          <w:marTop w:val="0"/>
                          <w:marBottom w:val="0"/>
                          <w:divBdr>
                            <w:top w:val="none" w:sz="0" w:space="0" w:color="auto"/>
                            <w:left w:val="none" w:sz="0" w:space="0" w:color="auto"/>
                            <w:bottom w:val="none" w:sz="0" w:space="0" w:color="auto"/>
                            <w:right w:val="none" w:sz="0" w:space="0" w:color="auto"/>
                          </w:divBdr>
                          <w:divsChild>
                            <w:div w:id="1163592574">
                              <w:marLeft w:val="0"/>
                              <w:marRight w:val="0"/>
                              <w:marTop w:val="0"/>
                              <w:marBottom w:val="0"/>
                              <w:divBdr>
                                <w:top w:val="single" w:sz="6" w:space="2" w:color="E6E7E8"/>
                                <w:left w:val="single" w:sz="6" w:space="2" w:color="E6E7E8"/>
                                <w:bottom w:val="single" w:sz="6" w:space="2" w:color="E6E7E8"/>
                                <w:right w:val="single" w:sz="6" w:space="2" w:color="E6E7E8"/>
                              </w:divBdr>
                              <w:divsChild>
                                <w:div w:id="555051064">
                                  <w:marLeft w:val="0"/>
                                  <w:marRight w:val="0"/>
                                  <w:marTop w:val="15"/>
                                  <w:marBottom w:val="0"/>
                                  <w:divBdr>
                                    <w:top w:val="none" w:sz="0" w:space="0" w:color="auto"/>
                                    <w:left w:val="none" w:sz="0" w:space="0" w:color="auto"/>
                                    <w:bottom w:val="none" w:sz="0" w:space="0" w:color="auto"/>
                                    <w:right w:val="none" w:sz="0" w:space="0" w:color="auto"/>
                                  </w:divBdr>
                                  <w:divsChild>
                                    <w:div w:id="1265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535709">
          <w:marLeft w:val="0"/>
          <w:marRight w:val="0"/>
          <w:marTop w:val="0"/>
          <w:marBottom w:val="0"/>
          <w:divBdr>
            <w:top w:val="none" w:sz="0" w:space="0" w:color="auto"/>
            <w:left w:val="none" w:sz="0" w:space="0" w:color="auto"/>
            <w:bottom w:val="none" w:sz="0" w:space="0" w:color="auto"/>
            <w:right w:val="none" w:sz="0" w:space="0" w:color="auto"/>
          </w:divBdr>
          <w:divsChild>
            <w:div w:id="1300384786">
              <w:marLeft w:val="0"/>
              <w:marRight w:val="0"/>
              <w:marTop w:val="0"/>
              <w:marBottom w:val="0"/>
              <w:divBdr>
                <w:top w:val="none" w:sz="0" w:space="0" w:color="auto"/>
                <w:left w:val="none" w:sz="0" w:space="0" w:color="auto"/>
                <w:bottom w:val="none" w:sz="0" w:space="0" w:color="auto"/>
                <w:right w:val="none" w:sz="0" w:space="0" w:color="auto"/>
              </w:divBdr>
              <w:divsChild>
                <w:div w:id="1412580849">
                  <w:marLeft w:val="0"/>
                  <w:marRight w:val="0"/>
                  <w:marTop w:val="0"/>
                  <w:marBottom w:val="0"/>
                  <w:divBdr>
                    <w:top w:val="none" w:sz="0" w:space="0" w:color="auto"/>
                    <w:left w:val="none" w:sz="0" w:space="0" w:color="auto"/>
                    <w:bottom w:val="none" w:sz="0" w:space="0" w:color="auto"/>
                    <w:right w:val="none" w:sz="0" w:space="0" w:color="auto"/>
                  </w:divBdr>
                  <w:divsChild>
                    <w:div w:id="1994140403">
                      <w:marLeft w:val="0"/>
                      <w:marRight w:val="0"/>
                      <w:marTop w:val="0"/>
                      <w:marBottom w:val="0"/>
                      <w:divBdr>
                        <w:top w:val="none" w:sz="0" w:space="0" w:color="auto"/>
                        <w:left w:val="none" w:sz="0" w:space="0" w:color="auto"/>
                        <w:bottom w:val="none" w:sz="0" w:space="0" w:color="auto"/>
                        <w:right w:val="none" w:sz="0" w:space="0" w:color="auto"/>
                      </w:divBdr>
                      <w:divsChild>
                        <w:div w:id="1162041780">
                          <w:marLeft w:val="0"/>
                          <w:marRight w:val="0"/>
                          <w:marTop w:val="0"/>
                          <w:marBottom w:val="0"/>
                          <w:divBdr>
                            <w:top w:val="none" w:sz="0" w:space="0" w:color="auto"/>
                            <w:left w:val="none" w:sz="0" w:space="0" w:color="auto"/>
                            <w:bottom w:val="none" w:sz="0" w:space="0" w:color="auto"/>
                            <w:right w:val="none" w:sz="0" w:space="0" w:color="auto"/>
                          </w:divBdr>
                          <w:divsChild>
                            <w:div w:id="332680900">
                              <w:marLeft w:val="0"/>
                              <w:marRight w:val="0"/>
                              <w:marTop w:val="0"/>
                              <w:marBottom w:val="0"/>
                              <w:divBdr>
                                <w:top w:val="none" w:sz="0" w:space="0" w:color="auto"/>
                                <w:left w:val="none" w:sz="0" w:space="0" w:color="auto"/>
                                <w:bottom w:val="none" w:sz="0" w:space="0" w:color="auto"/>
                                <w:right w:val="none" w:sz="0" w:space="0" w:color="auto"/>
                              </w:divBdr>
                              <w:divsChild>
                                <w:div w:id="3512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6266">
      <w:bodyDiv w:val="1"/>
      <w:marLeft w:val="0"/>
      <w:marRight w:val="0"/>
      <w:marTop w:val="0"/>
      <w:marBottom w:val="0"/>
      <w:divBdr>
        <w:top w:val="none" w:sz="0" w:space="0" w:color="auto"/>
        <w:left w:val="none" w:sz="0" w:space="0" w:color="auto"/>
        <w:bottom w:val="none" w:sz="0" w:space="0" w:color="auto"/>
        <w:right w:val="none" w:sz="0" w:space="0" w:color="auto"/>
      </w:divBdr>
    </w:div>
    <w:div w:id="168063412">
      <w:bodyDiv w:val="1"/>
      <w:marLeft w:val="0"/>
      <w:marRight w:val="0"/>
      <w:marTop w:val="0"/>
      <w:marBottom w:val="0"/>
      <w:divBdr>
        <w:top w:val="none" w:sz="0" w:space="0" w:color="auto"/>
        <w:left w:val="none" w:sz="0" w:space="0" w:color="auto"/>
        <w:bottom w:val="none" w:sz="0" w:space="0" w:color="auto"/>
        <w:right w:val="none" w:sz="0" w:space="0" w:color="auto"/>
      </w:divBdr>
    </w:div>
    <w:div w:id="188418819">
      <w:bodyDiv w:val="1"/>
      <w:marLeft w:val="0"/>
      <w:marRight w:val="0"/>
      <w:marTop w:val="0"/>
      <w:marBottom w:val="0"/>
      <w:divBdr>
        <w:top w:val="none" w:sz="0" w:space="0" w:color="auto"/>
        <w:left w:val="none" w:sz="0" w:space="0" w:color="auto"/>
        <w:bottom w:val="none" w:sz="0" w:space="0" w:color="auto"/>
        <w:right w:val="none" w:sz="0" w:space="0" w:color="auto"/>
      </w:divBdr>
    </w:div>
    <w:div w:id="267398285">
      <w:bodyDiv w:val="1"/>
      <w:marLeft w:val="0"/>
      <w:marRight w:val="0"/>
      <w:marTop w:val="0"/>
      <w:marBottom w:val="0"/>
      <w:divBdr>
        <w:top w:val="none" w:sz="0" w:space="0" w:color="auto"/>
        <w:left w:val="none" w:sz="0" w:space="0" w:color="auto"/>
        <w:bottom w:val="none" w:sz="0" w:space="0" w:color="auto"/>
        <w:right w:val="none" w:sz="0" w:space="0" w:color="auto"/>
      </w:divBdr>
    </w:div>
    <w:div w:id="362051443">
      <w:bodyDiv w:val="1"/>
      <w:marLeft w:val="0"/>
      <w:marRight w:val="0"/>
      <w:marTop w:val="0"/>
      <w:marBottom w:val="0"/>
      <w:divBdr>
        <w:top w:val="none" w:sz="0" w:space="0" w:color="auto"/>
        <w:left w:val="none" w:sz="0" w:space="0" w:color="auto"/>
        <w:bottom w:val="none" w:sz="0" w:space="0" w:color="auto"/>
        <w:right w:val="none" w:sz="0" w:space="0" w:color="auto"/>
      </w:divBdr>
    </w:div>
    <w:div w:id="466821645">
      <w:bodyDiv w:val="1"/>
      <w:marLeft w:val="0"/>
      <w:marRight w:val="0"/>
      <w:marTop w:val="0"/>
      <w:marBottom w:val="0"/>
      <w:divBdr>
        <w:top w:val="none" w:sz="0" w:space="0" w:color="auto"/>
        <w:left w:val="none" w:sz="0" w:space="0" w:color="auto"/>
        <w:bottom w:val="none" w:sz="0" w:space="0" w:color="auto"/>
        <w:right w:val="none" w:sz="0" w:space="0" w:color="auto"/>
      </w:divBdr>
    </w:div>
    <w:div w:id="504831188">
      <w:bodyDiv w:val="1"/>
      <w:marLeft w:val="0"/>
      <w:marRight w:val="0"/>
      <w:marTop w:val="0"/>
      <w:marBottom w:val="0"/>
      <w:divBdr>
        <w:top w:val="none" w:sz="0" w:space="0" w:color="auto"/>
        <w:left w:val="none" w:sz="0" w:space="0" w:color="auto"/>
        <w:bottom w:val="none" w:sz="0" w:space="0" w:color="auto"/>
        <w:right w:val="none" w:sz="0" w:space="0" w:color="auto"/>
      </w:divBdr>
    </w:div>
    <w:div w:id="548078914">
      <w:bodyDiv w:val="1"/>
      <w:marLeft w:val="0"/>
      <w:marRight w:val="0"/>
      <w:marTop w:val="0"/>
      <w:marBottom w:val="0"/>
      <w:divBdr>
        <w:top w:val="none" w:sz="0" w:space="0" w:color="auto"/>
        <w:left w:val="none" w:sz="0" w:space="0" w:color="auto"/>
        <w:bottom w:val="none" w:sz="0" w:space="0" w:color="auto"/>
        <w:right w:val="none" w:sz="0" w:space="0" w:color="auto"/>
      </w:divBdr>
    </w:div>
    <w:div w:id="683825313">
      <w:bodyDiv w:val="1"/>
      <w:marLeft w:val="0"/>
      <w:marRight w:val="0"/>
      <w:marTop w:val="0"/>
      <w:marBottom w:val="0"/>
      <w:divBdr>
        <w:top w:val="none" w:sz="0" w:space="0" w:color="auto"/>
        <w:left w:val="none" w:sz="0" w:space="0" w:color="auto"/>
        <w:bottom w:val="none" w:sz="0" w:space="0" w:color="auto"/>
        <w:right w:val="none" w:sz="0" w:space="0" w:color="auto"/>
      </w:divBdr>
    </w:div>
    <w:div w:id="709261412">
      <w:bodyDiv w:val="1"/>
      <w:marLeft w:val="0"/>
      <w:marRight w:val="0"/>
      <w:marTop w:val="0"/>
      <w:marBottom w:val="0"/>
      <w:divBdr>
        <w:top w:val="none" w:sz="0" w:space="0" w:color="auto"/>
        <w:left w:val="none" w:sz="0" w:space="0" w:color="auto"/>
        <w:bottom w:val="none" w:sz="0" w:space="0" w:color="auto"/>
        <w:right w:val="none" w:sz="0" w:space="0" w:color="auto"/>
      </w:divBdr>
    </w:div>
    <w:div w:id="868421603">
      <w:bodyDiv w:val="1"/>
      <w:marLeft w:val="0"/>
      <w:marRight w:val="0"/>
      <w:marTop w:val="0"/>
      <w:marBottom w:val="0"/>
      <w:divBdr>
        <w:top w:val="none" w:sz="0" w:space="0" w:color="auto"/>
        <w:left w:val="none" w:sz="0" w:space="0" w:color="auto"/>
        <w:bottom w:val="none" w:sz="0" w:space="0" w:color="auto"/>
        <w:right w:val="none" w:sz="0" w:space="0" w:color="auto"/>
      </w:divBdr>
    </w:div>
    <w:div w:id="880556353">
      <w:bodyDiv w:val="1"/>
      <w:marLeft w:val="0"/>
      <w:marRight w:val="0"/>
      <w:marTop w:val="0"/>
      <w:marBottom w:val="0"/>
      <w:divBdr>
        <w:top w:val="none" w:sz="0" w:space="0" w:color="auto"/>
        <w:left w:val="none" w:sz="0" w:space="0" w:color="auto"/>
        <w:bottom w:val="none" w:sz="0" w:space="0" w:color="auto"/>
        <w:right w:val="none" w:sz="0" w:space="0" w:color="auto"/>
      </w:divBdr>
    </w:div>
    <w:div w:id="894585171">
      <w:bodyDiv w:val="1"/>
      <w:marLeft w:val="0"/>
      <w:marRight w:val="0"/>
      <w:marTop w:val="0"/>
      <w:marBottom w:val="0"/>
      <w:divBdr>
        <w:top w:val="none" w:sz="0" w:space="0" w:color="auto"/>
        <w:left w:val="none" w:sz="0" w:space="0" w:color="auto"/>
        <w:bottom w:val="none" w:sz="0" w:space="0" w:color="auto"/>
        <w:right w:val="none" w:sz="0" w:space="0" w:color="auto"/>
      </w:divBdr>
    </w:div>
    <w:div w:id="990719859">
      <w:bodyDiv w:val="1"/>
      <w:marLeft w:val="0"/>
      <w:marRight w:val="0"/>
      <w:marTop w:val="0"/>
      <w:marBottom w:val="0"/>
      <w:divBdr>
        <w:top w:val="none" w:sz="0" w:space="0" w:color="auto"/>
        <w:left w:val="none" w:sz="0" w:space="0" w:color="auto"/>
        <w:bottom w:val="none" w:sz="0" w:space="0" w:color="auto"/>
        <w:right w:val="none" w:sz="0" w:space="0" w:color="auto"/>
      </w:divBdr>
    </w:div>
    <w:div w:id="1037969616">
      <w:bodyDiv w:val="1"/>
      <w:marLeft w:val="0"/>
      <w:marRight w:val="0"/>
      <w:marTop w:val="0"/>
      <w:marBottom w:val="0"/>
      <w:divBdr>
        <w:top w:val="none" w:sz="0" w:space="0" w:color="auto"/>
        <w:left w:val="none" w:sz="0" w:space="0" w:color="auto"/>
        <w:bottom w:val="none" w:sz="0" w:space="0" w:color="auto"/>
        <w:right w:val="none" w:sz="0" w:space="0" w:color="auto"/>
      </w:divBdr>
    </w:div>
    <w:div w:id="1109855161">
      <w:bodyDiv w:val="1"/>
      <w:marLeft w:val="0"/>
      <w:marRight w:val="0"/>
      <w:marTop w:val="0"/>
      <w:marBottom w:val="0"/>
      <w:divBdr>
        <w:top w:val="none" w:sz="0" w:space="0" w:color="auto"/>
        <w:left w:val="none" w:sz="0" w:space="0" w:color="auto"/>
        <w:bottom w:val="none" w:sz="0" w:space="0" w:color="auto"/>
        <w:right w:val="none" w:sz="0" w:space="0" w:color="auto"/>
      </w:divBdr>
    </w:div>
    <w:div w:id="1138690287">
      <w:bodyDiv w:val="1"/>
      <w:marLeft w:val="0"/>
      <w:marRight w:val="0"/>
      <w:marTop w:val="0"/>
      <w:marBottom w:val="0"/>
      <w:divBdr>
        <w:top w:val="none" w:sz="0" w:space="0" w:color="auto"/>
        <w:left w:val="none" w:sz="0" w:space="0" w:color="auto"/>
        <w:bottom w:val="none" w:sz="0" w:space="0" w:color="auto"/>
        <w:right w:val="none" w:sz="0" w:space="0" w:color="auto"/>
      </w:divBdr>
    </w:div>
    <w:div w:id="1156068866">
      <w:bodyDiv w:val="1"/>
      <w:marLeft w:val="0"/>
      <w:marRight w:val="0"/>
      <w:marTop w:val="0"/>
      <w:marBottom w:val="0"/>
      <w:divBdr>
        <w:top w:val="none" w:sz="0" w:space="0" w:color="auto"/>
        <w:left w:val="none" w:sz="0" w:space="0" w:color="auto"/>
        <w:bottom w:val="none" w:sz="0" w:space="0" w:color="auto"/>
        <w:right w:val="none" w:sz="0" w:space="0" w:color="auto"/>
      </w:divBdr>
    </w:div>
    <w:div w:id="1174954979">
      <w:bodyDiv w:val="1"/>
      <w:marLeft w:val="0"/>
      <w:marRight w:val="0"/>
      <w:marTop w:val="0"/>
      <w:marBottom w:val="0"/>
      <w:divBdr>
        <w:top w:val="none" w:sz="0" w:space="0" w:color="auto"/>
        <w:left w:val="none" w:sz="0" w:space="0" w:color="auto"/>
        <w:bottom w:val="none" w:sz="0" w:space="0" w:color="auto"/>
        <w:right w:val="none" w:sz="0" w:space="0" w:color="auto"/>
      </w:divBdr>
    </w:div>
    <w:div w:id="1238634743">
      <w:bodyDiv w:val="1"/>
      <w:marLeft w:val="0"/>
      <w:marRight w:val="0"/>
      <w:marTop w:val="0"/>
      <w:marBottom w:val="0"/>
      <w:divBdr>
        <w:top w:val="none" w:sz="0" w:space="0" w:color="auto"/>
        <w:left w:val="none" w:sz="0" w:space="0" w:color="auto"/>
        <w:bottom w:val="none" w:sz="0" w:space="0" w:color="auto"/>
        <w:right w:val="none" w:sz="0" w:space="0" w:color="auto"/>
      </w:divBdr>
    </w:div>
    <w:div w:id="1295066041">
      <w:bodyDiv w:val="1"/>
      <w:marLeft w:val="0"/>
      <w:marRight w:val="0"/>
      <w:marTop w:val="0"/>
      <w:marBottom w:val="0"/>
      <w:divBdr>
        <w:top w:val="none" w:sz="0" w:space="0" w:color="auto"/>
        <w:left w:val="none" w:sz="0" w:space="0" w:color="auto"/>
        <w:bottom w:val="none" w:sz="0" w:space="0" w:color="auto"/>
        <w:right w:val="none" w:sz="0" w:space="0" w:color="auto"/>
      </w:divBdr>
    </w:div>
    <w:div w:id="1307515950">
      <w:bodyDiv w:val="1"/>
      <w:marLeft w:val="0"/>
      <w:marRight w:val="0"/>
      <w:marTop w:val="0"/>
      <w:marBottom w:val="0"/>
      <w:divBdr>
        <w:top w:val="none" w:sz="0" w:space="0" w:color="auto"/>
        <w:left w:val="none" w:sz="0" w:space="0" w:color="auto"/>
        <w:bottom w:val="none" w:sz="0" w:space="0" w:color="auto"/>
        <w:right w:val="none" w:sz="0" w:space="0" w:color="auto"/>
      </w:divBdr>
    </w:div>
    <w:div w:id="1333412450">
      <w:bodyDiv w:val="1"/>
      <w:marLeft w:val="0"/>
      <w:marRight w:val="0"/>
      <w:marTop w:val="0"/>
      <w:marBottom w:val="0"/>
      <w:divBdr>
        <w:top w:val="none" w:sz="0" w:space="0" w:color="auto"/>
        <w:left w:val="none" w:sz="0" w:space="0" w:color="auto"/>
        <w:bottom w:val="none" w:sz="0" w:space="0" w:color="auto"/>
        <w:right w:val="none" w:sz="0" w:space="0" w:color="auto"/>
      </w:divBdr>
    </w:div>
    <w:div w:id="1411077852">
      <w:bodyDiv w:val="1"/>
      <w:marLeft w:val="0"/>
      <w:marRight w:val="0"/>
      <w:marTop w:val="0"/>
      <w:marBottom w:val="0"/>
      <w:divBdr>
        <w:top w:val="none" w:sz="0" w:space="0" w:color="auto"/>
        <w:left w:val="none" w:sz="0" w:space="0" w:color="auto"/>
        <w:bottom w:val="none" w:sz="0" w:space="0" w:color="auto"/>
        <w:right w:val="none" w:sz="0" w:space="0" w:color="auto"/>
      </w:divBdr>
    </w:div>
    <w:div w:id="1446852068">
      <w:bodyDiv w:val="1"/>
      <w:marLeft w:val="0"/>
      <w:marRight w:val="0"/>
      <w:marTop w:val="0"/>
      <w:marBottom w:val="0"/>
      <w:divBdr>
        <w:top w:val="none" w:sz="0" w:space="0" w:color="auto"/>
        <w:left w:val="none" w:sz="0" w:space="0" w:color="auto"/>
        <w:bottom w:val="none" w:sz="0" w:space="0" w:color="auto"/>
        <w:right w:val="none" w:sz="0" w:space="0" w:color="auto"/>
      </w:divBdr>
    </w:div>
    <w:div w:id="1472289481">
      <w:bodyDiv w:val="1"/>
      <w:marLeft w:val="0"/>
      <w:marRight w:val="0"/>
      <w:marTop w:val="0"/>
      <w:marBottom w:val="0"/>
      <w:divBdr>
        <w:top w:val="none" w:sz="0" w:space="0" w:color="auto"/>
        <w:left w:val="none" w:sz="0" w:space="0" w:color="auto"/>
        <w:bottom w:val="none" w:sz="0" w:space="0" w:color="auto"/>
        <w:right w:val="none" w:sz="0" w:space="0" w:color="auto"/>
      </w:divBdr>
    </w:div>
    <w:div w:id="1476681569">
      <w:bodyDiv w:val="1"/>
      <w:marLeft w:val="0"/>
      <w:marRight w:val="0"/>
      <w:marTop w:val="0"/>
      <w:marBottom w:val="0"/>
      <w:divBdr>
        <w:top w:val="none" w:sz="0" w:space="0" w:color="auto"/>
        <w:left w:val="none" w:sz="0" w:space="0" w:color="auto"/>
        <w:bottom w:val="none" w:sz="0" w:space="0" w:color="auto"/>
        <w:right w:val="none" w:sz="0" w:space="0" w:color="auto"/>
      </w:divBdr>
    </w:div>
    <w:div w:id="1498613876">
      <w:bodyDiv w:val="1"/>
      <w:marLeft w:val="0"/>
      <w:marRight w:val="0"/>
      <w:marTop w:val="0"/>
      <w:marBottom w:val="0"/>
      <w:divBdr>
        <w:top w:val="none" w:sz="0" w:space="0" w:color="auto"/>
        <w:left w:val="none" w:sz="0" w:space="0" w:color="auto"/>
        <w:bottom w:val="none" w:sz="0" w:space="0" w:color="auto"/>
        <w:right w:val="none" w:sz="0" w:space="0" w:color="auto"/>
      </w:divBdr>
    </w:div>
    <w:div w:id="1554467210">
      <w:bodyDiv w:val="1"/>
      <w:marLeft w:val="0"/>
      <w:marRight w:val="0"/>
      <w:marTop w:val="0"/>
      <w:marBottom w:val="0"/>
      <w:divBdr>
        <w:top w:val="none" w:sz="0" w:space="0" w:color="auto"/>
        <w:left w:val="none" w:sz="0" w:space="0" w:color="auto"/>
        <w:bottom w:val="none" w:sz="0" w:space="0" w:color="auto"/>
        <w:right w:val="none" w:sz="0" w:space="0" w:color="auto"/>
      </w:divBdr>
    </w:div>
    <w:div w:id="1591044035">
      <w:bodyDiv w:val="1"/>
      <w:marLeft w:val="0"/>
      <w:marRight w:val="0"/>
      <w:marTop w:val="0"/>
      <w:marBottom w:val="0"/>
      <w:divBdr>
        <w:top w:val="none" w:sz="0" w:space="0" w:color="auto"/>
        <w:left w:val="none" w:sz="0" w:space="0" w:color="auto"/>
        <w:bottom w:val="none" w:sz="0" w:space="0" w:color="auto"/>
        <w:right w:val="none" w:sz="0" w:space="0" w:color="auto"/>
      </w:divBdr>
    </w:div>
    <w:div w:id="1591156775">
      <w:bodyDiv w:val="1"/>
      <w:marLeft w:val="0"/>
      <w:marRight w:val="0"/>
      <w:marTop w:val="0"/>
      <w:marBottom w:val="0"/>
      <w:divBdr>
        <w:top w:val="none" w:sz="0" w:space="0" w:color="auto"/>
        <w:left w:val="none" w:sz="0" w:space="0" w:color="auto"/>
        <w:bottom w:val="none" w:sz="0" w:space="0" w:color="auto"/>
        <w:right w:val="none" w:sz="0" w:space="0" w:color="auto"/>
      </w:divBdr>
    </w:div>
    <w:div w:id="1591546878">
      <w:bodyDiv w:val="1"/>
      <w:marLeft w:val="0"/>
      <w:marRight w:val="0"/>
      <w:marTop w:val="0"/>
      <w:marBottom w:val="0"/>
      <w:divBdr>
        <w:top w:val="none" w:sz="0" w:space="0" w:color="auto"/>
        <w:left w:val="none" w:sz="0" w:space="0" w:color="auto"/>
        <w:bottom w:val="none" w:sz="0" w:space="0" w:color="auto"/>
        <w:right w:val="none" w:sz="0" w:space="0" w:color="auto"/>
      </w:divBdr>
    </w:div>
    <w:div w:id="1618100814">
      <w:bodyDiv w:val="1"/>
      <w:marLeft w:val="0"/>
      <w:marRight w:val="0"/>
      <w:marTop w:val="0"/>
      <w:marBottom w:val="0"/>
      <w:divBdr>
        <w:top w:val="none" w:sz="0" w:space="0" w:color="auto"/>
        <w:left w:val="none" w:sz="0" w:space="0" w:color="auto"/>
        <w:bottom w:val="none" w:sz="0" w:space="0" w:color="auto"/>
        <w:right w:val="none" w:sz="0" w:space="0" w:color="auto"/>
      </w:divBdr>
    </w:div>
    <w:div w:id="1730691501">
      <w:bodyDiv w:val="1"/>
      <w:marLeft w:val="0"/>
      <w:marRight w:val="0"/>
      <w:marTop w:val="0"/>
      <w:marBottom w:val="0"/>
      <w:divBdr>
        <w:top w:val="none" w:sz="0" w:space="0" w:color="auto"/>
        <w:left w:val="none" w:sz="0" w:space="0" w:color="auto"/>
        <w:bottom w:val="none" w:sz="0" w:space="0" w:color="auto"/>
        <w:right w:val="none" w:sz="0" w:space="0" w:color="auto"/>
      </w:divBdr>
    </w:div>
    <w:div w:id="1786927888">
      <w:bodyDiv w:val="1"/>
      <w:marLeft w:val="0"/>
      <w:marRight w:val="0"/>
      <w:marTop w:val="0"/>
      <w:marBottom w:val="0"/>
      <w:divBdr>
        <w:top w:val="none" w:sz="0" w:space="0" w:color="auto"/>
        <w:left w:val="none" w:sz="0" w:space="0" w:color="auto"/>
        <w:bottom w:val="none" w:sz="0" w:space="0" w:color="auto"/>
        <w:right w:val="none" w:sz="0" w:space="0" w:color="auto"/>
      </w:divBdr>
      <w:divsChild>
        <w:div w:id="1681732673">
          <w:marLeft w:val="0"/>
          <w:marRight w:val="0"/>
          <w:marTop w:val="0"/>
          <w:marBottom w:val="0"/>
          <w:divBdr>
            <w:top w:val="none" w:sz="0" w:space="0" w:color="auto"/>
            <w:left w:val="none" w:sz="0" w:space="0" w:color="auto"/>
            <w:bottom w:val="none" w:sz="0" w:space="0" w:color="auto"/>
            <w:right w:val="none" w:sz="0" w:space="0" w:color="auto"/>
          </w:divBdr>
          <w:divsChild>
            <w:div w:id="1879973519">
              <w:marLeft w:val="0"/>
              <w:marRight w:val="0"/>
              <w:marTop w:val="0"/>
              <w:marBottom w:val="0"/>
              <w:divBdr>
                <w:top w:val="none" w:sz="0" w:space="0" w:color="auto"/>
                <w:left w:val="none" w:sz="0" w:space="0" w:color="auto"/>
                <w:bottom w:val="none" w:sz="0" w:space="0" w:color="auto"/>
                <w:right w:val="none" w:sz="0" w:space="0" w:color="auto"/>
              </w:divBdr>
              <w:divsChild>
                <w:div w:id="602373165">
                  <w:marLeft w:val="0"/>
                  <w:marRight w:val="0"/>
                  <w:marTop w:val="0"/>
                  <w:marBottom w:val="0"/>
                  <w:divBdr>
                    <w:top w:val="none" w:sz="0" w:space="0" w:color="auto"/>
                    <w:left w:val="none" w:sz="0" w:space="0" w:color="auto"/>
                    <w:bottom w:val="none" w:sz="0" w:space="0" w:color="auto"/>
                    <w:right w:val="none" w:sz="0" w:space="0" w:color="auto"/>
                  </w:divBdr>
                  <w:divsChild>
                    <w:div w:id="1965427210">
                      <w:marLeft w:val="0"/>
                      <w:marRight w:val="0"/>
                      <w:marTop w:val="100"/>
                      <w:marBottom w:val="100"/>
                      <w:divBdr>
                        <w:top w:val="none" w:sz="0" w:space="0" w:color="auto"/>
                        <w:left w:val="none" w:sz="0" w:space="0" w:color="auto"/>
                        <w:bottom w:val="none" w:sz="0" w:space="0" w:color="auto"/>
                        <w:right w:val="none" w:sz="0" w:space="0" w:color="auto"/>
                      </w:divBdr>
                      <w:divsChild>
                        <w:div w:id="518155318">
                          <w:marLeft w:val="0"/>
                          <w:marRight w:val="0"/>
                          <w:marTop w:val="0"/>
                          <w:marBottom w:val="0"/>
                          <w:divBdr>
                            <w:top w:val="none" w:sz="0" w:space="0" w:color="auto"/>
                            <w:left w:val="none" w:sz="0" w:space="0" w:color="auto"/>
                            <w:bottom w:val="none" w:sz="0" w:space="0" w:color="auto"/>
                            <w:right w:val="none" w:sz="0" w:space="0" w:color="auto"/>
                          </w:divBdr>
                          <w:divsChild>
                            <w:div w:id="1601910001">
                              <w:marLeft w:val="0"/>
                              <w:marRight w:val="0"/>
                              <w:marTop w:val="0"/>
                              <w:marBottom w:val="0"/>
                              <w:divBdr>
                                <w:top w:val="single" w:sz="6" w:space="2" w:color="E6E7E8"/>
                                <w:left w:val="single" w:sz="6" w:space="2" w:color="E6E7E8"/>
                                <w:bottom w:val="single" w:sz="6" w:space="2" w:color="E6E7E8"/>
                                <w:right w:val="single" w:sz="6" w:space="2" w:color="E6E7E8"/>
                              </w:divBdr>
                              <w:divsChild>
                                <w:div w:id="1714498359">
                                  <w:marLeft w:val="0"/>
                                  <w:marRight w:val="0"/>
                                  <w:marTop w:val="15"/>
                                  <w:marBottom w:val="0"/>
                                  <w:divBdr>
                                    <w:top w:val="none" w:sz="0" w:space="0" w:color="auto"/>
                                    <w:left w:val="none" w:sz="0" w:space="0" w:color="auto"/>
                                    <w:bottom w:val="none" w:sz="0" w:space="0" w:color="auto"/>
                                    <w:right w:val="none" w:sz="0" w:space="0" w:color="auto"/>
                                  </w:divBdr>
                                  <w:divsChild>
                                    <w:div w:id="6939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438974">
          <w:marLeft w:val="0"/>
          <w:marRight w:val="0"/>
          <w:marTop w:val="0"/>
          <w:marBottom w:val="0"/>
          <w:divBdr>
            <w:top w:val="none" w:sz="0" w:space="0" w:color="auto"/>
            <w:left w:val="none" w:sz="0" w:space="0" w:color="auto"/>
            <w:bottom w:val="none" w:sz="0" w:space="0" w:color="auto"/>
            <w:right w:val="none" w:sz="0" w:space="0" w:color="auto"/>
          </w:divBdr>
          <w:divsChild>
            <w:div w:id="1748461139">
              <w:marLeft w:val="0"/>
              <w:marRight w:val="0"/>
              <w:marTop w:val="0"/>
              <w:marBottom w:val="0"/>
              <w:divBdr>
                <w:top w:val="none" w:sz="0" w:space="0" w:color="auto"/>
                <w:left w:val="none" w:sz="0" w:space="0" w:color="auto"/>
                <w:bottom w:val="none" w:sz="0" w:space="0" w:color="auto"/>
                <w:right w:val="none" w:sz="0" w:space="0" w:color="auto"/>
              </w:divBdr>
              <w:divsChild>
                <w:div w:id="68190076">
                  <w:marLeft w:val="0"/>
                  <w:marRight w:val="0"/>
                  <w:marTop w:val="0"/>
                  <w:marBottom w:val="0"/>
                  <w:divBdr>
                    <w:top w:val="none" w:sz="0" w:space="0" w:color="auto"/>
                    <w:left w:val="none" w:sz="0" w:space="0" w:color="auto"/>
                    <w:bottom w:val="none" w:sz="0" w:space="0" w:color="auto"/>
                    <w:right w:val="none" w:sz="0" w:space="0" w:color="auto"/>
                  </w:divBdr>
                  <w:divsChild>
                    <w:div w:id="2075735094">
                      <w:marLeft w:val="0"/>
                      <w:marRight w:val="0"/>
                      <w:marTop w:val="0"/>
                      <w:marBottom w:val="0"/>
                      <w:divBdr>
                        <w:top w:val="none" w:sz="0" w:space="0" w:color="auto"/>
                        <w:left w:val="none" w:sz="0" w:space="0" w:color="auto"/>
                        <w:bottom w:val="none" w:sz="0" w:space="0" w:color="auto"/>
                        <w:right w:val="none" w:sz="0" w:space="0" w:color="auto"/>
                      </w:divBdr>
                      <w:divsChild>
                        <w:div w:id="770315579">
                          <w:marLeft w:val="0"/>
                          <w:marRight w:val="0"/>
                          <w:marTop w:val="0"/>
                          <w:marBottom w:val="0"/>
                          <w:divBdr>
                            <w:top w:val="none" w:sz="0" w:space="0" w:color="auto"/>
                            <w:left w:val="none" w:sz="0" w:space="0" w:color="auto"/>
                            <w:bottom w:val="none" w:sz="0" w:space="0" w:color="auto"/>
                            <w:right w:val="none" w:sz="0" w:space="0" w:color="auto"/>
                          </w:divBdr>
                          <w:divsChild>
                            <w:div w:id="1200095870">
                              <w:marLeft w:val="0"/>
                              <w:marRight w:val="0"/>
                              <w:marTop w:val="0"/>
                              <w:marBottom w:val="0"/>
                              <w:divBdr>
                                <w:top w:val="none" w:sz="0" w:space="0" w:color="auto"/>
                                <w:left w:val="none" w:sz="0" w:space="0" w:color="auto"/>
                                <w:bottom w:val="none" w:sz="0" w:space="0" w:color="auto"/>
                                <w:right w:val="none" w:sz="0" w:space="0" w:color="auto"/>
                              </w:divBdr>
                              <w:divsChild>
                                <w:div w:id="691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189398">
      <w:bodyDiv w:val="1"/>
      <w:marLeft w:val="0"/>
      <w:marRight w:val="0"/>
      <w:marTop w:val="0"/>
      <w:marBottom w:val="0"/>
      <w:divBdr>
        <w:top w:val="none" w:sz="0" w:space="0" w:color="auto"/>
        <w:left w:val="none" w:sz="0" w:space="0" w:color="auto"/>
        <w:bottom w:val="none" w:sz="0" w:space="0" w:color="auto"/>
        <w:right w:val="none" w:sz="0" w:space="0" w:color="auto"/>
      </w:divBdr>
    </w:div>
    <w:div w:id="1868447121">
      <w:bodyDiv w:val="1"/>
      <w:marLeft w:val="0"/>
      <w:marRight w:val="0"/>
      <w:marTop w:val="0"/>
      <w:marBottom w:val="0"/>
      <w:divBdr>
        <w:top w:val="none" w:sz="0" w:space="0" w:color="auto"/>
        <w:left w:val="none" w:sz="0" w:space="0" w:color="auto"/>
        <w:bottom w:val="none" w:sz="0" w:space="0" w:color="auto"/>
        <w:right w:val="none" w:sz="0" w:space="0" w:color="auto"/>
      </w:divBdr>
    </w:div>
    <w:div w:id="1929846589">
      <w:bodyDiv w:val="1"/>
      <w:marLeft w:val="0"/>
      <w:marRight w:val="0"/>
      <w:marTop w:val="0"/>
      <w:marBottom w:val="0"/>
      <w:divBdr>
        <w:top w:val="none" w:sz="0" w:space="0" w:color="auto"/>
        <w:left w:val="none" w:sz="0" w:space="0" w:color="auto"/>
        <w:bottom w:val="none" w:sz="0" w:space="0" w:color="auto"/>
        <w:right w:val="none" w:sz="0" w:space="0" w:color="auto"/>
      </w:divBdr>
    </w:div>
    <w:div w:id="1974021883">
      <w:bodyDiv w:val="1"/>
      <w:marLeft w:val="0"/>
      <w:marRight w:val="0"/>
      <w:marTop w:val="0"/>
      <w:marBottom w:val="0"/>
      <w:divBdr>
        <w:top w:val="none" w:sz="0" w:space="0" w:color="auto"/>
        <w:left w:val="none" w:sz="0" w:space="0" w:color="auto"/>
        <w:bottom w:val="none" w:sz="0" w:space="0" w:color="auto"/>
        <w:right w:val="none" w:sz="0" w:space="0" w:color="auto"/>
      </w:divBdr>
    </w:div>
    <w:div w:id="1975987186">
      <w:bodyDiv w:val="1"/>
      <w:marLeft w:val="0"/>
      <w:marRight w:val="0"/>
      <w:marTop w:val="0"/>
      <w:marBottom w:val="0"/>
      <w:divBdr>
        <w:top w:val="none" w:sz="0" w:space="0" w:color="auto"/>
        <w:left w:val="none" w:sz="0" w:space="0" w:color="auto"/>
        <w:bottom w:val="none" w:sz="0" w:space="0" w:color="auto"/>
        <w:right w:val="none" w:sz="0" w:space="0" w:color="auto"/>
      </w:divBdr>
    </w:div>
    <w:div w:id="2011326645">
      <w:bodyDiv w:val="1"/>
      <w:marLeft w:val="0"/>
      <w:marRight w:val="0"/>
      <w:marTop w:val="0"/>
      <w:marBottom w:val="0"/>
      <w:divBdr>
        <w:top w:val="none" w:sz="0" w:space="0" w:color="auto"/>
        <w:left w:val="none" w:sz="0" w:space="0" w:color="auto"/>
        <w:bottom w:val="none" w:sz="0" w:space="0" w:color="auto"/>
        <w:right w:val="none" w:sz="0" w:space="0" w:color="auto"/>
      </w:divBdr>
    </w:div>
    <w:div w:id="2057313732">
      <w:bodyDiv w:val="1"/>
      <w:marLeft w:val="0"/>
      <w:marRight w:val="0"/>
      <w:marTop w:val="0"/>
      <w:marBottom w:val="0"/>
      <w:divBdr>
        <w:top w:val="none" w:sz="0" w:space="0" w:color="auto"/>
        <w:left w:val="none" w:sz="0" w:space="0" w:color="auto"/>
        <w:bottom w:val="none" w:sz="0" w:space="0" w:color="auto"/>
        <w:right w:val="none" w:sz="0" w:space="0" w:color="auto"/>
      </w:divBdr>
    </w:div>
    <w:div w:id="2060084041">
      <w:bodyDiv w:val="1"/>
      <w:marLeft w:val="0"/>
      <w:marRight w:val="0"/>
      <w:marTop w:val="0"/>
      <w:marBottom w:val="0"/>
      <w:divBdr>
        <w:top w:val="none" w:sz="0" w:space="0" w:color="auto"/>
        <w:left w:val="none" w:sz="0" w:space="0" w:color="auto"/>
        <w:bottom w:val="none" w:sz="0" w:space="0" w:color="auto"/>
        <w:right w:val="none" w:sz="0" w:space="0" w:color="auto"/>
      </w:divBdr>
    </w:div>
    <w:div w:id="21160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97d975-943b-4f6a-8f5e-4e2815f19ee6">
      <Terms xmlns="http://schemas.microsoft.com/office/infopath/2007/PartnerControls"/>
    </lcf76f155ced4ddcb4097134ff3c332f>
    <TaxCatchAll xmlns="14c98344-17fa-4edc-a3f4-d9304d142a0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7421F0AC79BD84AB7CAEC38CA4814BB" ma:contentTypeVersion="13" ma:contentTypeDescription="Create a new document." ma:contentTypeScope="" ma:versionID="d2557d8544d17470224ac7e3ed5debd8">
  <xsd:schema xmlns:xsd="http://www.w3.org/2001/XMLSchema" xmlns:xs="http://www.w3.org/2001/XMLSchema" xmlns:p="http://schemas.microsoft.com/office/2006/metadata/properties" xmlns:ns2="451a1b24-28b1-4344-ae9c-aeac6b83f159" xmlns:ns3="9097d975-943b-4f6a-8f5e-4e2815f19ee6" xmlns:ns4="14c98344-17fa-4edc-a3f4-d9304d142a0f" targetNamespace="http://schemas.microsoft.com/office/2006/metadata/properties" ma:root="true" ma:fieldsID="5dbaf86b7e89dfd7201f4672504a1bf3" ns2:_="" ns3:_="" ns4:_="">
    <xsd:import namespace="451a1b24-28b1-4344-ae9c-aeac6b83f159"/>
    <xsd:import namespace="9097d975-943b-4f6a-8f5e-4e2815f19ee6"/>
    <xsd:import namespace="14c98344-17fa-4edc-a3f4-d9304d142a0f"/>
    <xsd:element name="properties">
      <xsd:complexType>
        <xsd:sequence>
          <xsd:element name="documentManagement">
            <xsd:complexType>
              <xsd:all>
                <xsd:element ref="ns2:SharedWithUsers" minOccurs="0"/>
                <xsd:element ref="ns2:SharedWithDetails" minOccurs="0"/>
                <xsd:element ref="ns3:lcf76f155ced4ddcb4097134ff3c332f" minOccurs="0"/>
                <xsd:element ref="ns4:TaxCatchAll"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a1b24-28b1-4344-ae9c-aeac6b83f1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7d975-943b-4f6a-8f5e-4e2815f19ee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c98344-17fa-4edc-a3f4-d9304d142a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c6fb433-60c0-4d39-b221-ef3d253ff0a5}" ma:internalName="TaxCatchAll" ma:showField="CatchAllData" ma:web="451a1b24-28b1-4344-ae9c-aeac6b83f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2.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512DC-EEE9-184B-ACF8-2D9D13C4012F}">
  <ds:schemaRefs>
    <ds:schemaRef ds:uri="http://schemas.openxmlformats.org/officeDocument/2006/bibliography"/>
  </ds:schemaRefs>
</ds:datastoreItem>
</file>

<file path=customXml/itemProps4.xml><?xml version="1.0" encoding="utf-8"?>
<ds:datastoreItem xmlns:ds="http://schemas.openxmlformats.org/officeDocument/2006/customXml" ds:itemID="{9D1E012A-7603-4016-BA7F-2569ED04C24E}"/>
</file>

<file path=docProps/app.xml><?xml version="1.0" encoding="utf-8"?>
<Properties xmlns="http://schemas.openxmlformats.org/officeDocument/2006/extended-properties" xmlns:vt="http://schemas.openxmlformats.org/officeDocument/2006/docPropsVTypes">
  <Template>Normal</Template>
  <TotalTime>19</TotalTime>
  <Pages>9</Pages>
  <Words>3325</Words>
  <Characters>19666</Characters>
  <Application>Microsoft Office Word</Application>
  <DocSecurity>0</DocSecurity>
  <Lines>163</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CP results summary</vt:lpstr>
      <vt:lpstr>CP results summary</vt:lpstr>
    </vt:vector>
  </TitlesOfParts>
  <Company>UNDP</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Ayele Wansi Satchivi</cp:lastModifiedBy>
  <cp:revision>18</cp:revision>
  <cp:lastPrinted>2023-04-26T14:58:00Z</cp:lastPrinted>
  <dcterms:created xsi:type="dcterms:W3CDTF">2023-04-27T12:40:00Z</dcterms:created>
  <dcterms:modified xsi:type="dcterms:W3CDTF">2023-04-28T10:10:00Z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0x010100C7421F0AC79BD84AB7CAEC38CA4814BB</vt:lpwstr>
  </property>
  <property fmtid="{D5CDD505-2E9C-101B-9397-08002B2CF9AE}" pid="3" name="_dlc_DocIdItemGuid">
    <vt:lpwstr>f27af4bb-be3d-4f14-9b6a-c8842e8f76c8</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