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D470" w14:textId="21CF6551" w:rsidR="00785474" w:rsidRPr="00E00BCB" w:rsidRDefault="00F0264E" w:rsidP="00A56348">
      <w:pPr>
        <w:rPr>
          <w:b/>
          <w:i/>
          <w:color w:val="000000"/>
        </w:rPr>
      </w:pPr>
      <w:r w:rsidRPr="00E00BCB">
        <w:rPr>
          <w:b/>
          <w:bCs/>
          <w:color w:val="000000"/>
        </w:rPr>
        <w:t>ANNEX</w:t>
      </w:r>
      <w:r w:rsidRPr="00E00BCB">
        <w:rPr>
          <w:bCs/>
          <w:color w:val="000000"/>
        </w:rPr>
        <w:t xml:space="preserve">. </w:t>
      </w:r>
      <w:r w:rsidR="00CB2FE7" w:rsidRPr="00E00BCB">
        <w:rPr>
          <w:b/>
          <w:bCs/>
          <w:color w:val="000000"/>
        </w:rPr>
        <w:t>FULLY-</w:t>
      </w:r>
      <w:r w:rsidR="00785474" w:rsidRPr="00E00BCB">
        <w:rPr>
          <w:b/>
          <w:color w:val="000000"/>
        </w:rPr>
        <w:t xml:space="preserve">COSTED EVALUATION PLAN </w:t>
      </w:r>
      <w:r w:rsidR="00C471C7" w:rsidRPr="00E00BCB">
        <w:rPr>
          <w:b/>
          <w:color w:val="000000"/>
        </w:rPr>
        <w:t xml:space="preserve">BOLIVIA </w:t>
      </w:r>
      <w:r w:rsidR="00780E8C" w:rsidRPr="00E00BCB">
        <w:rPr>
          <w:b/>
          <w:color w:val="000000"/>
        </w:rPr>
        <w:t>2023 - 2027</w:t>
      </w:r>
    </w:p>
    <w:p w14:paraId="2440D471" w14:textId="45618EA5" w:rsidR="00785474" w:rsidRPr="00E00BCB" w:rsidRDefault="00785474" w:rsidP="00A56348">
      <w:pPr>
        <w:rPr>
          <w:color w:val="000000"/>
        </w:rPr>
      </w:pPr>
    </w:p>
    <w:p w14:paraId="1FAA3419" w14:textId="47DA2409" w:rsidR="003E2CA7" w:rsidRPr="00E00BCB" w:rsidRDefault="00155FB1" w:rsidP="003D5DC0">
      <w:pPr>
        <w:jc w:val="both"/>
        <w:rPr>
          <w:color w:val="000000"/>
        </w:rPr>
      </w:pPr>
      <w:r w:rsidRPr="00E00BCB">
        <w:rPr>
          <w:color w:val="000000"/>
        </w:rPr>
        <w:t xml:space="preserve">The CPD Evaluation Plan is a </w:t>
      </w:r>
      <w:r w:rsidR="00687A3C" w:rsidRPr="00E00BCB">
        <w:rPr>
          <w:color w:val="000000"/>
        </w:rPr>
        <w:t xml:space="preserve">strategic and relevant </w:t>
      </w:r>
      <w:r w:rsidRPr="00E00BCB">
        <w:rPr>
          <w:color w:val="000000"/>
        </w:rPr>
        <w:t>knowledge management</w:t>
      </w:r>
      <w:r w:rsidR="00687A3C" w:rsidRPr="00E00BCB">
        <w:rPr>
          <w:color w:val="000000"/>
        </w:rPr>
        <w:t>, accountability and learning mechanism</w:t>
      </w:r>
      <w:r w:rsidRPr="00E00BCB">
        <w:rPr>
          <w:color w:val="000000"/>
        </w:rPr>
        <w:t xml:space="preserve"> for the Country Offic</w:t>
      </w:r>
      <w:r w:rsidR="00687A3C" w:rsidRPr="00E00BCB">
        <w:rPr>
          <w:color w:val="000000"/>
        </w:rPr>
        <w:t>e</w:t>
      </w:r>
      <w:r w:rsidR="00DB67F0" w:rsidRPr="00E00BCB">
        <w:rPr>
          <w:color w:val="000000"/>
        </w:rPr>
        <w:t>, counterparts</w:t>
      </w:r>
      <w:r w:rsidR="00917A9E" w:rsidRPr="00E00BCB">
        <w:rPr>
          <w:color w:val="000000"/>
        </w:rPr>
        <w:t xml:space="preserve"> and stakeholders. </w:t>
      </w:r>
    </w:p>
    <w:p w14:paraId="141CDB53" w14:textId="50418D91" w:rsidR="008548F4" w:rsidRPr="00E00BCB" w:rsidRDefault="003E2CA7" w:rsidP="003D5DC0">
      <w:pPr>
        <w:jc w:val="both"/>
        <w:rPr>
          <w:color w:val="000000"/>
        </w:rPr>
      </w:pPr>
      <w:r w:rsidRPr="00E00BCB">
        <w:rPr>
          <w:color w:val="000000"/>
        </w:rPr>
        <w:t>The Evaluation Plan includes strategic evaluations: one for each outcome</w:t>
      </w:r>
      <w:r w:rsidR="00A07F23" w:rsidRPr="00E00BCB">
        <w:rPr>
          <w:color w:val="000000"/>
        </w:rPr>
        <w:t xml:space="preserve"> </w:t>
      </w:r>
      <w:r w:rsidR="00FE0090" w:rsidRPr="00E00BCB">
        <w:rPr>
          <w:color w:val="000000"/>
        </w:rPr>
        <w:t xml:space="preserve">with </w:t>
      </w:r>
      <w:r w:rsidR="006713AD" w:rsidRPr="00E00BCB">
        <w:rPr>
          <w:color w:val="000000"/>
        </w:rPr>
        <w:t xml:space="preserve">the portfolio approach </w:t>
      </w:r>
      <w:r w:rsidR="0002019E" w:rsidRPr="00E00BCB">
        <w:rPr>
          <w:color w:val="000000"/>
        </w:rPr>
        <w:t>that will contribute towards documenting success and lessons of UNDP Strategic Plan</w:t>
      </w:r>
      <w:r w:rsidR="001B12F2" w:rsidRPr="00E00BCB">
        <w:rPr>
          <w:color w:val="000000"/>
        </w:rPr>
        <w:t>:</w:t>
      </w:r>
      <w:r w:rsidR="0002019E" w:rsidRPr="00E00BCB">
        <w:rPr>
          <w:color w:val="000000"/>
        </w:rPr>
        <w:t xml:space="preserve"> Outcome 1</w:t>
      </w:r>
      <w:r w:rsidR="00880BEA" w:rsidRPr="00E00BCB">
        <w:rPr>
          <w:color w:val="000000"/>
        </w:rPr>
        <w:t>.</w:t>
      </w:r>
      <w:r w:rsidR="0002019E" w:rsidRPr="00E00BCB">
        <w:rPr>
          <w:color w:val="000000"/>
        </w:rPr>
        <w:t xml:space="preserve"> Structural transformation accelerated, particularly green, inclusive, and digital transitions</w:t>
      </w:r>
      <w:r w:rsidR="00880BEA" w:rsidRPr="00E00BCB">
        <w:rPr>
          <w:color w:val="000000"/>
        </w:rPr>
        <w:t>,</w:t>
      </w:r>
      <w:r w:rsidR="0002019E" w:rsidRPr="00E00BCB">
        <w:rPr>
          <w:color w:val="000000"/>
        </w:rPr>
        <w:t xml:space="preserve"> Outcome 2 No one left behind, centering on equitable access to opportunities and a rights-based approach to human agency and human development</w:t>
      </w:r>
      <w:r w:rsidR="00880BEA" w:rsidRPr="00E00BCB">
        <w:rPr>
          <w:color w:val="000000"/>
        </w:rPr>
        <w:t xml:space="preserve"> and Outcome 3 </w:t>
      </w:r>
      <w:r w:rsidR="00AE1366" w:rsidRPr="00E00BCB">
        <w:rPr>
          <w:color w:val="000000"/>
        </w:rPr>
        <w:t>Resilience built to respond to systemic uncertainty and risk</w:t>
      </w:r>
      <w:r w:rsidR="009C683A" w:rsidRPr="00E00BCB">
        <w:rPr>
          <w:color w:val="000000"/>
        </w:rPr>
        <w:t>.</w:t>
      </w:r>
      <w:r w:rsidR="005D3939" w:rsidRPr="00E00BCB">
        <w:rPr>
          <w:color w:val="000000"/>
        </w:rPr>
        <w:t xml:space="preserve"> </w:t>
      </w:r>
      <w:r w:rsidR="00D65D35" w:rsidRPr="00E00BCB">
        <w:rPr>
          <w:color w:val="000000"/>
        </w:rPr>
        <w:t xml:space="preserve">At the </w:t>
      </w:r>
      <w:r w:rsidR="00DF6DEA" w:rsidRPr="00E00BCB">
        <w:rPr>
          <w:color w:val="000000"/>
        </w:rPr>
        <w:t xml:space="preserve">thematic and portfolio </w:t>
      </w:r>
      <w:r w:rsidR="00D65D35" w:rsidRPr="00E00BCB">
        <w:rPr>
          <w:color w:val="000000"/>
        </w:rPr>
        <w:t xml:space="preserve">level, </w:t>
      </w:r>
      <w:r w:rsidR="009A170B" w:rsidRPr="00E00BCB">
        <w:rPr>
          <w:color w:val="000000"/>
        </w:rPr>
        <w:t xml:space="preserve">these are included </w:t>
      </w:r>
      <w:r w:rsidR="00901D2A" w:rsidRPr="00E00BCB">
        <w:rPr>
          <w:color w:val="000000"/>
        </w:rPr>
        <w:t xml:space="preserve">in </w:t>
      </w:r>
      <w:r w:rsidR="00DF6DEA" w:rsidRPr="00E00BCB">
        <w:rPr>
          <w:color w:val="000000"/>
        </w:rPr>
        <w:t>each CPD outcome</w:t>
      </w:r>
      <w:r w:rsidR="00901D2A" w:rsidRPr="00E00BCB">
        <w:rPr>
          <w:color w:val="000000"/>
        </w:rPr>
        <w:t xml:space="preserve"> evaluation</w:t>
      </w:r>
      <w:r w:rsidR="0066705F" w:rsidRPr="00E00BCB">
        <w:rPr>
          <w:color w:val="000000"/>
        </w:rPr>
        <w:t xml:space="preserve"> </w:t>
      </w:r>
      <w:r w:rsidR="00F2429D" w:rsidRPr="00E00BCB">
        <w:rPr>
          <w:color w:val="000000"/>
        </w:rPr>
        <w:t xml:space="preserve">which will consider the relationship between </w:t>
      </w:r>
      <w:r w:rsidR="00CF7B0E" w:rsidRPr="00E00BCB">
        <w:rPr>
          <w:color w:val="000000"/>
        </w:rPr>
        <w:t xml:space="preserve">socioeconomic and environmental </w:t>
      </w:r>
      <w:r w:rsidR="00F2429D" w:rsidRPr="00E00BCB">
        <w:rPr>
          <w:color w:val="000000"/>
        </w:rPr>
        <w:t xml:space="preserve">from a </w:t>
      </w:r>
      <w:r w:rsidR="00E0773A" w:rsidRPr="00E00BCB">
        <w:rPr>
          <w:color w:val="000000"/>
        </w:rPr>
        <w:t>comprehensive</w:t>
      </w:r>
      <w:r w:rsidR="00F2429D" w:rsidRPr="00E00BCB">
        <w:rPr>
          <w:color w:val="000000"/>
        </w:rPr>
        <w:t xml:space="preserve"> approach</w:t>
      </w:r>
      <w:r w:rsidR="00DF6DEA" w:rsidRPr="00E00BCB">
        <w:rPr>
          <w:color w:val="000000"/>
        </w:rPr>
        <w:t>.</w:t>
      </w:r>
    </w:p>
    <w:p w14:paraId="7FC2BE30" w14:textId="77777777" w:rsidR="00C141BB" w:rsidRPr="00E00BCB" w:rsidRDefault="00C141BB" w:rsidP="00C141BB">
      <w:pPr>
        <w:jc w:val="both"/>
        <w:rPr>
          <w:color w:val="000000"/>
        </w:rPr>
      </w:pPr>
    </w:p>
    <w:p w14:paraId="0E362E5A" w14:textId="54C739B0" w:rsidR="006F7D83" w:rsidRPr="00E00BCB" w:rsidRDefault="00C141BB" w:rsidP="003D5DC0">
      <w:pPr>
        <w:jc w:val="both"/>
        <w:rPr>
          <w:color w:val="000000"/>
        </w:rPr>
      </w:pPr>
      <w:r w:rsidRPr="00E00BCB">
        <w:rPr>
          <w:color w:val="000000"/>
        </w:rPr>
        <w:t>The evaluation plan covers evaluations of 1) all projects with a budget of over 3 million USD and 2) GEF</w:t>
      </w:r>
      <w:r w:rsidR="005F14EA" w:rsidRPr="00E00BCB">
        <w:rPr>
          <w:color w:val="000000"/>
        </w:rPr>
        <w:t xml:space="preserve"> and Sweden</w:t>
      </w:r>
      <w:r w:rsidRPr="00E00BCB">
        <w:rPr>
          <w:color w:val="000000"/>
        </w:rPr>
        <w:t>-funded projects following donors’ evaluation policy.</w:t>
      </w:r>
      <w:r w:rsidR="00115E93" w:rsidRPr="00E00BCB">
        <w:rPr>
          <w:color w:val="000000"/>
        </w:rPr>
        <w:t xml:space="preserve"> The p</w:t>
      </w:r>
      <w:r w:rsidR="006F7D83" w:rsidRPr="00E00BCB">
        <w:rPr>
          <w:color w:val="000000"/>
        </w:rPr>
        <w:t>roject mid-term evaluation will help identify</w:t>
      </w:r>
      <w:r w:rsidR="00356C55" w:rsidRPr="00E00BCB">
        <w:rPr>
          <w:color w:val="000000"/>
        </w:rPr>
        <w:t xml:space="preserve"> </w:t>
      </w:r>
      <w:r w:rsidR="00E975C4" w:rsidRPr="00E00BCB">
        <w:rPr>
          <w:color w:val="000000"/>
        </w:rPr>
        <w:t xml:space="preserve">good </w:t>
      </w:r>
      <w:r w:rsidR="00356C55" w:rsidRPr="00E00BCB">
        <w:rPr>
          <w:color w:val="000000"/>
        </w:rPr>
        <w:t>practices</w:t>
      </w:r>
      <w:r w:rsidR="00E975C4" w:rsidRPr="00E00BCB">
        <w:rPr>
          <w:color w:val="000000"/>
        </w:rPr>
        <w:t>,</w:t>
      </w:r>
      <w:r w:rsidR="006F7D83" w:rsidRPr="00E00BCB">
        <w:rPr>
          <w:color w:val="000000"/>
        </w:rPr>
        <w:t xml:space="preserve"> lessons learned and facilitate adjustments </w:t>
      </w:r>
      <w:r w:rsidR="00E975C4" w:rsidRPr="00E00BCB">
        <w:rPr>
          <w:color w:val="000000"/>
        </w:rPr>
        <w:t>/</w:t>
      </w:r>
      <w:r w:rsidR="006F7D83" w:rsidRPr="00E00BCB">
        <w:rPr>
          <w:color w:val="000000"/>
        </w:rPr>
        <w:t xml:space="preserve"> correction of ongoing </w:t>
      </w:r>
      <w:r w:rsidR="00115E93" w:rsidRPr="00E00BCB">
        <w:rPr>
          <w:color w:val="000000"/>
        </w:rPr>
        <w:t xml:space="preserve">GEF </w:t>
      </w:r>
      <w:r w:rsidR="006F7D83" w:rsidRPr="00E00BCB">
        <w:rPr>
          <w:color w:val="000000"/>
        </w:rPr>
        <w:t xml:space="preserve">project, </w:t>
      </w:r>
      <w:r w:rsidR="0093312F" w:rsidRPr="00E00BCB">
        <w:rPr>
          <w:color w:val="000000"/>
        </w:rPr>
        <w:t xml:space="preserve">while the final evaluation of the projects will contribute to gaining knowledge and learning in the respective portfolios, as well as in the </w:t>
      </w:r>
      <w:r w:rsidR="009B20E3" w:rsidRPr="00E00BCB">
        <w:rPr>
          <w:color w:val="000000"/>
        </w:rPr>
        <w:t>CPD</w:t>
      </w:r>
      <w:r w:rsidR="006F7D83" w:rsidRPr="00E00BCB">
        <w:rPr>
          <w:color w:val="000000"/>
        </w:rPr>
        <w:t>.</w:t>
      </w:r>
      <w:r w:rsidR="002E0A38" w:rsidRPr="00E00BCB">
        <w:rPr>
          <w:color w:val="000000"/>
        </w:rPr>
        <w:t xml:space="preserve"> For future/new projects approved within th</w:t>
      </w:r>
      <w:r w:rsidR="00623166" w:rsidRPr="00E00BCB">
        <w:rPr>
          <w:color w:val="000000"/>
        </w:rPr>
        <w:t>is</w:t>
      </w:r>
      <w:r w:rsidR="002E0A38" w:rsidRPr="00E00BCB">
        <w:rPr>
          <w:color w:val="000000"/>
        </w:rPr>
        <w:t xml:space="preserve"> new Programme cycle, relevant evaluations will be included in the Evaluation plan in compliance with UNDP Evaluation Policy</w:t>
      </w:r>
      <w:r w:rsidR="00A3095F" w:rsidRPr="00E00BCB">
        <w:rPr>
          <w:color w:val="000000"/>
        </w:rPr>
        <w:t xml:space="preserve"> emphasizing those </w:t>
      </w:r>
      <w:r w:rsidR="00DC0BFD" w:rsidRPr="00E00BCB">
        <w:rPr>
          <w:color w:val="000000"/>
        </w:rPr>
        <w:t>with a duration of more than five years, and those entering the second phase.</w:t>
      </w:r>
    </w:p>
    <w:p w14:paraId="69E30F18" w14:textId="46C70D92" w:rsidR="000709EA" w:rsidRPr="00E00BCB" w:rsidRDefault="000709EA" w:rsidP="003D5DC0">
      <w:pPr>
        <w:jc w:val="both"/>
        <w:rPr>
          <w:color w:val="000000"/>
        </w:rPr>
      </w:pPr>
    </w:p>
    <w:p w14:paraId="17C977F8" w14:textId="0765B9F1" w:rsidR="0061713A" w:rsidRPr="00E00BCB" w:rsidRDefault="000709EA" w:rsidP="003D5DC0">
      <w:pPr>
        <w:jc w:val="both"/>
        <w:rPr>
          <w:color w:val="000000"/>
        </w:rPr>
      </w:pPr>
      <w:r w:rsidRPr="00E00BCB">
        <w:rPr>
          <w:color w:val="000000"/>
        </w:rPr>
        <w:t xml:space="preserve">At the programmatic level, </w:t>
      </w:r>
      <w:r w:rsidR="009B20E3" w:rsidRPr="00E00BCB">
        <w:rPr>
          <w:color w:val="000000"/>
        </w:rPr>
        <w:t xml:space="preserve">the CO will </w:t>
      </w:r>
      <w:r w:rsidR="00E5644E" w:rsidRPr="00E00BCB">
        <w:rPr>
          <w:color w:val="000000"/>
        </w:rPr>
        <w:t xml:space="preserve">commission a CPD mid-term </w:t>
      </w:r>
      <w:r w:rsidR="001F2EEF" w:rsidRPr="00E00BCB">
        <w:rPr>
          <w:color w:val="000000"/>
        </w:rPr>
        <w:t xml:space="preserve">review </w:t>
      </w:r>
      <w:r w:rsidR="00F61107" w:rsidRPr="00E00BCB">
        <w:rPr>
          <w:color w:val="000000"/>
        </w:rPr>
        <w:t xml:space="preserve">in which it will prioritize </w:t>
      </w:r>
      <w:r w:rsidR="00FB5D17" w:rsidRPr="00E00BCB">
        <w:rPr>
          <w:color w:val="000000"/>
        </w:rPr>
        <w:t xml:space="preserve">the </w:t>
      </w:r>
      <w:r w:rsidR="00F61107" w:rsidRPr="00E00BCB">
        <w:rPr>
          <w:color w:val="000000"/>
        </w:rPr>
        <w:t>gender</w:t>
      </w:r>
      <w:r w:rsidR="00FB5D17" w:rsidRPr="00E00BCB">
        <w:rPr>
          <w:color w:val="000000"/>
        </w:rPr>
        <w:t xml:space="preserve"> approach </w:t>
      </w:r>
      <w:r w:rsidR="00EE5AA0" w:rsidRPr="00E00BCB">
        <w:rPr>
          <w:color w:val="000000"/>
        </w:rPr>
        <w:t xml:space="preserve">to assess gender mainstreaming in the </w:t>
      </w:r>
      <w:r w:rsidR="003E3122">
        <w:rPr>
          <w:color w:val="000000"/>
        </w:rPr>
        <w:t>four</w:t>
      </w:r>
      <w:r w:rsidR="00EE5AA0" w:rsidRPr="00E00BCB">
        <w:rPr>
          <w:color w:val="000000"/>
        </w:rPr>
        <w:t xml:space="preserve"> outcomes and support the strong country office's commitment </w:t>
      </w:r>
      <w:r w:rsidR="00272093" w:rsidRPr="00E00BCB">
        <w:rPr>
          <w:color w:val="000000"/>
        </w:rPr>
        <w:t xml:space="preserve">towards the Gender Seal </w:t>
      </w:r>
      <w:r w:rsidR="00BD5864" w:rsidRPr="00E00BCB">
        <w:rPr>
          <w:color w:val="000000"/>
        </w:rPr>
        <w:t>Certification</w:t>
      </w:r>
      <w:r w:rsidR="00EE5AA0" w:rsidRPr="00E00BCB">
        <w:rPr>
          <w:color w:val="000000"/>
        </w:rPr>
        <w:t>.</w:t>
      </w:r>
      <w:r w:rsidR="00623166" w:rsidRPr="00E00BCB">
        <w:rPr>
          <w:color w:val="000000"/>
        </w:rPr>
        <w:t xml:space="preserve"> The IEO will lead the Independent Country Programme Evaluation</w:t>
      </w:r>
      <w:r w:rsidR="00EA6646" w:rsidRPr="00E00BCB">
        <w:rPr>
          <w:color w:val="000000"/>
        </w:rPr>
        <w:t xml:space="preserve"> </w:t>
      </w:r>
      <w:r w:rsidR="00F874D1" w:rsidRPr="00E00BCB">
        <w:rPr>
          <w:color w:val="000000"/>
        </w:rPr>
        <w:t xml:space="preserve">and inform the initiation of its planning. </w:t>
      </w:r>
      <w:r w:rsidR="00FD2673" w:rsidRPr="00E00BCB">
        <w:rPr>
          <w:color w:val="000000"/>
        </w:rPr>
        <w:t xml:space="preserve">The CO will also contribute to the terminal evaluation of the UNSDCF to assess our contribution and the achievements regarding to national priorities. </w:t>
      </w:r>
      <w:r w:rsidR="003B6672" w:rsidRPr="00E00BCB">
        <w:rPr>
          <w:color w:val="000000"/>
        </w:rPr>
        <w:t>T</w:t>
      </w:r>
      <w:r w:rsidR="0061713A" w:rsidRPr="00E00BCB">
        <w:rPr>
          <w:color w:val="000000"/>
        </w:rPr>
        <w:t>his Evaluation Plan will be reviewed, monitored and updated on annual basis.</w:t>
      </w:r>
    </w:p>
    <w:p w14:paraId="7D0A8FF1" w14:textId="77777777" w:rsidR="00C901E1" w:rsidRPr="00E00BCB" w:rsidRDefault="00C901E1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274"/>
        <w:gridCol w:w="1293"/>
        <w:gridCol w:w="1664"/>
        <w:gridCol w:w="1669"/>
        <w:gridCol w:w="1704"/>
        <w:gridCol w:w="1520"/>
        <w:gridCol w:w="1464"/>
        <w:gridCol w:w="1380"/>
      </w:tblGrid>
      <w:tr w:rsidR="00202476" w:rsidRPr="00E00BCB" w14:paraId="2440D47C" w14:textId="77777777" w:rsidTr="00BA0D0D">
        <w:trPr>
          <w:trHeight w:val="845"/>
        </w:trPr>
        <w:tc>
          <w:tcPr>
            <w:tcW w:w="576" w:type="pct"/>
            <w:shd w:val="clear" w:color="auto" w:fill="DBE5F1" w:themeFill="accent1" w:themeFillTint="33"/>
            <w:vAlign w:val="center"/>
          </w:tcPr>
          <w:p w14:paraId="2440D472" w14:textId="77777777" w:rsidR="00B961B7" w:rsidRPr="00E00BCB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UNDAF</w:t>
            </w:r>
            <w:r w:rsidR="003761F2" w:rsidRPr="00E00BCB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E00BCB">
              <w:rPr>
                <w:b/>
                <w:bCs/>
                <w:sz w:val="16"/>
                <w:szCs w:val="16"/>
              </w:rPr>
              <w:t>equivalent</w:t>
            </w:r>
            <w:r w:rsidR="003761F2" w:rsidRPr="00E00BCB">
              <w:rPr>
                <w:b/>
                <w:bCs/>
                <w:sz w:val="16"/>
                <w:szCs w:val="16"/>
              </w:rPr>
              <w:t>)</w:t>
            </w:r>
          </w:p>
          <w:p w14:paraId="2440D473" w14:textId="77777777" w:rsidR="00B961B7" w:rsidRPr="00E00BCB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Outcome</w:t>
            </w:r>
            <w:r w:rsidR="00A10A30" w:rsidRPr="00E00BC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14:paraId="2440D474" w14:textId="77777777" w:rsidR="00B961B7" w:rsidRPr="00E00BCB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E00BCB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E00BCB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14:paraId="2440D475" w14:textId="77777777" w:rsidR="00B961B7" w:rsidRPr="00E00BCB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5" w:type="pct"/>
            <w:shd w:val="clear" w:color="auto" w:fill="DBE5F1" w:themeFill="accent1" w:themeFillTint="33"/>
            <w:vAlign w:val="center"/>
          </w:tcPr>
          <w:p w14:paraId="2440D476" w14:textId="77777777" w:rsidR="00B961B7" w:rsidRPr="00E00BCB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17" w:type="pct"/>
            <w:shd w:val="clear" w:color="auto" w:fill="DBE5F1" w:themeFill="accent1" w:themeFillTint="33"/>
            <w:vAlign w:val="center"/>
          </w:tcPr>
          <w:p w14:paraId="2440D477" w14:textId="77777777" w:rsidR="00B961B7" w:rsidRPr="00E00BCB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14:paraId="2440D478" w14:textId="77777777" w:rsidR="00B961B7" w:rsidRPr="00E00BCB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440D479" w14:textId="77777777" w:rsidR="00B961B7" w:rsidRPr="00E00BCB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E00BCB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14:paraId="2440D47A" w14:textId="77777777" w:rsidR="00B961B7" w:rsidRPr="00E00BCB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14:paraId="2440D47B" w14:textId="77777777" w:rsidR="00B961B7" w:rsidRPr="00E00BCB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E00BCB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C206C9" w:rsidRPr="00E00BCB" w14:paraId="55B09BF3" w14:textId="77777777" w:rsidTr="00BA0D0D">
        <w:trPr>
          <w:trHeight w:val="490"/>
        </w:trPr>
        <w:tc>
          <w:tcPr>
            <w:tcW w:w="576" w:type="pct"/>
          </w:tcPr>
          <w:p w14:paraId="7D1C7AB7" w14:textId="7F133037" w:rsidR="00C206C9" w:rsidRPr="00E00BCB" w:rsidRDefault="00C206C9" w:rsidP="00C206C9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Outcome 1</w:t>
            </w:r>
            <w:r w:rsidR="00E318D0">
              <w:rPr>
                <w:sz w:val="16"/>
                <w:szCs w:val="16"/>
              </w:rPr>
              <w:t>.4</w:t>
            </w:r>
            <w:r w:rsidRPr="00E00BCB">
              <w:rPr>
                <w:sz w:val="16"/>
                <w:szCs w:val="16"/>
              </w:rPr>
              <w:t xml:space="preserve">: </w:t>
            </w:r>
            <w:r w:rsidR="000C5C63" w:rsidRPr="000C5C63">
              <w:rPr>
                <w:sz w:val="16"/>
                <w:szCs w:val="16"/>
              </w:rPr>
              <w:t xml:space="preserve">The </w:t>
            </w:r>
            <w:proofErr w:type="spellStart"/>
            <w:r w:rsidR="000C5C63" w:rsidRPr="000C5C63">
              <w:rPr>
                <w:sz w:val="16"/>
                <w:szCs w:val="16"/>
              </w:rPr>
              <w:t>Plurinational</w:t>
            </w:r>
            <w:proofErr w:type="spellEnd"/>
            <w:r w:rsidR="000C5C63" w:rsidRPr="000C5C63">
              <w:rPr>
                <w:sz w:val="16"/>
                <w:szCs w:val="16"/>
              </w:rPr>
              <w:t xml:space="preserve"> State strengthens and articulates the different systems, programs and social policies aimed at the population in situations of extreme vulnerability.</w:t>
            </w:r>
          </w:p>
        </w:tc>
        <w:tc>
          <w:tcPr>
            <w:tcW w:w="471" w:type="pct"/>
          </w:tcPr>
          <w:p w14:paraId="489CABF3" w14:textId="7744F6D3" w:rsidR="00C206C9" w:rsidRPr="00E00BCB" w:rsidRDefault="00C206C9" w:rsidP="00C206C9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 xml:space="preserve">Outcome </w:t>
            </w:r>
            <w:r w:rsidR="00EC2E21" w:rsidRPr="00E00BCB">
              <w:rPr>
                <w:sz w:val="16"/>
                <w:szCs w:val="16"/>
              </w:rPr>
              <w:t>2 No one left behind</w:t>
            </w:r>
          </w:p>
        </w:tc>
        <w:tc>
          <w:tcPr>
            <w:tcW w:w="478" w:type="pct"/>
          </w:tcPr>
          <w:p w14:paraId="3D7D71A7" w14:textId="2259F129" w:rsidR="00C206C9" w:rsidRPr="00E00BCB" w:rsidRDefault="00224A8C" w:rsidP="00C206C9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Thematic</w:t>
            </w:r>
            <w:r w:rsidR="0037647F" w:rsidRPr="00E00BCB">
              <w:rPr>
                <w:sz w:val="16"/>
                <w:szCs w:val="16"/>
              </w:rPr>
              <w:t xml:space="preserve"> Evaluation</w:t>
            </w:r>
            <w:r w:rsidR="005E23E5" w:rsidRPr="00E00BCB">
              <w:rPr>
                <w:sz w:val="16"/>
                <w:szCs w:val="16"/>
              </w:rPr>
              <w:t>: Health and Development Portfolio</w:t>
            </w:r>
          </w:p>
        </w:tc>
        <w:tc>
          <w:tcPr>
            <w:tcW w:w="615" w:type="pct"/>
          </w:tcPr>
          <w:p w14:paraId="107DEE7C" w14:textId="1A8B1E06" w:rsidR="00C206C9" w:rsidRPr="00E00BCB" w:rsidRDefault="00C206C9" w:rsidP="00C206C9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Government partners</w:t>
            </w:r>
          </w:p>
        </w:tc>
        <w:tc>
          <w:tcPr>
            <w:tcW w:w="617" w:type="pct"/>
          </w:tcPr>
          <w:p w14:paraId="4A32C438" w14:textId="1F87C99D" w:rsidR="00C206C9" w:rsidRPr="00E00BCB" w:rsidRDefault="00C206C9" w:rsidP="00C206C9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G</w:t>
            </w:r>
            <w:r w:rsidR="00EC2E21" w:rsidRPr="00E00BCB">
              <w:rPr>
                <w:sz w:val="16"/>
                <w:szCs w:val="16"/>
              </w:rPr>
              <w:t>lobal Fund</w:t>
            </w:r>
            <w:r w:rsidR="004A53ED" w:rsidRPr="00E00BCB">
              <w:rPr>
                <w:sz w:val="16"/>
                <w:szCs w:val="16"/>
              </w:rPr>
              <w:t xml:space="preserve"> or </w:t>
            </w:r>
            <w:r w:rsidR="00031B68" w:rsidRPr="00E00BCB">
              <w:rPr>
                <w:sz w:val="16"/>
                <w:szCs w:val="16"/>
              </w:rPr>
              <w:t>another</w:t>
            </w:r>
            <w:r w:rsidR="00AB2DCF" w:rsidRPr="00E00BCB">
              <w:rPr>
                <w:sz w:val="16"/>
                <w:szCs w:val="16"/>
              </w:rPr>
              <w:t xml:space="preserve"> fund</w:t>
            </w:r>
          </w:p>
        </w:tc>
        <w:tc>
          <w:tcPr>
            <w:tcW w:w="630" w:type="pct"/>
          </w:tcPr>
          <w:p w14:paraId="189E6287" w14:textId="177DB073" w:rsidR="00C206C9" w:rsidRPr="00E00BCB" w:rsidRDefault="00022E57" w:rsidP="00C206C9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Portfolio Evaluation</w:t>
            </w:r>
          </w:p>
        </w:tc>
        <w:tc>
          <w:tcPr>
            <w:tcW w:w="562" w:type="pct"/>
          </w:tcPr>
          <w:p w14:paraId="0F3681C7" w14:textId="67B4FC6E" w:rsidR="00C206C9" w:rsidRPr="00E00BCB" w:rsidRDefault="00B35B52" w:rsidP="00C206C9">
            <w:pPr>
              <w:spacing w:before="40" w:after="40"/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February</w:t>
            </w:r>
            <w:r w:rsidR="00C206C9" w:rsidRPr="00E00BCB">
              <w:rPr>
                <w:sz w:val="16"/>
                <w:szCs w:val="16"/>
              </w:rPr>
              <w:t xml:space="preserve"> 202</w:t>
            </w:r>
            <w:r w:rsidRPr="00E00BCB">
              <w:rPr>
                <w:sz w:val="16"/>
                <w:szCs w:val="16"/>
              </w:rPr>
              <w:t>4</w:t>
            </w:r>
          </w:p>
        </w:tc>
        <w:tc>
          <w:tcPr>
            <w:tcW w:w="541" w:type="pct"/>
          </w:tcPr>
          <w:p w14:paraId="391D73A1" w14:textId="00E5007F" w:rsidR="00C206C9" w:rsidRPr="00E00BCB" w:rsidRDefault="005E23E5" w:rsidP="00C206C9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1</w:t>
            </w:r>
            <w:r w:rsidR="00B35B52" w:rsidRPr="00E00BCB">
              <w:rPr>
                <w:sz w:val="16"/>
                <w:szCs w:val="16"/>
              </w:rPr>
              <w:t>5,000</w:t>
            </w:r>
          </w:p>
        </w:tc>
        <w:tc>
          <w:tcPr>
            <w:tcW w:w="510" w:type="pct"/>
          </w:tcPr>
          <w:p w14:paraId="39E9B424" w14:textId="07D65D29" w:rsidR="00C206C9" w:rsidRPr="00E00BCB" w:rsidRDefault="00C206C9" w:rsidP="00C206C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00BCB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B0294D" w:rsidRPr="00E00BCB" w14:paraId="0B73A4EC" w14:textId="77777777" w:rsidTr="00BA0D0D">
        <w:trPr>
          <w:trHeight w:val="490"/>
        </w:trPr>
        <w:tc>
          <w:tcPr>
            <w:tcW w:w="576" w:type="pct"/>
          </w:tcPr>
          <w:p w14:paraId="769A6AA6" w14:textId="49C1C9EF" w:rsidR="00B0294D" w:rsidRPr="00E00BCB" w:rsidRDefault="00DA4931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Outcome 2</w:t>
            </w:r>
            <w:r w:rsidR="003B084F">
              <w:rPr>
                <w:sz w:val="16"/>
                <w:szCs w:val="16"/>
              </w:rPr>
              <w:t>.1</w:t>
            </w:r>
            <w:r w:rsidRPr="00E00BCB">
              <w:rPr>
                <w:sz w:val="16"/>
                <w:szCs w:val="16"/>
              </w:rPr>
              <w:t xml:space="preserve">: </w:t>
            </w:r>
            <w:r w:rsidR="0031330C" w:rsidRPr="0031330C">
              <w:rPr>
                <w:sz w:val="16"/>
                <w:szCs w:val="16"/>
              </w:rPr>
              <w:t>Plural economy actors, with emphasis on those who make up the food systems, increase their product</w:t>
            </w:r>
            <w:r w:rsidR="009731FF">
              <w:rPr>
                <w:sz w:val="16"/>
                <w:szCs w:val="16"/>
              </w:rPr>
              <w:t>ion</w:t>
            </w:r>
            <w:r w:rsidR="0031330C" w:rsidRPr="0031330C">
              <w:rPr>
                <w:sz w:val="16"/>
                <w:szCs w:val="16"/>
              </w:rPr>
              <w:t xml:space="preserve"> and access </w:t>
            </w:r>
            <w:r w:rsidR="009731FF">
              <w:rPr>
                <w:sz w:val="16"/>
                <w:szCs w:val="16"/>
              </w:rPr>
              <w:t xml:space="preserve">to </w:t>
            </w:r>
            <w:r w:rsidR="0031330C" w:rsidRPr="0031330C">
              <w:rPr>
                <w:sz w:val="16"/>
                <w:szCs w:val="16"/>
              </w:rPr>
              <w:t>markets, with sustainability and sovereignty</w:t>
            </w:r>
          </w:p>
        </w:tc>
        <w:tc>
          <w:tcPr>
            <w:tcW w:w="471" w:type="pct"/>
          </w:tcPr>
          <w:p w14:paraId="1CFA576C" w14:textId="738E8F5C" w:rsidR="00B0294D" w:rsidRPr="00E00BCB" w:rsidRDefault="00055553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 xml:space="preserve">Outcomes </w:t>
            </w:r>
            <w:r w:rsidR="00C53263" w:rsidRPr="00C53263">
              <w:rPr>
                <w:sz w:val="16"/>
                <w:szCs w:val="16"/>
              </w:rPr>
              <w:t>2 No one left behind</w:t>
            </w:r>
            <w:r w:rsidR="00C53263">
              <w:rPr>
                <w:sz w:val="16"/>
                <w:szCs w:val="16"/>
              </w:rPr>
              <w:t xml:space="preserve"> and </w:t>
            </w:r>
            <w:r w:rsidR="00C53263" w:rsidRPr="00C53263">
              <w:rPr>
                <w:sz w:val="16"/>
                <w:szCs w:val="16"/>
              </w:rPr>
              <w:t>3 Building resilience</w:t>
            </w:r>
          </w:p>
        </w:tc>
        <w:tc>
          <w:tcPr>
            <w:tcW w:w="478" w:type="pct"/>
          </w:tcPr>
          <w:p w14:paraId="4AF87A1D" w14:textId="65637F07" w:rsidR="00B0294D" w:rsidRPr="00E00BCB" w:rsidRDefault="00BD2216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Terminal Evaluation</w:t>
            </w:r>
            <w:r w:rsidR="0006161F" w:rsidRPr="00E00BCB">
              <w:rPr>
                <w:sz w:val="16"/>
                <w:szCs w:val="16"/>
              </w:rPr>
              <w:t xml:space="preserve">: </w:t>
            </w:r>
            <w:r w:rsidR="0065588A" w:rsidRPr="00E00BCB">
              <w:t xml:space="preserve"> </w:t>
            </w:r>
            <w:r w:rsidR="0065588A" w:rsidRPr="00E00BCB">
              <w:rPr>
                <w:sz w:val="16"/>
                <w:szCs w:val="16"/>
              </w:rPr>
              <w:t xml:space="preserve">GEF </w:t>
            </w:r>
            <w:r w:rsidR="005728D3" w:rsidRPr="00E00BCB">
              <w:rPr>
                <w:sz w:val="16"/>
                <w:szCs w:val="16"/>
              </w:rPr>
              <w:t xml:space="preserve">OP7 </w:t>
            </w:r>
            <w:r w:rsidR="0065588A" w:rsidRPr="00E00BCB">
              <w:rPr>
                <w:sz w:val="16"/>
                <w:szCs w:val="16"/>
              </w:rPr>
              <w:t>Small Grants Programme</w:t>
            </w:r>
          </w:p>
        </w:tc>
        <w:tc>
          <w:tcPr>
            <w:tcW w:w="615" w:type="pct"/>
          </w:tcPr>
          <w:p w14:paraId="397186FF" w14:textId="333E1B00" w:rsidR="00B0294D" w:rsidRPr="00E00BCB" w:rsidRDefault="004F110F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Government partners</w:t>
            </w:r>
          </w:p>
        </w:tc>
        <w:tc>
          <w:tcPr>
            <w:tcW w:w="617" w:type="pct"/>
          </w:tcPr>
          <w:p w14:paraId="5354C405" w14:textId="202AAA65" w:rsidR="00B0294D" w:rsidRPr="00E00BCB" w:rsidRDefault="00AF123B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GEF</w:t>
            </w:r>
          </w:p>
        </w:tc>
        <w:tc>
          <w:tcPr>
            <w:tcW w:w="630" w:type="pct"/>
          </w:tcPr>
          <w:p w14:paraId="75F0D66B" w14:textId="6A8B1EB0" w:rsidR="00B0294D" w:rsidRPr="00E00BCB" w:rsidRDefault="006726E6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Project Evaluation, GEF Evaluation</w:t>
            </w:r>
          </w:p>
        </w:tc>
        <w:tc>
          <w:tcPr>
            <w:tcW w:w="562" w:type="pct"/>
          </w:tcPr>
          <w:p w14:paraId="335EC893" w14:textId="517A422B" w:rsidR="00B0294D" w:rsidRPr="00E00BCB" w:rsidRDefault="00AF123B" w:rsidP="009D7760">
            <w:pPr>
              <w:spacing w:before="40" w:after="40"/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June 2025</w:t>
            </w:r>
          </w:p>
        </w:tc>
        <w:tc>
          <w:tcPr>
            <w:tcW w:w="541" w:type="pct"/>
          </w:tcPr>
          <w:p w14:paraId="56417310" w14:textId="5C1960A7" w:rsidR="00B0294D" w:rsidRPr="00E00BCB" w:rsidRDefault="00287EAE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29,782</w:t>
            </w:r>
          </w:p>
        </w:tc>
        <w:tc>
          <w:tcPr>
            <w:tcW w:w="510" w:type="pct"/>
          </w:tcPr>
          <w:p w14:paraId="27E8077A" w14:textId="4217D81F" w:rsidR="00B0294D" w:rsidRPr="00E00BCB" w:rsidRDefault="002B70D3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00BCB">
              <w:rPr>
                <w:rStyle w:val="CommentReference"/>
                <w:sz w:val="16"/>
                <w:szCs w:val="16"/>
                <w:lang w:eastAsia="uk-UA"/>
              </w:rPr>
              <w:t>Project</w:t>
            </w:r>
            <w:r w:rsidR="00F34577" w:rsidRPr="00E00BCB">
              <w:rPr>
                <w:rStyle w:val="CommentReference"/>
                <w:sz w:val="16"/>
                <w:szCs w:val="16"/>
                <w:lang w:eastAsia="uk-UA"/>
              </w:rPr>
              <w:t xml:space="preserve"> budget</w:t>
            </w:r>
          </w:p>
        </w:tc>
      </w:tr>
      <w:tr w:rsidR="00AE78EC" w:rsidRPr="00E00BCB" w14:paraId="46ECF72A" w14:textId="77777777" w:rsidTr="00BA0D0D">
        <w:trPr>
          <w:trHeight w:val="490"/>
        </w:trPr>
        <w:tc>
          <w:tcPr>
            <w:tcW w:w="576" w:type="pct"/>
          </w:tcPr>
          <w:p w14:paraId="718BDFAD" w14:textId="35F4AD64" w:rsidR="00AE78EC" w:rsidRPr="00E00BCB" w:rsidRDefault="00DA4931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lastRenderedPageBreak/>
              <w:t>Outcome</w:t>
            </w:r>
            <w:r w:rsidR="00E766E9">
              <w:rPr>
                <w:sz w:val="16"/>
                <w:szCs w:val="16"/>
              </w:rPr>
              <w:t>s</w:t>
            </w:r>
            <w:r w:rsidRPr="00E00BCB">
              <w:rPr>
                <w:sz w:val="16"/>
                <w:szCs w:val="16"/>
              </w:rPr>
              <w:t xml:space="preserve"> </w:t>
            </w:r>
            <w:r w:rsidR="00A60E4D">
              <w:rPr>
                <w:sz w:val="16"/>
                <w:szCs w:val="16"/>
              </w:rPr>
              <w:t>2.</w:t>
            </w:r>
            <w:r w:rsidRPr="00E00BCB">
              <w:rPr>
                <w:sz w:val="16"/>
                <w:szCs w:val="16"/>
              </w:rPr>
              <w:t>3</w:t>
            </w:r>
            <w:r w:rsidR="00A60E4D">
              <w:rPr>
                <w:sz w:val="16"/>
                <w:szCs w:val="16"/>
              </w:rPr>
              <w:t xml:space="preserve"> </w:t>
            </w:r>
            <w:r w:rsidR="00A60E4D" w:rsidRPr="00A60E4D">
              <w:rPr>
                <w:sz w:val="16"/>
                <w:szCs w:val="16"/>
              </w:rPr>
              <w:t>State agencies, social organizations, in particular indigenous peoples and afro-descendant communities, manage natural resources, the environment and the energy transition through inclusive, multi-level and multisectoral governance mechanisms</w:t>
            </w:r>
            <w:r w:rsidR="00A60E4D">
              <w:rPr>
                <w:sz w:val="16"/>
                <w:szCs w:val="16"/>
              </w:rPr>
              <w:t xml:space="preserve"> and </w:t>
            </w:r>
            <w:r w:rsidR="00436EA7">
              <w:rPr>
                <w:sz w:val="16"/>
                <w:szCs w:val="16"/>
              </w:rPr>
              <w:t xml:space="preserve">3.3 </w:t>
            </w:r>
            <w:r w:rsidR="00436EA7" w:rsidRPr="00436EA7">
              <w:rPr>
                <w:sz w:val="16"/>
                <w:szCs w:val="16"/>
              </w:rPr>
              <w:t>The society and the Bolivian State strengthen social cohesion, the constructive and peaceful transformation of conflicts and fight against all forms of violence and discrimination</w:t>
            </w:r>
          </w:p>
        </w:tc>
        <w:tc>
          <w:tcPr>
            <w:tcW w:w="471" w:type="pct"/>
          </w:tcPr>
          <w:p w14:paraId="1E10F153" w14:textId="1BA53356" w:rsidR="00AE78EC" w:rsidRPr="00E00BCB" w:rsidRDefault="00C77B23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Outcome</w:t>
            </w:r>
            <w:r w:rsidR="000C3C93">
              <w:rPr>
                <w:sz w:val="16"/>
                <w:szCs w:val="16"/>
              </w:rPr>
              <w:t>s</w:t>
            </w:r>
            <w:r w:rsidR="000C3C93" w:rsidRPr="000C3C93">
              <w:rPr>
                <w:sz w:val="16"/>
                <w:szCs w:val="16"/>
              </w:rPr>
              <w:t>1 Structural transformation</w:t>
            </w:r>
            <w:r w:rsidR="000C3C93">
              <w:rPr>
                <w:sz w:val="16"/>
                <w:szCs w:val="16"/>
              </w:rPr>
              <w:t xml:space="preserve"> and </w:t>
            </w:r>
            <w:r w:rsidR="000C3C93" w:rsidRPr="000C3C93">
              <w:rPr>
                <w:sz w:val="16"/>
                <w:szCs w:val="16"/>
              </w:rPr>
              <w:t>3 Building resilience</w:t>
            </w:r>
          </w:p>
        </w:tc>
        <w:tc>
          <w:tcPr>
            <w:tcW w:w="478" w:type="pct"/>
          </w:tcPr>
          <w:p w14:paraId="0B06D233" w14:textId="04819EDA" w:rsidR="00AE78EC" w:rsidRPr="00E00BCB" w:rsidRDefault="00536788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Mid-term outcome evaluation</w:t>
            </w:r>
            <w:r w:rsidR="00A43132" w:rsidRPr="00E00BCB">
              <w:rPr>
                <w:sz w:val="16"/>
                <w:szCs w:val="16"/>
              </w:rPr>
              <w:t xml:space="preserve">: </w:t>
            </w:r>
            <w:r w:rsidR="00A847EC" w:rsidRPr="00E00BCB">
              <w:rPr>
                <w:sz w:val="16"/>
                <w:szCs w:val="16"/>
              </w:rPr>
              <w:t>Effective</w:t>
            </w:r>
            <w:r w:rsidR="00A43132" w:rsidRPr="00E00BCB">
              <w:rPr>
                <w:sz w:val="16"/>
                <w:szCs w:val="16"/>
              </w:rPr>
              <w:t xml:space="preserve"> Governance</w:t>
            </w:r>
            <w:r w:rsidR="00D24591">
              <w:rPr>
                <w:sz w:val="16"/>
                <w:szCs w:val="16"/>
              </w:rPr>
              <w:t xml:space="preserve"> Portfolio</w:t>
            </w:r>
          </w:p>
        </w:tc>
        <w:tc>
          <w:tcPr>
            <w:tcW w:w="615" w:type="pct"/>
          </w:tcPr>
          <w:p w14:paraId="1FBAA839" w14:textId="6A80BBF8" w:rsidR="00AE78EC" w:rsidRPr="00E00BCB" w:rsidRDefault="004F110F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Government partners</w:t>
            </w:r>
          </w:p>
        </w:tc>
        <w:tc>
          <w:tcPr>
            <w:tcW w:w="617" w:type="pct"/>
          </w:tcPr>
          <w:p w14:paraId="56D4674D" w14:textId="1FD7A32F" w:rsidR="00AE78EC" w:rsidRPr="00E00BCB" w:rsidRDefault="007E5A96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Sweden</w:t>
            </w:r>
          </w:p>
        </w:tc>
        <w:tc>
          <w:tcPr>
            <w:tcW w:w="630" w:type="pct"/>
          </w:tcPr>
          <w:p w14:paraId="2D8BD196" w14:textId="181DB7A1" w:rsidR="00AE78EC" w:rsidRPr="00E00BCB" w:rsidRDefault="004D1D1D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Portfolio Evaluation</w:t>
            </w:r>
          </w:p>
        </w:tc>
        <w:tc>
          <w:tcPr>
            <w:tcW w:w="562" w:type="pct"/>
          </w:tcPr>
          <w:p w14:paraId="67F42E72" w14:textId="323C1FBC" w:rsidR="00AE78EC" w:rsidRPr="00E00BCB" w:rsidRDefault="00536788" w:rsidP="009D7760">
            <w:pPr>
              <w:spacing w:before="40" w:after="40"/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September 2023</w:t>
            </w:r>
          </w:p>
        </w:tc>
        <w:tc>
          <w:tcPr>
            <w:tcW w:w="541" w:type="pct"/>
          </w:tcPr>
          <w:p w14:paraId="1DA6CC25" w14:textId="67763269" w:rsidR="00AE78EC" w:rsidRPr="00E00BCB" w:rsidRDefault="00733295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25,000</w:t>
            </w:r>
          </w:p>
        </w:tc>
        <w:tc>
          <w:tcPr>
            <w:tcW w:w="510" w:type="pct"/>
          </w:tcPr>
          <w:p w14:paraId="22F25D2B" w14:textId="3F148BA6" w:rsidR="00AE78EC" w:rsidRPr="00E00BCB" w:rsidRDefault="00F34577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00BCB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B43EE3" w:rsidRPr="00E00BCB" w14:paraId="2759B860" w14:textId="77777777" w:rsidTr="00BA0D0D">
        <w:trPr>
          <w:trHeight w:val="490"/>
        </w:trPr>
        <w:tc>
          <w:tcPr>
            <w:tcW w:w="576" w:type="pct"/>
          </w:tcPr>
          <w:p w14:paraId="4154E4F3" w14:textId="73C5432C" w:rsidR="00B43EE3" w:rsidRPr="00E00BCB" w:rsidRDefault="00B43EE3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Outcome 3</w:t>
            </w:r>
            <w:r w:rsidR="00436EA7">
              <w:rPr>
                <w:sz w:val="16"/>
                <w:szCs w:val="16"/>
              </w:rPr>
              <w:t>.3</w:t>
            </w:r>
          </w:p>
        </w:tc>
        <w:tc>
          <w:tcPr>
            <w:tcW w:w="471" w:type="pct"/>
          </w:tcPr>
          <w:p w14:paraId="70E01C29" w14:textId="2CF7E563" w:rsidR="00B43EE3" w:rsidRPr="00E00BCB" w:rsidRDefault="005018E0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Outcome 2</w:t>
            </w:r>
          </w:p>
        </w:tc>
        <w:tc>
          <w:tcPr>
            <w:tcW w:w="478" w:type="pct"/>
          </w:tcPr>
          <w:p w14:paraId="60A54196" w14:textId="425A194E" w:rsidR="00B43EE3" w:rsidRPr="00E00BCB" w:rsidRDefault="005018E0" w:rsidP="008E6804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Terminal Evaluation</w:t>
            </w:r>
            <w:r w:rsidR="004D1D1D" w:rsidRPr="00E00BCB">
              <w:rPr>
                <w:sz w:val="16"/>
                <w:szCs w:val="16"/>
              </w:rPr>
              <w:t xml:space="preserve">: </w:t>
            </w:r>
            <w:r w:rsidR="008E6804">
              <w:t xml:space="preserve"> S</w:t>
            </w:r>
            <w:r w:rsidR="008E6804" w:rsidRPr="008E6804">
              <w:rPr>
                <w:sz w:val="16"/>
                <w:szCs w:val="16"/>
              </w:rPr>
              <w:t>trengthening of the</w:t>
            </w:r>
            <w:r w:rsidR="008E6804">
              <w:rPr>
                <w:sz w:val="16"/>
                <w:szCs w:val="16"/>
              </w:rPr>
              <w:t xml:space="preserve"> </w:t>
            </w:r>
            <w:r w:rsidR="008E6804" w:rsidRPr="008E6804">
              <w:rPr>
                <w:sz w:val="16"/>
                <w:szCs w:val="16"/>
              </w:rPr>
              <w:t>Electoral Body</w:t>
            </w:r>
          </w:p>
        </w:tc>
        <w:tc>
          <w:tcPr>
            <w:tcW w:w="615" w:type="pct"/>
          </w:tcPr>
          <w:p w14:paraId="3ED1F886" w14:textId="21EAB09E" w:rsidR="00B43EE3" w:rsidRPr="00E00BCB" w:rsidRDefault="004F110F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Government partners</w:t>
            </w:r>
          </w:p>
        </w:tc>
        <w:tc>
          <w:tcPr>
            <w:tcW w:w="617" w:type="pct"/>
          </w:tcPr>
          <w:p w14:paraId="18380F23" w14:textId="2E9C0849" w:rsidR="00B43EE3" w:rsidRPr="00E00BCB" w:rsidRDefault="005018E0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Sweden</w:t>
            </w:r>
            <w:r w:rsidR="00E9019C" w:rsidRPr="00E00BCB">
              <w:rPr>
                <w:sz w:val="16"/>
                <w:szCs w:val="16"/>
              </w:rPr>
              <w:t xml:space="preserve"> / Spain</w:t>
            </w:r>
          </w:p>
        </w:tc>
        <w:tc>
          <w:tcPr>
            <w:tcW w:w="630" w:type="pct"/>
          </w:tcPr>
          <w:p w14:paraId="39A97F1E" w14:textId="25378D54" w:rsidR="00B43EE3" w:rsidRPr="00E00BCB" w:rsidRDefault="00E9019C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Project Evaluation</w:t>
            </w:r>
          </w:p>
        </w:tc>
        <w:tc>
          <w:tcPr>
            <w:tcW w:w="562" w:type="pct"/>
          </w:tcPr>
          <w:p w14:paraId="367E6DBA" w14:textId="191E0BCD" w:rsidR="00B43EE3" w:rsidRPr="00E00BCB" w:rsidRDefault="00B931CE" w:rsidP="009D7760">
            <w:pPr>
              <w:spacing w:before="40" w:after="40"/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June 2024</w:t>
            </w:r>
          </w:p>
        </w:tc>
        <w:tc>
          <w:tcPr>
            <w:tcW w:w="541" w:type="pct"/>
          </w:tcPr>
          <w:p w14:paraId="2B444B84" w14:textId="26DCD2EA" w:rsidR="00B43EE3" w:rsidRPr="00E00BCB" w:rsidRDefault="00E9019C" w:rsidP="009D7760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25,000</w:t>
            </w:r>
          </w:p>
        </w:tc>
        <w:tc>
          <w:tcPr>
            <w:tcW w:w="510" w:type="pct"/>
          </w:tcPr>
          <w:p w14:paraId="7611E3B6" w14:textId="77627AC6" w:rsidR="00B43EE3" w:rsidRPr="00E00BCB" w:rsidRDefault="00F34577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00BCB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BB1CCF" w:rsidRPr="00E00BCB" w14:paraId="3C7D1B23" w14:textId="77777777" w:rsidTr="00BA0D0D">
        <w:trPr>
          <w:trHeight w:val="490"/>
        </w:trPr>
        <w:tc>
          <w:tcPr>
            <w:tcW w:w="576" w:type="pct"/>
          </w:tcPr>
          <w:p w14:paraId="476EAE03" w14:textId="357AFACD" w:rsidR="00BB1CCF" w:rsidRPr="00E00BCB" w:rsidRDefault="00BB1CCF" w:rsidP="00BB1CCF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All Outcomes</w:t>
            </w:r>
          </w:p>
        </w:tc>
        <w:tc>
          <w:tcPr>
            <w:tcW w:w="471" w:type="pct"/>
          </w:tcPr>
          <w:p w14:paraId="7C16968F" w14:textId="172DDFAE" w:rsidR="00BB1CCF" w:rsidRPr="00E00BCB" w:rsidRDefault="00BB1CCF" w:rsidP="00BB1CCF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Outcomes 1</w:t>
            </w:r>
            <w:r w:rsidR="00A13257" w:rsidRPr="00E00BCB">
              <w:rPr>
                <w:sz w:val="16"/>
                <w:szCs w:val="16"/>
              </w:rPr>
              <w:t xml:space="preserve">, </w:t>
            </w:r>
            <w:r w:rsidRPr="00E00BCB">
              <w:rPr>
                <w:sz w:val="16"/>
                <w:szCs w:val="16"/>
              </w:rPr>
              <w:t>2</w:t>
            </w:r>
            <w:r w:rsidR="00A13257" w:rsidRPr="00E00BCB">
              <w:rPr>
                <w:sz w:val="16"/>
                <w:szCs w:val="16"/>
              </w:rPr>
              <w:t xml:space="preserve"> and 3</w:t>
            </w:r>
          </w:p>
        </w:tc>
        <w:tc>
          <w:tcPr>
            <w:tcW w:w="478" w:type="pct"/>
          </w:tcPr>
          <w:p w14:paraId="099AD441" w14:textId="5819FB88" w:rsidR="00BB1CCF" w:rsidRPr="00E00BCB" w:rsidRDefault="00BB1CCF" w:rsidP="00BB1CCF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 xml:space="preserve">Mid-term </w:t>
            </w:r>
            <w:r w:rsidR="00956067" w:rsidRPr="00E00BCB">
              <w:rPr>
                <w:sz w:val="16"/>
                <w:szCs w:val="16"/>
              </w:rPr>
              <w:t>Evaluation CPD</w:t>
            </w:r>
          </w:p>
        </w:tc>
        <w:tc>
          <w:tcPr>
            <w:tcW w:w="615" w:type="pct"/>
          </w:tcPr>
          <w:p w14:paraId="13CD6F19" w14:textId="045AC7AB" w:rsidR="00BB1CCF" w:rsidRPr="00E00BCB" w:rsidRDefault="00956067" w:rsidP="00BB1CCF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Government partners / Donors</w:t>
            </w:r>
          </w:p>
        </w:tc>
        <w:tc>
          <w:tcPr>
            <w:tcW w:w="617" w:type="pct"/>
          </w:tcPr>
          <w:p w14:paraId="4B2BCF5F" w14:textId="00EFEFFC" w:rsidR="00BB1CCF" w:rsidRPr="00E00BCB" w:rsidRDefault="00956067" w:rsidP="00BB1CCF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UNDP</w:t>
            </w:r>
          </w:p>
        </w:tc>
        <w:tc>
          <w:tcPr>
            <w:tcW w:w="630" w:type="pct"/>
          </w:tcPr>
          <w:p w14:paraId="6ABF5FAD" w14:textId="6A00BEB5" w:rsidR="00BB1CCF" w:rsidRPr="00E00BCB" w:rsidRDefault="00956067" w:rsidP="00BB1CCF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Cooperation Framework, Outcome Evaluation</w:t>
            </w:r>
          </w:p>
        </w:tc>
        <w:tc>
          <w:tcPr>
            <w:tcW w:w="562" w:type="pct"/>
          </w:tcPr>
          <w:p w14:paraId="4AC66CD4" w14:textId="2B75BA6E" w:rsidR="00BB1CCF" w:rsidRPr="00E00BCB" w:rsidRDefault="00A158D8" w:rsidP="00BB1CCF">
            <w:pPr>
              <w:spacing w:before="40" w:after="40"/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 xml:space="preserve">October </w:t>
            </w:r>
            <w:r w:rsidR="0026624B" w:rsidRPr="00E00BCB">
              <w:rPr>
                <w:sz w:val="16"/>
                <w:szCs w:val="16"/>
              </w:rPr>
              <w:t>2025</w:t>
            </w:r>
          </w:p>
        </w:tc>
        <w:tc>
          <w:tcPr>
            <w:tcW w:w="541" w:type="pct"/>
          </w:tcPr>
          <w:p w14:paraId="3949D9F5" w14:textId="27368545" w:rsidR="00BB1CCF" w:rsidRPr="00E00BCB" w:rsidRDefault="003B7BF0" w:rsidP="00BB1CCF">
            <w:pPr>
              <w:rPr>
                <w:sz w:val="16"/>
                <w:szCs w:val="16"/>
              </w:rPr>
            </w:pPr>
            <w:r w:rsidRPr="00E00BCB">
              <w:rPr>
                <w:sz w:val="16"/>
                <w:szCs w:val="16"/>
              </w:rPr>
              <w:t>2</w:t>
            </w:r>
            <w:r w:rsidR="00C0632E" w:rsidRPr="00E00BCB">
              <w:rPr>
                <w:sz w:val="16"/>
                <w:szCs w:val="16"/>
              </w:rPr>
              <w:t>5,000</w:t>
            </w:r>
          </w:p>
        </w:tc>
        <w:tc>
          <w:tcPr>
            <w:tcW w:w="510" w:type="pct"/>
          </w:tcPr>
          <w:p w14:paraId="613B56C8" w14:textId="7445C275" w:rsidR="00BB1CCF" w:rsidRPr="00E00BCB" w:rsidRDefault="0026624B" w:rsidP="00BB1CC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00BCB">
              <w:rPr>
                <w:rStyle w:val="CommentReference"/>
                <w:sz w:val="16"/>
                <w:szCs w:val="16"/>
                <w:lang w:eastAsia="uk-UA"/>
              </w:rPr>
              <w:t>UNDP</w:t>
            </w:r>
          </w:p>
        </w:tc>
      </w:tr>
    </w:tbl>
    <w:p w14:paraId="2440D49F" w14:textId="77777777" w:rsidR="00B961B7" w:rsidRPr="00E00BCB" w:rsidRDefault="00B961B7" w:rsidP="00A56348">
      <w:pPr>
        <w:rPr>
          <w:color w:val="000000"/>
        </w:rPr>
      </w:pPr>
    </w:p>
    <w:p w14:paraId="2440D4A1" w14:textId="77777777" w:rsidR="002F7339" w:rsidRPr="00E00BCB" w:rsidRDefault="002F7339" w:rsidP="00125010">
      <w:pPr>
        <w:rPr>
          <w:color w:val="000000"/>
        </w:rPr>
      </w:pPr>
    </w:p>
    <w:sectPr w:rsidR="002F7339" w:rsidRPr="00E00BCB" w:rsidSect="008C7FF1"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4F06" w14:textId="77777777" w:rsidR="009E7F76" w:rsidRDefault="009E7F76" w:rsidP="00441061">
      <w:r>
        <w:separator/>
      </w:r>
    </w:p>
  </w:endnote>
  <w:endnote w:type="continuationSeparator" w:id="0">
    <w:p w14:paraId="48846F5D" w14:textId="77777777" w:rsidR="009E7F76" w:rsidRDefault="009E7F76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FA3A" w14:textId="77777777" w:rsidR="009E7F76" w:rsidRDefault="009E7F76" w:rsidP="00441061">
      <w:r>
        <w:separator/>
      </w:r>
    </w:p>
  </w:footnote>
  <w:footnote w:type="continuationSeparator" w:id="0">
    <w:p w14:paraId="143B2B6C" w14:textId="77777777" w:rsidR="009E7F76" w:rsidRDefault="009E7F76" w:rsidP="004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8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9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8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9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1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7"/>
  </w:num>
  <w:num w:numId="5">
    <w:abstractNumId w:val="27"/>
  </w:num>
  <w:num w:numId="6">
    <w:abstractNumId w:val="0"/>
  </w:num>
  <w:num w:numId="7">
    <w:abstractNumId w:val="16"/>
  </w:num>
  <w:num w:numId="8">
    <w:abstractNumId w:val="33"/>
  </w:num>
  <w:num w:numId="9">
    <w:abstractNumId w:val="45"/>
  </w:num>
  <w:num w:numId="10">
    <w:abstractNumId w:val="36"/>
  </w:num>
  <w:num w:numId="11">
    <w:abstractNumId w:val="44"/>
  </w:num>
  <w:num w:numId="12">
    <w:abstractNumId w:val="23"/>
  </w:num>
  <w:num w:numId="13">
    <w:abstractNumId w:val="7"/>
  </w:num>
  <w:num w:numId="14">
    <w:abstractNumId w:val="15"/>
  </w:num>
  <w:num w:numId="15">
    <w:abstractNumId w:val="40"/>
  </w:num>
  <w:num w:numId="16">
    <w:abstractNumId w:val="10"/>
  </w:num>
  <w:num w:numId="17">
    <w:abstractNumId w:val="13"/>
  </w:num>
  <w:num w:numId="18">
    <w:abstractNumId w:val="18"/>
  </w:num>
  <w:num w:numId="19">
    <w:abstractNumId w:val="43"/>
  </w:num>
  <w:num w:numId="20">
    <w:abstractNumId w:val="9"/>
  </w:num>
  <w:num w:numId="21">
    <w:abstractNumId w:val="8"/>
  </w:num>
  <w:num w:numId="22">
    <w:abstractNumId w:val="41"/>
  </w:num>
  <w:num w:numId="23">
    <w:abstractNumId w:val="14"/>
  </w:num>
  <w:num w:numId="24">
    <w:abstractNumId w:val="3"/>
  </w:num>
  <w:num w:numId="25">
    <w:abstractNumId w:val="38"/>
  </w:num>
  <w:num w:numId="26">
    <w:abstractNumId w:val="35"/>
  </w:num>
  <w:num w:numId="27">
    <w:abstractNumId w:val="30"/>
  </w:num>
  <w:num w:numId="28">
    <w:abstractNumId w:val="1"/>
  </w:num>
  <w:num w:numId="29">
    <w:abstractNumId w:val="24"/>
  </w:num>
  <w:num w:numId="30">
    <w:abstractNumId w:val="29"/>
  </w:num>
  <w:num w:numId="31">
    <w:abstractNumId w:val="12"/>
  </w:num>
  <w:num w:numId="32">
    <w:abstractNumId w:val="4"/>
  </w:num>
  <w:num w:numId="33">
    <w:abstractNumId w:val="22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28"/>
  </w:num>
  <w:num w:numId="38">
    <w:abstractNumId w:val="11"/>
  </w:num>
  <w:num w:numId="39">
    <w:abstractNumId w:val="2"/>
  </w:num>
  <w:num w:numId="40">
    <w:abstractNumId w:val="20"/>
  </w:num>
  <w:num w:numId="41">
    <w:abstractNumId w:val="5"/>
  </w:num>
  <w:num w:numId="42">
    <w:abstractNumId w:val="17"/>
  </w:num>
  <w:num w:numId="43">
    <w:abstractNumId w:val="39"/>
  </w:num>
  <w:num w:numId="44">
    <w:abstractNumId w:val="34"/>
  </w:num>
  <w:num w:numId="45">
    <w:abstractNumId w:val="25"/>
  </w:num>
  <w:num w:numId="46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LIwNjawsDQxNDVX0lEKTi0uzszPAykwqQUAAQwiuSwAAAA="/>
  </w:docVars>
  <w:rsids>
    <w:rsidRoot w:val="00D9153B"/>
    <w:rsid w:val="000010B5"/>
    <w:rsid w:val="000027D2"/>
    <w:rsid w:val="0000312F"/>
    <w:rsid w:val="00003E8B"/>
    <w:rsid w:val="00005E26"/>
    <w:rsid w:val="00006E59"/>
    <w:rsid w:val="0001309E"/>
    <w:rsid w:val="000153EB"/>
    <w:rsid w:val="00015FDE"/>
    <w:rsid w:val="00016217"/>
    <w:rsid w:val="00016861"/>
    <w:rsid w:val="00017D05"/>
    <w:rsid w:val="000200CF"/>
    <w:rsid w:val="0002019E"/>
    <w:rsid w:val="000205F1"/>
    <w:rsid w:val="00022047"/>
    <w:rsid w:val="00022E57"/>
    <w:rsid w:val="00023AEE"/>
    <w:rsid w:val="000274B9"/>
    <w:rsid w:val="0002758B"/>
    <w:rsid w:val="000276A0"/>
    <w:rsid w:val="00030AFA"/>
    <w:rsid w:val="00031B68"/>
    <w:rsid w:val="0003257C"/>
    <w:rsid w:val="000330DB"/>
    <w:rsid w:val="00034249"/>
    <w:rsid w:val="0003429F"/>
    <w:rsid w:val="0003562A"/>
    <w:rsid w:val="00036095"/>
    <w:rsid w:val="000367E0"/>
    <w:rsid w:val="00036AF4"/>
    <w:rsid w:val="00041C10"/>
    <w:rsid w:val="00043804"/>
    <w:rsid w:val="000441A1"/>
    <w:rsid w:val="00050869"/>
    <w:rsid w:val="00051E3C"/>
    <w:rsid w:val="00055553"/>
    <w:rsid w:val="00055596"/>
    <w:rsid w:val="00056014"/>
    <w:rsid w:val="000561C1"/>
    <w:rsid w:val="00056204"/>
    <w:rsid w:val="000570D1"/>
    <w:rsid w:val="000571A9"/>
    <w:rsid w:val="00060290"/>
    <w:rsid w:val="000611AB"/>
    <w:rsid w:val="0006161F"/>
    <w:rsid w:val="00063E24"/>
    <w:rsid w:val="000709EA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AD1"/>
    <w:rsid w:val="00090F4F"/>
    <w:rsid w:val="00091476"/>
    <w:rsid w:val="00091984"/>
    <w:rsid w:val="00092879"/>
    <w:rsid w:val="00094E87"/>
    <w:rsid w:val="00097FB2"/>
    <w:rsid w:val="000A151D"/>
    <w:rsid w:val="000A24C5"/>
    <w:rsid w:val="000A30A1"/>
    <w:rsid w:val="000A3A38"/>
    <w:rsid w:val="000A3F7F"/>
    <w:rsid w:val="000A47FD"/>
    <w:rsid w:val="000A7192"/>
    <w:rsid w:val="000B0228"/>
    <w:rsid w:val="000B2E16"/>
    <w:rsid w:val="000B3A13"/>
    <w:rsid w:val="000B4BB2"/>
    <w:rsid w:val="000B6379"/>
    <w:rsid w:val="000C3C93"/>
    <w:rsid w:val="000C4E54"/>
    <w:rsid w:val="000C5C63"/>
    <w:rsid w:val="000C76B0"/>
    <w:rsid w:val="000C7BBE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280D"/>
    <w:rsid w:val="000F5541"/>
    <w:rsid w:val="000F657D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E93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D3"/>
    <w:rsid w:val="00133CF0"/>
    <w:rsid w:val="0013761A"/>
    <w:rsid w:val="00137FFD"/>
    <w:rsid w:val="00140C5E"/>
    <w:rsid w:val="0014423A"/>
    <w:rsid w:val="00147042"/>
    <w:rsid w:val="001471A7"/>
    <w:rsid w:val="001506F6"/>
    <w:rsid w:val="001508E6"/>
    <w:rsid w:val="00154032"/>
    <w:rsid w:val="001547D3"/>
    <w:rsid w:val="001559BD"/>
    <w:rsid w:val="00155FB1"/>
    <w:rsid w:val="00157F09"/>
    <w:rsid w:val="00157F79"/>
    <w:rsid w:val="00163E84"/>
    <w:rsid w:val="00165A12"/>
    <w:rsid w:val="001668AA"/>
    <w:rsid w:val="001675B1"/>
    <w:rsid w:val="0016789D"/>
    <w:rsid w:val="00167C87"/>
    <w:rsid w:val="00171F01"/>
    <w:rsid w:val="00172EE3"/>
    <w:rsid w:val="00174F19"/>
    <w:rsid w:val="00176C05"/>
    <w:rsid w:val="00177E7E"/>
    <w:rsid w:val="00180BB5"/>
    <w:rsid w:val="0018356F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0B1D"/>
    <w:rsid w:val="001A17DA"/>
    <w:rsid w:val="001B0020"/>
    <w:rsid w:val="001B0B31"/>
    <w:rsid w:val="001B12F2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2165"/>
    <w:rsid w:val="001E4809"/>
    <w:rsid w:val="001E4F4F"/>
    <w:rsid w:val="001F27F4"/>
    <w:rsid w:val="001F2EEF"/>
    <w:rsid w:val="001F310E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A8C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624B"/>
    <w:rsid w:val="002671D7"/>
    <w:rsid w:val="0027119E"/>
    <w:rsid w:val="00272093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87EAE"/>
    <w:rsid w:val="00290EB3"/>
    <w:rsid w:val="00292846"/>
    <w:rsid w:val="00292A90"/>
    <w:rsid w:val="002971D6"/>
    <w:rsid w:val="002A2F08"/>
    <w:rsid w:val="002A3641"/>
    <w:rsid w:val="002A495F"/>
    <w:rsid w:val="002A4CE1"/>
    <w:rsid w:val="002A706F"/>
    <w:rsid w:val="002A70EA"/>
    <w:rsid w:val="002A7363"/>
    <w:rsid w:val="002A7F43"/>
    <w:rsid w:val="002B0E5E"/>
    <w:rsid w:val="002B365E"/>
    <w:rsid w:val="002B3E6C"/>
    <w:rsid w:val="002B489A"/>
    <w:rsid w:val="002B6341"/>
    <w:rsid w:val="002B70D3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A38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03E8"/>
    <w:rsid w:val="002F1D9E"/>
    <w:rsid w:val="002F2C6E"/>
    <w:rsid w:val="002F3C88"/>
    <w:rsid w:val="002F4067"/>
    <w:rsid w:val="002F47EB"/>
    <w:rsid w:val="002F7339"/>
    <w:rsid w:val="002F7461"/>
    <w:rsid w:val="003025E2"/>
    <w:rsid w:val="00303CB0"/>
    <w:rsid w:val="00306D24"/>
    <w:rsid w:val="00307712"/>
    <w:rsid w:val="0031330C"/>
    <w:rsid w:val="0031404A"/>
    <w:rsid w:val="00314B7C"/>
    <w:rsid w:val="00314E49"/>
    <w:rsid w:val="00315445"/>
    <w:rsid w:val="00317183"/>
    <w:rsid w:val="003204AE"/>
    <w:rsid w:val="003208EF"/>
    <w:rsid w:val="00323D35"/>
    <w:rsid w:val="00324846"/>
    <w:rsid w:val="00324ABD"/>
    <w:rsid w:val="00324D9B"/>
    <w:rsid w:val="00324FB9"/>
    <w:rsid w:val="003272A6"/>
    <w:rsid w:val="003273CB"/>
    <w:rsid w:val="003303F9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782B"/>
    <w:rsid w:val="00351E5C"/>
    <w:rsid w:val="00351F5A"/>
    <w:rsid w:val="003538F7"/>
    <w:rsid w:val="0035580F"/>
    <w:rsid w:val="00356C55"/>
    <w:rsid w:val="00357CB4"/>
    <w:rsid w:val="003604EE"/>
    <w:rsid w:val="0036286B"/>
    <w:rsid w:val="00363371"/>
    <w:rsid w:val="00364989"/>
    <w:rsid w:val="003664C0"/>
    <w:rsid w:val="00366769"/>
    <w:rsid w:val="00367A28"/>
    <w:rsid w:val="00367E04"/>
    <w:rsid w:val="003761F2"/>
    <w:rsid w:val="0037647F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7476"/>
    <w:rsid w:val="003A7D86"/>
    <w:rsid w:val="003B084F"/>
    <w:rsid w:val="003B0AA1"/>
    <w:rsid w:val="003B243D"/>
    <w:rsid w:val="003B304F"/>
    <w:rsid w:val="003B5ACF"/>
    <w:rsid w:val="003B5D18"/>
    <w:rsid w:val="003B6672"/>
    <w:rsid w:val="003B795D"/>
    <w:rsid w:val="003B7BF0"/>
    <w:rsid w:val="003C26A6"/>
    <w:rsid w:val="003C26C1"/>
    <w:rsid w:val="003C5C11"/>
    <w:rsid w:val="003C6A5A"/>
    <w:rsid w:val="003C6AAD"/>
    <w:rsid w:val="003C76E4"/>
    <w:rsid w:val="003D1D4D"/>
    <w:rsid w:val="003D2D68"/>
    <w:rsid w:val="003D3682"/>
    <w:rsid w:val="003D37DD"/>
    <w:rsid w:val="003D45DF"/>
    <w:rsid w:val="003D47C6"/>
    <w:rsid w:val="003D5DC0"/>
    <w:rsid w:val="003D7E38"/>
    <w:rsid w:val="003D7EAC"/>
    <w:rsid w:val="003E09A1"/>
    <w:rsid w:val="003E1AFA"/>
    <w:rsid w:val="003E2CA7"/>
    <w:rsid w:val="003E3122"/>
    <w:rsid w:val="003E375F"/>
    <w:rsid w:val="003E379A"/>
    <w:rsid w:val="003E52B0"/>
    <w:rsid w:val="003E64DC"/>
    <w:rsid w:val="003E7092"/>
    <w:rsid w:val="003E7A43"/>
    <w:rsid w:val="003F0B58"/>
    <w:rsid w:val="003F0D40"/>
    <w:rsid w:val="003F2236"/>
    <w:rsid w:val="003F27B7"/>
    <w:rsid w:val="003F4051"/>
    <w:rsid w:val="003F5812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20288"/>
    <w:rsid w:val="0042113D"/>
    <w:rsid w:val="00421C78"/>
    <w:rsid w:val="004224CE"/>
    <w:rsid w:val="00423D5E"/>
    <w:rsid w:val="00424A78"/>
    <w:rsid w:val="004254DB"/>
    <w:rsid w:val="00427EEA"/>
    <w:rsid w:val="00431836"/>
    <w:rsid w:val="004321E6"/>
    <w:rsid w:val="0043278E"/>
    <w:rsid w:val="004330E9"/>
    <w:rsid w:val="004332A4"/>
    <w:rsid w:val="004360AC"/>
    <w:rsid w:val="00436B83"/>
    <w:rsid w:val="00436EA7"/>
    <w:rsid w:val="00440DB2"/>
    <w:rsid w:val="00441061"/>
    <w:rsid w:val="0044560C"/>
    <w:rsid w:val="004501C9"/>
    <w:rsid w:val="00450C70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7F2"/>
    <w:rsid w:val="00486ACD"/>
    <w:rsid w:val="00490B8D"/>
    <w:rsid w:val="0049255A"/>
    <w:rsid w:val="00492C65"/>
    <w:rsid w:val="0049403F"/>
    <w:rsid w:val="00494323"/>
    <w:rsid w:val="00494349"/>
    <w:rsid w:val="00494485"/>
    <w:rsid w:val="0049682B"/>
    <w:rsid w:val="00496C91"/>
    <w:rsid w:val="0049762B"/>
    <w:rsid w:val="004A0F27"/>
    <w:rsid w:val="004A0F37"/>
    <w:rsid w:val="004A0F68"/>
    <w:rsid w:val="004A102A"/>
    <w:rsid w:val="004A3608"/>
    <w:rsid w:val="004A4FBD"/>
    <w:rsid w:val="004A53ED"/>
    <w:rsid w:val="004A76FF"/>
    <w:rsid w:val="004A7810"/>
    <w:rsid w:val="004A7E93"/>
    <w:rsid w:val="004B021E"/>
    <w:rsid w:val="004B3CFB"/>
    <w:rsid w:val="004B5D6B"/>
    <w:rsid w:val="004B76F8"/>
    <w:rsid w:val="004C1FA6"/>
    <w:rsid w:val="004C2869"/>
    <w:rsid w:val="004C5CFD"/>
    <w:rsid w:val="004D12C0"/>
    <w:rsid w:val="004D18EA"/>
    <w:rsid w:val="004D1D1D"/>
    <w:rsid w:val="004D2B29"/>
    <w:rsid w:val="004D3713"/>
    <w:rsid w:val="004D6254"/>
    <w:rsid w:val="004D70FD"/>
    <w:rsid w:val="004D7E99"/>
    <w:rsid w:val="004E00CE"/>
    <w:rsid w:val="004E2BDB"/>
    <w:rsid w:val="004E307B"/>
    <w:rsid w:val="004F0966"/>
    <w:rsid w:val="004F110F"/>
    <w:rsid w:val="004F50AF"/>
    <w:rsid w:val="004F67B4"/>
    <w:rsid w:val="004F681D"/>
    <w:rsid w:val="004F6E14"/>
    <w:rsid w:val="005018E0"/>
    <w:rsid w:val="00501FCB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1132C"/>
    <w:rsid w:val="005119D0"/>
    <w:rsid w:val="00513483"/>
    <w:rsid w:val="00514A55"/>
    <w:rsid w:val="00514EF5"/>
    <w:rsid w:val="0051655D"/>
    <w:rsid w:val="0051782D"/>
    <w:rsid w:val="0052087E"/>
    <w:rsid w:val="0052315E"/>
    <w:rsid w:val="00523B73"/>
    <w:rsid w:val="00530ED3"/>
    <w:rsid w:val="005325A1"/>
    <w:rsid w:val="00533D2D"/>
    <w:rsid w:val="0053438E"/>
    <w:rsid w:val="005343E5"/>
    <w:rsid w:val="005346B7"/>
    <w:rsid w:val="005355EE"/>
    <w:rsid w:val="00535B16"/>
    <w:rsid w:val="005366D0"/>
    <w:rsid w:val="00536788"/>
    <w:rsid w:val="00537E27"/>
    <w:rsid w:val="00540B4D"/>
    <w:rsid w:val="00540FFA"/>
    <w:rsid w:val="00542930"/>
    <w:rsid w:val="005435B3"/>
    <w:rsid w:val="00545568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5FB1"/>
    <w:rsid w:val="005662FB"/>
    <w:rsid w:val="00567781"/>
    <w:rsid w:val="00567ECC"/>
    <w:rsid w:val="0057019C"/>
    <w:rsid w:val="005713B1"/>
    <w:rsid w:val="005728D3"/>
    <w:rsid w:val="0057363E"/>
    <w:rsid w:val="0057624B"/>
    <w:rsid w:val="0057644D"/>
    <w:rsid w:val="0057649A"/>
    <w:rsid w:val="00583090"/>
    <w:rsid w:val="005835F4"/>
    <w:rsid w:val="00583946"/>
    <w:rsid w:val="00583EFE"/>
    <w:rsid w:val="00584076"/>
    <w:rsid w:val="005841A3"/>
    <w:rsid w:val="00586D9A"/>
    <w:rsid w:val="00587EE7"/>
    <w:rsid w:val="00590EAE"/>
    <w:rsid w:val="0059112A"/>
    <w:rsid w:val="0059116B"/>
    <w:rsid w:val="00591B65"/>
    <w:rsid w:val="00592550"/>
    <w:rsid w:val="00592A14"/>
    <w:rsid w:val="00593216"/>
    <w:rsid w:val="00593C29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82F"/>
    <w:rsid w:val="005A29EC"/>
    <w:rsid w:val="005A2AD8"/>
    <w:rsid w:val="005A3152"/>
    <w:rsid w:val="005A40AF"/>
    <w:rsid w:val="005A64BF"/>
    <w:rsid w:val="005B0565"/>
    <w:rsid w:val="005B4421"/>
    <w:rsid w:val="005B50E9"/>
    <w:rsid w:val="005B513F"/>
    <w:rsid w:val="005B6B26"/>
    <w:rsid w:val="005B7483"/>
    <w:rsid w:val="005B7929"/>
    <w:rsid w:val="005C0643"/>
    <w:rsid w:val="005C131B"/>
    <w:rsid w:val="005C23AF"/>
    <w:rsid w:val="005C25D1"/>
    <w:rsid w:val="005C2F1C"/>
    <w:rsid w:val="005C35A9"/>
    <w:rsid w:val="005C464B"/>
    <w:rsid w:val="005C4E5F"/>
    <w:rsid w:val="005C74A0"/>
    <w:rsid w:val="005D01DC"/>
    <w:rsid w:val="005D052C"/>
    <w:rsid w:val="005D16FE"/>
    <w:rsid w:val="005D3939"/>
    <w:rsid w:val="005D4084"/>
    <w:rsid w:val="005D4233"/>
    <w:rsid w:val="005D4777"/>
    <w:rsid w:val="005D4C2B"/>
    <w:rsid w:val="005D5784"/>
    <w:rsid w:val="005E1457"/>
    <w:rsid w:val="005E22CD"/>
    <w:rsid w:val="005E23E5"/>
    <w:rsid w:val="005E6B93"/>
    <w:rsid w:val="005E7953"/>
    <w:rsid w:val="005E7E82"/>
    <w:rsid w:val="005F025D"/>
    <w:rsid w:val="005F14EA"/>
    <w:rsid w:val="005F2C42"/>
    <w:rsid w:val="005F6BAB"/>
    <w:rsid w:val="005F6C28"/>
    <w:rsid w:val="005F7AB6"/>
    <w:rsid w:val="005F7E3C"/>
    <w:rsid w:val="00600FA8"/>
    <w:rsid w:val="006063DA"/>
    <w:rsid w:val="00606CD0"/>
    <w:rsid w:val="00606CE3"/>
    <w:rsid w:val="00611DD3"/>
    <w:rsid w:val="00611EF0"/>
    <w:rsid w:val="00612219"/>
    <w:rsid w:val="00612CC1"/>
    <w:rsid w:val="00612E04"/>
    <w:rsid w:val="0061713A"/>
    <w:rsid w:val="006173A4"/>
    <w:rsid w:val="00617C44"/>
    <w:rsid w:val="00620086"/>
    <w:rsid w:val="00622074"/>
    <w:rsid w:val="00622CE4"/>
    <w:rsid w:val="00623166"/>
    <w:rsid w:val="006234A7"/>
    <w:rsid w:val="00623F8E"/>
    <w:rsid w:val="0062572C"/>
    <w:rsid w:val="00625917"/>
    <w:rsid w:val="0062789F"/>
    <w:rsid w:val="00627B11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AD5"/>
    <w:rsid w:val="00647B1E"/>
    <w:rsid w:val="00647C55"/>
    <w:rsid w:val="0065008B"/>
    <w:rsid w:val="00653721"/>
    <w:rsid w:val="00653A3B"/>
    <w:rsid w:val="00653FD9"/>
    <w:rsid w:val="006543A2"/>
    <w:rsid w:val="00654D42"/>
    <w:rsid w:val="0065588A"/>
    <w:rsid w:val="00656328"/>
    <w:rsid w:val="00660279"/>
    <w:rsid w:val="00660A94"/>
    <w:rsid w:val="006622B9"/>
    <w:rsid w:val="00662E1E"/>
    <w:rsid w:val="0066371E"/>
    <w:rsid w:val="0066455B"/>
    <w:rsid w:val="0066705F"/>
    <w:rsid w:val="00670BC4"/>
    <w:rsid w:val="006713AD"/>
    <w:rsid w:val="006718ED"/>
    <w:rsid w:val="006724AD"/>
    <w:rsid w:val="006726E6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3AD6"/>
    <w:rsid w:val="006842AE"/>
    <w:rsid w:val="006875BA"/>
    <w:rsid w:val="00687A3C"/>
    <w:rsid w:val="0069097D"/>
    <w:rsid w:val="00693FEA"/>
    <w:rsid w:val="00694C68"/>
    <w:rsid w:val="006960DF"/>
    <w:rsid w:val="006A2FE8"/>
    <w:rsid w:val="006A5773"/>
    <w:rsid w:val="006A5804"/>
    <w:rsid w:val="006A58F0"/>
    <w:rsid w:val="006A6262"/>
    <w:rsid w:val="006B0372"/>
    <w:rsid w:val="006B0764"/>
    <w:rsid w:val="006B081C"/>
    <w:rsid w:val="006B4467"/>
    <w:rsid w:val="006B5D9E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5D3F"/>
    <w:rsid w:val="006D60ED"/>
    <w:rsid w:val="006E1166"/>
    <w:rsid w:val="006E24D9"/>
    <w:rsid w:val="006E25BA"/>
    <w:rsid w:val="006E596E"/>
    <w:rsid w:val="006E65E0"/>
    <w:rsid w:val="006F033F"/>
    <w:rsid w:val="006F24D8"/>
    <w:rsid w:val="006F2F3B"/>
    <w:rsid w:val="006F33B8"/>
    <w:rsid w:val="006F4C9C"/>
    <w:rsid w:val="006F5015"/>
    <w:rsid w:val="006F640F"/>
    <w:rsid w:val="006F762A"/>
    <w:rsid w:val="006F7D83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B78"/>
    <w:rsid w:val="00727082"/>
    <w:rsid w:val="0073233C"/>
    <w:rsid w:val="00732D0C"/>
    <w:rsid w:val="00733295"/>
    <w:rsid w:val="00733EAD"/>
    <w:rsid w:val="00734F54"/>
    <w:rsid w:val="00736D93"/>
    <w:rsid w:val="00737C04"/>
    <w:rsid w:val="00737F64"/>
    <w:rsid w:val="00740E3F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2A1B"/>
    <w:rsid w:val="00762D6D"/>
    <w:rsid w:val="00763700"/>
    <w:rsid w:val="0076427C"/>
    <w:rsid w:val="00765217"/>
    <w:rsid w:val="007659AA"/>
    <w:rsid w:val="00766334"/>
    <w:rsid w:val="0077266C"/>
    <w:rsid w:val="00772802"/>
    <w:rsid w:val="00775066"/>
    <w:rsid w:val="00776406"/>
    <w:rsid w:val="007767DC"/>
    <w:rsid w:val="00776DEC"/>
    <w:rsid w:val="0078005A"/>
    <w:rsid w:val="00780E8C"/>
    <w:rsid w:val="00781B6F"/>
    <w:rsid w:val="00781F9C"/>
    <w:rsid w:val="007820ED"/>
    <w:rsid w:val="00782DFD"/>
    <w:rsid w:val="00783420"/>
    <w:rsid w:val="00784424"/>
    <w:rsid w:val="00785474"/>
    <w:rsid w:val="0078772C"/>
    <w:rsid w:val="00787B99"/>
    <w:rsid w:val="00787C65"/>
    <w:rsid w:val="007907C8"/>
    <w:rsid w:val="007910F9"/>
    <w:rsid w:val="007925B6"/>
    <w:rsid w:val="007934F5"/>
    <w:rsid w:val="0079421C"/>
    <w:rsid w:val="0079526D"/>
    <w:rsid w:val="00795A2C"/>
    <w:rsid w:val="00797309"/>
    <w:rsid w:val="00797390"/>
    <w:rsid w:val="007A05B6"/>
    <w:rsid w:val="007A1C0A"/>
    <w:rsid w:val="007A1C59"/>
    <w:rsid w:val="007A4397"/>
    <w:rsid w:val="007A5B41"/>
    <w:rsid w:val="007B20BC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4D17"/>
    <w:rsid w:val="007D7400"/>
    <w:rsid w:val="007D7761"/>
    <w:rsid w:val="007D79FF"/>
    <w:rsid w:val="007E02A7"/>
    <w:rsid w:val="007E468A"/>
    <w:rsid w:val="007E51A5"/>
    <w:rsid w:val="007E5629"/>
    <w:rsid w:val="007E5A96"/>
    <w:rsid w:val="007E7F4C"/>
    <w:rsid w:val="007F2EC6"/>
    <w:rsid w:val="007F3018"/>
    <w:rsid w:val="007F6517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16747"/>
    <w:rsid w:val="00820E45"/>
    <w:rsid w:val="00821E2C"/>
    <w:rsid w:val="00822835"/>
    <w:rsid w:val="0082459B"/>
    <w:rsid w:val="00826758"/>
    <w:rsid w:val="008313D1"/>
    <w:rsid w:val="00833261"/>
    <w:rsid w:val="008353E0"/>
    <w:rsid w:val="00835B14"/>
    <w:rsid w:val="008365F0"/>
    <w:rsid w:val="00841534"/>
    <w:rsid w:val="008462F1"/>
    <w:rsid w:val="00846930"/>
    <w:rsid w:val="00850FDE"/>
    <w:rsid w:val="00852876"/>
    <w:rsid w:val="008543F5"/>
    <w:rsid w:val="008548F4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0BEA"/>
    <w:rsid w:val="00883780"/>
    <w:rsid w:val="00883B99"/>
    <w:rsid w:val="00885066"/>
    <w:rsid w:val="00885F85"/>
    <w:rsid w:val="0088665E"/>
    <w:rsid w:val="00887F48"/>
    <w:rsid w:val="008923C8"/>
    <w:rsid w:val="008924B5"/>
    <w:rsid w:val="00893260"/>
    <w:rsid w:val="008932A8"/>
    <w:rsid w:val="00893756"/>
    <w:rsid w:val="00894A9E"/>
    <w:rsid w:val="008950F6"/>
    <w:rsid w:val="00896338"/>
    <w:rsid w:val="00896815"/>
    <w:rsid w:val="008A00A8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C7FF1"/>
    <w:rsid w:val="008E03B0"/>
    <w:rsid w:val="008E0991"/>
    <w:rsid w:val="008E338E"/>
    <w:rsid w:val="008E57FE"/>
    <w:rsid w:val="008E6804"/>
    <w:rsid w:val="008F1818"/>
    <w:rsid w:val="008F2665"/>
    <w:rsid w:val="008F507E"/>
    <w:rsid w:val="008F5251"/>
    <w:rsid w:val="008F6376"/>
    <w:rsid w:val="00900CC2"/>
    <w:rsid w:val="00901770"/>
    <w:rsid w:val="009019FB"/>
    <w:rsid w:val="00901D2A"/>
    <w:rsid w:val="00902AA5"/>
    <w:rsid w:val="009052B7"/>
    <w:rsid w:val="00905B05"/>
    <w:rsid w:val="0090753C"/>
    <w:rsid w:val="0090759D"/>
    <w:rsid w:val="0091156F"/>
    <w:rsid w:val="00911B66"/>
    <w:rsid w:val="00912A7E"/>
    <w:rsid w:val="00915330"/>
    <w:rsid w:val="00916E69"/>
    <w:rsid w:val="00917525"/>
    <w:rsid w:val="0091777D"/>
    <w:rsid w:val="00917A9E"/>
    <w:rsid w:val="00917C39"/>
    <w:rsid w:val="0092057D"/>
    <w:rsid w:val="0092113B"/>
    <w:rsid w:val="009218DE"/>
    <w:rsid w:val="00922D00"/>
    <w:rsid w:val="009233CC"/>
    <w:rsid w:val="00923F17"/>
    <w:rsid w:val="009266DA"/>
    <w:rsid w:val="00927F35"/>
    <w:rsid w:val="00930DE8"/>
    <w:rsid w:val="009318DD"/>
    <w:rsid w:val="0093312F"/>
    <w:rsid w:val="009352C3"/>
    <w:rsid w:val="00935413"/>
    <w:rsid w:val="00935F5D"/>
    <w:rsid w:val="0093669F"/>
    <w:rsid w:val="009368E0"/>
    <w:rsid w:val="0094260B"/>
    <w:rsid w:val="00942661"/>
    <w:rsid w:val="00945307"/>
    <w:rsid w:val="0094558D"/>
    <w:rsid w:val="0094697C"/>
    <w:rsid w:val="00946FCE"/>
    <w:rsid w:val="009515BC"/>
    <w:rsid w:val="0095349A"/>
    <w:rsid w:val="00953B5B"/>
    <w:rsid w:val="00953ED0"/>
    <w:rsid w:val="0095492E"/>
    <w:rsid w:val="00955F7D"/>
    <w:rsid w:val="00956067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31FF"/>
    <w:rsid w:val="0097762F"/>
    <w:rsid w:val="00977C0A"/>
    <w:rsid w:val="009816B8"/>
    <w:rsid w:val="00983B45"/>
    <w:rsid w:val="00983B5C"/>
    <w:rsid w:val="00984308"/>
    <w:rsid w:val="0098713F"/>
    <w:rsid w:val="0098766F"/>
    <w:rsid w:val="00993912"/>
    <w:rsid w:val="00994050"/>
    <w:rsid w:val="009962CF"/>
    <w:rsid w:val="009969D6"/>
    <w:rsid w:val="009A170B"/>
    <w:rsid w:val="009A4543"/>
    <w:rsid w:val="009A5DB1"/>
    <w:rsid w:val="009A7C5A"/>
    <w:rsid w:val="009A7E51"/>
    <w:rsid w:val="009B054B"/>
    <w:rsid w:val="009B20E3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C683A"/>
    <w:rsid w:val="009D12B4"/>
    <w:rsid w:val="009D1E70"/>
    <w:rsid w:val="009D2135"/>
    <w:rsid w:val="009D2FA7"/>
    <w:rsid w:val="009D3673"/>
    <w:rsid w:val="009D4166"/>
    <w:rsid w:val="009D4430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2CF0"/>
    <w:rsid w:val="009E30CE"/>
    <w:rsid w:val="009E3AF8"/>
    <w:rsid w:val="009E4BA2"/>
    <w:rsid w:val="009E4CDF"/>
    <w:rsid w:val="009E7F76"/>
    <w:rsid w:val="009F04C3"/>
    <w:rsid w:val="009F0760"/>
    <w:rsid w:val="009F3B29"/>
    <w:rsid w:val="009F4860"/>
    <w:rsid w:val="00A00057"/>
    <w:rsid w:val="00A00485"/>
    <w:rsid w:val="00A01A5F"/>
    <w:rsid w:val="00A02395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07F23"/>
    <w:rsid w:val="00A10A30"/>
    <w:rsid w:val="00A1137C"/>
    <w:rsid w:val="00A113D7"/>
    <w:rsid w:val="00A11F0F"/>
    <w:rsid w:val="00A13257"/>
    <w:rsid w:val="00A158D8"/>
    <w:rsid w:val="00A16126"/>
    <w:rsid w:val="00A165DB"/>
    <w:rsid w:val="00A20043"/>
    <w:rsid w:val="00A2083D"/>
    <w:rsid w:val="00A21C6C"/>
    <w:rsid w:val="00A2365A"/>
    <w:rsid w:val="00A2387B"/>
    <w:rsid w:val="00A24133"/>
    <w:rsid w:val="00A24B81"/>
    <w:rsid w:val="00A262BF"/>
    <w:rsid w:val="00A27809"/>
    <w:rsid w:val="00A30533"/>
    <w:rsid w:val="00A3095F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132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0E4D"/>
    <w:rsid w:val="00A61825"/>
    <w:rsid w:val="00A6316B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7EC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A2E"/>
    <w:rsid w:val="00AA4099"/>
    <w:rsid w:val="00AA4D5A"/>
    <w:rsid w:val="00AA6913"/>
    <w:rsid w:val="00AB2190"/>
    <w:rsid w:val="00AB2DCF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D7EE4"/>
    <w:rsid w:val="00AE1366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78EC"/>
    <w:rsid w:val="00AE7D4F"/>
    <w:rsid w:val="00AE7FE4"/>
    <w:rsid w:val="00AF0117"/>
    <w:rsid w:val="00AF123B"/>
    <w:rsid w:val="00AF17D3"/>
    <w:rsid w:val="00AF1D77"/>
    <w:rsid w:val="00AF1E50"/>
    <w:rsid w:val="00AF38BA"/>
    <w:rsid w:val="00AF4F67"/>
    <w:rsid w:val="00AF5811"/>
    <w:rsid w:val="00AF6509"/>
    <w:rsid w:val="00B00BBE"/>
    <w:rsid w:val="00B0294D"/>
    <w:rsid w:val="00B0456E"/>
    <w:rsid w:val="00B06A05"/>
    <w:rsid w:val="00B06BF6"/>
    <w:rsid w:val="00B06F7F"/>
    <w:rsid w:val="00B100F0"/>
    <w:rsid w:val="00B1402E"/>
    <w:rsid w:val="00B142FD"/>
    <w:rsid w:val="00B14865"/>
    <w:rsid w:val="00B1719D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35B52"/>
    <w:rsid w:val="00B43EE3"/>
    <w:rsid w:val="00B45DF2"/>
    <w:rsid w:val="00B51BA0"/>
    <w:rsid w:val="00B535BD"/>
    <w:rsid w:val="00B53701"/>
    <w:rsid w:val="00B5509D"/>
    <w:rsid w:val="00B56A26"/>
    <w:rsid w:val="00B573E6"/>
    <w:rsid w:val="00B6110A"/>
    <w:rsid w:val="00B6176A"/>
    <w:rsid w:val="00B6301A"/>
    <w:rsid w:val="00B63542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F6C"/>
    <w:rsid w:val="00B8080B"/>
    <w:rsid w:val="00B811EF"/>
    <w:rsid w:val="00B81568"/>
    <w:rsid w:val="00B8310D"/>
    <w:rsid w:val="00B831B9"/>
    <w:rsid w:val="00B86EF1"/>
    <w:rsid w:val="00B90674"/>
    <w:rsid w:val="00B91F77"/>
    <w:rsid w:val="00B91FFF"/>
    <w:rsid w:val="00B931CE"/>
    <w:rsid w:val="00B934E3"/>
    <w:rsid w:val="00B94323"/>
    <w:rsid w:val="00B94444"/>
    <w:rsid w:val="00B9566B"/>
    <w:rsid w:val="00B95F92"/>
    <w:rsid w:val="00B961B7"/>
    <w:rsid w:val="00B963D4"/>
    <w:rsid w:val="00B9772B"/>
    <w:rsid w:val="00BA0D0D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1CCF"/>
    <w:rsid w:val="00BB212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6D0F"/>
    <w:rsid w:val="00BD2216"/>
    <w:rsid w:val="00BD35E1"/>
    <w:rsid w:val="00BD3A56"/>
    <w:rsid w:val="00BD54FC"/>
    <w:rsid w:val="00BD5864"/>
    <w:rsid w:val="00BD63C3"/>
    <w:rsid w:val="00BD67CE"/>
    <w:rsid w:val="00BD76A4"/>
    <w:rsid w:val="00BE0186"/>
    <w:rsid w:val="00BE1C8A"/>
    <w:rsid w:val="00BE4857"/>
    <w:rsid w:val="00BE4C6A"/>
    <w:rsid w:val="00BE5847"/>
    <w:rsid w:val="00BE5BE0"/>
    <w:rsid w:val="00BE5D1D"/>
    <w:rsid w:val="00BE5EE6"/>
    <w:rsid w:val="00BE697B"/>
    <w:rsid w:val="00BE70E8"/>
    <w:rsid w:val="00BF0E76"/>
    <w:rsid w:val="00BF19DC"/>
    <w:rsid w:val="00BF2B3E"/>
    <w:rsid w:val="00BF2DAF"/>
    <w:rsid w:val="00BF4E1B"/>
    <w:rsid w:val="00BF5AB9"/>
    <w:rsid w:val="00BF6D3C"/>
    <w:rsid w:val="00C01083"/>
    <w:rsid w:val="00C0480F"/>
    <w:rsid w:val="00C04C9A"/>
    <w:rsid w:val="00C0632E"/>
    <w:rsid w:val="00C1043C"/>
    <w:rsid w:val="00C10D90"/>
    <w:rsid w:val="00C12A51"/>
    <w:rsid w:val="00C12C65"/>
    <w:rsid w:val="00C12CD1"/>
    <w:rsid w:val="00C141BB"/>
    <w:rsid w:val="00C14F6F"/>
    <w:rsid w:val="00C1591E"/>
    <w:rsid w:val="00C173EE"/>
    <w:rsid w:val="00C206C9"/>
    <w:rsid w:val="00C20D36"/>
    <w:rsid w:val="00C21038"/>
    <w:rsid w:val="00C2286B"/>
    <w:rsid w:val="00C2396B"/>
    <w:rsid w:val="00C26865"/>
    <w:rsid w:val="00C2785F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471C7"/>
    <w:rsid w:val="00C51509"/>
    <w:rsid w:val="00C51FE1"/>
    <w:rsid w:val="00C52097"/>
    <w:rsid w:val="00C52BA5"/>
    <w:rsid w:val="00C52F47"/>
    <w:rsid w:val="00C53263"/>
    <w:rsid w:val="00C53323"/>
    <w:rsid w:val="00C53D8F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4794"/>
    <w:rsid w:val="00C75492"/>
    <w:rsid w:val="00C77B23"/>
    <w:rsid w:val="00C77C78"/>
    <w:rsid w:val="00C8146C"/>
    <w:rsid w:val="00C8231E"/>
    <w:rsid w:val="00C846DD"/>
    <w:rsid w:val="00C85CA6"/>
    <w:rsid w:val="00C873DA"/>
    <w:rsid w:val="00C901E1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0924"/>
    <w:rsid w:val="00CC17DB"/>
    <w:rsid w:val="00CC2F01"/>
    <w:rsid w:val="00CC586C"/>
    <w:rsid w:val="00CC6453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09D1"/>
    <w:rsid w:val="00CF1DE5"/>
    <w:rsid w:val="00CF7194"/>
    <w:rsid w:val="00CF74AE"/>
    <w:rsid w:val="00CF7B0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591"/>
    <w:rsid w:val="00D13B0B"/>
    <w:rsid w:val="00D13CCF"/>
    <w:rsid w:val="00D14CF7"/>
    <w:rsid w:val="00D1576E"/>
    <w:rsid w:val="00D15BBC"/>
    <w:rsid w:val="00D15E67"/>
    <w:rsid w:val="00D20ABB"/>
    <w:rsid w:val="00D23C5E"/>
    <w:rsid w:val="00D24591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687D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06D9"/>
    <w:rsid w:val="00D6259C"/>
    <w:rsid w:val="00D63B91"/>
    <w:rsid w:val="00D64A4A"/>
    <w:rsid w:val="00D65D35"/>
    <w:rsid w:val="00D6679C"/>
    <w:rsid w:val="00D669E4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22CA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97EDA"/>
    <w:rsid w:val="00DA0810"/>
    <w:rsid w:val="00DA3FCE"/>
    <w:rsid w:val="00DA4931"/>
    <w:rsid w:val="00DA4B42"/>
    <w:rsid w:val="00DB2BE7"/>
    <w:rsid w:val="00DB4203"/>
    <w:rsid w:val="00DB67F0"/>
    <w:rsid w:val="00DB6B88"/>
    <w:rsid w:val="00DB7CA1"/>
    <w:rsid w:val="00DC094F"/>
    <w:rsid w:val="00DC0BFD"/>
    <w:rsid w:val="00DC16D8"/>
    <w:rsid w:val="00DC24B5"/>
    <w:rsid w:val="00DC25DA"/>
    <w:rsid w:val="00DC4325"/>
    <w:rsid w:val="00DC4915"/>
    <w:rsid w:val="00DC4C59"/>
    <w:rsid w:val="00DC5149"/>
    <w:rsid w:val="00DC5B77"/>
    <w:rsid w:val="00DC68E1"/>
    <w:rsid w:val="00DC6A73"/>
    <w:rsid w:val="00DC7FCE"/>
    <w:rsid w:val="00DD0452"/>
    <w:rsid w:val="00DD1B88"/>
    <w:rsid w:val="00DD1F9A"/>
    <w:rsid w:val="00DD334C"/>
    <w:rsid w:val="00DD3C08"/>
    <w:rsid w:val="00DE0476"/>
    <w:rsid w:val="00DE108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6DEA"/>
    <w:rsid w:val="00DF7B14"/>
    <w:rsid w:val="00DF7B16"/>
    <w:rsid w:val="00E00009"/>
    <w:rsid w:val="00E00BCB"/>
    <w:rsid w:val="00E01EF4"/>
    <w:rsid w:val="00E02CF2"/>
    <w:rsid w:val="00E04947"/>
    <w:rsid w:val="00E069F7"/>
    <w:rsid w:val="00E06C35"/>
    <w:rsid w:val="00E0710D"/>
    <w:rsid w:val="00E0773A"/>
    <w:rsid w:val="00E07F71"/>
    <w:rsid w:val="00E101C6"/>
    <w:rsid w:val="00E114D8"/>
    <w:rsid w:val="00E1256E"/>
    <w:rsid w:val="00E1347F"/>
    <w:rsid w:val="00E1621B"/>
    <w:rsid w:val="00E20CA9"/>
    <w:rsid w:val="00E21114"/>
    <w:rsid w:val="00E22B84"/>
    <w:rsid w:val="00E25E8A"/>
    <w:rsid w:val="00E26045"/>
    <w:rsid w:val="00E26BDB"/>
    <w:rsid w:val="00E27304"/>
    <w:rsid w:val="00E304D5"/>
    <w:rsid w:val="00E318D0"/>
    <w:rsid w:val="00E33084"/>
    <w:rsid w:val="00E3332F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854"/>
    <w:rsid w:val="00E4540D"/>
    <w:rsid w:val="00E50B82"/>
    <w:rsid w:val="00E51630"/>
    <w:rsid w:val="00E552CC"/>
    <w:rsid w:val="00E55808"/>
    <w:rsid w:val="00E559EA"/>
    <w:rsid w:val="00E563C7"/>
    <w:rsid w:val="00E5644E"/>
    <w:rsid w:val="00E5696D"/>
    <w:rsid w:val="00E56E45"/>
    <w:rsid w:val="00E572C7"/>
    <w:rsid w:val="00E6161C"/>
    <w:rsid w:val="00E6265D"/>
    <w:rsid w:val="00E62DEC"/>
    <w:rsid w:val="00E63233"/>
    <w:rsid w:val="00E63FE6"/>
    <w:rsid w:val="00E65960"/>
    <w:rsid w:val="00E65F8A"/>
    <w:rsid w:val="00E66B05"/>
    <w:rsid w:val="00E66ECB"/>
    <w:rsid w:val="00E67486"/>
    <w:rsid w:val="00E727CE"/>
    <w:rsid w:val="00E73D84"/>
    <w:rsid w:val="00E749E1"/>
    <w:rsid w:val="00E766E9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19C"/>
    <w:rsid w:val="00E90615"/>
    <w:rsid w:val="00E91FE0"/>
    <w:rsid w:val="00E9593B"/>
    <w:rsid w:val="00E95AC2"/>
    <w:rsid w:val="00E97167"/>
    <w:rsid w:val="00E975C4"/>
    <w:rsid w:val="00E97787"/>
    <w:rsid w:val="00E97DBB"/>
    <w:rsid w:val="00EA0169"/>
    <w:rsid w:val="00EA093A"/>
    <w:rsid w:val="00EA338F"/>
    <w:rsid w:val="00EA3781"/>
    <w:rsid w:val="00EA5023"/>
    <w:rsid w:val="00EA6646"/>
    <w:rsid w:val="00EA6C8B"/>
    <w:rsid w:val="00EA7061"/>
    <w:rsid w:val="00EA7C5B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C2E21"/>
    <w:rsid w:val="00EC4274"/>
    <w:rsid w:val="00ED024E"/>
    <w:rsid w:val="00ED194C"/>
    <w:rsid w:val="00ED2C26"/>
    <w:rsid w:val="00ED3898"/>
    <w:rsid w:val="00ED38BF"/>
    <w:rsid w:val="00ED5DB2"/>
    <w:rsid w:val="00ED5EC2"/>
    <w:rsid w:val="00EE0DF2"/>
    <w:rsid w:val="00EE1124"/>
    <w:rsid w:val="00EE21DD"/>
    <w:rsid w:val="00EE56DF"/>
    <w:rsid w:val="00EE587F"/>
    <w:rsid w:val="00EE5AA0"/>
    <w:rsid w:val="00EE5ED7"/>
    <w:rsid w:val="00EE64CC"/>
    <w:rsid w:val="00EE6D6B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7762"/>
    <w:rsid w:val="00F23C5A"/>
    <w:rsid w:val="00F23E91"/>
    <w:rsid w:val="00F2429D"/>
    <w:rsid w:val="00F261BC"/>
    <w:rsid w:val="00F277D4"/>
    <w:rsid w:val="00F30A70"/>
    <w:rsid w:val="00F31104"/>
    <w:rsid w:val="00F33E65"/>
    <w:rsid w:val="00F34577"/>
    <w:rsid w:val="00F34E93"/>
    <w:rsid w:val="00F43F5A"/>
    <w:rsid w:val="00F44511"/>
    <w:rsid w:val="00F4474B"/>
    <w:rsid w:val="00F5050F"/>
    <w:rsid w:val="00F5097D"/>
    <w:rsid w:val="00F513E5"/>
    <w:rsid w:val="00F5219B"/>
    <w:rsid w:val="00F527A6"/>
    <w:rsid w:val="00F53138"/>
    <w:rsid w:val="00F534C0"/>
    <w:rsid w:val="00F5352D"/>
    <w:rsid w:val="00F54930"/>
    <w:rsid w:val="00F5523B"/>
    <w:rsid w:val="00F61107"/>
    <w:rsid w:val="00F623B6"/>
    <w:rsid w:val="00F6280F"/>
    <w:rsid w:val="00F62819"/>
    <w:rsid w:val="00F6394B"/>
    <w:rsid w:val="00F642FE"/>
    <w:rsid w:val="00F6653B"/>
    <w:rsid w:val="00F708D9"/>
    <w:rsid w:val="00F720FB"/>
    <w:rsid w:val="00F721C2"/>
    <w:rsid w:val="00F80602"/>
    <w:rsid w:val="00F81376"/>
    <w:rsid w:val="00F814DF"/>
    <w:rsid w:val="00F81E48"/>
    <w:rsid w:val="00F84C20"/>
    <w:rsid w:val="00F874D1"/>
    <w:rsid w:val="00F87614"/>
    <w:rsid w:val="00F90528"/>
    <w:rsid w:val="00F92112"/>
    <w:rsid w:val="00F9230A"/>
    <w:rsid w:val="00F92366"/>
    <w:rsid w:val="00F92753"/>
    <w:rsid w:val="00F9598E"/>
    <w:rsid w:val="00F96B32"/>
    <w:rsid w:val="00F9735A"/>
    <w:rsid w:val="00FA42F4"/>
    <w:rsid w:val="00FA4EBA"/>
    <w:rsid w:val="00FA6502"/>
    <w:rsid w:val="00FA7B72"/>
    <w:rsid w:val="00FB0730"/>
    <w:rsid w:val="00FB0BC1"/>
    <w:rsid w:val="00FB14A0"/>
    <w:rsid w:val="00FB34A3"/>
    <w:rsid w:val="00FB4937"/>
    <w:rsid w:val="00FB4D0B"/>
    <w:rsid w:val="00FB4E4A"/>
    <w:rsid w:val="00FB5D17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2673"/>
    <w:rsid w:val="00FD3049"/>
    <w:rsid w:val="00FD5177"/>
    <w:rsid w:val="00FD5398"/>
    <w:rsid w:val="00FE0090"/>
    <w:rsid w:val="00FE0F9F"/>
    <w:rsid w:val="00FE2B1D"/>
    <w:rsid w:val="00FE35E1"/>
    <w:rsid w:val="00FE3AFC"/>
    <w:rsid w:val="00FE6D86"/>
    <w:rsid w:val="00FE7FB0"/>
    <w:rsid w:val="00FF0DA7"/>
    <w:rsid w:val="00FF3276"/>
    <w:rsid w:val="00FF4397"/>
    <w:rsid w:val="00FF4EFD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UNITOFFICE-440-2422</_dlc_DocId>
    <_dlc_DocIdUrl xmlns="5ebeba3d-fd60-4dcb-8548-a9fd3c51d9ff">
      <Url>https://intranet.undp.org/unit/office/exo/sp2014/SP201417/_layouts/15/DocIdRedir.aspx?ID=UNITOFFICE-440-2422</Url>
      <Description>UNITOFFICE-440-2422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purl.org/dc/dcmitype/"/>
    <ds:schemaRef ds:uri="5ebeba3d-fd60-4dcb-8548-a9fd3c51d9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5EF300-DA48-4D3D-A6A4-0A3FE693BB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67DA91-A7EA-4BDB-ABD3-92B446C0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AABE4-0E9D-461B-ACC0-7F5FEA1340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Second/First/Annual session of (year)</vt:lpstr>
      <vt:lpstr>Second/First/Annual session of (year)</vt:lpstr>
    </vt:vector>
  </TitlesOfParts>
  <Company>Microsoft</Company>
  <LinksUpToDate>false</LinksUpToDate>
  <CharactersWithSpaces>4220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2022-10-20T12:42:00Z</dcterms:created>
  <dcterms:modified xsi:type="dcterms:W3CDTF">2022-10-20T12:42:00Z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8f58c717-96a4-4ae8-8f09-7b8a3efd4296</vt:lpwstr>
  </property>
</Properties>
</file>