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2237" w14:textId="501523C0" w:rsidR="530121D2" w:rsidRDefault="530121D2" w:rsidP="6575971B">
      <w:pPr>
        <w:jc w:val="center"/>
        <w:rPr>
          <w:b/>
          <w:bCs/>
          <w:sz w:val="28"/>
          <w:szCs w:val="28"/>
          <w:u w:val="single"/>
        </w:rPr>
      </w:pPr>
      <w:r w:rsidRPr="6575971B">
        <w:rPr>
          <w:b/>
          <w:bCs/>
          <w:sz w:val="28"/>
          <w:szCs w:val="28"/>
          <w:u w:val="single"/>
        </w:rPr>
        <w:t xml:space="preserve">Call to Action for a </w:t>
      </w:r>
      <w:r w:rsidR="12A9CC32" w:rsidRPr="6575971B">
        <w:rPr>
          <w:b/>
          <w:bCs/>
          <w:sz w:val="28"/>
          <w:szCs w:val="28"/>
          <w:u w:val="single"/>
        </w:rPr>
        <w:t>J</w:t>
      </w:r>
      <w:r w:rsidRPr="6575971B">
        <w:rPr>
          <w:b/>
          <w:bCs/>
          <w:sz w:val="28"/>
          <w:szCs w:val="28"/>
          <w:u w:val="single"/>
        </w:rPr>
        <w:t xml:space="preserve">ust </w:t>
      </w:r>
      <w:r w:rsidR="04B65907" w:rsidRPr="6575971B">
        <w:rPr>
          <w:b/>
          <w:bCs/>
          <w:sz w:val="28"/>
          <w:szCs w:val="28"/>
          <w:u w:val="single"/>
        </w:rPr>
        <w:t>G</w:t>
      </w:r>
      <w:r w:rsidRPr="6575971B">
        <w:rPr>
          <w:b/>
          <w:bCs/>
          <w:sz w:val="28"/>
          <w:szCs w:val="28"/>
          <w:u w:val="single"/>
        </w:rPr>
        <w:t xml:space="preserve">reen </w:t>
      </w:r>
      <w:r w:rsidR="3010AC0A" w:rsidRPr="6575971B">
        <w:rPr>
          <w:b/>
          <w:bCs/>
          <w:sz w:val="28"/>
          <w:szCs w:val="28"/>
          <w:u w:val="single"/>
        </w:rPr>
        <w:t>T</w:t>
      </w:r>
      <w:r w:rsidRPr="6575971B">
        <w:rPr>
          <w:b/>
          <w:bCs/>
          <w:sz w:val="28"/>
          <w:szCs w:val="28"/>
          <w:u w:val="single"/>
        </w:rPr>
        <w:t>ransition in the Arab States Region</w:t>
      </w:r>
    </w:p>
    <w:p w14:paraId="2F96E42E" w14:textId="4AE090C7" w:rsidR="01FE889E" w:rsidRDefault="01FE889E" w:rsidP="500936A8">
      <w:pPr>
        <w:jc w:val="both"/>
        <w:rPr>
          <w:b/>
          <w:bCs/>
          <w:i/>
          <w:iCs/>
          <w:u w:val="single"/>
        </w:rPr>
      </w:pPr>
      <w:r w:rsidRPr="500936A8">
        <w:rPr>
          <w:b/>
          <w:bCs/>
          <w:i/>
          <w:iCs/>
          <w:u w:val="single"/>
        </w:rPr>
        <w:t>Background</w:t>
      </w:r>
    </w:p>
    <w:p w14:paraId="130FB9CE" w14:textId="45304841" w:rsidR="524A9A95" w:rsidRDefault="524A9A95" w:rsidP="2D52EA30">
      <w:pPr>
        <w:jc w:val="both"/>
      </w:pPr>
      <w:r>
        <w:t xml:space="preserve">The Arab States region is fast emerging as </w:t>
      </w:r>
      <w:r w:rsidR="463208EF">
        <w:t xml:space="preserve">a </w:t>
      </w:r>
      <w:r>
        <w:t xml:space="preserve">global hotspot for climate risk, with </w:t>
      </w:r>
      <w:r w:rsidR="6C919198">
        <w:t>s</w:t>
      </w:r>
      <w:r>
        <w:t>kyrocketing temperatures</w:t>
      </w:r>
      <w:r w:rsidR="7C709DCF">
        <w:t>, increasing food and energy insecurity</w:t>
      </w:r>
      <w:r w:rsidR="609CC4F6">
        <w:t>,</w:t>
      </w:r>
      <w:r>
        <w:t xml:space="preserve"> and </w:t>
      </w:r>
      <w:r w:rsidR="0DC35122">
        <w:t xml:space="preserve">with </w:t>
      </w:r>
      <w:r w:rsidR="3CCE05B9">
        <w:t xml:space="preserve">14 </w:t>
      </w:r>
      <w:r w:rsidR="0DC35122">
        <w:t>countries that face</w:t>
      </w:r>
      <w:r w:rsidR="767A3213">
        <w:t xml:space="preserve"> the</w:t>
      </w:r>
      <w:r w:rsidR="0DC35122">
        <w:t xml:space="preserve"> highest levels of water scarcity in the world.</w:t>
      </w:r>
      <w:r w:rsidR="23BE0E39">
        <w:t xml:space="preserve"> </w:t>
      </w:r>
      <w:r w:rsidR="42AB79F6">
        <w:t>Unmitigated climate impacts are not only threatening the natural world, but are also disrupting human development and livelihoods. This is already manifesting in</w:t>
      </w:r>
      <w:r w:rsidR="6CC1FA98">
        <w:t xml:space="preserve"> the form of greater political instability, displacement and turmoil and ultimately threatening peace and security in the region. </w:t>
      </w:r>
      <w:r w:rsidR="23BE0E39">
        <w:t xml:space="preserve">An urgent transition towards a greener development pathway, informed by decisive climate action, scaled up access and use of sustainable energy and </w:t>
      </w:r>
      <w:r w:rsidR="5500D032">
        <w:t>conservation of natural resources is the need of the hour.</w:t>
      </w:r>
      <w:r w:rsidR="7092AA99">
        <w:t xml:space="preserve"> </w:t>
      </w:r>
    </w:p>
    <w:p w14:paraId="72321F9A" w14:textId="564EF38F" w:rsidR="23BE0E39" w:rsidRDefault="23BE0E39" w:rsidP="2D52EA30">
      <w:pPr>
        <w:jc w:val="both"/>
      </w:pPr>
      <w:r>
        <w:t xml:space="preserve">On the sidelines of </w:t>
      </w:r>
      <w:r w:rsidR="1CC28165">
        <w:t>COP27 in Sharm-</w:t>
      </w:r>
      <w:proofErr w:type="spellStart"/>
      <w:r w:rsidR="1CC28165">
        <w:t>el</w:t>
      </w:r>
      <w:proofErr w:type="spellEnd"/>
      <w:r w:rsidR="1CC28165">
        <w:t xml:space="preserve">-Shaikh, Egypt, </w:t>
      </w:r>
      <w:r>
        <w:t xml:space="preserve">the </w:t>
      </w:r>
      <w:r w:rsidR="05D9F2F3">
        <w:t>first of two back-to-back COPs in the region</w:t>
      </w:r>
      <w:r w:rsidR="2610FD85">
        <w:t xml:space="preserve">, the United Nations </w:t>
      </w:r>
      <w:r w:rsidR="4788083C">
        <w:t xml:space="preserve">Development </w:t>
      </w:r>
      <w:proofErr w:type="spellStart"/>
      <w:r w:rsidR="4788083C">
        <w:t>Programme</w:t>
      </w:r>
      <w:proofErr w:type="spellEnd"/>
      <w:r w:rsidR="403C8F57">
        <w:t xml:space="preserve"> (UNDP)</w:t>
      </w:r>
      <w:r w:rsidR="541CEFF6">
        <w:t xml:space="preserve"> through its Green Arab States Facility for Transition</w:t>
      </w:r>
      <w:r w:rsidR="4788083C">
        <w:t xml:space="preserve"> </w:t>
      </w:r>
      <w:r w:rsidR="7E823CF4">
        <w:t xml:space="preserve">(GAFT) </w:t>
      </w:r>
      <w:r w:rsidR="2610FD85">
        <w:t>along with development partners, international financial institutions</w:t>
      </w:r>
      <w:r w:rsidR="5DADC668">
        <w:t xml:space="preserve"> such as the Islamic Development Bank</w:t>
      </w:r>
      <w:r w:rsidR="2610FD85">
        <w:t xml:space="preserve">, policymakers and </w:t>
      </w:r>
      <w:r w:rsidR="542EEEAC">
        <w:t>the private sector</w:t>
      </w:r>
      <w:r w:rsidR="2610FD85">
        <w:t xml:space="preserve"> call for greater </w:t>
      </w:r>
      <w:r w:rsidR="19B882A6">
        <w:t>solidarity, cooperation and co-creation of solutions needed for an immediate and just green transition.</w:t>
      </w:r>
    </w:p>
    <w:p w14:paraId="7021EBE6" w14:textId="05D97EDE" w:rsidR="01FE889E" w:rsidRDefault="66E934D2" w:rsidP="500936A8">
      <w:pPr>
        <w:jc w:val="both"/>
        <w:rPr>
          <w:b/>
          <w:bCs/>
          <w:i/>
          <w:iCs/>
          <w:u w:val="single"/>
        </w:rPr>
      </w:pPr>
      <w:r w:rsidRPr="500936A8">
        <w:rPr>
          <w:b/>
          <w:bCs/>
          <w:i/>
          <w:iCs/>
          <w:u w:val="single"/>
        </w:rPr>
        <w:t>Vision</w:t>
      </w:r>
    </w:p>
    <w:p w14:paraId="5E69D732" w14:textId="43EDAD18" w:rsidR="1B6D845D" w:rsidRDefault="1B6D845D" w:rsidP="489786A3">
      <w:pPr>
        <w:jc w:val="both"/>
        <w:rPr>
          <w:rFonts w:eastAsiaTheme="minorEastAsia"/>
          <w:color w:val="211D1E"/>
        </w:rPr>
      </w:pPr>
      <w:r>
        <w:t>As a global coalition of development thinkers and decision-makers</w:t>
      </w:r>
      <w:r w:rsidR="0A8515C1">
        <w:t>, we recognize the immense potential that the region holds</w:t>
      </w:r>
      <w:r w:rsidR="2B32A328">
        <w:t xml:space="preserve">. </w:t>
      </w:r>
      <w:r w:rsidR="2B32A328" w:rsidRPr="489786A3">
        <w:rPr>
          <w:rFonts w:eastAsiaTheme="minorEastAsia"/>
          <w:color w:val="211D1E"/>
        </w:rPr>
        <w:t>Renewable energy capacities have grown ten-fold in the past decade</w:t>
      </w:r>
      <w:r w:rsidR="3145980C" w:rsidRPr="489786A3">
        <w:rPr>
          <w:rFonts w:eastAsiaTheme="minorEastAsia"/>
          <w:color w:val="211D1E"/>
        </w:rPr>
        <w:t xml:space="preserve">. </w:t>
      </w:r>
      <w:r w:rsidR="5B6A8E88" w:rsidRPr="489786A3">
        <w:rPr>
          <w:rFonts w:eastAsiaTheme="minorEastAsia"/>
          <w:color w:val="211D1E"/>
        </w:rPr>
        <w:t>Several countries</w:t>
      </w:r>
      <w:r w:rsidR="3145980C" w:rsidRPr="489786A3">
        <w:rPr>
          <w:rFonts w:eastAsiaTheme="minorEastAsia"/>
          <w:color w:val="211D1E"/>
        </w:rPr>
        <w:t xml:space="preserve"> in the region have increased </w:t>
      </w:r>
      <w:r w:rsidR="5B9EF42D" w:rsidRPr="489786A3">
        <w:rPr>
          <w:rFonts w:eastAsiaTheme="minorEastAsia"/>
          <w:color w:val="211D1E"/>
        </w:rPr>
        <w:t>their</w:t>
      </w:r>
      <w:r w:rsidR="3145980C" w:rsidRPr="489786A3">
        <w:rPr>
          <w:rFonts w:eastAsiaTheme="minorEastAsia"/>
          <w:color w:val="211D1E"/>
        </w:rPr>
        <w:t xml:space="preserve"> ambition</w:t>
      </w:r>
      <w:r w:rsidR="7EDFC999" w:rsidRPr="489786A3">
        <w:rPr>
          <w:rFonts w:eastAsiaTheme="minorEastAsia"/>
          <w:color w:val="211D1E"/>
        </w:rPr>
        <w:t>s</w:t>
      </w:r>
      <w:r w:rsidR="3145980C" w:rsidRPr="489786A3">
        <w:rPr>
          <w:rFonts w:eastAsiaTheme="minorEastAsia"/>
          <w:color w:val="211D1E"/>
        </w:rPr>
        <w:t xml:space="preserve"> and targets i</w:t>
      </w:r>
      <w:r w:rsidR="5D2D13D3" w:rsidRPr="489786A3">
        <w:rPr>
          <w:rFonts w:eastAsiaTheme="minorEastAsia"/>
          <w:color w:val="211D1E"/>
        </w:rPr>
        <w:t>n their nationally determined contributions (NDCs) in the run-up to COP26 and COP27. However, implementing these NDCs</w:t>
      </w:r>
      <w:r w:rsidR="5485693A" w:rsidRPr="489786A3">
        <w:rPr>
          <w:rFonts w:eastAsiaTheme="minorEastAsia"/>
          <w:color w:val="211D1E"/>
        </w:rPr>
        <w:t xml:space="preserve"> </w:t>
      </w:r>
      <w:r w:rsidR="3FAADD71" w:rsidRPr="489786A3">
        <w:rPr>
          <w:rFonts w:eastAsiaTheme="minorEastAsia"/>
          <w:color w:val="211D1E"/>
        </w:rPr>
        <w:t>requires</w:t>
      </w:r>
      <w:r w:rsidR="5485693A" w:rsidRPr="489786A3">
        <w:rPr>
          <w:rFonts w:eastAsiaTheme="minorEastAsia"/>
          <w:color w:val="211D1E"/>
        </w:rPr>
        <w:t xml:space="preserve"> strong leadership and sufficient investments.</w:t>
      </w:r>
      <w:r w:rsidR="4C1CAEEE" w:rsidRPr="489786A3">
        <w:rPr>
          <w:rFonts w:eastAsiaTheme="minorEastAsia"/>
          <w:color w:val="211D1E"/>
        </w:rPr>
        <w:t xml:space="preserve"> </w:t>
      </w:r>
      <w:r w:rsidR="3CF4A7D4" w:rsidRPr="489786A3">
        <w:rPr>
          <w:rFonts w:eastAsiaTheme="minorEastAsia"/>
          <w:color w:val="211D1E"/>
        </w:rPr>
        <w:t xml:space="preserve">The time is now to seize </w:t>
      </w:r>
      <w:r w:rsidR="573B9ED7" w:rsidRPr="489786A3">
        <w:rPr>
          <w:rFonts w:eastAsiaTheme="minorEastAsia"/>
          <w:color w:val="211D1E"/>
        </w:rPr>
        <w:t>the opportunity and invest in climate action, through policy, finance and innovation across levels, as a ready answer for socioeconomic recovery from ongoing conflicts, cascading crises and lingering COVID-19 impacts.</w:t>
      </w:r>
      <w:r w:rsidR="0001630B" w:rsidRPr="489786A3">
        <w:rPr>
          <w:rFonts w:eastAsiaTheme="minorEastAsia"/>
          <w:color w:val="211D1E"/>
        </w:rPr>
        <w:t xml:space="preserve"> </w:t>
      </w:r>
      <w:r w:rsidR="75703C05" w:rsidRPr="489786A3">
        <w:rPr>
          <w:rFonts w:eastAsiaTheme="minorEastAsia"/>
          <w:color w:val="211D1E"/>
        </w:rPr>
        <w:t xml:space="preserve">Indeed, this </w:t>
      </w:r>
      <w:r w:rsidR="64755D5C" w:rsidRPr="489786A3">
        <w:rPr>
          <w:rFonts w:eastAsiaTheme="minorEastAsia"/>
          <w:color w:val="211D1E"/>
        </w:rPr>
        <w:t xml:space="preserve">is not just critical for </w:t>
      </w:r>
      <w:r w:rsidR="75703C05" w:rsidRPr="489786A3">
        <w:rPr>
          <w:rFonts w:eastAsiaTheme="minorEastAsia"/>
          <w:color w:val="211D1E"/>
        </w:rPr>
        <w:t xml:space="preserve">recovery but </w:t>
      </w:r>
      <w:r w:rsidR="13FE8076" w:rsidRPr="489786A3">
        <w:rPr>
          <w:rFonts w:eastAsiaTheme="minorEastAsia"/>
          <w:color w:val="211D1E"/>
        </w:rPr>
        <w:t>plays a pivotal role in securing</w:t>
      </w:r>
      <w:r w:rsidR="75703C05" w:rsidRPr="489786A3">
        <w:rPr>
          <w:rFonts w:eastAsiaTheme="minorEastAsia"/>
          <w:color w:val="211D1E"/>
        </w:rPr>
        <w:t xml:space="preserve"> </w:t>
      </w:r>
      <w:r w:rsidR="1F920397" w:rsidRPr="489786A3">
        <w:rPr>
          <w:rFonts w:eastAsiaTheme="minorEastAsia"/>
          <w:color w:val="211D1E"/>
        </w:rPr>
        <w:t xml:space="preserve">long-term </w:t>
      </w:r>
      <w:r w:rsidR="75703C05" w:rsidRPr="489786A3">
        <w:rPr>
          <w:rFonts w:eastAsiaTheme="minorEastAsia"/>
          <w:color w:val="211D1E"/>
        </w:rPr>
        <w:t xml:space="preserve">sustainable  </w:t>
      </w:r>
      <w:r w:rsidR="0DFB90F8" w:rsidRPr="489786A3">
        <w:rPr>
          <w:rFonts w:eastAsiaTheme="minorEastAsia"/>
          <w:color w:val="211D1E"/>
        </w:rPr>
        <w:t>socio-</w:t>
      </w:r>
      <w:r w:rsidR="75703C05" w:rsidRPr="489786A3">
        <w:rPr>
          <w:rFonts w:eastAsiaTheme="minorEastAsia"/>
          <w:color w:val="211D1E"/>
        </w:rPr>
        <w:t>economic growth.</w:t>
      </w:r>
    </w:p>
    <w:p w14:paraId="6B04B165" w14:textId="2D753C58" w:rsidR="63902AAA" w:rsidRDefault="63902AAA" w:rsidP="2D52EA30">
      <w:pPr>
        <w:jc w:val="both"/>
        <w:rPr>
          <w:rFonts w:eastAsiaTheme="minorEastAsia"/>
          <w:color w:val="211D1E"/>
        </w:rPr>
      </w:pPr>
      <w:r w:rsidRPr="2D52EA30">
        <w:rPr>
          <w:rFonts w:eastAsiaTheme="minorEastAsia"/>
          <w:color w:val="211D1E"/>
        </w:rPr>
        <w:t>Citizens and decision-makers alike have high hopes for COP27, seeking greater ambition, action and accountability.</w:t>
      </w:r>
      <w:r w:rsidR="336D73F8" w:rsidRPr="2D52EA30">
        <w:rPr>
          <w:rFonts w:eastAsiaTheme="minorEastAsia"/>
          <w:color w:val="211D1E"/>
        </w:rPr>
        <w:t xml:space="preserve"> </w:t>
      </w:r>
      <w:r w:rsidR="000F0D25" w:rsidRPr="2D52EA30">
        <w:rPr>
          <w:rFonts w:eastAsiaTheme="minorEastAsia"/>
          <w:color w:val="211D1E"/>
        </w:rPr>
        <w:t>COP27 offers a platform to reaffirm this common agenda for countries in the region and galvanize support and action from all sectors of society- governments, financial institutions, private sector, technology, enterprises, civil society and citizens</w:t>
      </w:r>
      <w:r w:rsidR="0105F840" w:rsidRPr="2D52EA30">
        <w:rPr>
          <w:rFonts w:eastAsiaTheme="minorEastAsia"/>
          <w:color w:val="211D1E"/>
        </w:rPr>
        <w:t xml:space="preserve"> and showcase the region as leaders in transformation.</w:t>
      </w:r>
    </w:p>
    <w:p w14:paraId="32275B60" w14:textId="00270209" w:rsidR="651C69A5" w:rsidRDefault="66E934D2" w:rsidP="500936A8">
      <w:pPr>
        <w:jc w:val="both"/>
        <w:rPr>
          <w:b/>
          <w:bCs/>
          <w:i/>
          <w:iCs/>
          <w:u w:val="single"/>
        </w:rPr>
      </w:pPr>
      <w:r w:rsidRPr="500936A8">
        <w:rPr>
          <w:b/>
          <w:bCs/>
          <w:i/>
          <w:iCs/>
          <w:u w:val="single"/>
        </w:rPr>
        <w:t>What is needed</w:t>
      </w:r>
    </w:p>
    <w:p w14:paraId="1B07B47B" w14:textId="3B282E01" w:rsidR="67DE3DB7" w:rsidRDefault="67DE3DB7" w:rsidP="2D52EA30">
      <w:pPr>
        <w:jc w:val="both"/>
      </w:pPr>
      <w:r>
        <w:t xml:space="preserve">Against this background, </w:t>
      </w:r>
      <w:r w:rsidR="4CA71272">
        <w:t>U</w:t>
      </w:r>
      <w:r w:rsidR="21A7EDE7">
        <w:t>NDP</w:t>
      </w:r>
      <w:r w:rsidR="64C84413">
        <w:t xml:space="preserve"> and</w:t>
      </w:r>
      <w:r w:rsidR="21A7EDE7">
        <w:t xml:space="preserve"> the Islamic Development Bank, </w:t>
      </w:r>
      <w:r w:rsidR="144B68D4">
        <w:t>along with partners who have participated the High-Level Roundtable “A Climate Promise into Action: The Green Arab States Facility for Transition” at COP27 in Shar El Sheikh on 9</w:t>
      </w:r>
      <w:r w:rsidR="144B68D4" w:rsidRPr="6575971B">
        <w:rPr>
          <w:vertAlign w:val="superscript"/>
        </w:rPr>
        <w:t>th</w:t>
      </w:r>
      <w:r w:rsidR="144B68D4">
        <w:t xml:space="preserve"> November 2022</w:t>
      </w:r>
      <w:r w:rsidR="21A7EDE7">
        <w:t xml:space="preserve"> call for governments and partners in the region to:</w:t>
      </w:r>
    </w:p>
    <w:p w14:paraId="5AB58EC1" w14:textId="2D00D791" w:rsidR="2D52EA30" w:rsidRDefault="2D52EA30" w:rsidP="2D52EA30">
      <w:pPr>
        <w:jc w:val="both"/>
      </w:pPr>
      <w:r>
        <w:t>(</w:t>
      </w:r>
      <w:proofErr w:type="spellStart"/>
      <w:r w:rsidR="45227CEE">
        <w:t>i</w:t>
      </w:r>
      <w:proofErr w:type="spellEnd"/>
      <w:r>
        <w:t xml:space="preserve">) </w:t>
      </w:r>
      <w:r w:rsidR="21A7EDE7" w:rsidRPr="2D52EA30">
        <w:rPr>
          <w:b/>
          <w:bCs/>
        </w:rPr>
        <w:t>Accelerate implementation of NDCs locally</w:t>
      </w:r>
      <w:r w:rsidR="21A7EDE7">
        <w:t xml:space="preserve"> and in support of poor, vulnerable and crisis-affected communities</w:t>
      </w:r>
      <w:r w:rsidR="5088717D">
        <w:t xml:space="preserve">. </w:t>
      </w:r>
      <w:r w:rsidR="696F956F">
        <w:t>Policies</w:t>
      </w:r>
      <w:r w:rsidR="2E5965AB">
        <w:t>, plans and programmes</w:t>
      </w:r>
      <w:r w:rsidR="696F956F">
        <w:t xml:space="preserve"> across sectors- including crisis recovery, health systems, disaster preparedness, job creation and youth employment need to integrate climate change considerations. Governments and developmen</w:t>
      </w:r>
      <w:r w:rsidR="6308FF0B">
        <w:t xml:space="preserve">t partners </w:t>
      </w:r>
      <w:r w:rsidR="5B4FEDB8">
        <w:t xml:space="preserve">must aim to build community </w:t>
      </w:r>
      <w:r w:rsidR="603BB7B2">
        <w:t>ownership</w:t>
      </w:r>
      <w:r w:rsidR="5B4FEDB8">
        <w:t xml:space="preserve"> for local solutions, engaging</w:t>
      </w:r>
      <w:r w:rsidR="54E95754">
        <w:t xml:space="preserve"> youth</w:t>
      </w:r>
      <w:r w:rsidR="7FFA663A">
        <w:t xml:space="preserve"> and women</w:t>
      </w:r>
      <w:r w:rsidR="54E95754">
        <w:t xml:space="preserve"> as key agents of change, sharing knowledge and skills to scale up innovation.</w:t>
      </w:r>
    </w:p>
    <w:p w14:paraId="10219F96" w14:textId="2DFB641D" w:rsidR="2D52EA30" w:rsidRDefault="2D52EA30" w:rsidP="1A2CA119">
      <w:pPr>
        <w:jc w:val="both"/>
        <w:rPr>
          <w:rFonts w:eastAsiaTheme="minorEastAsia"/>
          <w:color w:val="211D1E"/>
        </w:rPr>
      </w:pPr>
      <w:r>
        <w:lastRenderedPageBreak/>
        <w:t xml:space="preserve">(ii) </w:t>
      </w:r>
      <w:r w:rsidR="0FB56178" w:rsidRPr="489786A3">
        <w:rPr>
          <w:b/>
          <w:bCs/>
        </w:rPr>
        <w:t>Scale up</w:t>
      </w:r>
      <w:r w:rsidR="0D8226EE" w:rsidRPr="489786A3">
        <w:rPr>
          <w:b/>
          <w:bCs/>
        </w:rPr>
        <w:t xml:space="preserve"> financing for climate action across the region</w:t>
      </w:r>
      <w:r w:rsidR="63D82F25">
        <w:t xml:space="preserve">. </w:t>
      </w:r>
      <w:r w:rsidR="15411EE5" w:rsidRPr="489786A3">
        <w:rPr>
          <w:rFonts w:eastAsiaTheme="minorEastAsia"/>
          <w:color w:val="211D1E"/>
        </w:rPr>
        <w:t>Estimates show that nearly US$600 billion by 2030 i</w:t>
      </w:r>
      <w:r w:rsidR="7F1728B4" w:rsidRPr="489786A3">
        <w:rPr>
          <w:rFonts w:eastAsiaTheme="minorEastAsia"/>
          <w:color w:val="211D1E"/>
        </w:rPr>
        <w:t>s needed to implement NDCs across</w:t>
      </w:r>
      <w:r w:rsidR="15411EE5" w:rsidRPr="489786A3">
        <w:rPr>
          <w:rFonts w:eastAsiaTheme="minorEastAsia"/>
          <w:color w:val="211D1E"/>
        </w:rPr>
        <w:t xml:space="preserve"> the region.</w:t>
      </w:r>
      <w:r w:rsidR="5356186F" w:rsidRPr="489786A3">
        <w:rPr>
          <w:rFonts w:eastAsiaTheme="minorEastAsia"/>
          <w:color w:val="211D1E"/>
        </w:rPr>
        <w:t xml:space="preserve"> Leveraging both public and private financing will be critical. </w:t>
      </w:r>
      <w:r w:rsidR="21BEB9EA" w:rsidRPr="489786A3">
        <w:rPr>
          <w:rFonts w:eastAsiaTheme="minorEastAsia"/>
          <w:color w:val="211D1E"/>
        </w:rPr>
        <w:t>International financial institutions, private sector, institutional investors and governments need to come together to e</w:t>
      </w:r>
      <w:r w:rsidR="5356186F" w:rsidRPr="489786A3">
        <w:rPr>
          <w:rFonts w:eastAsiaTheme="minorEastAsia"/>
          <w:color w:val="211D1E"/>
        </w:rPr>
        <w:t>stablish new</w:t>
      </w:r>
      <w:r w:rsidR="76A453B0" w:rsidRPr="489786A3">
        <w:rPr>
          <w:rFonts w:eastAsiaTheme="minorEastAsia"/>
          <w:color w:val="211D1E"/>
        </w:rPr>
        <w:t xml:space="preserve"> financing instruments </w:t>
      </w:r>
      <w:r w:rsidR="27A11E2C" w:rsidRPr="489786A3">
        <w:rPr>
          <w:rFonts w:eastAsiaTheme="minorEastAsia"/>
          <w:color w:val="211D1E"/>
        </w:rPr>
        <w:t>that can de-risk climate investments, leverage fossil fuel revenues toward</w:t>
      </w:r>
      <w:r w:rsidR="484EAB93" w:rsidRPr="489786A3">
        <w:rPr>
          <w:rFonts w:eastAsiaTheme="minorEastAsia"/>
          <w:color w:val="211D1E"/>
        </w:rPr>
        <w:t xml:space="preserve">s community development and </w:t>
      </w:r>
      <w:r w:rsidR="27A11E2C" w:rsidRPr="489786A3">
        <w:rPr>
          <w:rFonts w:eastAsiaTheme="minorEastAsia"/>
          <w:color w:val="211D1E"/>
        </w:rPr>
        <w:t>remove barriers and incentivize further investments in renewable energy</w:t>
      </w:r>
      <w:r w:rsidR="10105CC6" w:rsidRPr="489786A3">
        <w:rPr>
          <w:rFonts w:eastAsiaTheme="minorEastAsia"/>
          <w:color w:val="211D1E"/>
        </w:rPr>
        <w:t>.</w:t>
      </w:r>
      <w:r w:rsidR="19AF9F55" w:rsidRPr="489786A3">
        <w:rPr>
          <w:rFonts w:eastAsiaTheme="minorEastAsia"/>
          <w:color w:val="211D1E"/>
        </w:rPr>
        <w:t xml:space="preserve"> Integrating </w:t>
      </w:r>
      <w:r w:rsidR="489C3951" w:rsidRPr="489786A3">
        <w:rPr>
          <w:rFonts w:eastAsiaTheme="minorEastAsia"/>
          <w:color w:val="211D1E"/>
        </w:rPr>
        <w:t xml:space="preserve">these </w:t>
      </w:r>
      <w:r w:rsidR="19AF9F55" w:rsidRPr="489786A3">
        <w:rPr>
          <w:rFonts w:eastAsiaTheme="minorEastAsia"/>
          <w:color w:val="211D1E"/>
        </w:rPr>
        <w:t>new financing models into national budgeting processes</w:t>
      </w:r>
      <w:r w:rsidR="7F944C4F" w:rsidRPr="489786A3">
        <w:rPr>
          <w:rFonts w:eastAsiaTheme="minorEastAsia"/>
          <w:color w:val="211D1E"/>
        </w:rPr>
        <w:t xml:space="preserve"> and incorporating</w:t>
      </w:r>
      <w:r w:rsidR="19AF9F55" w:rsidRPr="489786A3">
        <w:rPr>
          <w:rFonts w:eastAsiaTheme="minorEastAsia"/>
          <w:color w:val="211D1E"/>
        </w:rPr>
        <w:t xml:space="preserve"> green investments in the long-term </w:t>
      </w:r>
      <w:r w:rsidR="49D25607" w:rsidRPr="489786A3">
        <w:rPr>
          <w:rFonts w:eastAsiaTheme="minorEastAsia"/>
          <w:color w:val="211D1E"/>
        </w:rPr>
        <w:t>fiscal outlook for the region</w:t>
      </w:r>
      <w:r w:rsidR="713BFE8F" w:rsidRPr="489786A3">
        <w:rPr>
          <w:rFonts w:eastAsiaTheme="minorEastAsia"/>
          <w:color w:val="211D1E"/>
        </w:rPr>
        <w:t xml:space="preserve"> is </w:t>
      </w:r>
      <w:r w:rsidR="49D25607" w:rsidRPr="489786A3">
        <w:rPr>
          <w:rFonts w:eastAsiaTheme="minorEastAsia"/>
          <w:color w:val="211D1E"/>
        </w:rPr>
        <w:t>crucial</w:t>
      </w:r>
      <w:r w:rsidR="42B9D50F" w:rsidRPr="489786A3">
        <w:rPr>
          <w:rFonts w:eastAsiaTheme="minorEastAsia"/>
          <w:color w:val="211D1E"/>
        </w:rPr>
        <w:t>.</w:t>
      </w:r>
      <w:r w:rsidR="49D25607" w:rsidRPr="489786A3">
        <w:rPr>
          <w:rFonts w:eastAsiaTheme="minorEastAsia"/>
          <w:color w:val="211D1E"/>
        </w:rPr>
        <w:t xml:space="preserve"> </w:t>
      </w:r>
      <w:r w:rsidR="52ABDEDA" w:rsidRPr="489786A3">
        <w:rPr>
          <w:rFonts w:eastAsiaTheme="minorEastAsia"/>
          <w:color w:val="211D1E"/>
        </w:rPr>
        <w:t>Strategic, well-planned and sustainable green investments can shape long-term economic outlooks, bringing numerous co-benefits to health, gender equality, rural development and more.</w:t>
      </w:r>
    </w:p>
    <w:p w14:paraId="4FE68132" w14:textId="673434DC" w:rsidR="4C2889BF" w:rsidRDefault="4C2889BF" w:rsidP="4CE8F0F3">
      <w:pPr>
        <w:jc w:val="both"/>
        <w:rPr>
          <w:rFonts w:eastAsiaTheme="minorEastAsia"/>
        </w:rPr>
      </w:pPr>
      <w:r w:rsidRPr="4CE8F0F3">
        <w:rPr>
          <w:rFonts w:eastAsiaTheme="minorEastAsia"/>
          <w:b/>
          <w:bCs/>
          <w:color w:val="211D1E"/>
        </w:rPr>
        <w:t xml:space="preserve">(iii) </w:t>
      </w:r>
      <w:r w:rsidR="3BE7B51C" w:rsidRPr="4CE8F0F3">
        <w:rPr>
          <w:rFonts w:eastAsiaTheme="minorEastAsia"/>
          <w:b/>
          <w:bCs/>
          <w:color w:val="211D1E"/>
        </w:rPr>
        <w:t xml:space="preserve">Prioritize an urgent </w:t>
      </w:r>
      <w:r w:rsidR="46BAE0A3" w:rsidRPr="4CE8F0F3">
        <w:rPr>
          <w:rFonts w:eastAsiaTheme="minorEastAsia"/>
          <w:b/>
          <w:bCs/>
          <w:color w:val="211D1E"/>
        </w:rPr>
        <w:t xml:space="preserve">and just </w:t>
      </w:r>
      <w:r w:rsidR="3BE7B51C" w:rsidRPr="4CE8F0F3">
        <w:rPr>
          <w:rFonts w:eastAsiaTheme="minorEastAsia"/>
          <w:b/>
          <w:bCs/>
          <w:color w:val="211D1E"/>
        </w:rPr>
        <w:t xml:space="preserve">transition towards </w:t>
      </w:r>
      <w:r w:rsidR="63B8F50E" w:rsidRPr="4CE8F0F3">
        <w:rPr>
          <w:rFonts w:eastAsiaTheme="minorEastAsia"/>
          <w:b/>
          <w:bCs/>
          <w:color w:val="211D1E"/>
        </w:rPr>
        <w:t>renewable</w:t>
      </w:r>
      <w:r w:rsidR="3BE7B51C" w:rsidRPr="4CE8F0F3">
        <w:rPr>
          <w:rFonts w:eastAsiaTheme="minorEastAsia"/>
          <w:b/>
          <w:bCs/>
          <w:color w:val="211D1E"/>
        </w:rPr>
        <w:t xml:space="preserve"> energy sources. </w:t>
      </w:r>
      <w:r w:rsidR="28403E82" w:rsidRPr="4CE8F0F3">
        <w:rPr>
          <w:rFonts w:eastAsiaTheme="minorEastAsia"/>
          <w:color w:val="211D1E"/>
        </w:rPr>
        <w:t xml:space="preserve">The region has a cumulative target of achieving 190GW of renewable energy capacity by 2035. </w:t>
      </w:r>
      <w:r w:rsidR="28403E82" w:rsidRPr="4CE8F0F3">
        <w:rPr>
          <w:rFonts w:eastAsiaTheme="minorEastAsia"/>
        </w:rPr>
        <w:t xml:space="preserve">Achieving this vision will require a strong enabling environment at the country level, including enhanced policies, </w:t>
      </w:r>
      <w:r w:rsidR="67ECA02C" w:rsidRPr="4CE8F0F3">
        <w:rPr>
          <w:rFonts w:eastAsiaTheme="minorEastAsia"/>
        </w:rPr>
        <w:t xml:space="preserve">appropriate financial products and effective </w:t>
      </w:r>
      <w:r w:rsidR="7F7D6192" w:rsidRPr="4CE8F0F3">
        <w:rPr>
          <w:rFonts w:eastAsiaTheme="minorEastAsia"/>
        </w:rPr>
        <w:t xml:space="preserve">targeted </w:t>
      </w:r>
      <w:r w:rsidR="67ECA02C" w:rsidRPr="4CE8F0F3">
        <w:rPr>
          <w:rFonts w:eastAsiaTheme="minorEastAsia"/>
        </w:rPr>
        <w:t xml:space="preserve">support from governments and partners. </w:t>
      </w:r>
      <w:r w:rsidR="6102BF71" w:rsidRPr="4CE8F0F3">
        <w:rPr>
          <w:rFonts w:eastAsiaTheme="minorEastAsia"/>
        </w:rPr>
        <w:t xml:space="preserve">Even as the region with some of the largest oil reserves, leaders and partners cannot </w:t>
      </w:r>
      <w:r w:rsidR="789380D7" w:rsidRPr="4CE8F0F3">
        <w:rPr>
          <w:rFonts w:eastAsiaTheme="minorEastAsia"/>
        </w:rPr>
        <w:t xml:space="preserve">continue to </w:t>
      </w:r>
      <w:r w:rsidR="6102BF71" w:rsidRPr="4CE8F0F3">
        <w:rPr>
          <w:rFonts w:eastAsiaTheme="minorEastAsia"/>
        </w:rPr>
        <w:t>ignore the environmental, social and economic benefits that renewable ener</w:t>
      </w:r>
      <w:r w:rsidR="258A08E5" w:rsidRPr="4CE8F0F3">
        <w:rPr>
          <w:rFonts w:eastAsiaTheme="minorEastAsia"/>
        </w:rPr>
        <w:t>gy can bring</w:t>
      </w:r>
      <w:r w:rsidR="57E5F370" w:rsidRPr="4CE8F0F3">
        <w:rPr>
          <w:rFonts w:eastAsiaTheme="minorEastAsia"/>
        </w:rPr>
        <w:t>.</w:t>
      </w:r>
      <w:r w:rsidR="1973F036" w:rsidRPr="4CE8F0F3">
        <w:rPr>
          <w:rFonts w:eastAsiaTheme="minorEastAsia"/>
        </w:rPr>
        <w:t xml:space="preserve"> The transition should also </w:t>
      </w:r>
      <w:r w:rsidR="73DFF770" w:rsidRPr="4CE8F0F3">
        <w:rPr>
          <w:rFonts w:eastAsiaTheme="minorEastAsia"/>
        </w:rPr>
        <w:t>consider</w:t>
      </w:r>
      <w:r w:rsidR="1973F036" w:rsidRPr="4CE8F0F3">
        <w:rPr>
          <w:rFonts w:eastAsiaTheme="minorEastAsia"/>
        </w:rPr>
        <w:t xml:space="preserve"> the socio-economic context and challenges of countries in the </w:t>
      </w:r>
      <w:r w:rsidR="0E508C89" w:rsidRPr="4CE8F0F3">
        <w:rPr>
          <w:rFonts w:eastAsiaTheme="minorEastAsia"/>
        </w:rPr>
        <w:t>region and</w:t>
      </w:r>
      <w:r w:rsidR="1973F036" w:rsidRPr="4CE8F0F3">
        <w:rPr>
          <w:rFonts w:eastAsiaTheme="minorEastAsia"/>
        </w:rPr>
        <w:t xml:space="preserve"> should promote pro-poor gender-sensitive transitions. </w:t>
      </w:r>
    </w:p>
    <w:p w14:paraId="6B9F9BDC" w14:textId="51A1013B" w:rsidR="7D60CBBB" w:rsidRDefault="7D60CBBB" w:rsidP="2D52EA30">
      <w:pPr>
        <w:jc w:val="both"/>
      </w:pPr>
      <w:r w:rsidRPr="500936A8">
        <w:rPr>
          <w:b/>
          <w:bCs/>
        </w:rPr>
        <w:t>(i</w:t>
      </w:r>
      <w:r w:rsidR="189931CD" w:rsidRPr="500936A8">
        <w:rPr>
          <w:b/>
          <w:bCs/>
        </w:rPr>
        <w:t>v</w:t>
      </w:r>
      <w:r w:rsidRPr="500936A8">
        <w:rPr>
          <w:b/>
          <w:bCs/>
        </w:rPr>
        <w:t xml:space="preserve">) </w:t>
      </w:r>
      <w:r w:rsidR="3A78AEFB" w:rsidRPr="500936A8">
        <w:rPr>
          <w:b/>
          <w:bCs/>
        </w:rPr>
        <w:t>Advance nature-based solutions and widen the ecological safety net that can support pandemic recovery</w:t>
      </w:r>
      <w:r w:rsidR="64F1B8FE" w:rsidRPr="500936A8">
        <w:rPr>
          <w:b/>
          <w:bCs/>
        </w:rPr>
        <w:t>.</w:t>
      </w:r>
      <w:r w:rsidR="64F1B8FE">
        <w:t xml:space="preserve"> </w:t>
      </w:r>
      <w:r w:rsidR="5236FC2C">
        <w:t>17 out of 20 NDCs submitted in the region include nature-based solutions to help achieve climate change mitigation an</w:t>
      </w:r>
      <w:r w:rsidR="12D3D3DE">
        <w:t>d</w:t>
      </w:r>
      <w:r w:rsidR="5236FC2C">
        <w:t xml:space="preserve">/or adaptation goals. </w:t>
      </w:r>
      <w:r w:rsidR="050FE87C">
        <w:t xml:space="preserve">Restoration of ecosystems and building </w:t>
      </w:r>
      <w:r w:rsidR="0D61B471">
        <w:t xml:space="preserve">community </w:t>
      </w:r>
      <w:r w:rsidR="050FE87C">
        <w:t>resilience</w:t>
      </w:r>
      <w:r w:rsidR="7ED14CD7">
        <w:t xml:space="preserve"> go </w:t>
      </w:r>
      <w:bookmarkStart w:id="0" w:name="_Int_9aUJnneB"/>
      <w:r w:rsidR="7ED14CD7">
        <w:t>hand-in-hand</w:t>
      </w:r>
      <w:bookmarkEnd w:id="0"/>
      <w:r w:rsidR="7ED14CD7">
        <w:t xml:space="preserve"> with socioeconomic growth</w:t>
      </w:r>
      <w:r w:rsidR="00298637">
        <w:t xml:space="preserve"> and in tack</w:t>
      </w:r>
      <w:r w:rsidR="35C8ED1C">
        <w:t>ling water scarcity and curbing zoonotic outbreaks</w:t>
      </w:r>
      <w:r w:rsidR="7ED14CD7">
        <w:t xml:space="preserve">. </w:t>
      </w:r>
      <w:r w:rsidR="3D846B23">
        <w:t>Private sector enterprises, financial institutions and local governments can play a key role in e</w:t>
      </w:r>
      <w:r w:rsidR="7ED14CD7">
        <w:t>x</w:t>
      </w:r>
      <w:r w:rsidR="52DBF8B0">
        <w:t>panding markets for eco-tourism</w:t>
      </w:r>
      <w:r w:rsidR="34E4A0E6">
        <w:t>. This</w:t>
      </w:r>
      <w:r w:rsidR="52DBF8B0">
        <w:t xml:space="preserve"> can not only create livelihood opportunities as communities recover from conflict and crisis</w:t>
      </w:r>
      <w:r w:rsidR="47E17B94">
        <w:t xml:space="preserve">, but also act as </w:t>
      </w:r>
      <w:r w:rsidR="02DBDA64">
        <w:t xml:space="preserve">mechanisms to build community cohesion that will contribute to long-term peacebuilding and as </w:t>
      </w:r>
      <w:r w:rsidR="47E17B94">
        <w:t xml:space="preserve">launchpads to scale up sustainable energy and invest in climate-resilient infrastructure. </w:t>
      </w:r>
    </w:p>
    <w:p w14:paraId="6A5CB3B7" w14:textId="4ADE0C2E" w:rsidR="2D52EA30" w:rsidRDefault="2D52EA30" w:rsidP="2D52EA30">
      <w:pPr>
        <w:jc w:val="both"/>
      </w:pPr>
    </w:p>
    <w:p w14:paraId="2CB93EE7" w14:textId="49FBA071" w:rsidR="2D52EA30" w:rsidRDefault="2D52EA30" w:rsidP="2D52EA30">
      <w:pPr>
        <w:jc w:val="both"/>
      </w:pPr>
    </w:p>
    <w:p w14:paraId="06670E21" w14:textId="60DB3DC7" w:rsidR="2F963315" w:rsidRDefault="2F963315" w:rsidP="2D52EA30">
      <w:pPr>
        <w:jc w:val="both"/>
      </w:pPr>
      <w:r>
        <w:t>*************************************************************************************</w:t>
      </w:r>
    </w:p>
    <w:sectPr w:rsidR="2F96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ZNwJC/JiGrS" int2:id="MWIeuQ1N">
      <int2:state int2:value="Rejected" int2:type="LegacyProofing"/>
    </int2:textHash>
    <int2:textHash int2:hashCode="ni8UUdXdlt6RIo" int2:id="b3AAgu4L">
      <int2:state int2:value="Rejected" int2:type="LegacyProofing"/>
    </int2:textHash>
    <int2:bookmark int2:bookmarkName="_Int_9aUJnneB" int2:invalidationBookmarkName="" int2:hashCode="AY71Z7AQhEiA8x" int2:id="FiFEhLN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B694"/>
    <w:multiLevelType w:val="hybridMultilevel"/>
    <w:tmpl w:val="C42EC3F8"/>
    <w:lvl w:ilvl="0" w:tplc="82B0010C">
      <w:start w:val="1"/>
      <w:numFmt w:val="upperRoman"/>
      <w:lvlText w:val="(%1)"/>
      <w:lvlJc w:val="left"/>
      <w:pPr>
        <w:ind w:left="720" w:hanging="360"/>
      </w:pPr>
    </w:lvl>
    <w:lvl w:ilvl="1" w:tplc="8CECB686">
      <w:start w:val="1"/>
      <w:numFmt w:val="lowerLetter"/>
      <w:lvlText w:val="%2."/>
      <w:lvlJc w:val="left"/>
      <w:pPr>
        <w:ind w:left="1440" w:hanging="360"/>
      </w:pPr>
    </w:lvl>
    <w:lvl w:ilvl="2" w:tplc="E20ED294">
      <w:start w:val="1"/>
      <w:numFmt w:val="lowerRoman"/>
      <w:lvlText w:val="%3."/>
      <w:lvlJc w:val="right"/>
      <w:pPr>
        <w:ind w:left="2160" w:hanging="180"/>
      </w:pPr>
    </w:lvl>
    <w:lvl w:ilvl="3" w:tplc="16B6C348">
      <w:start w:val="1"/>
      <w:numFmt w:val="decimal"/>
      <w:lvlText w:val="%4."/>
      <w:lvlJc w:val="left"/>
      <w:pPr>
        <w:ind w:left="2880" w:hanging="360"/>
      </w:pPr>
    </w:lvl>
    <w:lvl w:ilvl="4" w:tplc="52EECCE4">
      <w:start w:val="1"/>
      <w:numFmt w:val="lowerLetter"/>
      <w:lvlText w:val="%5."/>
      <w:lvlJc w:val="left"/>
      <w:pPr>
        <w:ind w:left="3600" w:hanging="360"/>
      </w:pPr>
    </w:lvl>
    <w:lvl w:ilvl="5" w:tplc="F67EFA92">
      <w:start w:val="1"/>
      <w:numFmt w:val="lowerRoman"/>
      <w:lvlText w:val="%6."/>
      <w:lvlJc w:val="right"/>
      <w:pPr>
        <w:ind w:left="4320" w:hanging="180"/>
      </w:pPr>
    </w:lvl>
    <w:lvl w:ilvl="6" w:tplc="40A468C6">
      <w:start w:val="1"/>
      <w:numFmt w:val="decimal"/>
      <w:lvlText w:val="%7."/>
      <w:lvlJc w:val="left"/>
      <w:pPr>
        <w:ind w:left="5040" w:hanging="360"/>
      </w:pPr>
    </w:lvl>
    <w:lvl w:ilvl="7" w:tplc="E96C7392">
      <w:start w:val="1"/>
      <w:numFmt w:val="lowerLetter"/>
      <w:lvlText w:val="%8."/>
      <w:lvlJc w:val="left"/>
      <w:pPr>
        <w:ind w:left="5760" w:hanging="360"/>
      </w:pPr>
    </w:lvl>
    <w:lvl w:ilvl="8" w:tplc="35F2CC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0902"/>
    <w:multiLevelType w:val="hybridMultilevel"/>
    <w:tmpl w:val="CB54E7A8"/>
    <w:lvl w:ilvl="0" w:tplc="CDF84576">
      <w:start w:val="1"/>
      <w:numFmt w:val="lowerRoman"/>
      <w:lvlText w:val="(%1)"/>
      <w:lvlJc w:val="left"/>
      <w:pPr>
        <w:ind w:left="720" w:hanging="360"/>
      </w:pPr>
    </w:lvl>
    <w:lvl w:ilvl="1" w:tplc="19BED49C">
      <w:start w:val="1"/>
      <w:numFmt w:val="lowerLetter"/>
      <w:lvlText w:val="%2."/>
      <w:lvlJc w:val="left"/>
      <w:pPr>
        <w:ind w:left="1440" w:hanging="360"/>
      </w:pPr>
    </w:lvl>
    <w:lvl w:ilvl="2" w:tplc="23AA9B46">
      <w:start w:val="1"/>
      <w:numFmt w:val="lowerRoman"/>
      <w:lvlText w:val="%3."/>
      <w:lvlJc w:val="right"/>
      <w:pPr>
        <w:ind w:left="2160" w:hanging="180"/>
      </w:pPr>
    </w:lvl>
    <w:lvl w:ilvl="3" w:tplc="5C32519C">
      <w:start w:val="1"/>
      <w:numFmt w:val="decimal"/>
      <w:lvlText w:val="%4."/>
      <w:lvlJc w:val="left"/>
      <w:pPr>
        <w:ind w:left="2880" w:hanging="360"/>
      </w:pPr>
    </w:lvl>
    <w:lvl w:ilvl="4" w:tplc="3412FDBA">
      <w:start w:val="1"/>
      <w:numFmt w:val="lowerLetter"/>
      <w:lvlText w:val="%5."/>
      <w:lvlJc w:val="left"/>
      <w:pPr>
        <w:ind w:left="3600" w:hanging="360"/>
      </w:pPr>
    </w:lvl>
    <w:lvl w:ilvl="5" w:tplc="7416E2EC">
      <w:start w:val="1"/>
      <w:numFmt w:val="lowerRoman"/>
      <w:lvlText w:val="%6."/>
      <w:lvlJc w:val="right"/>
      <w:pPr>
        <w:ind w:left="4320" w:hanging="180"/>
      </w:pPr>
    </w:lvl>
    <w:lvl w:ilvl="6" w:tplc="04FA24FE">
      <w:start w:val="1"/>
      <w:numFmt w:val="decimal"/>
      <w:lvlText w:val="%7."/>
      <w:lvlJc w:val="left"/>
      <w:pPr>
        <w:ind w:left="5040" w:hanging="360"/>
      </w:pPr>
    </w:lvl>
    <w:lvl w:ilvl="7" w:tplc="78AE3C6A">
      <w:start w:val="1"/>
      <w:numFmt w:val="lowerLetter"/>
      <w:lvlText w:val="%8."/>
      <w:lvlJc w:val="left"/>
      <w:pPr>
        <w:ind w:left="5760" w:hanging="360"/>
      </w:pPr>
    </w:lvl>
    <w:lvl w:ilvl="8" w:tplc="15E678AA">
      <w:start w:val="1"/>
      <w:numFmt w:val="lowerRoman"/>
      <w:lvlText w:val="%9."/>
      <w:lvlJc w:val="right"/>
      <w:pPr>
        <w:ind w:left="6480" w:hanging="180"/>
      </w:pPr>
    </w:lvl>
  </w:abstractNum>
  <w:num w:numId="1" w16cid:durableId="633022432">
    <w:abstractNumId w:val="0"/>
  </w:num>
  <w:num w:numId="2" w16cid:durableId="43994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44B2A"/>
    <w:rsid w:val="0001630B"/>
    <w:rsid w:val="000F0D25"/>
    <w:rsid w:val="0016628E"/>
    <w:rsid w:val="00298637"/>
    <w:rsid w:val="00394C1A"/>
    <w:rsid w:val="003B7EAB"/>
    <w:rsid w:val="004A4597"/>
    <w:rsid w:val="00BD9FDA"/>
    <w:rsid w:val="00F0358F"/>
    <w:rsid w:val="0105F840"/>
    <w:rsid w:val="016FC5DD"/>
    <w:rsid w:val="01B9DDB7"/>
    <w:rsid w:val="01FE889E"/>
    <w:rsid w:val="029D383A"/>
    <w:rsid w:val="02DBDA64"/>
    <w:rsid w:val="0404D927"/>
    <w:rsid w:val="04121A77"/>
    <w:rsid w:val="0431666F"/>
    <w:rsid w:val="04987E15"/>
    <w:rsid w:val="04B65907"/>
    <w:rsid w:val="04FC785B"/>
    <w:rsid w:val="050FE87C"/>
    <w:rsid w:val="05D0139F"/>
    <w:rsid w:val="05D9F2F3"/>
    <w:rsid w:val="06995D33"/>
    <w:rsid w:val="071141D4"/>
    <w:rsid w:val="07B2D32D"/>
    <w:rsid w:val="0902E9EC"/>
    <w:rsid w:val="090C79BE"/>
    <w:rsid w:val="0A59214E"/>
    <w:rsid w:val="0A8515C1"/>
    <w:rsid w:val="0B12DDEA"/>
    <w:rsid w:val="0BE48FD6"/>
    <w:rsid w:val="0C561FA0"/>
    <w:rsid w:val="0D61B471"/>
    <w:rsid w:val="0D8226EE"/>
    <w:rsid w:val="0DC35122"/>
    <w:rsid w:val="0DCAA546"/>
    <w:rsid w:val="0DDFEAE1"/>
    <w:rsid w:val="0DF1F001"/>
    <w:rsid w:val="0DFB90F8"/>
    <w:rsid w:val="0E508C89"/>
    <w:rsid w:val="0F1E5DC2"/>
    <w:rsid w:val="0FB56178"/>
    <w:rsid w:val="10105CC6"/>
    <w:rsid w:val="123E9657"/>
    <w:rsid w:val="128EDE68"/>
    <w:rsid w:val="12A9CC32"/>
    <w:rsid w:val="12D3D3DE"/>
    <w:rsid w:val="133A7096"/>
    <w:rsid w:val="13FE8076"/>
    <w:rsid w:val="144B68D4"/>
    <w:rsid w:val="14D640F7"/>
    <w:rsid w:val="15411EE5"/>
    <w:rsid w:val="15C67F2A"/>
    <w:rsid w:val="16BDF530"/>
    <w:rsid w:val="189931CD"/>
    <w:rsid w:val="192A8B0E"/>
    <w:rsid w:val="1973F036"/>
    <w:rsid w:val="19AF9F55"/>
    <w:rsid w:val="19B19C1D"/>
    <w:rsid w:val="19B882A6"/>
    <w:rsid w:val="1A2CA119"/>
    <w:rsid w:val="1A77329E"/>
    <w:rsid w:val="1A9F6D4B"/>
    <w:rsid w:val="1B6D845D"/>
    <w:rsid w:val="1BDB324F"/>
    <w:rsid w:val="1C1302FF"/>
    <w:rsid w:val="1CBFB372"/>
    <w:rsid w:val="1CC28165"/>
    <w:rsid w:val="1E299F68"/>
    <w:rsid w:val="1F920397"/>
    <w:rsid w:val="1FE7753D"/>
    <w:rsid w:val="20E67422"/>
    <w:rsid w:val="21359CF3"/>
    <w:rsid w:val="21A7EDE7"/>
    <w:rsid w:val="21B92132"/>
    <w:rsid w:val="21BEB9EA"/>
    <w:rsid w:val="23BE0E39"/>
    <w:rsid w:val="242B2EF6"/>
    <w:rsid w:val="2463ADE3"/>
    <w:rsid w:val="246D3DB5"/>
    <w:rsid w:val="252AA52A"/>
    <w:rsid w:val="258A08E5"/>
    <w:rsid w:val="258E1A04"/>
    <w:rsid w:val="25C6FF57"/>
    <w:rsid w:val="2610FD85"/>
    <w:rsid w:val="269FA7FD"/>
    <w:rsid w:val="26C70A63"/>
    <w:rsid w:val="27A11E2C"/>
    <w:rsid w:val="27B3528A"/>
    <w:rsid w:val="27F649E5"/>
    <w:rsid w:val="28403E82"/>
    <w:rsid w:val="2877D6E1"/>
    <w:rsid w:val="2A9A707A"/>
    <w:rsid w:val="2B32A328"/>
    <w:rsid w:val="2C37D607"/>
    <w:rsid w:val="2D267F0E"/>
    <w:rsid w:val="2D52EA30"/>
    <w:rsid w:val="2E5965AB"/>
    <w:rsid w:val="2F30E461"/>
    <w:rsid w:val="2F963315"/>
    <w:rsid w:val="3010AC0A"/>
    <w:rsid w:val="3145980C"/>
    <w:rsid w:val="31910CA3"/>
    <w:rsid w:val="31C6F3CA"/>
    <w:rsid w:val="31CDC1DE"/>
    <w:rsid w:val="332CDD04"/>
    <w:rsid w:val="336D73F8"/>
    <w:rsid w:val="34C8AD65"/>
    <w:rsid w:val="34E4A0E6"/>
    <w:rsid w:val="35370DF1"/>
    <w:rsid w:val="35C8ED1C"/>
    <w:rsid w:val="360DF709"/>
    <w:rsid w:val="3836122D"/>
    <w:rsid w:val="385D1745"/>
    <w:rsid w:val="3869812C"/>
    <w:rsid w:val="388C0D05"/>
    <w:rsid w:val="3934EA58"/>
    <w:rsid w:val="394B776B"/>
    <w:rsid w:val="3A78AEFB"/>
    <w:rsid w:val="3ACB94B6"/>
    <w:rsid w:val="3BC3ADC7"/>
    <w:rsid w:val="3BE7B51C"/>
    <w:rsid w:val="3CCE05B9"/>
    <w:rsid w:val="3CE830FF"/>
    <w:rsid w:val="3CF4A7D4"/>
    <w:rsid w:val="3D136259"/>
    <w:rsid w:val="3D846B23"/>
    <w:rsid w:val="3E9018AE"/>
    <w:rsid w:val="3EE060BF"/>
    <w:rsid w:val="3FAADD71"/>
    <w:rsid w:val="403C8F57"/>
    <w:rsid w:val="4122AFDD"/>
    <w:rsid w:val="41C3CC16"/>
    <w:rsid w:val="41D2AAD1"/>
    <w:rsid w:val="4232EF4B"/>
    <w:rsid w:val="42AB79F6"/>
    <w:rsid w:val="42B9D50F"/>
    <w:rsid w:val="450A4B93"/>
    <w:rsid w:val="45227CEE"/>
    <w:rsid w:val="45A567EC"/>
    <w:rsid w:val="463208EF"/>
    <w:rsid w:val="46471849"/>
    <w:rsid w:val="46A61BF4"/>
    <w:rsid w:val="46A79F12"/>
    <w:rsid w:val="46BAE0A3"/>
    <w:rsid w:val="46BD1879"/>
    <w:rsid w:val="476D0645"/>
    <w:rsid w:val="4788083C"/>
    <w:rsid w:val="47E17B94"/>
    <w:rsid w:val="47E2E8AA"/>
    <w:rsid w:val="484EAB93"/>
    <w:rsid w:val="489786A3"/>
    <w:rsid w:val="489C3951"/>
    <w:rsid w:val="49D25607"/>
    <w:rsid w:val="4A406DC5"/>
    <w:rsid w:val="4A924F4E"/>
    <w:rsid w:val="4B344B2A"/>
    <w:rsid w:val="4B645568"/>
    <w:rsid w:val="4C1CAEEE"/>
    <w:rsid w:val="4C276450"/>
    <w:rsid w:val="4C2889BF"/>
    <w:rsid w:val="4C56475B"/>
    <w:rsid w:val="4C5E9470"/>
    <w:rsid w:val="4CA71272"/>
    <w:rsid w:val="4CB659CD"/>
    <w:rsid w:val="4CE8F0F3"/>
    <w:rsid w:val="4D0025C9"/>
    <w:rsid w:val="4D37F1BF"/>
    <w:rsid w:val="4EB12DD9"/>
    <w:rsid w:val="4FC98110"/>
    <w:rsid w:val="500936A8"/>
    <w:rsid w:val="504CFE3A"/>
    <w:rsid w:val="5088717D"/>
    <w:rsid w:val="50F6AEC8"/>
    <w:rsid w:val="5236FC2C"/>
    <w:rsid w:val="524A9A95"/>
    <w:rsid w:val="52ABDEDA"/>
    <w:rsid w:val="52DBF8B0"/>
    <w:rsid w:val="530121D2"/>
    <w:rsid w:val="5356186F"/>
    <w:rsid w:val="53DD3871"/>
    <w:rsid w:val="541CEFF6"/>
    <w:rsid w:val="542EEEAC"/>
    <w:rsid w:val="5485693A"/>
    <w:rsid w:val="54E95754"/>
    <w:rsid w:val="5500D032"/>
    <w:rsid w:val="55561021"/>
    <w:rsid w:val="573B9ED7"/>
    <w:rsid w:val="577260D5"/>
    <w:rsid w:val="57E5F370"/>
    <w:rsid w:val="5819606E"/>
    <w:rsid w:val="5846FBBD"/>
    <w:rsid w:val="585B8D42"/>
    <w:rsid w:val="5B4FEDB8"/>
    <w:rsid w:val="5B6A8E88"/>
    <w:rsid w:val="5B9EF42D"/>
    <w:rsid w:val="5BA63B97"/>
    <w:rsid w:val="5D2D13D3"/>
    <w:rsid w:val="5DADC668"/>
    <w:rsid w:val="5E1D185D"/>
    <w:rsid w:val="603BB7B2"/>
    <w:rsid w:val="6079ACBA"/>
    <w:rsid w:val="609CC4F6"/>
    <w:rsid w:val="6102BF71"/>
    <w:rsid w:val="6119A2DC"/>
    <w:rsid w:val="61A06DA9"/>
    <w:rsid w:val="62157D1B"/>
    <w:rsid w:val="6308FF0B"/>
    <w:rsid w:val="63902AAA"/>
    <w:rsid w:val="63B8F50E"/>
    <w:rsid w:val="63D82F25"/>
    <w:rsid w:val="63DA33DE"/>
    <w:rsid w:val="64755D5C"/>
    <w:rsid w:val="64C84413"/>
    <w:rsid w:val="64F1B8FE"/>
    <w:rsid w:val="651C69A5"/>
    <w:rsid w:val="6575971B"/>
    <w:rsid w:val="65ED13FF"/>
    <w:rsid w:val="66E934D2"/>
    <w:rsid w:val="6753B4C9"/>
    <w:rsid w:val="6788E460"/>
    <w:rsid w:val="67DE3DB7"/>
    <w:rsid w:val="67ECA02C"/>
    <w:rsid w:val="680D3800"/>
    <w:rsid w:val="6815301E"/>
    <w:rsid w:val="6876B954"/>
    <w:rsid w:val="696F956F"/>
    <w:rsid w:val="6A59DDD2"/>
    <w:rsid w:val="6B0AB22E"/>
    <w:rsid w:val="6C919198"/>
    <w:rsid w:val="6CC1FA98"/>
    <w:rsid w:val="6CE8A141"/>
    <w:rsid w:val="70746115"/>
    <w:rsid w:val="7092AA99"/>
    <w:rsid w:val="713BFE8F"/>
    <w:rsid w:val="722E7AFA"/>
    <w:rsid w:val="7357E2C5"/>
    <w:rsid w:val="73DFF770"/>
    <w:rsid w:val="74E908FA"/>
    <w:rsid w:val="75703C05"/>
    <w:rsid w:val="75CE9BBD"/>
    <w:rsid w:val="765B6D60"/>
    <w:rsid w:val="767A3213"/>
    <w:rsid w:val="76A453B0"/>
    <w:rsid w:val="76AA17B7"/>
    <w:rsid w:val="774CBFCB"/>
    <w:rsid w:val="776C0BC3"/>
    <w:rsid w:val="77CB0F6E"/>
    <w:rsid w:val="789380D7"/>
    <w:rsid w:val="79091AA9"/>
    <w:rsid w:val="7996C135"/>
    <w:rsid w:val="7C709DCF"/>
    <w:rsid w:val="7D60CBBB"/>
    <w:rsid w:val="7DD61874"/>
    <w:rsid w:val="7E823CF4"/>
    <w:rsid w:val="7ED14CD7"/>
    <w:rsid w:val="7EDFC999"/>
    <w:rsid w:val="7F1728B4"/>
    <w:rsid w:val="7F7D6192"/>
    <w:rsid w:val="7F944C4F"/>
    <w:rsid w:val="7FA7C147"/>
    <w:rsid w:val="7FB04765"/>
    <w:rsid w:val="7F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4B2A"/>
  <w15:chartTrackingRefBased/>
  <w15:docId w15:val="{BB4F89D6-7080-4AAE-8D88-07DC6B77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Prashanthi Subramaniam</dc:creator>
  <cp:keywords/>
  <dc:description/>
  <cp:lastModifiedBy>Hoda ElNahlawy</cp:lastModifiedBy>
  <cp:revision>2</cp:revision>
  <dcterms:created xsi:type="dcterms:W3CDTF">2022-11-09T19:11:00Z</dcterms:created>
  <dcterms:modified xsi:type="dcterms:W3CDTF">2022-11-09T19:11:00Z</dcterms:modified>
</cp:coreProperties>
</file>