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k7kzu2vrce3b" w:colFirst="0" w:colLast="0" w:displacedByCustomXml="next"/>
    <w:bookmarkEnd w:id="0" w:displacedByCustomXml="next"/>
    <w:sdt>
      <w:sdtPr>
        <w:id w:val="897244431"/>
        <w:docPartObj>
          <w:docPartGallery w:val="Cover Pages"/>
          <w:docPartUnique/>
        </w:docPartObj>
      </w:sdtPr>
      <w:sdtEndPr>
        <w:rPr>
          <w:rFonts w:cstheme="minorHAnsi"/>
          <w:sz w:val="28"/>
          <w:szCs w:val="28"/>
        </w:rPr>
      </w:sdtEndPr>
      <w:sdtContent>
        <w:p w14:paraId="73080975" w14:textId="77777777" w:rsidR="00C822E2" w:rsidRDefault="00C822E2" w:rsidP="00C822E2">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C822E2" w:rsidRPr="00CE2C3D" w14:paraId="2D18B42B" w14:textId="77777777" w:rsidTr="00CD2663">
            <w:trPr>
              <w:trHeight w:val="1290"/>
              <w:jc w:val="center"/>
            </w:trPr>
            <w:tc>
              <w:tcPr>
                <w:tcW w:w="1560" w:type="dxa"/>
                <w:tcBorders>
                  <w:bottom w:val="single" w:sz="24" w:space="0" w:color="215868" w:themeColor="accent5" w:themeShade="80"/>
                </w:tcBorders>
              </w:tcPr>
              <w:p w14:paraId="165FC29F" w14:textId="77777777" w:rsidR="00C822E2" w:rsidRDefault="00C822E2" w:rsidP="00CD2663">
                <w:pPr>
                  <w:pStyle w:val="NoSpacing"/>
                  <w:spacing w:before="120" w:after="120"/>
                </w:pPr>
                <w:r w:rsidRPr="00782DFD">
                  <w:rPr>
                    <w:rFonts w:cstheme="minorHAnsi"/>
                    <w:b/>
                    <w:noProof/>
                  </w:rPr>
                  <w:drawing>
                    <wp:inline distT="0" distB="0" distL="0" distR="0" wp14:anchorId="33739EBB" wp14:editId="759D2A92">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72B9FDA3" w14:textId="312A5807" w:rsidR="00C822E2" w:rsidRDefault="0055772B" w:rsidP="00CD2663">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3E365C">
                      <w:rPr>
                        <w:sz w:val="48"/>
                        <w:szCs w:val="48"/>
                      </w:rPr>
                      <w:t>DRAFT Environmental and Social Framework (ESMF)</w:t>
                    </w:r>
                  </w:sdtContent>
                </w:sdt>
              </w:p>
            </w:tc>
            <w:tc>
              <w:tcPr>
                <w:tcW w:w="239" w:type="dxa"/>
                <w:tcBorders>
                  <w:bottom w:val="single" w:sz="24" w:space="0" w:color="215868" w:themeColor="accent5" w:themeShade="80"/>
                </w:tcBorders>
              </w:tcPr>
              <w:p w14:paraId="6444590A" w14:textId="77777777" w:rsidR="00C822E2" w:rsidRDefault="00C822E2" w:rsidP="00CD2663">
                <w:pPr>
                  <w:pStyle w:val="NoSpacing"/>
                  <w:spacing w:before="120" w:after="120"/>
                  <w:jc w:val="right"/>
                </w:pPr>
              </w:p>
            </w:tc>
          </w:tr>
        </w:tbl>
        <w:p w14:paraId="27C49FCD" w14:textId="77777777" w:rsidR="00C822E2" w:rsidRDefault="00C822E2" w:rsidP="00C822E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30"/>
            <w:gridCol w:w="4540"/>
          </w:tblGrid>
          <w:tr w:rsidR="00C822E2" w:rsidRPr="00CB22A5" w14:paraId="3B0D5E87" w14:textId="77777777" w:rsidTr="00CD2663">
            <w:trPr>
              <w:trHeight w:val="548"/>
            </w:trPr>
            <w:tc>
              <w:tcPr>
                <w:tcW w:w="9355" w:type="dxa"/>
                <w:gridSpan w:val="3"/>
                <w:shd w:val="clear" w:color="auto" w:fill="auto"/>
              </w:tcPr>
              <w:p w14:paraId="3D334E92" w14:textId="7582F7FF" w:rsidR="00C822E2" w:rsidRPr="00CC1114" w:rsidRDefault="00C822E2" w:rsidP="00CD2663">
                <w:pPr>
                  <w:pStyle w:val="Footer"/>
                  <w:pBdr>
                    <w:top w:val="single" w:sz="8" w:space="4" w:color="215868" w:themeColor="accent5" w:themeShade="80"/>
                  </w:pBdr>
                  <w:tabs>
                    <w:tab w:val="left" w:pos="3381"/>
                    <w:tab w:val="right" w:pos="9900"/>
                  </w:tabs>
                  <w:ind w:right="-2"/>
                  <w:jc w:val="left"/>
                  <w:rPr>
                    <w:rFonts w:cs="Arial"/>
                    <w:bCs/>
                    <w:szCs w:val="20"/>
                  </w:rPr>
                </w:pPr>
                <w:r w:rsidRPr="00CC1114">
                  <w:rPr>
                    <w:rFonts w:cs="Arial"/>
                    <w:b/>
                    <w:szCs w:val="20"/>
                  </w:rPr>
                  <w:t xml:space="preserve">Project title: </w:t>
                </w:r>
                <w:r w:rsidR="00304326" w:rsidRPr="00FF0A13">
                  <w:rPr>
                    <w:color w:val="000000"/>
                  </w:rPr>
                  <w:t>Promote Wildlife Conservation and Responsible Nature Based Tourism for Sustainable Development in Vietnam</w:t>
                </w:r>
              </w:p>
              <w:p w14:paraId="7459FB5F" w14:textId="77777777" w:rsidR="00C822E2" w:rsidRPr="00CC1114" w:rsidRDefault="00C822E2" w:rsidP="00CD2663">
                <w:pPr>
                  <w:rPr>
                    <w:sz w:val="20"/>
                    <w:szCs w:val="20"/>
                  </w:rPr>
                </w:pPr>
              </w:p>
            </w:tc>
          </w:tr>
          <w:tr w:rsidR="003E365C" w:rsidRPr="00CB22A5" w14:paraId="2BB81F5C" w14:textId="77777777" w:rsidTr="003E365C">
            <w:trPr>
              <w:trHeight w:val="1007"/>
            </w:trPr>
            <w:tc>
              <w:tcPr>
                <w:tcW w:w="4815" w:type="dxa"/>
                <w:gridSpan w:val="2"/>
                <w:shd w:val="clear" w:color="auto" w:fill="auto"/>
              </w:tcPr>
              <w:p w14:paraId="0AF033FE" w14:textId="77777777" w:rsidR="003E365C" w:rsidRPr="00CC1114" w:rsidRDefault="003E365C" w:rsidP="00CD2663">
                <w:pPr>
                  <w:rPr>
                    <w:sz w:val="20"/>
                    <w:szCs w:val="20"/>
                  </w:rPr>
                </w:pPr>
                <w:r w:rsidRPr="00CC1114">
                  <w:rPr>
                    <w:b/>
                    <w:sz w:val="20"/>
                    <w:szCs w:val="20"/>
                  </w:rPr>
                  <w:t xml:space="preserve">Country: </w:t>
                </w:r>
                <w:r w:rsidRPr="00CC1114">
                  <w:rPr>
                    <w:bCs/>
                    <w:sz w:val="20"/>
                    <w:szCs w:val="20"/>
                  </w:rPr>
                  <w:t>Vietnam</w:t>
                </w:r>
              </w:p>
            </w:tc>
            <w:tc>
              <w:tcPr>
                <w:tcW w:w="4540" w:type="dxa"/>
                <w:shd w:val="clear" w:color="auto" w:fill="auto"/>
              </w:tcPr>
              <w:p w14:paraId="7F3B9460" w14:textId="1F576310" w:rsidR="003E365C" w:rsidRPr="003E365C" w:rsidRDefault="003E365C" w:rsidP="00CD2663">
                <w:pPr>
                  <w:rPr>
                    <w:b/>
                    <w:bCs/>
                    <w:sz w:val="20"/>
                    <w:szCs w:val="20"/>
                  </w:rPr>
                </w:pPr>
                <w:r w:rsidRPr="003E365C">
                  <w:rPr>
                    <w:b/>
                    <w:bCs/>
                    <w:sz w:val="20"/>
                    <w:szCs w:val="20"/>
                  </w:rPr>
                  <w:t>Project Executing Entity</w:t>
                </w:r>
                <w:r>
                  <w:rPr>
                    <w:b/>
                    <w:bCs/>
                    <w:sz w:val="20"/>
                    <w:szCs w:val="20"/>
                  </w:rPr>
                  <w:t>:</w:t>
                </w:r>
                <w:r w:rsidRPr="003E365C">
                  <w:rPr>
                    <w:sz w:val="20"/>
                    <w:szCs w:val="20"/>
                  </w:rPr>
                  <w:t xml:space="preserve"> Ministry of Natural Resources (MONRE) </w:t>
                </w:r>
              </w:p>
            </w:tc>
          </w:tr>
          <w:tr w:rsidR="00C822E2" w:rsidRPr="00CB22A5" w14:paraId="15FDE729" w14:textId="77777777" w:rsidTr="00CD2663">
            <w:tc>
              <w:tcPr>
                <w:tcW w:w="9355" w:type="dxa"/>
                <w:gridSpan w:val="3"/>
                <w:shd w:val="clear" w:color="auto" w:fill="auto"/>
              </w:tcPr>
              <w:p w14:paraId="0B2E9B06" w14:textId="3F09A890" w:rsidR="00C822E2" w:rsidRPr="00CC1114" w:rsidRDefault="003E365C" w:rsidP="00CD2663">
                <w:pPr>
                  <w:rPr>
                    <w:b/>
                    <w:sz w:val="20"/>
                    <w:szCs w:val="20"/>
                  </w:rPr>
                </w:pPr>
                <w:r>
                  <w:rPr>
                    <w:b/>
                    <w:sz w:val="20"/>
                    <w:szCs w:val="20"/>
                  </w:rPr>
                  <w:t>GEF Focal Area</w:t>
                </w:r>
                <w:r w:rsidRPr="003E365C">
                  <w:rPr>
                    <w:bCs/>
                    <w:sz w:val="20"/>
                    <w:szCs w:val="20"/>
                  </w:rPr>
                  <w:t>: Biodiversity</w:t>
                </w:r>
                <w:r>
                  <w:rPr>
                    <w:b/>
                    <w:sz w:val="20"/>
                    <w:szCs w:val="20"/>
                  </w:rPr>
                  <w:t xml:space="preserve"> </w:t>
                </w:r>
              </w:p>
            </w:tc>
          </w:tr>
          <w:tr w:rsidR="00C822E2" w:rsidRPr="00CB22A5" w14:paraId="527A7E69" w14:textId="77777777" w:rsidTr="00CD2663">
            <w:trPr>
              <w:trHeight w:val="611"/>
            </w:trPr>
            <w:tc>
              <w:tcPr>
                <w:tcW w:w="4585" w:type="dxa"/>
                <w:shd w:val="clear" w:color="auto" w:fill="auto"/>
              </w:tcPr>
              <w:p w14:paraId="4899C94A" w14:textId="77777777" w:rsidR="00C822E2" w:rsidRPr="00CC1114" w:rsidRDefault="00C822E2" w:rsidP="00CD2663">
                <w:pPr>
                  <w:rPr>
                    <w:b/>
                    <w:sz w:val="20"/>
                    <w:szCs w:val="20"/>
                  </w:rPr>
                </w:pPr>
                <w:r w:rsidRPr="00CC1114">
                  <w:rPr>
                    <w:b/>
                    <w:sz w:val="20"/>
                    <w:szCs w:val="20"/>
                  </w:rPr>
                  <w:t>UNDP Social and Environmental Screening Category:</w:t>
                </w:r>
              </w:p>
              <w:p w14:paraId="4ECBFAF7" w14:textId="77777777" w:rsidR="00C822E2" w:rsidRPr="00CC1114" w:rsidRDefault="00C822E2" w:rsidP="00CD2663">
                <w:pPr>
                  <w:rPr>
                    <w:bCs/>
                    <w:sz w:val="20"/>
                    <w:szCs w:val="20"/>
                  </w:rPr>
                </w:pPr>
                <w:r w:rsidRPr="00CC1114">
                  <w:rPr>
                    <w:bCs/>
                    <w:sz w:val="20"/>
                    <w:szCs w:val="20"/>
                  </w:rPr>
                  <w:t>SUBSTANTIAL</w:t>
                </w:r>
              </w:p>
            </w:tc>
            <w:tc>
              <w:tcPr>
                <w:tcW w:w="4770" w:type="dxa"/>
                <w:gridSpan w:val="2"/>
                <w:shd w:val="clear" w:color="auto" w:fill="auto"/>
              </w:tcPr>
              <w:p w14:paraId="0267C2D5" w14:textId="77777777" w:rsidR="00C822E2" w:rsidRPr="00CC1114" w:rsidRDefault="00C822E2" w:rsidP="00CD2663">
                <w:pPr>
                  <w:rPr>
                    <w:b/>
                    <w:sz w:val="20"/>
                    <w:szCs w:val="20"/>
                  </w:rPr>
                </w:pPr>
                <w:r w:rsidRPr="00CC1114">
                  <w:rPr>
                    <w:b/>
                    <w:sz w:val="20"/>
                    <w:szCs w:val="20"/>
                  </w:rPr>
                  <w:t xml:space="preserve">UNDP Gender Marker: </w:t>
                </w:r>
              </w:p>
              <w:p w14:paraId="61AA0479" w14:textId="77777777" w:rsidR="00C822E2" w:rsidRPr="00CC1114" w:rsidRDefault="00C822E2" w:rsidP="00CD2663">
                <w:pPr>
                  <w:rPr>
                    <w:bCs/>
                    <w:sz w:val="20"/>
                    <w:szCs w:val="20"/>
                  </w:rPr>
                </w:pPr>
                <w:r w:rsidRPr="00CC1114">
                  <w:rPr>
                    <w:bCs/>
                    <w:sz w:val="20"/>
                    <w:szCs w:val="20"/>
                  </w:rPr>
                  <w:t>GEN2</w:t>
                </w:r>
              </w:p>
            </w:tc>
          </w:tr>
          <w:tr w:rsidR="00C822E2" w:rsidRPr="00CB22A5" w14:paraId="109EDE90" w14:textId="77777777" w:rsidTr="00CD2663">
            <w:tc>
              <w:tcPr>
                <w:tcW w:w="4585" w:type="dxa"/>
                <w:shd w:val="clear" w:color="auto" w:fill="auto"/>
              </w:tcPr>
              <w:p w14:paraId="40505491" w14:textId="4DD2C9C0" w:rsidR="00C822E2" w:rsidRPr="00CC1114" w:rsidRDefault="00C822E2" w:rsidP="00CD2663">
                <w:pPr>
                  <w:rPr>
                    <w:sz w:val="20"/>
                    <w:szCs w:val="20"/>
                    <w:lang w:eastAsia="zh-CN"/>
                  </w:rPr>
                </w:pPr>
                <w:r w:rsidRPr="00CC1114">
                  <w:rPr>
                    <w:b/>
                    <w:sz w:val="20"/>
                    <w:szCs w:val="20"/>
                  </w:rPr>
                  <w:t xml:space="preserve">Atlas </w:t>
                </w:r>
                <w:r w:rsidRPr="00CC1114">
                  <w:rPr>
                    <w:b/>
                    <w:sz w:val="20"/>
                    <w:szCs w:val="20"/>
                    <w:lang w:eastAsia="zh-CN"/>
                  </w:rPr>
                  <w:t>Award ID</w:t>
                </w:r>
                <w:r w:rsidRPr="00CC1114">
                  <w:rPr>
                    <w:b/>
                    <w:sz w:val="20"/>
                    <w:szCs w:val="20"/>
                  </w:rPr>
                  <w:t xml:space="preserve">:  </w:t>
                </w:r>
              </w:p>
            </w:tc>
            <w:tc>
              <w:tcPr>
                <w:tcW w:w="4770" w:type="dxa"/>
                <w:gridSpan w:val="2"/>
                <w:shd w:val="clear" w:color="auto" w:fill="auto"/>
              </w:tcPr>
              <w:p w14:paraId="64C91105" w14:textId="421390D0" w:rsidR="00C822E2" w:rsidRPr="00CC1114" w:rsidRDefault="00C822E2" w:rsidP="00CD2663">
                <w:pPr>
                  <w:rPr>
                    <w:sz w:val="20"/>
                    <w:szCs w:val="20"/>
                  </w:rPr>
                </w:pPr>
                <w:r w:rsidRPr="00CC1114">
                  <w:rPr>
                    <w:b/>
                    <w:sz w:val="20"/>
                    <w:szCs w:val="20"/>
                  </w:rPr>
                  <w:t>Atlas Project/O</w:t>
                </w:r>
                <w:r w:rsidRPr="00CC1114">
                  <w:rPr>
                    <w:b/>
                    <w:sz w:val="20"/>
                    <w:szCs w:val="20"/>
                    <w:lang w:eastAsia="zh-CN"/>
                  </w:rPr>
                  <w:t>utput ID</w:t>
                </w:r>
                <w:r w:rsidRPr="00CC1114">
                  <w:rPr>
                    <w:b/>
                    <w:sz w:val="20"/>
                    <w:szCs w:val="20"/>
                  </w:rPr>
                  <w:t xml:space="preserve">:  </w:t>
                </w:r>
              </w:p>
            </w:tc>
          </w:tr>
          <w:tr w:rsidR="00C822E2" w:rsidRPr="00CB22A5" w14:paraId="6D0A4D90" w14:textId="77777777" w:rsidTr="00CD2663">
            <w:tc>
              <w:tcPr>
                <w:tcW w:w="4585" w:type="dxa"/>
                <w:shd w:val="clear" w:color="auto" w:fill="auto"/>
              </w:tcPr>
              <w:p w14:paraId="39CCE373" w14:textId="20B00142" w:rsidR="00C822E2" w:rsidRPr="00CC1114" w:rsidRDefault="00C822E2" w:rsidP="00CD2663">
                <w:pPr>
                  <w:rPr>
                    <w:sz w:val="20"/>
                    <w:szCs w:val="20"/>
                  </w:rPr>
                </w:pPr>
                <w:r w:rsidRPr="00CC1114">
                  <w:rPr>
                    <w:b/>
                    <w:sz w:val="20"/>
                    <w:szCs w:val="20"/>
                  </w:rPr>
                  <w:t xml:space="preserve">UNDP-GEF PIMS ID number:  </w:t>
                </w:r>
                <w:r w:rsidR="00304326">
                  <w:rPr>
                    <w:b/>
                    <w:sz w:val="20"/>
                    <w:szCs w:val="20"/>
                  </w:rPr>
                  <w:t>6377</w:t>
                </w:r>
              </w:p>
            </w:tc>
            <w:tc>
              <w:tcPr>
                <w:tcW w:w="4770" w:type="dxa"/>
                <w:gridSpan w:val="2"/>
                <w:shd w:val="clear" w:color="auto" w:fill="auto"/>
              </w:tcPr>
              <w:p w14:paraId="043E81E8" w14:textId="6E19188D" w:rsidR="00C822E2" w:rsidRPr="00CC1114" w:rsidRDefault="00C822E2" w:rsidP="00CD2663">
                <w:pPr>
                  <w:rPr>
                    <w:sz w:val="20"/>
                    <w:szCs w:val="20"/>
                  </w:rPr>
                </w:pPr>
                <w:r w:rsidRPr="00CC1114">
                  <w:rPr>
                    <w:b/>
                    <w:sz w:val="20"/>
                    <w:szCs w:val="20"/>
                  </w:rPr>
                  <w:t>GEF Project ID number:</w:t>
                </w:r>
                <w:r w:rsidRPr="00CC1114">
                  <w:rPr>
                    <w:bCs/>
                    <w:sz w:val="20"/>
                    <w:szCs w:val="20"/>
                  </w:rPr>
                  <w:t xml:space="preserve"> </w:t>
                </w:r>
                <w:r w:rsidR="003E365C">
                  <w:rPr>
                    <w:bCs/>
                    <w:sz w:val="20"/>
                    <w:szCs w:val="20"/>
                  </w:rPr>
                  <w:t>10787</w:t>
                </w:r>
              </w:p>
            </w:tc>
          </w:tr>
          <w:tr w:rsidR="00C822E2" w:rsidRPr="00CB22A5" w14:paraId="3FDA9DD7" w14:textId="77777777" w:rsidTr="00CD2663">
            <w:tc>
              <w:tcPr>
                <w:tcW w:w="9355" w:type="dxa"/>
                <w:gridSpan w:val="3"/>
                <w:shd w:val="clear" w:color="auto" w:fill="auto"/>
              </w:tcPr>
              <w:p w14:paraId="3F4E7490" w14:textId="77777777" w:rsidR="00C822E2" w:rsidRPr="00CC1114" w:rsidRDefault="00C822E2" w:rsidP="00CD2663">
                <w:pPr>
                  <w:rPr>
                    <w:bCs/>
                    <w:iCs/>
                    <w:sz w:val="20"/>
                    <w:szCs w:val="20"/>
                  </w:rPr>
                </w:pPr>
              </w:p>
            </w:tc>
          </w:tr>
        </w:tbl>
        <w:p w14:paraId="40E61FAA" w14:textId="77777777" w:rsidR="00C822E2" w:rsidRDefault="00C822E2" w:rsidP="00C822E2">
          <w:pPr>
            <w:jc w:val="both"/>
            <w:rPr>
              <w:rFonts w:eastAsiaTheme="majorEastAsia" w:cstheme="minorHAnsi"/>
              <w:color w:val="17365D" w:themeColor="text2" w:themeShade="BF"/>
              <w:spacing w:val="5"/>
              <w:kern w:val="28"/>
              <w:sz w:val="52"/>
              <w:szCs w:val="5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420"/>
          </w:tblGrid>
          <w:tr w:rsidR="00C822E2" w:rsidRPr="00227232" w14:paraId="24466DFF" w14:textId="77777777" w:rsidTr="00CD2663">
            <w:trPr>
              <w:trHeight w:val="386"/>
              <w:jc w:val="center"/>
            </w:trPr>
            <w:tc>
              <w:tcPr>
                <w:tcW w:w="9017" w:type="dxa"/>
                <w:gridSpan w:val="2"/>
                <w:tcBorders>
                  <w:top w:val="single" w:sz="4" w:space="0" w:color="auto"/>
                  <w:left w:val="single" w:sz="4" w:space="0" w:color="auto"/>
                  <w:right w:val="single" w:sz="4" w:space="0" w:color="auto"/>
                </w:tcBorders>
                <w:vAlign w:val="center"/>
              </w:tcPr>
              <w:p w14:paraId="57599F70" w14:textId="77777777" w:rsidR="00C822E2" w:rsidRPr="00EB26B1" w:rsidRDefault="00C822E2" w:rsidP="00CD2663">
                <w:pPr>
                  <w:spacing w:before="60" w:after="60"/>
                  <w:jc w:val="center"/>
                  <w:rPr>
                    <w:b/>
                    <w:sz w:val="22"/>
                    <w:u w:val="single"/>
                  </w:rPr>
                </w:pPr>
                <w:bookmarkStart w:id="1" w:name="_Toc506792061"/>
                <w:r w:rsidRPr="00EB26B1">
                  <w:rPr>
                    <w:b/>
                    <w:u w:val="single"/>
                  </w:rPr>
                  <w:t>Public Consultation/Disclosure Notice</w:t>
                </w:r>
                <w:bookmarkEnd w:id="1"/>
              </w:p>
            </w:tc>
          </w:tr>
          <w:tr w:rsidR="00C822E2" w:rsidRPr="00DE2B62" w14:paraId="59DCAC83" w14:textId="77777777" w:rsidTr="00CD2663">
            <w:trPr>
              <w:trHeight w:val="351"/>
              <w:jc w:val="center"/>
            </w:trPr>
            <w:tc>
              <w:tcPr>
                <w:tcW w:w="9017" w:type="dxa"/>
                <w:gridSpan w:val="2"/>
                <w:tcBorders>
                  <w:left w:val="single" w:sz="4" w:space="0" w:color="auto"/>
                  <w:right w:val="single" w:sz="4" w:space="0" w:color="auto"/>
                </w:tcBorders>
                <w:vAlign w:val="center"/>
              </w:tcPr>
              <w:p w14:paraId="3CF68F1A" w14:textId="77777777" w:rsidR="00C822E2" w:rsidRPr="00DE2B62" w:rsidRDefault="00C822E2" w:rsidP="00CD2663">
                <w:pPr>
                  <w:spacing w:before="60" w:after="60"/>
                </w:pPr>
                <w:bookmarkStart w:id="2" w:name="_Toc506792062"/>
                <w:r w:rsidRPr="00DE2B62">
                  <w:t xml:space="preserve">Date: </w:t>
                </w:r>
                <w:r w:rsidRPr="00A53C87">
                  <w:rPr>
                    <w:highlight w:val="yellow"/>
                  </w:rPr>
                  <w:t>_</w:t>
                </w:r>
                <w:bookmarkEnd w:id="2"/>
                <w:r w:rsidRPr="00B7643D">
                  <w:rPr>
                    <w:highlight w:val="yellow"/>
                  </w:rPr>
                  <w:t>XXXXX</w:t>
                </w:r>
              </w:p>
            </w:tc>
          </w:tr>
          <w:tr w:rsidR="00C822E2" w:rsidRPr="00DE2B62" w14:paraId="62FC9F6A" w14:textId="77777777" w:rsidTr="00CD2663">
            <w:trPr>
              <w:trHeight w:val="496"/>
              <w:jc w:val="center"/>
            </w:trPr>
            <w:tc>
              <w:tcPr>
                <w:tcW w:w="9017" w:type="dxa"/>
                <w:gridSpan w:val="2"/>
                <w:tcBorders>
                  <w:left w:val="single" w:sz="4" w:space="0" w:color="auto"/>
                  <w:right w:val="single" w:sz="4" w:space="0" w:color="auto"/>
                </w:tcBorders>
                <w:vAlign w:val="center"/>
              </w:tcPr>
              <w:p w14:paraId="01D31627" w14:textId="2E8A25D8" w:rsidR="00C822E2" w:rsidRPr="00C822E2" w:rsidRDefault="00C822E2" w:rsidP="00CD2663">
                <w:pPr>
                  <w:spacing w:before="60" w:after="60"/>
                  <w:rPr>
                    <w:i/>
                    <w:iCs/>
                    <w:sz w:val="22"/>
                  </w:rPr>
                </w:pPr>
                <w:bookmarkStart w:id="3" w:name="_Toc506792063"/>
                <w:r w:rsidRPr="00C822E2">
                  <w:rPr>
                    <w:sz w:val="22"/>
                  </w:rPr>
                  <w:t>The United Nations Development Programme (UNDP) launched today a public consultation on the attached  draft Environmental and Social Management Framework, Ethnic Minority Planning framework, Preliminary process Framework, and associated Social and Environmental Screening Procedures for the UNDP-GEF Supported</w:t>
                </w:r>
                <w:r w:rsidR="00304326">
                  <w:rPr>
                    <w:sz w:val="22"/>
                  </w:rPr>
                  <w:t xml:space="preserve"> propject, </w:t>
                </w:r>
                <w:r w:rsidRPr="00C822E2">
                  <w:rPr>
                    <w:sz w:val="22"/>
                  </w:rPr>
                  <w:t xml:space="preserve"> </w:t>
                </w:r>
                <w:bookmarkEnd w:id="3"/>
                <w:r w:rsidR="00304326" w:rsidRPr="00304326">
                  <w:rPr>
                    <w:i/>
                    <w:iCs/>
                    <w:sz w:val="22"/>
                    <w:lang w:val="en"/>
                  </w:rPr>
                  <w:t>Promote Wildlife Conservation and Responsible Nature Based Tourism for Sustainable Development in Vietnam.</w:t>
                </w:r>
                <w:r w:rsidR="00304326">
                  <w:rPr>
                    <w:sz w:val="22"/>
                    <w:lang w:val="en"/>
                  </w:rPr>
                  <w:t xml:space="preserve"> </w:t>
                </w:r>
              </w:p>
              <w:p w14:paraId="1A05939D" w14:textId="77777777" w:rsidR="00C822E2" w:rsidRPr="00C822E2" w:rsidRDefault="00C822E2" w:rsidP="00CD2663">
                <w:pPr>
                  <w:spacing w:before="60" w:after="60"/>
                  <w:rPr>
                    <w:sz w:val="22"/>
                  </w:rPr>
                </w:pPr>
                <w:bookmarkStart w:id="4" w:name="_Toc506792064"/>
                <w:r w:rsidRPr="00C822E2">
                  <w:rPr>
                    <w:sz w:val="22"/>
                  </w:rPr>
                  <w:t>Comments to this consultation can be sent to the following address:</w:t>
                </w:r>
                <w:bookmarkEnd w:id="4"/>
              </w:p>
            </w:tc>
          </w:tr>
          <w:tr w:rsidR="00C822E2" w:rsidRPr="00D63176" w14:paraId="432575FE" w14:textId="77777777" w:rsidTr="00CD2663">
            <w:trPr>
              <w:trHeight w:val="496"/>
              <w:jc w:val="center"/>
            </w:trPr>
            <w:tc>
              <w:tcPr>
                <w:tcW w:w="9017" w:type="dxa"/>
                <w:gridSpan w:val="2"/>
                <w:tcBorders>
                  <w:left w:val="single" w:sz="4" w:space="0" w:color="auto"/>
                  <w:right w:val="single" w:sz="4" w:space="0" w:color="auto"/>
                </w:tcBorders>
                <w:vAlign w:val="center"/>
              </w:tcPr>
              <w:p w14:paraId="107C8AE4" w14:textId="77777777" w:rsidR="00C822E2" w:rsidRPr="00C822E2" w:rsidRDefault="00C822E2" w:rsidP="00CD2663">
                <w:pPr>
                  <w:jc w:val="center"/>
                  <w:rPr>
                    <w:sz w:val="22"/>
                  </w:rPr>
                </w:pPr>
                <w:bookmarkStart w:id="5" w:name="_Toc506792065"/>
                <w:r w:rsidRPr="00C822E2">
                  <w:rPr>
                    <w:sz w:val="22"/>
                  </w:rPr>
                  <w:t>United Nations Development Programme</w:t>
                </w:r>
                <w:bookmarkEnd w:id="5"/>
              </w:p>
              <w:p w14:paraId="14E8F717" w14:textId="77777777" w:rsidR="00C822E2" w:rsidRPr="00C822E2" w:rsidRDefault="00C822E2" w:rsidP="00CD2663">
                <w:pPr>
                  <w:jc w:val="center"/>
                  <w:rPr>
                    <w:sz w:val="22"/>
                  </w:rPr>
                </w:pPr>
                <w:bookmarkStart w:id="6" w:name="_Toc506792066"/>
                <w:r w:rsidRPr="00C822E2">
                  <w:rPr>
                    <w:sz w:val="22"/>
                  </w:rPr>
                  <w:t xml:space="preserve">304 Kim Ma, Ba </w:t>
                </w:r>
                <w:proofErr w:type="spellStart"/>
                <w:r w:rsidRPr="00C822E2">
                  <w:rPr>
                    <w:sz w:val="22"/>
                  </w:rPr>
                  <w:t>Dinh</w:t>
                </w:r>
                <w:proofErr w:type="spellEnd"/>
                <w:r w:rsidRPr="00C822E2">
                  <w:rPr>
                    <w:sz w:val="22"/>
                  </w:rPr>
                  <w:t xml:space="preserve">, Ha </w:t>
                </w:r>
                <w:proofErr w:type="spellStart"/>
                <w:r w:rsidRPr="00C822E2">
                  <w:rPr>
                    <w:sz w:val="22"/>
                  </w:rPr>
                  <w:t>Noi</w:t>
                </w:r>
                <w:proofErr w:type="spellEnd"/>
                <w:r w:rsidRPr="00C822E2">
                  <w:rPr>
                    <w:sz w:val="22"/>
                  </w:rPr>
                  <w:t>, Viet Nam,</w:t>
                </w:r>
              </w:p>
              <w:p w14:paraId="485BF1EA" w14:textId="77777777" w:rsidR="00C822E2" w:rsidRPr="00C822E2" w:rsidRDefault="00C822E2" w:rsidP="00CD2663">
                <w:pPr>
                  <w:jc w:val="center"/>
                  <w:rPr>
                    <w:sz w:val="22"/>
                  </w:rPr>
                </w:pPr>
                <w:r w:rsidRPr="00C822E2">
                  <w:rPr>
                    <w:sz w:val="22"/>
                  </w:rPr>
                  <w:t>Tel: (+84 4) 38 500100</w:t>
                </w:r>
              </w:p>
              <w:p w14:paraId="0A5C7F91" w14:textId="77777777" w:rsidR="00C822E2" w:rsidRPr="00C822E2" w:rsidRDefault="00C822E2" w:rsidP="00CD2663">
                <w:pPr>
                  <w:jc w:val="center"/>
                  <w:rPr>
                    <w:sz w:val="22"/>
                  </w:rPr>
                </w:pPr>
                <w:r w:rsidRPr="00C822E2">
                  <w:rPr>
                    <w:sz w:val="22"/>
                  </w:rPr>
                  <w:t>Fax: (84-4) 37265520</w:t>
                </w:r>
              </w:p>
              <w:bookmarkEnd w:id="6"/>
              <w:p w14:paraId="1996A430" w14:textId="77777777" w:rsidR="00C822E2" w:rsidRPr="00C822E2" w:rsidRDefault="00C822E2" w:rsidP="00CD2663">
                <w:pPr>
                  <w:jc w:val="center"/>
                  <w:rPr>
                    <w:sz w:val="22"/>
                  </w:rPr>
                </w:pPr>
                <w:r w:rsidRPr="00C822E2">
                  <w:rPr>
                    <w:sz w:val="22"/>
                  </w:rPr>
                  <w:fldChar w:fldCharType="begin"/>
                </w:r>
                <w:r w:rsidRPr="00C822E2">
                  <w:rPr>
                    <w:sz w:val="22"/>
                  </w:rPr>
                  <w:instrText xml:space="preserve"> HYPERLINK "mailto:%20registry.vn@undp.org" </w:instrText>
                </w:r>
                <w:r w:rsidRPr="00C822E2">
                  <w:rPr>
                    <w:sz w:val="22"/>
                  </w:rPr>
                </w:r>
                <w:r w:rsidRPr="00C822E2">
                  <w:rPr>
                    <w:sz w:val="22"/>
                  </w:rPr>
                  <w:fldChar w:fldCharType="separate"/>
                </w:r>
                <w:r w:rsidRPr="00C822E2">
                  <w:rPr>
                    <w:rStyle w:val="Hyperlink"/>
                    <w:sz w:val="22"/>
                  </w:rPr>
                  <w:t>registry.vn@undp.org</w:t>
                </w:r>
                <w:r w:rsidRPr="00C822E2">
                  <w:rPr>
                    <w:sz w:val="22"/>
                  </w:rPr>
                  <w:fldChar w:fldCharType="end"/>
                </w:r>
              </w:p>
            </w:tc>
          </w:tr>
          <w:tr w:rsidR="00C822E2" w:rsidRPr="00DE2B62" w14:paraId="0C9D3044" w14:textId="77777777" w:rsidTr="00CD2663">
            <w:trPr>
              <w:trHeight w:val="396"/>
              <w:jc w:val="center"/>
            </w:trPr>
            <w:tc>
              <w:tcPr>
                <w:tcW w:w="3597" w:type="dxa"/>
                <w:tcBorders>
                  <w:left w:val="single" w:sz="4" w:space="0" w:color="auto"/>
                  <w:bottom w:val="single" w:sz="4" w:space="0" w:color="auto"/>
                </w:tcBorders>
                <w:vAlign w:val="center"/>
              </w:tcPr>
              <w:p w14:paraId="0F2C5FBA" w14:textId="77777777" w:rsidR="00C822E2" w:rsidRPr="0070250E" w:rsidRDefault="00C822E2" w:rsidP="00CD2663">
                <w:pPr>
                  <w:spacing w:before="60" w:after="60"/>
                  <w:rPr>
                    <w:b/>
                  </w:rPr>
                </w:pPr>
                <w:bookmarkStart w:id="7" w:name="_Toc506792067"/>
                <w:r w:rsidRPr="0070250E">
                  <w:rPr>
                    <w:b/>
                  </w:rPr>
                  <w:t>Deadline for submission of comments:</w:t>
                </w:r>
                <w:bookmarkEnd w:id="7"/>
              </w:p>
            </w:tc>
            <w:tc>
              <w:tcPr>
                <w:tcW w:w="5420" w:type="dxa"/>
                <w:tcBorders>
                  <w:bottom w:val="single" w:sz="4" w:space="0" w:color="auto"/>
                  <w:right w:val="single" w:sz="4" w:space="0" w:color="auto"/>
                </w:tcBorders>
                <w:vAlign w:val="center"/>
              </w:tcPr>
              <w:p w14:paraId="34611CDE" w14:textId="77777777" w:rsidR="00C822E2" w:rsidRPr="0070250E" w:rsidRDefault="00C822E2" w:rsidP="00CD2663">
                <w:pPr>
                  <w:spacing w:before="60" w:after="60"/>
                  <w:rPr>
                    <w:b/>
                  </w:rPr>
                </w:pPr>
                <w:r w:rsidRPr="00B7643D">
                  <w:rPr>
                    <w:b/>
                    <w:highlight w:val="yellow"/>
                  </w:rPr>
                  <w:t>XXXX</w:t>
                </w:r>
                <w:r>
                  <w:rPr>
                    <w:b/>
                  </w:rPr>
                  <w:t xml:space="preserve"> </w:t>
                </w:r>
              </w:p>
            </w:tc>
          </w:tr>
        </w:tbl>
        <w:p w14:paraId="05515C5A" w14:textId="77777777" w:rsidR="00C822E2" w:rsidRDefault="00C822E2" w:rsidP="00C822E2">
          <w:pPr>
            <w:rPr>
              <w:rFonts w:eastAsiaTheme="majorEastAsia" w:cstheme="minorHAnsi"/>
              <w:color w:val="17365D" w:themeColor="text2" w:themeShade="BF"/>
              <w:spacing w:val="5"/>
              <w:kern w:val="28"/>
              <w:sz w:val="52"/>
              <w:szCs w:val="52"/>
            </w:rPr>
          </w:pPr>
        </w:p>
        <w:p w14:paraId="1D508C4A" w14:textId="77777777" w:rsidR="00C822E2" w:rsidRPr="00A317E5" w:rsidRDefault="00C822E2" w:rsidP="00C822E2">
          <w:pPr>
            <w:jc w:val="center"/>
            <w:rPr>
              <w:rFonts w:eastAsiaTheme="majorEastAsia" w:cstheme="minorHAnsi"/>
              <w:color w:val="17365D" w:themeColor="text2" w:themeShade="BF"/>
              <w:spacing w:val="5"/>
              <w:kern w:val="28"/>
              <w:sz w:val="28"/>
              <w:szCs w:val="28"/>
            </w:rPr>
            <w:sectPr w:rsidR="00C822E2" w:rsidRPr="00A317E5"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r>
            <w:rPr>
              <w:rFonts w:eastAsiaTheme="majorEastAsia" w:cstheme="minorHAnsi"/>
              <w:color w:val="17365D" w:themeColor="text2" w:themeShade="BF"/>
              <w:spacing w:val="5"/>
              <w:kern w:val="28"/>
              <w:sz w:val="28"/>
              <w:szCs w:val="28"/>
            </w:rPr>
            <w:t xml:space="preserve">Draft – May </w:t>
          </w:r>
          <w:r w:rsidRPr="00A317E5">
            <w:rPr>
              <w:rFonts w:eastAsiaTheme="majorEastAsia" w:cstheme="minorHAnsi"/>
              <w:color w:val="17365D" w:themeColor="text2" w:themeShade="BF"/>
              <w:spacing w:val="5"/>
              <w:kern w:val="28"/>
              <w:sz w:val="28"/>
              <w:szCs w:val="28"/>
            </w:rPr>
            <w:t>202</w:t>
          </w:r>
          <w:r>
            <w:rPr>
              <w:rFonts w:eastAsiaTheme="majorEastAsia" w:cstheme="minorHAnsi"/>
              <w:color w:val="17365D" w:themeColor="text2" w:themeShade="BF"/>
              <w:spacing w:val="5"/>
              <w:kern w:val="28"/>
              <w:sz w:val="28"/>
              <w:szCs w:val="28"/>
            </w:rPr>
            <w:t>2</w:t>
          </w:r>
        </w:p>
      </w:sdtContent>
    </w:sdt>
    <w:sdt>
      <w:sdtPr>
        <w:rPr>
          <w:rFonts w:asciiTheme="minorHAnsi" w:eastAsiaTheme="minorHAnsi" w:hAnsiTheme="minorHAnsi" w:cstheme="minorBidi"/>
          <w:b w:val="0"/>
          <w:bCs w:val="0"/>
          <w:color w:val="auto"/>
          <w:sz w:val="22"/>
          <w:szCs w:val="22"/>
          <w:lang w:val="en" w:eastAsia="en-US"/>
        </w:rPr>
        <w:id w:val="-1723214887"/>
        <w:docPartObj>
          <w:docPartGallery w:val="Table of Contents"/>
          <w:docPartUnique/>
        </w:docPartObj>
      </w:sdtPr>
      <w:sdtEndPr>
        <w:rPr>
          <w:rFonts w:ascii="Times New Roman" w:eastAsia="Arial" w:hAnsi="Times New Roman" w:cs="Arial"/>
          <w:noProof/>
          <w:sz w:val="24"/>
        </w:rPr>
      </w:sdtEndPr>
      <w:sdtContent>
        <w:p w14:paraId="3622B113" w14:textId="77777777" w:rsidR="00C822E2" w:rsidRPr="00B20DCD" w:rsidRDefault="00C822E2" w:rsidP="00C822E2">
          <w:pPr>
            <w:pStyle w:val="TOCHeading"/>
            <w:spacing w:before="0" w:line="240" w:lineRule="auto"/>
            <w:rPr>
              <w:rStyle w:val="Emphasis"/>
            </w:rPr>
          </w:pPr>
          <w:r w:rsidRPr="00B20DCD">
            <w:rPr>
              <w:rStyle w:val="Emphasis"/>
            </w:rPr>
            <w:t>Contents</w:t>
          </w:r>
        </w:p>
        <w:p w14:paraId="2CF736C6" w14:textId="55136723" w:rsidR="008C6D5E" w:rsidRDefault="00C822E2">
          <w:pPr>
            <w:pStyle w:val="TOC1"/>
            <w:rPr>
              <w:rFonts w:eastAsiaTheme="minorEastAsia"/>
              <w:noProof/>
              <w:sz w:val="24"/>
              <w:szCs w:val="24"/>
            </w:rPr>
          </w:pPr>
          <w:r w:rsidRPr="00CB6881">
            <w:rPr>
              <w:rStyle w:val="Emphasis"/>
              <w:rFonts w:cstheme="minorHAnsi"/>
            </w:rPr>
            <w:fldChar w:fldCharType="begin"/>
          </w:r>
          <w:r w:rsidRPr="00CB6881">
            <w:rPr>
              <w:rStyle w:val="Emphasis"/>
              <w:rFonts w:cstheme="minorHAnsi"/>
            </w:rPr>
            <w:instrText xml:space="preserve"> TOC \o "1-3" \h \z \u </w:instrText>
          </w:r>
          <w:r w:rsidRPr="00CB6881">
            <w:rPr>
              <w:rStyle w:val="Emphasis"/>
              <w:rFonts w:cstheme="minorHAnsi"/>
            </w:rPr>
            <w:fldChar w:fldCharType="separate"/>
          </w:r>
          <w:hyperlink w:anchor="_Toc104218376" w:history="1">
            <w:r w:rsidR="008C6D5E" w:rsidRPr="00110B91">
              <w:rPr>
                <w:rStyle w:val="Hyperlink"/>
                <w:noProof/>
              </w:rPr>
              <w:t>Abbreviations and Acronyms</w:t>
            </w:r>
            <w:r w:rsidR="008C6D5E">
              <w:rPr>
                <w:noProof/>
                <w:webHidden/>
              </w:rPr>
              <w:tab/>
            </w:r>
            <w:r w:rsidR="008C6D5E">
              <w:rPr>
                <w:noProof/>
                <w:webHidden/>
              </w:rPr>
              <w:fldChar w:fldCharType="begin"/>
            </w:r>
            <w:r w:rsidR="008C6D5E">
              <w:rPr>
                <w:noProof/>
                <w:webHidden/>
              </w:rPr>
              <w:instrText xml:space="preserve"> PAGEREF _Toc104218376 \h </w:instrText>
            </w:r>
            <w:r w:rsidR="008C6D5E">
              <w:rPr>
                <w:noProof/>
                <w:webHidden/>
              </w:rPr>
            </w:r>
            <w:r w:rsidR="008C6D5E">
              <w:rPr>
                <w:noProof/>
                <w:webHidden/>
              </w:rPr>
              <w:fldChar w:fldCharType="separate"/>
            </w:r>
            <w:r w:rsidR="008C6D5E">
              <w:rPr>
                <w:noProof/>
                <w:webHidden/>
              </w:rPr>
              <w:t>iii</w:t>
            </w:r>
            <w:r w:rsidR="008C6D5E">
              <w:rPr>
                <w:noProof/>
                <w:webHidden/>
              </w:rPr>
              <w:fldChar w:fldCharType="end"/>
            </w:r>
          </w:hyperlink>
        </w:p>
        <w:p w14:paraId="22FD189B" w14:textId="6C4FCC27" w:rsidR="008C6D5E" w:rsidRDefault="0055772B">
          <w:pPr>
            <w:pStyle w:val="TOC1"/>
            <w:rPr>
              <w:rFonts w:eastAsiaTheme="minorEastAsia"/>
              <w:noProof/>
              <w:sz w:val="24"/>
              <w:szCs w:val="24"/>
            </w:rPr>
          </w:pPr>
          <w:hyperlink w:anchor="_Toc104218377" w:history="1">
            <w:r w:rsidR="008C6D5E" w:rsidRPr="00110B91">
              <w:rPr>
                <w:rStyle w:val="Hyperlink"/>
                <w:noProof/>
              </w:rPr>
              <w:t>Executive Summary</w:t>
            </w:r>
            <w:r w:rsidR="008C6D5E">
              <w:rPr>
                <w:noProof/>
                <w:webHidden/>
              </w:rPr>
              <w:tab/>
            </w:r>
            <w:r w:rsidR="008C6D5E">
              <w:rPr>
                <w:noProof/>
                <w:webHidden/>
              </w:rPr>
              <w:fldChar w:fldCharType="begin"/>
            </w:r>
            <w:r w:rsidR="008C6D5E">
              <w:rPr>
                <w:noProof/>
                <w:webHidden/>
              </w:rPr>
              <w:instrText xml:space="preserve"> PAGEREF _Toc104218377 \h </w:instrText>
            </w:r>
            <w:r w:rsidR="008C6D5E">
              <w:rPr>
                <w:noProof/>
                <w:webHidden/>
              </w:rPr>
            </w:r>
            <w:r w:rsidR="008C6D5E">
              <w:rPr>
                <w:noProof/>
                <w:webHidden/>
              </w:rPr>
              <w:fldChar w:fldCharType="separate"/>
            </w:r>
            <w:r w:rsidR="008C6D5E">
              <w:rPr>
                <w:noProof/>
                <w:webHidden/>
              </w:rPr>
              <w:t>1</w:t>
            </w:r>
            <w:r w:rsidR="008C6D5E">
              <w:rPr>
                <w:noProof/>
                <w:webHidden/>
              </w:rPr>
              <w:fldChar w:fldCharType="end"/>
            </w:r>
          </w:hyperlink>
        </w:p>
        <w:p w14:paraId="62A5C182" w14:textId="58485C37" w:rsidR="008C6D5E" w:rsidRDefault="0055772B">
          <w:pPr>
            <w:pStyle w:val="TOC1"/>
            <w:tabs>
              <w:tab w:val="left" w:pos="440"/>
            </w:tabs>
            <w:rPr>
              <w:rFonts w:eastAsiaTheme="minorEastAsia"/>
              <w:noProof/>
              <w:sz w:val="24"/>
              <w:szCs w:val="24"/>
            </w:rPr>
          </w:pPr>
          <w:hyperlink w:anchor="_Toc104218378" w:history="1">
            <w:r w:rsidR="008C6D5E" w:rsidRPr="00110B91">
              <w:rPr>
                <w:rStyle w:val="Hyperlink"/>
                <w:noProof/>
              </w:rPr>
              <w:t>1</w:t>
            </w:r>
            <w:r w:rsidR="008C6D5E">
              <w:rPr>
                <w:rFonts w:eastAsiaTheme="minorEastAsia"/>
                <w:noProof/>
                <w:sz w:val="24"/>
                <w:szCs w:val="24"/>
              </w:rPr>
              <w:tab/>
            </w:r>
            <w:r w:rsidR="008C6D5E" w:rsidRPr="00110B91">
              <w:rPr>
                <w:rStyle w:val="Hyperlink"/>
                <w:noProof/>
              </w:rPr>
              <w:t>Introduction</w:t>
            </w:r>
            <w:r w:rsidR="008C6D5E">
              <w:rPr>
                <w:noProof/>
                <w:webHidden/>
              </w:rPr>
              <w:tab/>
            </w:r>
            <w:r w:rsidR="008C6D5E">
              <w:rPr>
                <w:noProof/>
                <w:webHidden/>
              </w:rPr>
              <w:fldChar w:fldCharType="begin"/>
            </w:r>
            <w:r w:rsidR="008C6D5E">
              <w:rPr>
                <w:noProof/>
                <w:webHidden/>
              </w:rPr>
              <w:instrText xml:space="preserve"> PAGEREF _Toc104218378 \h </w:instrText>
            </w:r>
            <w:r w:rsidR="008C6D5E">
              <w:rPr>
                <w:noProof/>
                <w:webHidden/>
              </w:rPr>
            </w:r>
            <w:r w:rsidR="008C6D5E">
              <w:rPr>
                <w:noProof/>
                <w:webHidden/>
              </w:rPr>
              <w:fldChar w:fldCharType="separate"/>
            </w:r>
            <w:r w:rsidR="008C6D5E">
              <w:rPr>
                <w:noProof/>
                <w:webHidden/>
              </w:rPr>
              <w:t>2</w:t>
            </w:r>
            <w:r w:rsidR="008C6D5E">
              <w:rPr>
                <w:noProof/>
                <w:webHidden/>
              </w:rPr>
              <w:fldChar w:fldCharType="end"/>
            </w:r>
          </w:hyperlink>
        </w:p>
        <w:p w14:paraId="0BFD71D8" w14:textId="6C190DF1" w:rsidR="008C6D5E" w:rsidRDefault="0055772B">
          <w:pPr>
            <w:pStyle w:val="TOC1"/>
            <w:rPr>
              <w:rFonts w:eastAsiaTheme="minorEastAsia"/>
              <w:noProof/>
              <w:sz w:val="24"/>
              <w:szCs w:val="24"/>
            </w:rPr>
          </w:pPr>
          <w:hyperlink w:anchor="_Toc104218379" w:history="1">
            <w:r w:rsidR="008C6D5E" w:rsidRPr="00110B91">
              <w:rPr>
                <w:rStyle w:val="Hyperlink"/>
                <w:noProof/>
              </w:rPr>
              <w:t>2 Project Description</w:t>
            </w:r>
            <w:r w:rsidR="008C6D5E">
              <w:rPr>
                <w:noProof/>
                <w:webHidden/>
              </w:rPr>
              <w:tab/>
            </w:r>
            <w:r w:rsidR="008C6D5E">
              <w:rPr>
                <w:noProof/>
                <w:webHidden/>
              </w:rPr>
              <w:fldChar w:fldCharType="begin"/>
            </w:r>
            <w:r w:rsidR="008C6D5E">
              <w:rPr>
                <w:noProof/>
                <w:webHidden/>
              </w:rPr>
              <w:instrText xml:space="preserve"> PAGEREF _Toc104218379 \h </w:instrText>
            </w:r>
            <w:r w:rsidR="008C6D5E">
              <w:rPr>
                <w:noProof/>
                <w:webHidden/>
              </w:rPr>
            </w:r>
            <w:r w:rsidR="008C6D5E">
              <w:rPr>
                <w:noProof/>
                <w:webHidden/>
              </w:rPr>
              <w:fldChar w:fldCharType="separate"/>
            </w:r>
            <w:r w:rsidR="008C6D5E">
              <w:rPr>
                <w:noProof/>
                <w:webHidden/>
              </w:rPr>
              <w:t>2</w:t>
            </w:r>
            <w:r w:rsidR="008C6D5E">
              <w:rPr>
                <w:noProof/>
                <w:webHidden/>
              </w:rPr>
              <w:fldChar w:fldCharType="end"/>
            </w:r>
          </w:hyperlink>
        </w:p>
        <w:p w14:paraId="1505283D" w14:textId="62B67C4F" w:rsidR="008C6D5E" w:rsidRDefault="0055772B">
          <w:pPr>
            <w:pStyle w:val="TOC1"/>
            <w:rPr>
              <w:rFonts w:eastAsiaTheme="minorEastAsia"/>
              <w:noProof/>
              <w:sz w:val="24"/>
              <w:szCs w:val="24"/>
            </w:rPr>
          </w:pPr>
          <w:hyperlink w:anchor="_Toc104218380" w:history="1">
            <w:r w:rsidR="008C6D5E" w:rsidRPr="00110B91">
              <w:rPr>
                <w:rStyle w:val="Hyperlink"/>
                <w:noProof/>
              </w:rPr>
              <w:t>3. Purpose and scope of this ESMF</w:t>
            </w:r>
            <w:r w:rsidR="008C6D5E">
              <w:rPr>
                <w:noProof/>
                <w:webHidden/>
              </w:rPr>
              <w:tab/>
            </w:r>
            <w:r w:rsidR="008C6D5E">
              <w:rPr>
                <w:noProof/>
                <w:webHidden/>
              </w:rPr>
              <w:fldChar w:fldCharType="begin"/>
            </w:r>
            <w:r w:rsidR="008C6D5E">
              <w:rPr>
                <w:noProof/>
                <w:webHidden/>
              </w:rPr>
              <w:instrText xml:space="preserve"> PAGEREF _Toc104218380 \h </w:instrText>
            </w:r>
            <w:r w:rsidR="008C6D5E">
              <w:rPr>
                <w:noProof/>
                <w:webHidden/>
              </w:rPr>
            </w:r>
            <w:r w:rsidR="008C6D5E">
              <w:rPr>
                <w:noProof/>
                <w:webHidden/>
              </w:rPr>
              <w:fldChar w:fldCharType="separate"/>
            </w:r>
            <w:r w:rsidR="008C6D5E">
              <w:rPr>
                <w:noProof/>
                <w:webHidden/>
              </w:rPr>
              <w:t>2</w:t>
            </w:r>
            <w:r w:rsidR="008C6D5E">
              <w:rPr>
                <w:noProof/>
                <w:webHidden/>
              </w:rPr>
              <w:fldChar w:fldCharType="end"/>
            </w:r>
          </w:hyperlink>
        </w:p>
        <w:p w14:paraId="01E56B8E" w14:textId="1F865031" w:rsidR="008C6D5E" w:rsidRDefault="0055772B">
          <w:pPr>
            <w:pStyle w:val="TOC2"/>
            <w:tabs>
              <w:tab w:val="left" w:pos="600"/>
              <w:tab w:val="right" w:leader="dot" w:pos="9017"/>
            </w:tabs>
            <w:rPr>
              <w:rFonts w:eastAsiaTheme="minorEastAsia"/>
              <w:noProof/>
              <w:sz w:val="24"/>
              <w:szCs w:val="24"/>
            </w:rPr>
          </w:pPr>
          <w:hyperlink w:anchor="_Toc104218381" w:history="1">
            <w:r w:rsidR="008C6D5E" w:rsidRPr="00110B91">
              <w:rPr>
                <w:rStyle w:val="Hyperlink"/>
                <w:noProof/>
              </w:rPr>
              <w:t>4</w:t>
            </w:r>
            <w:r w:rsidR="008C6D5E">
              <w:rPr>
                <w:rFonts w:eastAsiaTheme="minorEastAsia"/>
                <w:noProof/>
                <w:sz w:val="24"/>
                <w:szCs w:val="24"/>
              </w:rPr>
              <w:tab/>
            </w:r>
            <w:r w:rsidR="008C6D5E" w:rsidRPr="00110B91">
              <w:rPr>
                <w:rStyle w:val="Hyperlink"/>
                <w:noProof/>
              </w:rPr>
              <w:t>Potential Social and Environmental Impacts</w:t>
            </w:r>
            <w:r w:rsidR="008C6D5E">
              <w:rPr>
                <w:noProof/>
                <w:webHidden/>
              </w:rPr>
              <w:tab/>
            </w:r>
            <w:r w:rsidR="008C6D5E">
              <w:rPr>
                <w:noProof/>
                <w:webHidden/>
              </w:rPr>
              <w:fldChar w:fldCharType="begin"/>
            </w:r>
            <w:r w:rsidR="008C6D5E">
              <w:rPr>
                <w:noProof/>
                <w:webHidden/>
              </w:rPr>
              <w:instrText xml:space="preserve"> PAGEREF _Toc104218381 \h </w:instrText>
            </w:r>
            <w:r w:rsidR="008C6D5E">
              <w:rPr>
                <w:noProof/>
                <w:webHidden/>
              </w:rPr>
            </w:r>
            <w:r w:rsidR="008C6D5E">
              <w:rPr>
                <w:noProof/>
                <w:webHidden/>
              </w:rPr>
              <w:fldChar w:fldCharType="separate"/>
            </w:r>
            <w:r w:rsidR="008C6D5E">
              <w:rPr>
                <w:noProof/>
                <w:webHidden/>
              </w:rPr>
              <w:t>4</w:t>
            </w:r>
            <w:r w:rsidR="008C6D5E">
              <w:rPr>
                <w:noProof/>
                <w:webHidden/>
              </w:rPr>
              <w:fldChar w:fldCharType="end"/>
            </w:r>
          </w:hyperlink>
        </w:p>
        <w:p w14:paraId="595BCD53" w14:textId="1E78BF2A" w:rsidR="008C6D5E" w:rsidRDefault="0055772B">
          <w:pPr>
            <w:pStyle w:val="TOC1"/>
            <w:tabs>
              <w:tab w:val="left" w:pos="440"/>
            </w:tabs>
            <w:rPr>
              <w:rFonts w:eastAsiaTheme="minorEastAsia"/>
              <w:noProof/>
              <w:sz w:val="24"/>
              <w:szCs w:val="24"/>
            </w:rPr>
          </w:pPr>
          <w:hyperlink w:anchor="_Toc104218382" w:history="1">
            <w:r w:rsidR="008C6D5E" w:rsidRPr="00110B91">
              <w:rPr>
                <w:rStyle w:val="Hyperlink"/>
                <w:noProof/>
              </w:rPr>
              <w:t>5</w:t>
            </w:r>
            <w:r w:rsidR="008C6D5E">
              <w:rPr>
                <w:rFonts w:eastAsiaTheme="minorEastAsia"/>
                <w:noProof/>
                <w:sz w:val="24"/>
                <w:szCs w:val="24"/>
              </w:rPr>
              <w:tab/>
            </w:r>
            <w:r w:rsidR="008C6D5E" w:rsidRPr="00110B91">
              <w:rPr>
                <w:rStyle w:val="Hyperlink"/>
                <w:noProof/>
              </w:rPr>
              <w:t>Regulatory Framework</w:t>
            </w:r>
            <w:r w:rsidR="008C6D5E">
              <w:rPr>
                <w:noProof/>
                <w:webHidden/>
              </w:rPr>
              <w:tab/>
            </w:r>
            <w:r w:rsidR="008C6D5E">
              <w:rPr>
                <w:noProof/>
                <w:webHidden/>
              </w:rPr>
              <w:fldChar w:fldCharType="begin"/>
            </w:r>
            <w:r w:rsidR="008C6D5E">
              <w:rPr>
                <w:noProof/>
                <w:webHidden/>
              </w:rPr>
              <w:instrText xml:space="preserve"> PAGEREF _Toc104218382 \h </w:instrText>
            </w:r>
            <w:r w:rsidR="008C6D5E">
              <w:rPr>
                <w:noProof/>
                <w:webHidden/>
              </w:rPr>
            </w:r>
            <w:r w:rsidR="008C6D5E">
              <w:rPr>
                <w:noProof/>
                <w:webHidden/>
              </w:rPr>
              <w:fldChar w:fldCharType="separate"/>
            </w:r>
            <w:r w:rsidR="008C6D5E">
              <w:rPr>
                <w:noProof/>
                <w:webHidden/>
              </w:rPr>
              <w:t>6</w:t>
            </w:r>
            <w:r w:rsidR="008C6D5E">
              <w:rPr>
                <w:noProof/>
                <w:webHidden/>
              </w:rPr>
              <w:fldChar w:fldCharType="end"/>
            </w:r>
          </w:hyperlink>
        </w:p>
        <w:p w14:paraId="31E0BF79" w14:textId="55222C19" w:rsidR="008C6D5E" w:rsidRDefault="0055772B">
          <w:pPr>
            <w:pStyle w:val="TOC2"/>
            <w:tabs>
              <w:tab w:val="left" w:pos="800"/>
              <w:tab w:val="right" w:leader="dot" w:pos="9017"/>
            </w:tabs>
            <w:rPr>
              <w:rFonts w:eastAsiaTheme="minorEastAsia"/>
              <w:noProof/>
              <w:sz w:val="24"/>
              <w:szCs w:val="24"/>
            </w:rPr>
          </w:pPr>
          <w:hyperlink w:anchor="_Toc104218383" w:history="1">
            <w:r w:rsidR="008C6D5E" w:rsidRPr="00110B91">
              <w:rPr>
                <w:rStyle w:val="Hyperlink"/>
                <w:noProof/>
              </w:rPr>
              <w:t>a.</w:t>
            </w:r>
            <w:r w:rsidR="008C6D5E">
              <w:rPr>
                <w:rFonts w:eastAsiaTheme="minorEastAsia"/>
                <w:noProof/>
                <w:sz w:val="24"/>
                <w:szCs w:val="24"/>
              </w:rPr>
              <w:tab/>
            </w:r>
            <w:r w:rsidR="008C6D5E" w:rsidRPr="00110B91">
              <w:rPr>
                <w:rStyle w:val="Hyperlink"/>
                <w:noProof/>
              </w:rPr>
              <w:t>Social</w:t>
            </w:r>
            <w:r w:rsidR="008C6D5E">
              <w:rPr>
                <w:noProof/>
                <w:webHidden/>
              </w:rPr>
              <w:tab/>
            </w:r>
            <w:r w:rsidR="008C6D5E">
              <w:rPr>
                <w:noProof/>
                <w:webHidden/>
              </w:rPr>
              <w:fldChar w:fldCharType="begin"/>
            </w:r>
            <w:r w:rsidR="008C6D5E">
              <w:rPr>
                <w:noProof/>
                <w:webHidden/>
              </w:rPr>
              <w:instrText xml:space="preserve"> PAGEREF _Toc104218383 \h </w:instrText>
            </w:r>
            <w:r w:rsidR="008C6D5E">
              <w:rPr>
                <w:noProof/>
                <w:webHidden/>
              </w:rPr>
            </w:r>
            <w:r w:rsidR="008C6D5E">
              <w:rPr>
                <w:noProof/>
                <w:webHidden/>
              </w:rPr>
              <w:fldChar w:fldCharType="separate"/>
            </w:r>
            <w:r w:rsidR="008C6D5E">
              <w:rPr>
                <w:noProof/>
                <w:webHidden/>
              </w:rPr>
              <w:t>8</w:t>
            </w:r>
            <w:r w:rsidR="008C6D5E">
              <w:rPr>
                <w:noProof/>
                <w:webHidden/>
              </w:rPr>
              <w:fldChar w:fldCharType="end"/>
            </w:r>
          </w:hyperlink>
        </w:p>
        <w:p w14:paraId="161E5908" w14:textId="5D285D3A" w:rsidR="008C6D5E" w:rsidRDefault="0055772B">
          <w:pPr>
            <w:pStyle w:val="TOC3"/>
            <w:tabs>
              <w:tab w:val="right" w:leader="dot" w:pos="9017"/>
            </w:tabs>
            <w:rPr>
              <w:rFonts w:eastAsiaTheme="minorEastAsia"/>
              <w:noProof/>
              <w:sz w:val="24"/>
              <w:szCs w:val="24"/>
            </w:rPr>
          </w:pPr>
          <w:hyperlink w:anchor="_Toc104218384" w:history="1">
            <w:r w:rsidR="008C6D5E" w:rsidRPr="00110B91">
              <w:rPr>
                <w:rStyle w:val="Hyperlink"/>
                <w:noProof/>
              </w:rPr>
              <w:t>1.1.1 Table: Summary of Social Regulation</w:t>
            </w:r>
            <w:r w:rsidR="008C6D5E">
              <w:rPr>
                <w:noProof/>
                <w:webHidden/>
              </w:rPr>
              <w:tab/>
            </w:r>
            <w:r w:rsidR="008C6D5E">
              <w:rPr>
                <w:noProof/>
                <w:webHidden/>
              </w:rPr>
              <w:fldChar w:fldCharType="begin"/>
            </w:r>
            <w:r w:rsidR="008C6D5E">
              <w:rPr>
                <w:noProof/>
                <w:webHidden/>
              </w:rPr>
              <w:instrText xml:space="preserve"> PAGEREF _Toc104218384 \h </w:instrText>
            </w:r>
            <w:r w:rsidR="008C6D5E">
              <w:rPr>
                <w:noProof/>
                <w:webHidden/>
              </w:rPr>
            </w:r>
            <w:r w:rsidR="008C6D5E">
              <w:rPr>
                <w:noProof/>
                <w:webHidden/>
              </w:rPr>
              <w:fldChar w:fldCharType="separate"/>
            </w:r>
            <w:r w:rsidR="008C6D5E">
              <w:rPr>
                <w:noProof/>
                <w:webHidden/>
              </w:rPr>
              <w:t>8</w:t>
            </w:r>
            <w:r w:rsidR="008C6D5E">
              <w:rPr>
                <w:noProof/>
                <w:webHidden/>
              </w:rPr>
              <w:fldChar w:fldCharType="end"/>
            </w:r>
          </w:hyperlink>
        </w:p>
        <w:p w14:paraId="254A33BE" w14:textId="10B68926" w:rsidR="008C6D5E" w:rsidRDefault="0055772B">
          <w:pPr>
            <w:pStyle w:val="TOC3"/>
            <w:tabs>
              <w:tab w:val="right" w:leader="dot" w:pos="9017"/>
            </w:tabs>
            <w:rPr>
              <w:rFonts w:eastAsiaTheme="minorEastAsia"/>
              <w:noProof/>
              <w:sz w:val="24"/>
              <w:szCs w:val="24"/>
            </w:rPr>
          </w:pPr>
          <w:hyperlink w:anchor="_Toc104218385" w:history="1">
            <w:r w:rsidR="008C6D5E" w:rsidRPr="00110B91">
              <w:rPr>
                <w:rStyle w:val="Hyperlink"/>
                <w:noProof/>
              </w:rPr>
              <w:t>5.1.2 Relevant National Social Regulation</w:t>
            </w:r>
            <w:r w:rsidR="008C6D5E">
              <w:rPr>
                <w:noProof/>
                <w:webHidden/>
              </w:rPr>
              <w:tab/>
            </w:r>
            <w:r w:rsidR="008C6D5E">
              <w:rPr>
                <w:noProof/>
                <w:webHidden/>
              </w:rPr>
              <w:fldChar w:fldCharType="begin"/>
            </w:r>
            <w:r w:rsidR="008C6D5E">
              <w:rPr>
                <w:noProof/>
                <w:webHidden/>
              </w:rPr>
              <w:instrText xml:space="preserve"> PAGEREF _Toc104218385 \h </w:instrText>
            </w:r>
            <w:r w:rsidR="008C6D5E">
              <w:rPr>
                <w:noProof/>
                <w:webHidden/>
              </w:rPr>
            </w:r>
            <w:r w:rsidR="008C6D5E">
              <w:rPr>
                <w:noProof/>
                <w:webHidden/>
              </w:rPr>
              <w:fldChar w:fldCharType="separate"/>
            </w:r>
            <w:r w:rsidR="008C6D5E">
              <w:rPr>
                <w:noProof/>
                <w:webHidden/>
              </w:rPr>
              <w:t>10</w:t>
            </w:r>
            <w:r w:rsidR="008C6D5E">
              <w:rPr>
                <w:noProof/>
                <w:webHidden/>
              </w:rPr>
              <w:fldChar w:fldCharType="end"/>
            </w:r>
          </w:hyperlink>
        </w:p>
        <w:p w14:paraId="2AAFBD77" w14:textId="4B34E921" w:rsidR="008C6D5E" w:rsidRDefault="0055772B">
          <w:pPr>
            <w:pStyle w:val="TOC2"/>
            <w:tabs>
              <w:tab w:val="left" w:pos="800"/>
              <w:tab w:val="right" w:leader="dot" w:pos="9017"/>
            </w:tabs>
            <w:rPr>
              <w:rFonts w:eastAsiaTheme="minorEastAsia"/>
              <w:noProof/>
              <w:sz w:val="24"/>
              <w:szCs w:val="24"/>
            </w:rPr>
          </w:pPr>
          <w:hyperlink w:anchor="_Toc104218386" w:history="1">
            <w:r w:rsidR="008C6D5E" w:rsidRPr="00110B91">
              <w:rPr>
                <w:rStyle w:val="Hyperlink"/>
                <w:noProof/>
              </w:rPr>
              <w:t>b.</w:t>
            </w:r>
            <w:r w:rsidR="008C6D5E">
              <w:rPr>
                <w:rFonts w:eastAsiaTheme="minorEastAsia"/>
                <w:noProof/>
                <w:sz w:val="24"/>
                <w:szCs w:val="24"/>
              </w:rPr>
              <w:tab/>
            </w:r>
            <w:r w:rsidR="008C6D5E" w:rsidRPr="00110B91">
              <w:rPr>
                <w:rStyle w:val="Hyperlink"/>
                <w:noProof/>
              </w:rPr>
              <w:t>Environmental and Tourism</w:t>
            </w:r>
            <w:r w:rsidR="008C6D5E">
              <w:rPr>
                <w:noProof/>
                <w:webHidden/>
              </w:rPr>
              <w:tab/>
            </w:r>
            <w:r w:rsidR="008C6D5E">
              <w:rPr>
                <w:noProof/>
                <w:webHidden/>
              </w:rPr>
              <w:fldChar w:fldCharType="begin"/>
            </w:r>
            <w:r w:rsidR="008C6D5E">
              <w:rPr>
                <w:noProof/>
                <w:webHidden/>
              </w:rPr>
              <w:instrText xml:space="preserve"> PAGEREF _Toc104218386 \h </w:instrText>
            </w:r>
            <w:r w:rsidR="008C6D5E">
              <w:rPr>
                <w:noProof/>
                <w:webHidden/>
              </w:rPr>
            </w:r>
            <w:r w:rsidR="008C6D5E">
              <w:rPr>
                <w:noProof/>
                <w:webHidden/>
              </w:rPr>
              <w:fldChar w:fldCharType="separate"/>
            </w:r>
            <w:r w:rsidR="008C6D5E">
              <w:rPr>
                <w:noProof/>
                <w:webHidden/>
              </w:rPr>
              <w:t>11</w:t>
            </w:r>
            <w:r w:rsidR="008C6D5E">
              <w:rPr>
                <w:noProof/>
                <w:webHidden/>
              </w:rPr>
              <w:fldChar w:fldCharType="end"/>
            </w:r>
          </w:hyperlink>
        </w:p>
        <w:p w14:paraId="330455F9" w14:textId="45AFBC42" w:rsidR="008C6D5E" w:rsidRDefault="0055772B">
          <w:pPr>
            <w:pStyle w:val="TOC3"/>
            <w:tabs>
              <w:tab w:val="right" w:leader="dot" w:pos="9017"/>
            </w:tabs>
            <w:rPr>
              <w:rFonts w:eastAsiaTheme="minorEastAsia"/>
              <w:noProof/>
              <w:sz w:val="24"/>
              <w:szCs w:val="24"/>
            </w:rPr>
          </w:pPr>
          <w:hyperlink w:anchor="_Toc104218387" w:history="1">
            <w:r w:rsidR="008C6D5E" w:rsidRPr="00110B91">
              <w:rPr>
                <w:rStyle w:val="Hyperlink"/>
                <w:noProof/>
              </w:rPr>
              <w:t>1.2.1 Table: Summary of Environmental and Tourism Regulation</w:t>
            </w:r>
            <w:r w:rsidR="008C6D5E">
              <w:rPr>
                <w:noProof/>
                <w:webHidden/>
              </w:rPr>
              <w:tab/>
            </w:r>
            <w:r w:rsidR="008C6D5E">
              <w:rPr>
                <w:noProof/>
                <w:webHidden/>
              </w:rPr>
              <w:fldChar w:fldCharType="begin"/>
            </w:r>
            <w:r w:rsidR="008C6D5E">
              <w:rPr>
                <w:noProof/>
                <w:webHidden/>
              </w:rPr>
              <w:instrText xml:space="preserve"> PAGEREF _Toc104218387 \h </w:instrText>
            </w:r>
            <w:r w:rsidR="008C6D5E">
              <w:rPr>
                <w:noProof/>
                <w:webHidden/>
              </w:rPr>
            </w:r>
            <w:r w:rsidR="008C6D5E">
              <w:rPr>
                <w:noProof/>
                <w:webHidden/>
              </w:rPr>
              <w:fldChar w:fldCharType="separate"/>
            </w:r>
            <w:r w:rsidR="008C6D5E">
              <w:rPr>
                <w:noProof/>
                <w:webHidden/>
              </w:rPr>
              <w:t>12</w:t>
            </w:r>
            <w:r w:rsidR="008C6D5E">
              <w:rPr>
                <w:noProof/>
                <w:webHidden/>
              </w:rPr>
              <w:fldChar w:fldCharType="end"/>
            </w:r>
          </w:hyperlink>
        </w:p>
        <w:p w14:paraId="4862FFD5" w14:textId="361FDF59" w:rsidR="008C6D5E" w:rsidRDefault="0055772B">
          <w:pPr>
            <w:pStyle w:val="TOC3"/>
            <w:tabs>
              <w:tab w:val="right" w:leader="dot" w:pos="9017"/>
            </w:tabs>
            <w:rPr>
              <w:rFonts w:eastAsiaTheme="minorEastAsia"/>
              <w:noProof/>
              <w:sz w:val="24"/>
              <w:szCs w:val="24"/>
            </w:rPr>
          </w:pPr>
          <w:hyperlink w:anchor="_Toc104218388" w:history="1">
            <w:r w:rsidR="008C6D5E" w:rsidRPr="00110B91">
              <w:rPr>
                <w:rStyle w:val="Hyperlink"/>
                <w:noProof/>
              </w:rPr>
              <w:t>5.2.2 Relevant National Environmental Regulation</w:t>
            </w:r>
            <w:r w:rsidR="008C6D5E">
              <w:rPr>
                <w:noProof/>
                <w:webHidden/>
              </w:rPr>
              <w:tab/>
            </w:r>
            <w:r w:rsidR="008C6D5E">
              <w:rPr>
                <w:noProof/>
                <w:webHidden/>
              </w:rPr>
              <w:fldChar w:fldCharType="begin"/>
            </w:r>
            <w:r w:rsidR="008C6D5E">
              <w:rPr>
                <w:noProof/>
                <w:webHidden/>
              </w:rPr>
              <w:instrText xml:space="preserve"> PAGEREF _Toc104218388 \h </w:instrText>
            </w:r>
            <w:r w:rsidR="008C6D5E">
              <w:rPr>
                <w:noProof/>
                <w:webHidden/>
              </w:rPr>
            </w:r>
            <w:r w:rsidR="008C6D5E">
              <w:rPr>
                <w:noProof/>
                <w:webHidden/>
              </w:rPr>
              <w:fldChar w:fldCharType="separate"/>
            </w:r>
            <w:r w:rsidR="008C6D5E">
              <w:rPr>
                <w:noProof/>
                <w:webHidden/>
              </w:rPr>
              <w:t>15</w:t>
            </w:r>
            <w:r w:rsidR="008C6D5E">
              <w:rPr>
                <w:noProof/>
                <w:webHidden/>
              </w:rPr>
              <w:fldChar w:fldCharType="end"/>
            </w:r>
          </w:hyperlink>
        </w:p>
        <w:p w14:paraId="18FD6812" w14:textId="32ED3AB4" w:rsidR="008C6D5E" w:rsidRDefault="0055772B">
          <w:pPr>
            <w:pStyle w:val="TOC3"/>
            <w:tabs>
              <w:tab w:val="right" w:leader="dot" w:pos="9017"/>
            </w:tabs>
            <w:rPr>
              <w:rFonts w:eastAsiaTheme="minorEastAsia"/>
              <w:noProof/>
              <w:sz w:val="24"/>
              <w:szCs w:val="24"/>
            </w:rPr>
          </w:pPr>
          <w:hyperlink w:anchor="_Toc104218389" w:history="1">
            <w:r w:rsidR="008C6D5E" w:rsidRPr="00110B91">
              <w:rPr>
                <w:rStyle w:val="Hyperlink"/>
                <w:noProof/>
              </w:rPr>
              <w:t>5.2.3 Regional Regulation</w:t>
            </w:r>
            <w:r w:rsidR="008C6D5E">
              <w:rPr>
                <w:noProof/>
                <w:webHidden/>
              </w:rPr>
              <w:tab/>
            </w:r>
            <w:r w:rsidR="008C6D5E">
              <w:rPr>
                <w:noProof/>
                <w:webHidden/>
              </w:rPr>
              <w:fldChar w:fldCharType="begin"/>
            </w:r>
            <w:r w:rsidR="008C6D5E">
              <w:rPr>
                <w:noProof/>
                <w:webHidden/>
              </w:rPr>
              <w:instrText xml:space="preserve"> PAGEREF _Toc104218389 \h </w:instrText>
            </w:r>
            <w:r w:rsidR="008C6D5E">
              <w:rPr>
                <w:noProof/>
                <w:webHidden/>
              </w:rPr>
            </w:r>
            <w:r w:rsidR="008C6D5E">
              <w:rPr>
                <w:noProof/>
                <w:webHidden/>
              </w:rPr>
              <w:fldChar w:fldCharType="separate"/>
            </w:r>
            <w:r w:rsidR="008C6D5E">
              <w:rPr>
                <w:noProof/>
                <w:webHidden/>
              </w:rPr>
              <w:t>19</w:t>
            </w:r>
            <w:r w:rsidR="008C6D5E">
              <w:rPr>
                <w:noProof/>
                <w:webHidden/>
              </w:rPr>
              <w:fldChar w:fldCharType="end"/>
            </w:r>
          </w:hyperlink>
        </w:p>
        <w:p w14:paraId="4C8E3E46" w14:textId="61B12C62" w:rsidR="008C6D5E" w:rsidRDefault="0055772B">
          <w:pPr>
            <w:pStyle w:val="TOC1"/>
            <w:rPr>
              <w:rFonts w:eastAsiaTheme="minorEastAsia"/>
              <w:noProof/>
              <w:sz w:val="24"/>
              <w:szCs w:val="24"/>
            </w:rPr>
          </w:pPr>
          <w:hyperlink w:anchor="_Toc104218390" w:history="1">
            <w:r w:rsidR="008C6D5E" w:rsidRPr="00110B91">
              <w:rPr>
                <w:rStyle w:val="Hyperlink"/>
                <w:noProof/>
              </w:rPr>
              <w:t>6  International Regulatory Framework</w:t>
            </w:r>
            <w:r w:rsidR="008C6D5E">
              <w:rPr>
                <w:noProof/>
                <w:webHidden/>
              </w:rPr>
              <w:tab/>
            </w:r>
            <w:r w:rsidR="008C6D5E">
              <w:rPr>
                <w:noProof/>
                <w:webHidden/>
              </w:rPr>
              <w:fldChar w:fldCharType="begin"/>
            </w:r>
            <w:r w:rsidR="008C6D5E">
              <w:rPr>
                <w:noProof/>
                <w:webHidden/>
              </w:rPr>
              <w:instrText xml:space="preserve"> PAGEREF _Toc104218390 \h </w:instrText>
            </w:r>
            <w:r w:rsidR="008C6D5E">
              <w:rPr>
                <w:noProof/>
                <w:webHidden/>
              </w:rPr>
            </w:r>
            <w:r w:rsidR="008C6D5E">
              <w:rPr>
                <w:noProof/>
                <w:webHidden/>
              </w:rPr>
              <w:fldChar w:fldCharType="separate"/>
            </w:r>
            <w:r w:rsidR="008C6D5E">
              <w:rPr>
                <w:noProof/>
                <w:webHidden/>
              </w:rPr>
              <w:t>21</w:t>
            </w:r>
            <w:r w:rsidR="008C6D5E">
              <w:rPr>
                <w:noProof/>
                <w:webHidden/>
              </w:rPr>
              <w:fldChar w:fldCharType="end"/>
            </w:r>
          </w:hyperlink>
        </w:p>
        <w:p w14:paraId="07F7E511" w14:textId="3D40D39E" w:rsidR="008C6D5E" w:rsidRDefault="0055772B">
          <w:pPr>
            <w:pStyle w:val="TOC2"/>
            <w:tabs>
              <w:tab w:val="right" w:leader="dot" w:pos="9017"/>
            </w:tabs>
            <w:rPr>
              <w:rFonts w:eastAsiaTheme="minorEastAsia"/>
              <w:noProof/>
              <w:sz w:val="24"/>
              <w:szCs w:val="24"/>
            </w:rPr>
          </w:pPr>
          <w:hyperlink w:anchor="_Toc104218391" w:history="1">
            <w:r w:rsidR="008C6D5E" w:rsidRPr="00110B91">
              <w:rPr>
                <w:rStyle w:val="Hyperlink"/>
                <w:noProof/>
              </w:rPr>
              <w:t>6.1 Social</w:t>
            </w:r>
            <w:r w:rsidR="008C6D5E">
              <w:rPr>
                <w:noProof/>
                <w:webHidden/>
              </w:rPr>
              <w:tab/>
            </w:r>
            <w:r w:rsidR="008C6D5E">
              <w:rPr>
                <w:noProof/>
                <w:webHidden/>
              </w:rPr>
              <w:fldChar w:fldCharType="begin"/>
            </w:r>
            <w:r w:rsidR="008C6D5E">
              <w:rPr>
                <w:noProof/>
                <w:webHidden/>
              </w:rPr>
              <w:instrText xml:space="preserve"> PAGEREF _Toc104218391 \h </w:instrText>
            </w:r>
            <w:r w:rsidR="008C6D5E">
              <w:rPr>
                <w:noProof/>
                <w:webHidden/>
              </w:rPr>
            </w:r>
            <w:r w:rsidR="008C6D5E">
              <w:rPr>
                <w:noProof/>
                <w:webHidden/>
              </w:rPr>
              <w:fldChar w:fldCharType="separate"/>
            </w:r>
            <w:r w:rsidR="008C6D5E">
              <w:rPr>
                <w:noProof/>
                <w:webHidden/>
              </w:rPr>
              <w:t>21</w:t>
            </w:r>
            <w:r w:rsidR="008C6D5E">
              <w:rPr>
                <w:noProof/>
                <w:webHidden/>
              </w:rPr>
              <w:fldChar w:fldCharType="end"/>
            </w:r>
          </w:hyperlink>
        </w:p>
        <w:p w14:paraId="4C1B644A" w14:textId="0E90B95E" w:rsidR="008C6D5E" w:rsidRDefault="0055772B">
          <w:pPr>
            <w:pStyle w:val="TOC2"/>
            <w:tabs>
              <w:tab w:val="right" w:leader="dot" w:pos="9017"/>
            </w:tabs>
            <w:rPr>
              <w:rFonts w:eastAsiaTheme="minorEastAsia"/>
              <w:noProof/>
              <w:sz w:val="24"/>
              <w:szCs w:val="24"/>
            </w:rPr>
          </w:pPr>
          <w:hyperlink w:anchor="_Toc104218392" w:history="1">
            <w:r w:rsidR="008C6D5E" w:rsidRPr="00110B91">
              <w:rPr>
                <w:rStyle w:val="Hyperlink"/>
                <w:noProof/>
              </w:rPr>
              <w:t>6.2 Environmental</w:t>
            </w:r>
            <w:r w:rsidR="008C6D5E">
              <w:rPr>
                <w:noProof/>
                <w:webHidden/>
              </w:rPr>
              <w:tab/>
            </w:r>
            <w:r w:rsidR="008C6D5E">
              <w:rPr>
                <w:noProof/>
                <w:webHidden/>
              </w:rPr>
              <w:fldChar w:fldCharType="begin"/>
            </w:r>
            <w:r w:rsidR="008C6D5E">
              <w:rPr>
                <w:noProof/>
                <w:webHidden/>
              </w:rPr>
              <w:instrText xml:space="preserve"> PAGEREF _Toc104218392 \h </w:instrText>
            </w:r>
            <w:r w:rsidR="008C6D5E">
              <w:rPr>
                <w:noProof/>
                <w:webHidden/>
              </w:rPr>
            </w:r>
            <w:r w:rsidR="008C6D5E">
              <w:rPr>
                <w:noProof/>
                <w:webHidden/>
              </w:rPr>
              <w:fldChar w:fldCharType="separate"/>
            </w:r>
            <w:r w:rsidR="008C6D5E">
              <w:rPr>
                <w:noProof/>
                <w:webHidden/>
              </w:rPr>
              <w:t>21</w:t>
            </w:r>
            <w:r w:rsidR="008C6D5E">
              <w:rPr>
                <w:noProof/>
                <w:webHidden/>
              </w:rPr>
              <w:fldChar w:fldCharType="end"/>
            </w:r>
          </w:hyperlink>
        </w:p>
        <w:p w14:paraId="51E33DAE" w14:textId="2860166B" w:rsidR="008C6D5E" w:rsidRDefault="0055772B">
          <w:pPr>
            <w:pStyle w:val="TOC1"/>
            <w:rPr>
              <w:rFonts w:eastAsiaTheme="minorEastAsia"/>
              <w:noProof/>
              <w:sz w:val="24"/>
              <w:szCs w:val="24"/>
            </w:rPr>
          </w:pPr>
          <w:hyperlink w:anchor="_Toc104218393" w:history="1">
            <w:r w:rsidR="008C6D5E" w:rsidRPr="00110B91">
              <w:rPr>
                <w:rStyle w:val="Hyperlink"/>
                <w:noProof/>
              </w:rPr>
              <w:t>6.3 UNDP Regulatory Framework</w:t>
            </w:r>
            <w:r w:rsidR="008C6D5E">
              <w:rPr>
                <w:noProof/>
                <w:webHidden/>
              </w:rPr>
              <w:tab/>
            </w:r>
            <w:r w:rsidR="008C6D5E">
              <w:rPr>
                <w:noProof/>
                <w:webHidden/>
              </w:rPr>
              <w:fldChar w:fldCharType="begin"/>
            </w:r>
            <w:r w:rsidR="008C6D5E">
              <w:rPr>
                <w:noProof/>
                <w:webHidden/>
              </w:rPr>
              <w:instrText xml:space="preserve"> PAGEREF _Toc104218393 \h </w:instrText>
            </w:r>
            <w:r w:rsidR="008C6D5E">
              <w:rPr>
                <w:noProof/>
                <w:webHidden/>
              </w:rPr>
            </w:r>
            <w:r w:rsidR="008C6D5E">
              <w:rPr>
                <w:noProof/>
                <w:webHidden/>
              </w:rPr>
              <w:fldChar w:fldCharType="separate"/>
            </w:r>
            <w:r w:rsidR="008C6D5E">
              <w:rPr>
                <w:noProof/>
                <w:webHidden/>
              </w:rPr>
              <w:t>22</w:t>
            </w:r>
            <w:r w:rsidR="008C6D5E">
              <w:rPr>
                <w:noProof/>
                <w:webHidden/>
              </w:rPr>
              <w:fldChar w:fldCharType="end"/>
            </w:r>
          </w:hyperlink>
        </w:p>
        <w:p w14:paraId="15C20B0A" w14:textId="31358448" w:rsidR="008C6D5E" w:rsidRDefault="0055772B">
          <w:pPr>
            <w:pStyle w:val="TOC1"/>
            <w:tabs>
              <w:tab w:val="left" w:pos="440"/>
            </w:tabs>
            <w:rPr>
              <w:rFonts w:eastAsiaTheme="minorEastAsia"/>
              <w:noProof/>
              <w:sz w:val="24"/>
              <w:szCs w:val="24"/>
            </w:rPr>
          </w:pPr>
          <w:hyperlink w:anchor="_Toc104218394" w:history="1">
            <w:r w:rsidR="008C6D5E" w:rsidRPr="00110B91">
              <w:rPr>
                <w:rStyle w:val="Hyperlink"/>
                <w:noProof/>
              </w:rPr>
              <w:t>7</w:t>
            </w:r>
            <w:r w:rsidR="008C6D5E">
              <w:rPr>
                <w:rFonts w:eastAsiaTheme="minorEastAsia"/>
                <w:noProof/>
                <w:sz w:val="24"/>
                <w:szCs w:val="24"/>
              </w:rPr>
              <w:tab/>
            </w:r>
            <w:r w:rsidR="008C6D5E" w:rsidRPr="00110B91">
              <w:rPr>
                <w:rStyle w:val="Hyperlink"/>
                <w:noProof/>
              </w:rPr>
              <w:t>Required procedures for screening, assessment and management</w:t>
            </w:r>
            <w:r w:rsidR="008C6D5E">
              <w:rPr>
                <w:noProof/>
                <w:webHidden/>
              </w:rPr>
              <w:tab/>
            </w:r>
            <w:r w:rsidR="008C6D5E">
              <w:rPr>
                <w:noProof/>
                <w:webHidden/>
              </w:rPr>
              <w:fldChar w:fldCharType="begin"/>
            </w:r>
            <w:r w:rsidR="008C6D5E">
              <w:rPr>
                <w:noProof/>
                <w:webHidden/>
              </w:rPr>
              <w:instrText xml:space="preserve"> PAGEREF _Toc104218394 \h </w:instrText>
            </w:r>
            <w:r w:rsidR="008C6D5E">
              <w:rPr>
                <w:noProof/>
                <w:webHidden/>
              </w:rPr>
            </w:r>
            <w:r w:rsidR="008C6D5E">
              <w:rPr>
                <w:noProof/>
                <w:webHidden/>
              </w:rPr>
              <w:fldChar w:fldCharType="separate"/>
            </w:r>
            <w:r w:rsidR="008C6D5E">
              <w:rPr>
                <w:noProof/>
                <w:webHidden/>
              </w:rPr>
              <w:t>28</w:t>
            </w:r>
            <w:r w:rsidR="008C6D5E">
              <w:rPr>
                <w:noProof/>
                <w:webHidden/>
              </w:rPr>
              <w:fldChar w:fldCharType="end"/>
            </w:r>
          </w:hyperlink>
        </w:p>
        <w:p w14:paraId="502E3568" w14:textId="05DFEE58" w:rsidR="008C6D5E" w:rsidRDefault="0055772B">
          <w:pPr>
            <w:pStyle w:val="TOC1"/>
            <w:tabs>
              <w:tab w:val="left" w:pos="440"/>
            </w:tabs>
            <w:rPr>
              <w:rFonts w:eastAsiaTheme="minorEastAsia"/>
              <w:noProof/>
              <w:sz w:val="24"/>
              <w:szCs w:val="24"/>
            </w:rPr>
          </w:pPr>
          <w:hyperlink w:anchor="_Toc104218395" w:history="1">
            <w:r w:rsidR="008C6D5E" w:rsidRPr="00110B91">
              <w:rPr>
                <w:rStyle w:val="Hyperlink"/>
                <w:noProof/>
              </w:rPr>
              <w:t>8</w:t>
            </w:r>
            <w:r w:rsidR="008C6D5E">
              <w:rPr>
                <w:rFonts w:eastAsiaTheme="minorEastAsia"/>
                <w:noProof/>
                <w:sz w:val="24"/>
                <w:szCs w:val="24"/>
              </w:rPr>
              <w:tab/>
            </w:r>
            <w:r w:rsidR="008C6D5E" w:rsidRPr="00110B91">
              <w:rPr>
                <w:rStyle w:val="Hyperlink"/>
                <w:noProof/>
              </w:rPr>
              <w:t>Stakeholder engagement and information disclosure process</w:t>
            </w:r>
            <w:r w:rsidR="008C6D5E">
              <w:rPr>
                <w:noProof/>
                <w:webHidden/>
              </w:rPr>
              <w:tab/>
            </w:r>
            <w:r w:rsidR="008C6D5E">
              <w:rPr>
                <w:noProof/>
                <w:webHidden/>
              </w:rPr>
              <w:fldChar w:fldCharType="begin"/>
            </w:r>
            <w:r w:rsidR="008C6D5E">
              <w:rPr>
                <w:noProof/>
                <w:webHidden/>
              </w:rPr>
              <w:instrText xml:space="preserve"> PAGEREF _Toc104218395 \h </w:instrText>
            </w:r>
            <w:r w:rsidR="008C6D5E">
              <w:rPr>
                <w:noProof/>
                <w:webHidden/>
              </w:rPr>
            </w:r>
            <w:r w:rsidR="008C6D5E">
              <w:rPr>
                <w:noProof/>
                <w:webHidden/>
              </w:rPr>
              <w:fldChar w:fldCharType="separate"/>
            </w:r>
            <w:r w:rsidR="008C6D5E">
              <w:rPr>
                <w:noProof/>
                <w:webHidden/>
              </w:rPr>
              <w:t>28</w:t>
            </w:r>
            <w:r w:rsidR="008C6D5E">
              <w:rPr>
                <w:noProof/>
                <w:webHidden/>
              </w:rPr>
              <w:fldChar w:fldCharType="end"/>
            </w:r>
          </w:hyperlink>
        </w:p>
        <w:p w14:paraId="17C3A828" w14:textId="2F9A2ABF" w:rsidR="008C6D5E" w:rsidRDefault="0055772B">
          <w:pPr>
            <w:pStyle w:val="TOC1"/>
            <w:rPr>
              <w:rFonts w:eastAsiaTheme="minorEastAsia"/>
              <w:noProof/>
              <w:sz w:val="24"/>
              <w:szCs w:val="24"/>
            </w:rPr>
          </w:pPr>
          <w:hyperlink w:anchor="_Toc104218396" w:history="1">
            <w:r w:rsidR="008C6D5E" w:rsidRPr="00110B91">
              <w:rPr>
                <w:rStyle w:val="Hyperlink"/>
                <w:noProof/>
              </w:rPr>
              <w:t>9 Grievance redress mechanism</w:t>
            </w:r>
            <w:r w:rsidR="008C6D5E">
              <w:rPr>
                <w:noProof/>
                <w:webHidden/>
              </w:rPr>
              <w:tab/>
            </w:r>
            <w:r w:rsidR="008C6D5E">
              <w:rPr>
                <w:noProof/>
                <w:webHidden/>
              </w:rPr>
              <w:fldChar w:fldCharType="begin"/>
            </w:r>
            <w:r w:rsidR="008C6D5E">
              <w:rPr>
                <w:noProof/>
                <w:webHidden/>
              </w:rPr>
              <w:instrText xml:space="preserve"> PAGEREF _Toc104218396 \h </w:instrText>
            </w:r>
            <w:r w:rsidR="008C6D5E">
              <w:rPr>
                <w:noProof/>
                <w:webHidden/>
              </w:rPr>
            </w:r>
            <w:r w:rsidR="008C6D5E">
              <w:rPr>
                <w:noProof/>
                <w:webHidden/>
              </w:rPr>
              <w:fldChar w:fldCharType="separate"/>
            </w:r>
            <w:r w:rsidR="008C6D5E">
              <w:rPr>
                <w:noProof/>
                <w:webHidden/>
              </w:rPr>
              <w:t>28</w:t>
            </w:r>
            <w:r w:rsidR="008C6D5E">
              <w:rPr>
                <w:noProof/>
                <w:webHidden/>
              </w:rPr>
              <w:fldChar w:fldCharType="end"/>
            </w:r>
          </w:hyperlink>
        </w:p>
        <w:p w14:paraId="4816C40C" w14:textId="31F969B3" w:rsidR="008C6D5E" w:rsidRDefault="0055772B">
          <w:pPr>
            <w:pStyle w:val="TOC1"/>
            <w:rPr>
              <w:rFonts w:eastAsiaTheme="minorEastAsia"/>
              <w:noProof/>
              <w:sz w:val="24"/>
              <w:szCs w:val="24"/>
            </w:rPr>
          </w:pPr>
          <w:hyperlink w:anchor="_Toc104218397" w:history="1">
            <w:r w:rsidR="008C6D5E" w:rsidRPr="00110B91">
              <w:rPr>
                <w:rStyle w:val="Hyperlink"/>
                <w:noProof/>
              </w:rPr>
              <w:t>10  Institutional arrangements and capacity building:</w:t>
            </w:r>
            <w:r w:rsidR="008C6D5E">
              <w:rPr>
                <w:noProof/>
                <w:webHidden/>
              </w:rPr>
              <w:tab/>
            </w:r>
            <w:r w:rsidR="008C6D5E">
              <w:rPr>
                <w:noProof/>
                <w:webHidden/>
              </w:rPr>
              <w:fldChar w:fldCharType="begin"/>
            </w:r>
            <w:r w:rsidR="008C6D5E">
              <w:rPr>
                <w:noProof/>
                <w:webHidden/>
              </w:rPr>
              <w:instrText xml:space="preserve"> PAGEREF _Toc104218397 \h </w:instrText>
            </w:r>
            <w:r w:rsidR="008C6D5E">
              <w:rPr>
                <w:noProof/>
                <w:webHidden/>
              </w:rPr>
            </w:r>
            <w:r w:rsidR="008C6D5E">
              <w:rPr>
                <w:noProof/>
                <w:webHidden/>
              </w:rPr>
              <w:fldChar w:fldCharType="separate"/>
            </w:r>
            <w:r w:rsidR="008C6D5E">
              <w:rPr>
                <w:noProof/>
                <w:webHidden/>
              </w:rPr>
              <w:t>28</w:t>
            </w:r>
            <w:r w:rsidR="008C6D5E">
              <w:rPr>
                <w:noProof/>
                <w:webHidden/>
              </w:rPr>
              <w:fldChar w:fldCharType="end"/>
            </w:r>
          </w:hyperlink>
        </w:p>
        <w:p w14:paraId="761B37DA" w14:textId="2C6BDF12" w:rsidR="00C822E2" w:rsidRDefault="00C822E2" w:rsidP="00C822E2">
          <w:r w:rsidRPr="00CB6881">
            <w:rPr>
              <w:rStyle w:val="Emphasis"/>
              <w:rFonts w:cstheme="minorHAnsi"/>
            </w:rPr>
            <w:fldChar w:fldCharType="end"/>
          </w:r>
        </w:p>
      </w:sdtContent>
    </w:sdt>
    <w:p w14:paraId="0D3AADF8" w14:textId="77777777" w:rsidR="00C822E2" w:rsidRDefault="00C822E2" w:rsidP="00C822E2">
      <w:pPr>
        <w:spacing w:after="200"/>
        <w:rPr>
          <w:b/>
        </w:rPr>
      </w:pPr>
      <w:r>
        <w:rPr>
          <w:b/>
        </w:rPr>
        <w:br w:type="page"/>
      </w:r>
    </w:p>
    <w:p w14:paraId="5C078606" w14:textId="77777777" w:rsidR="00C822E2" w:rsidRDefault="00C822E2" w:rsidP="00C822E2">
      <w:pPr>
        <w:pStyle w:val="Heading1"/>
        <w:ind w:left="432"/>
        <w:rPr>
          <w:color w:val="002060"/>
        </w:rPr>
        <w:sectPr w:rsidR="00C822E2" w:rsidSect="000603CE">
          <w:pgSz w:w="11907" w:h="16839" w:code="9"/>
          <w:pgMar w:top="1440" w:right="1440" w:bottom="1440" w:left="1440" w:header="432" w:footer="432" w:gutter="0"/>
          <w:cols w:space="720"/>
          <w:docGrid w:linePitch="360"/>
        </w:sectPr>
      </w:pPr>
    </w:p>
    <w:p w14:paraId="27AD8BFE" w14:textId="77777777" w:rsidR="00C822E2" w:rsidRDefault="00C822E2" w:rsidP="00C822E2">
      <w:pPr>
        <w:pStyle w:val="Heading1"/>
        <w:rPr>
          <w:color w:val="002060"/>
        </w:rPr>
      </w:pPr>
      <w:bookmarkStart w:id="8" w:name="_Toc35030060"/>
      <w:bookmarkStart w:id="9" w:name="_Toc104218376"/>
      <w:r>
        <w:rPr>
          <w:color w:val="002060"/>
        </w:rPr>
        <w:lastRenderedPageBreak/>
        <w:t>Abbreviations and Acronyms</w:t>
      </w:r>
      <w:bookmarkEnd w:id="8"/>
      <w:bookmarkEnd w:id="9"/>
    </w:p>
    <w:p w14:paraId="47E053C2" w14:textId="77777777" w:rsidR="00C822E2" w:rsidRDefault="00C822E2" w:rsidP="00C822E2"/>
    <w:p w14:paraId="03FA1412" w14:textId="77777777" w:rsidR="00C822E2" w:rsidRPr="00D30CD1" w:rsidRDefault="00C822E2" w:rsidP="00C822E2"/>
    <w:tbl>
      <w:tblPr>
        <w:tblW w:w="0" w:type="auto"/>
        <w:tblBorders>
          <w:bottom w:val="single" w:sz="4" w:space="0" w:color="auto"/>
        </w:tblBorders>
        <w:tblLook w:val="04A0" w:firstRow="1" w:lastRow="0" w:firstColumn="1" w:lastColumn="0" w:noHBand="0" w:noVBand="1"/>
      </w:tblPr>
      <w:tblGrid>
        <w:gridCol w:w="1185"/>
        <w:gridCol w:w="7842"/>
      </w:tblGrid>
      <w:tr w:rsidR="00C822E2" w:rsidRPr="00A812B8" w14:paraId="21E50636" w14:textId="77777777" w:rsidTr="00CD2663">
        <w:trPr>
          <w:trHeight w:val="288"/>
        </w:trPr>
        <w:tc>
          <w:tcPr>
            <w:tcW w:w="1185" w:type="dxa"/>
            <w:shd w:val="clear" w:color="auto" w:fill="auto"/>
          </w:tcPr>
          <w:p w14:paraId="2BE09ACE" w14:textId="77777777" w:rsidR="00C822E2" w:rsidRDefault="00C822E2" w:rsidP="00CD2663">
            <w:pPr>
              <w:spacing w:before="40" w:after="40"/>
            </w:pPr>
            <w:r>
              <w:t>ESIA</w:t>
            </w:r>
          </w:p>
        </w:tc>
        <w:tc>
          <w:tcPr>
            <w:tcW w:w="7842" w:type="dxa"/>
            <w:shd w:val="clear" w:color="auto" w:fill="auto"/>
          </w:tcPr>
          <w:p w14:paraId="629FA760" w14:textId="77777777" w:rsidR="00C822E2" w:rsidRDefault="00C822E2" w:rsidP="00CD2663">
            <w:pPr>
              <w:spacing w:before="40" w:after="40"/>
            </w:pPr>
            <w:r>
              <w:t>Environmental and Social Impact Assessment</w:t>
            </w:r>
          </w:p>
        </w:tc>
      </w:tr>
      <w:tr w:rsidR="00C822E2" w:rsidRPr="00A812B8" w14:paraId="22D53CB4" w14:textId="77777777" w:rsidTr="00CD2663">
        <w:trPr>
          <w:trHeight w:val="288"/>
        </w:trPr>
        <w:tc>
          <w:tcPr>
            <w:tcW w:w="1185" w:type="dxa"/>
            <w:shd w:val="clear" w:color="auto" w:fill="auto"/>
          </w:tcPr>
          <w:p w14:paraId="6A2C1484" w14:textId="77777777" w:rsidR="00C822E2" w:rsidRDefault="00C822E2" w:rsidP="00CD2663">
            <w:pPr>
              <w:spacing w:before="40" w:after="40"/>
            </w:pPr>
            <w:r>
              <w:t>ESMF</w:t>
            </w:r>
          </w:p>
        </w:tc>
        <w:tc>
          <w:tcPr>
            <w:tcW w:w="7842" w:type="dxa"/>
            <w:shd w:val="clear" w:color="auto" w:fill="auto"/>
          </w:tcPr>
          <w:p w14:paraId="381BF00F" w14:textId="77777777" w:rsidR="00C822E2" w:rsidRDefault="00C822E2" w:rsidP="00CD2663">
            <w:pPr>
              <w:spacing w:before="40" w:after="40"/>
            </w:pPr>
            <w:r>
              <w:t>Environmental and Social Management Framework</w:t>
            </w:r>
          </w:p>
        </w:tc>
      </w:tr>
      <w:tr w:rsidR="00C822E2" w:rsidRPr="00A812B8" w14:paraId="5B82D7FB" w14:textId="77777777" w:rsidTr="00CD2663">
        <w:trPr>
          <w:trHeight w:val="288"/>
        </w:trPr>
        <w:tc>
          <w:tcPr>
            <w:tcW w:w="1185" w:type="dxa"/>
            <w:shd w:val="clear" w:color="auto" w:fill="auto"/>
          </w:tcPr>
          <w:p w14:paraId="69868347" w14:textId="77777777" w:rsidR="00C822E2" w:rsidRDefault="00C822E2" w:rsidP="00CD2663">
            <w:pPr>
              <w:spacing w:before="40" w:after="40"/>
            </w:pPr>
            <w:r>
              <w:t>ESMP</w:t>
            </w:r>
          </w:p>
        </w:tc>
        <w:tc>
          <w:tcPr>
            <w:tcW w:w="7842" w:type="dxa"/>
            <w:shd w:val="clear" w:color="auto" w:fill="auto"/>
          </w:tcPr>
          <w:p w14:paraId="68673C58" w14:textId="77777777" w:rsidR="00C822E2" w:rsidRDefault="00C822E2" w:rsidP="00CD2663">
            <w:pPr>
              <w:spacing w:before="40" w:after="40"/>
            </w:pPr>
            <w:r>
              <w:t>Environmental and Social Management Plan</w:t>
            </w:r>
          </w:p>
        </w:tc>
      </w:tr>
      <w:tr w:rsidR="00C822E2" w:rsidRPr="00A812B8" w14:paraId="6336DDF0" w14:textId="77777777" w:rsidTr="00CD2663">
        <w:trPr>
          <w:trHeight w:val="288"/>
        </w:trPr>
        <w:tc>
          <w:tcPr>
            <w:tcW w:w="1185" w:type="dxa"/>
            <w:shd w:val="clear" w:color="auto" w:fill="auto"/>
          </w:tcPr>
          <w:p w14:paraId="43C38B65" w14:textId="77777777" w:rsidR="00C822E2" w:rsidRPr="00307983" w:rsidRDefault="00C822E2" w:rsidP="00CD2663">
            <w:pPr>
              <w:spacing w:before="40" w:after="40"/>
            </w:pPr>
            <w:r>
              <w:t>FPIC</w:t>
            </w:r>
          </w:p>
        </w:tc>
        <w:tc>
          <w:tcPr>
            <w:tcW w:w="7842" w:type="dxa"/>
            <w:shd w:val="clear" w:color="auto" w:fill="auto"/>
          </w:tcPr>
          <w:p w14:paraId="3FC77DEE" w14:textId="77777777" w:rsidR="00C822E2" w:rsidRPr="00307983" w:rsidRDefault="00C822E2" w:rsidP="00CD2663">
            <w:pPr>
              <w:spacing w:before="40" w:after="40"/>
            </w:pPr>
            <w:r>
              <w:t>Free, Prior and Informed Consent</w:t>
            </w:r>
          </w:p>
        </w:tc>
      </w:tr>
      <w:tr w:rsidR="00C822E2" w:rsidRPr="00A812B8" w14:paraId="3DFECC8A" w14:textId="77777777" w:rsidTr="00CD2663">
        <w:trPr>
          <w:trHeight w:val="288"/>
        </w:trPr>
        <w:tc>
          <w:tcPr>
            <w:tcW w:w="1185" w:type="dxa"/>
            <w:shd w:val="clear" w:color="auto" w:fill="auto"/>
          </w:tcPr>
          <w:p w14:paraId="4AED2F28" w14:textId="77777777" w:rsidR="00C822E2" w:rsidRPr="00307983" w:rsidRDefault="00C822E2" w:rsidP="00CD2663">
            <w:pPr>
              <w:spacing w:before="40" w:after="40"/>
            </w:pPr>
            <w:r w:rsidRPr="00307983">
              <w:t>GEF</w:t>
            </w:r>
          </w:p>
        </w:tc>
        <w:tc>
          <w:tcPr>
            <w:tcW w:w="7842" w:type="dxa"/>
            <w:shd w:val="clear" w:color="auto" w:fill="auto"/>
          </w:tcPr>
          <w:p w14:paraId="0836EBC0" w14:textId="77777777" w:rsidR="00C822E2" w:rsidRPr="00307983" w:rsidRDefault="00C822E2" w:rsidP="00CD2663">
            <w:pPr>
              <w:spacing w:before="40" w:after="40"/>
            </w:pPr>
            <w:r w:rsidRPr="00307983">
              <w:t>Global Environment Facility</w:t>
            </w:r>
          </w:p>
        </w:tc>
      </w:tr>
      <w:tr w:rsidR="00C822E2" w:rsidRPr="00A812B8" w14:paraId="1261E52E" w14:textId="77777777" w:rsidTr="00CD2663">
        <w:trPr>
          <w:trHeight w:val="288"/>
        </w:trPr>
        <w:tc>
          <w:tcPr>
            <w:tcW w:w="1185" w:type="dxa"/>
            <w:shd w:val="clear" w:color="auto" w:fill="auto"/>
          </w:tcPr>
          <w:p w14:paraId="72F98EEA" w14:textId="77777777" w:rsidR="00C822E2" w:rsidRPr="00307983" w:rsidRDefault="00C822E2" w:rsidP="00CD2663">
            <w:pPr>
              <w:spacing w:before="40" w:after="40"/>
            </w:pPr>
            <w:r>
              <w:t>GRM</w:t>
            </w:r>
          </w:p>
        </w:tc>
        <w:tc>
          <w:tcPr>
            <w:tcW w:w="7842" w:type="dxa"/>
            <w:shd w:val="clear" w:color="auto" w:fill="auto"/>
          </w:tcPr>
          <w:p w14:paraId="6AEC9D78" w14:textId="77777777" w:rsidR="00C822E2" w:rsidRPr="00307983" w:rsidRDefault="00C822E2" w:rsidP="00CD2663">
            <w:pPr>
              <w:spacing w:before="40" w:after="40"/>
            </w:pPr>
            <w:r>
              <w:t xml:space="preserve">Grievance Redress Mechanism </w:t>
            </w:r>
          </w:p>
        </w:tc>
      </w:tr>
      <w:tr w:rsidR="00C822E2" w:rsidRPr="00F713FC" w14:paraId="4874E7E8" w14:textId="77777777" w:rsidTr="00CD2663">
        <w:tblPrEx>
          <w:tblBorders>
            <w:bottom w:val="none" w:sz="0" w:space="0" w:color="auto"/>
          </w:tblBorders>
        </w:tblPrEx>
        <w:trPr>
          <w:trHeight w:val="288"/>
        </w:trPr>
        <w:tc>
          <w:tcPr>
            <w:tcW w:w="1185" w:type="dxa"/>
            <w:shd w:val="clear" w:color="auto" w:fill="auto"/>
          </w:tcPr>
          <w:p w14:paraId="50A1CE6E" w14:textId="77777777" w:rsidR="00C822E2" w:rsidRPr="00A11B8B" w:rsidRDefault="00C822E2" w:rsidP="00CD2663">
            <w:pPr>
              <w:spacing w:before="40" w:after="40"/>
            </w:pPr>
            <w:r w:rsidRPr="00A11B8B">
              <w:t>HCV</w:t>
            </w:r>
          </w:p>
        </w:tc>
        <w:tc>
          <w:tcPr>
            <w:tcW w:w="7842" w:type="dxa"/>
            <w:shd w:val="clear" w:color="auto" w:fill="auto"/>
          </w:tcPr>
          <w:p w14:paraId="6A793F0E" w14:textId="77777777" w:rsidR="00C822E2" w:rsidRPr="00A11B8B" w:rsidRDefault="00C822E2" w:rsidP="00CD2663">
            <w:pPr>
              <w:spacing w:before="40" w:after="40"/>
            </w:pPr>
            <w:r w:rsidRPr="00A11B8B">
              <w:t>High Conservation Value</w:t>
            </w:r>
          </w:p>
        </w:tc>
      </w:tr>
      <w:tr w:rsidR="00C822E2" w:rsidRPr="00A812B8" w14:paraId="0D78C1E5" w14:textId="77777777" w:rsidTr="00CD2663">
        <w:trPr>
          <w:trHeight w:val="288"/>
        </w:trPr>
        <w:tc>
          <w:tcPr>
            <w:tcW w:w="1185" w:type="dxa"/>
            <w:tcBorders>
              <w:bottom w:val="nil"/>
            </w:tcBorders>
            <w:shd w:val="clear" w:color="auto" w:fill="auto"/>
          </w:tcPr>
          <w:p w14:paraId="47F197BB" w14:textId="77777777" w:rsidR="00C822E2" w:rsidRDefault="00C822E2" w:rsidP="00CD2663">
            <w:pPr>
              <w:spacing w:before="40" w:after="40"/>
            </w:pPr>
            <w:r>
              <w:t>METT</w:t>
            </w:r>
          </w:p>
        </w:tc>
        <w:tc>
          <w:tcPr>
            <w:tcW w:w="7842" w:type="dxa"/>
            <w:tcBorders>
              <w:bottom w:val="nil"/>
            </w:tcBorders>
            <w:shd w:val="clear" w:color="auto" w:fill="auto"/>
          </w:tcPr>
          <w:p w14:paraId="1A56C2B8" w14:textId="77777777" w:rsidR="00C822E2" w:rsidRDefault="00C822E2" w:rsidP="00CD2663">
            <w:pPr>
              <w:spacing w:before="40" w:after="40"/>
            </w:pPr>
            <w:r>
              <w:t>Management Effectiveness Tracking Tool</w:t>
            </w:r>
          </w:p>
        </w:tc>
      </w:tr>
      <w:tr w:rsidR="00C822E2" w:rsidRPr="00A812B8" w14:paraId="10A1A19D" w14:textId="77777777" w:rsidTr="00CD2663">
        <w:trPr>
          <w:trHeight w:val="288"/>
        </w:trPr>
        <w:tc>
          <w:tcPr>
            <w:tcW w:w="1185" w:type="dxa"/>
            <w:tcBorders>
              <w:bottom w:val="nil"/>
            </w:tcBorders>
            <w:shd w:val="clear" w:color="auto" w:fill="auto"/>
          </w:tcPr>
          <w:p w14:paraId="6CB338BE" w14:textId="77777777" w:rsidR="00C822E2" w:rsidRDefault="00C822E2" w:rsidP="00CD2663">
            <w:pPr>
              <w:spacing w:before="40" w:after="40"/>
            </w:pPr>
            <w:r>
              <w:t>MARD</w:t>
            </w:r>
          </w:p>
        </w:tc>
        <w:tc>
          <w:tcPr>
            <w:tcW w:w="7842" w:type="dxa"/>
            <w:tcBorders>
              <w:bottom w:val="nil"/>
            </w:tcBorders>
            <w:shd w:val="clear" w:color="auto" w:fill="auto"/>
          </w:tcPr>
          <w:p w14:paraId="3294C6F6" w14:textId="77777777" w:rsidR="00C822E2" w:rsidRDefault="00C822E2" w:rsidP="00CD2663">
            <w:pPr>
              <w:spacing w:before="40" w:after="40"/>
            </w:pPr>
            <w:r>
              <w:t>Ministry of Agriculture and Rural Development</w:t>
            </w:r>
          </w:p>
        </w:tc>
      </w:tr>
      <w:tr w:rsidR="00C822E2" w:rsidRPr="00A812B8" w14:paraId="7AC6D3E6" w14:textId="77777777" w:rsidTr="00CD2663">
        <w:trPr>
          <w:trHeight w:val="288"/>
        </w:trPr>
        <w:tc>
          <w:tcPr>
            <w:tcW w:w="1185" w:type="dxa"/>
            <w:tcBorders>
              <w:bottom w:val="nil"/>
            </w:tcBorders>
            <w:shd w:val="clear" w:color="auto" w:fill="auto"/>
          </w:tcPr>
          <w:p w14:paraId="23C1BA23" w14:textId="77777777" w:rsidR="00C822E2" w:rsidRDefault="00C822E2" w:rsidP="00CD2663">
            <w:pPr>
              <w:spacing w:before="40" w:after="40"/>
            </w:pPr>
            <w:r>
              <w:t>MONRE</w:t>
            </w:r>
          </w:p>
        </w:tc>
        <w:tc>
          <w:tcPr>
            <w:tcW w:w="7842" w:type="dxa"/>
            <w:tcBorders>
              <w:bottom w:val="nil"/>
            </w:tcBorders>
            <w:shd w:val="clear" w:color="auto" w:fill="auto"/>
          </w:tcPr>
          <w:p w14:paraId="5A0E89BC" w14:textId="77777777" w:rsidR="00C822E2" w:rsidRDefault="00C822E2" w:rsidP="00CD2663">
            <w:pPr>
              <w:spacing w:before="40" w:after="40"/>
            </w:pPr>
            <w:r>
              <w:t xml:space="preserve">Ministry of Natural Resources and Environment </w:t>
            </w:r>
          </w:p>
        </w:tc>
      </w:tr>
      <w:tr w:rsidR="00C822E2" w:rsidRPr="00A812B8" w14:paraId="1E7F12E1" w14:textId="77777777" w:rsidTr="00CD2663">
        <w:trPr>
          <w:trHeight w:val="288"/>
        </w:trPr>
        <w:tc>
          <w:tcPr>
            <w:tcW w:w="1185" w:type="dxa"/>
            <w:tcBorders>
              <w:bottom w:val="nil"/>
            </w:tcBorders>
            <w:shd w:val="clear" w:color="auto" w:fill="auto"/>
          </w:tcPr>
          <w:p w14:paraId="38BC2042" w14:textId="77777777" w:rsidR="00C822E2" w:rsidRDefault="00C822E2" w:rsidP="00CD2663">
            <w:pPr>
              <w:spacing w:before="40" w:after="40"/>
            </w:pPr>
            <w:r>
              <w:t>FMU</w:t>
            </w:r>
          </w:p>
        </w:tc>
        <w:tc>
          <w:tcPr>
            <w:tcW w:w="7842" w:type="dxa"/>
            <w:tcBorders>
              <w:bottom w:val="nil"/>
            </w:tcBorders>
            <w:shd w:val="clear" w:color="auto" w:fill="auto"/>
          </w:tcPr>
          <w:p w14:paraId="242E47A4" w14:textId="77777777" w:rsidR="00C822E2" w:rsidRDefault="00C822E2" w:rsidP="00CD2663">
            <w:pPr>
              <w:spacing w:before="40" w:after="40"/>
            </w:pPr>
            <w:r>
              <w:t>Forest Management Unit</w:t>
            </w:r>
          </w:p>
        </w:tc>
      </w:tr>
      <w:tr w:rsidR="00C822E2" w:rsidRPr="00A812B8" w14:paraId="6294F81A" w14:textId="77777777" w:rsidTr="00CD2663">
        <w:trPr>
          <w:trHeight w:val="288"/>
        </w:trPr>
        <w:tc>
          <w:tcPr>
            <w:tcW w:w="1185" w:type="dxa"/>
            <w:tcBorders>
              <w:bottom w:val="nil"/>
            </w:tcBorders>
            <w:shd w:val="clear" w:color="auto" w:fill="auto"/>
          </w:tcPr>
          <w:p w14:paraId="0C041357" w14:textId="77777777" w:rsidR="00C822E2" w:rsidRPr="00307983" w:rsidRDefault="00C822E2" w:rsidP="00CD2663">
            <w:pPr>
              <w:spacing w:before="40" w:after="40"/>
            </w:pPr>
            <w:r>
              <w:t>NR</w:t>
            </w:r>
          </w:p>
        </w:tc>
        <w:tc>
          <w:tcPr>
            <w:tcW w:w="7842" w:type="dxa"/>
            <w:tcBorders>
              <w:bottom w:val="nil"/>
            </w:tcBorders>
            <w:shd w:val="clear" w:color="auto" w:fill="auto"/>
          </w:tcPr>
          <w:p w14:paraId="13669CAB" w14:textId="77777777" w:rsidR="00C822E2" w:rsidRPr="00307983" w:rsidRDefault="00C822E2" w:rsidP="00CD2663">
            <w:pPr>
              <w:spacing w:before="40" w:after="40"/>
            </w:pPr>
            <w:r>
              <w:t>Nature Reserve</w:t>
            </w:r>
          </w:p>
        </w:tc>
      </w:tr>
      <w:tr w:rsidR="00C822E2" w:rsidRPr="00A812B8" w14:paraId="38116D50" w14:textId="77777777" w:rsidTr="00CD2663">
        <w:trPr>
          <w:trHeight w:val="288"/>
        </w:trPr>
        <w:tc>
          <w:tcPr>
            <w:tcW w:w="1185" w:type="dxa"/>
            <w:tcBorders>
              <w:bottom w:val="nil"/>
            </w:tcBorders>
            <w:shd w:val="clear" w:color="auto" w:fill="auto"/>
          </w:tcPr>
          <w:p w14:paraId="07FEEF31" w14:textId="77777777" w:rsidR="00C822E2" w:rsidRPr="00307983" w:rsidRDefault="00C822E2" w:rsidP="00CD2663">
            <w:pPr>
              <w:spacing w:before="40" w:after="40"/>
            </w:pPr>
            <w:r>
              <w:t>NP</w:t>
            </w:r>
          </w:p>
        </w:tc>
        <w:tc>
          <w:tcPr>
            <w:tcW w:w="7842" w:type="dxa"/>
            <w:tcBorders>
              <w:bottom w:val="nil"/>
            </w:tcBorders>
            <w:shd w:val="clear" w:color="auto" w:fill="auto"/>
          </w:tcPr>
          <w:p w14:paraId="5A2AD3EF" w14:textId="77777777" w:rsidR="00C822E2" w:rsidRPr="00307983" w:rsidRDefault="00C822E2" w:rsidP="00CD2663">
            <w:pPr>
              <w:spacing w:before="40" w:after="40"/>
            </w:pPr>
            <w:r>
              <w:t>National Park</w:t>
            </w:r>
          </w:p>
        </w:tc>
      </w:tr>
      <w:tr w:rsidR="00C822E2" w:rsidRPr="00A812B8" w14:paraId="7E6E3EBD" w14:textId="77777777" w:rsidTr="00CD2663">
        <w:trPr>
          <w:trHeight w:val="288"/>
        </w:trPr>
        <w:tc>
          <w:tcPr>
            <w:tcW w:w="1185" w:type="dxa"/>
            <w:tcBorders>
              <w:bottom w:val="nil"/>
            </w:tcBorders>
            <w:shd w:val="clear" w:color="auto" w:fill="auto"/>
          </w:tcPr>
          <w:p w14:paraId="0F9B68B6" w14:textId="77777777" w:rsidR="00C822E2" w:rsidRPr="00307983" w:rsidRDefault="00C822E2" w:rsidP="00CD2663">
            <w:pPr>
              <w:spacing w:before="40" w:after="40"/>
            </w:pPr>
            <w:r>
              <w:t>PA</w:t>
            </w:r>
          </w:p>
        </w:tc>
        <w:tc>
          <w:tcPr>
            <w:tcW w:w="7842" w:type="dxa"/>
            <w:tcBorders>
              <w:bottom w:val="nil"/>
            </w:tcBorders>
            <w:shd w:val="clear" w:color="auto" w:fill="auto"/>
          </w:tcPr>
          <w:p w14:paraId="580CCF01" w14:textId="77777777" w:rsidR="00C822E2" w:rsidRPr="00307983" w:rsidRDefault="00C822E2" w:rsidP="00CD2663">
            <w:pPr>
              <w:spacing w:before="40" w:after="40"/>
            </w:pPr>
            <w:r>
              <w:t>Protected Area</w:t>
            </w:r>
          </w:p>
        </w:tc>
      </w:tr>
      <w:tr w:rsidR="00C822E2" w:rsidRPr="00A812B8" w14:paraId="06191AD8" w14:textId="77777777" w:rsidTr="00CD2663">
        <w:trPr>
          <w:trHeight w:val="288"/>
        </w:trPr>
        <w:tc>
          <w:tcPr>
            <w:tcW w:w="1185" w:type="dxa"/>
            <w:tcBorders>
              <w:bottom w:val="nil"/>
            </w:tcBorders>
            <w:shd w:val="clear" w:color="auto" w:fill="auto"/>
          </w:tcPr>
          <w:p w14:paraId="6669CFA5" w14:textId="77777777" w:rsidR="00C822E2" w:rsidRPr="00307983" w:rsidRDefault="00C822E2" w:rsidP="00CD2663">
            <w:pPr>
              <w:spacing w:before="40" w:after="40"/>
            </w:pPr>
            <w:r w:rsidRPr="00307983">
              <w:t>PIF</w:t>
            </w:r>
          </w:p>
        </w:tc>
        <w:tc>
          <w:tcPr>
            <w:tcW w:w="7842" w:type="dxa"/>
            <w:tcBorders>
              <w:bottom w:val="nil"/>
            </w:tcBorders>
            <w:shd w:val="clear" w:color="auto" w:fill="auto"/>
          </w:tcPr>
          <w:p w14:paraId="044FD7DE" w14:textId="77777777" w:rsidR="00C822E2" w:rsidRPr="00307983" w:rsidRDefault="00C822E2" w:rsidP="00CD2663">
            <w:pPr>
              <w:spacing w:before="40" w:after="40"/>
            </w:pPr>
            <w:r w:rsidRPr="00307983">
              <w:t>Project Identification Form</w:t>
            </w:r>
            <w:r>
              <w:t xml:space="preserve"> (GEF)</w:t>
            </w:r>
          </w:p>
        </w:tc>
      </w:tr>
      <w:tr w:rsidR="00C822E2" w:rsidRPr="00A812B8" w14:paraId="22AFE01D" w14:textId="77777777" w:rsidTr="00CD2663">
        <w:trPr>
          <w:trHeight w:val="288"/>
        </w:trPr>
        <w:tc>
          <w:tcPr>
            <w:tcW w:w="1185" w:type="dxa"/>
            <w:tcBorders>
              <w:bottom w:val="nil"/>
            </w:tcBorders>
            <w:shd w:val="clear" w:color="auto" w:fill="auto"/>
          </w:tcPr>
          <w:p w14:paraId="0C2796FB" w14:textId="77777777" w:rsidR="00C822E2" w:rsidRPr="00307983" w:rsidRDefault="00C822E2" w:rsidP="00CD2663">
            <w:pPr>
              <w:spacing w:before="40" w:after="40"/>
            </w:pPr>
            <w:r w:rsidRPr="00307983">
              <w:t>PIR</w:t>
            </w:r>
          </w:p>
        </w:tc>
        <w:tc>
          <w:tcPr>
            <w:tcW w:w="7842" w:type="dxa"/>
            <w:tcBorders>
              <w:bottom w:val="nil"/>
            </w:tcBorders>
            <w:shd w:val="clear" w:color="auto" w:fill="auto"/>
          </w:tcPr>
          <w:p w14:paraId="65D7CBBC" w14:textId="77777777" w:rsidR="00C822E2" w:rsidRPr="00307983" w:rsidRDefault="00C822E2" w:rsidP="00CD2663">
            <w:pPr>
              <w:spacing w:before="40" w:after="40"/>
            </w:pPr>
            <w:r w:rsidRPr="00307983">
              <w:t>GEF Project Implementation Report</w:t>
            </w:r>
          </w:p>
        </w:tc>
      </w:tr>
      <w:tr w:rsidR="00C822E2" w:rsidRPr="00A812B8" w14:paraId="18C93648" w14:textId="77777777" w:rsidTr="00CD2663">
        <w:trPr>
          <w:trHeight w:val="288"/>
        </w:trPr>
        <w:tc>
          <w:tcPr>
            <w:tcW w:w="1185" w:type="dxa"/>
            <w:tcBorders>
              <w:bottom w:val="nil"/>
            </w:tcBorders>
            <w:shd w:val="clear" w:color="auto" w:fill="auto"/>
          </w:tcPr>
          <w:p w14:paraId="503572D4" w14:textId="77777777" w:rsidR="00C822E2" w:rsidRPr="00307983" w:rsidRDefault="00C822E2" w:rsidP="00CD2663">
            <w:pPr>
              <w:spacing w:before="40" w:after="40"/>
            </w:pPr>
            <w:r>
              <w:t>PLRs</w:t>
            </w:r>
          </w:p>
        </w:tc>
        <w:tc>
          <w:tcPr>
            <w:tcW w:w="7842" w:type="dxa"/>
            <w:tcBorders>
              <w:bottom w:val="nil"/>
            </w:tcBorders>
            <w:shd w:val="clear" w:color="auto" w:fill="auto"/>
          </w:tcPr>
          <w:p w14:paraId="2D8314FF" w14:textId="77777777" w:rsidR="00C822E2" w:rsidRPr="00307983" w:rsidRDefault="00C822E2" w:rsidP="00CD2663">
            <w:pPr>
              <w:spacing w:before="40" w:after="40"/>
            </w:pPr>
            <w:r>
              <w:rPr>
                <w:rFonts w:cstheme="minorHAnsi"/>
              </w:rPr>
              <w:t>Policy, Legal and Regulation</w:t>
            </w:r>
          </w:p>
        </w:tc>
      </w:tr>
      <w:tr w:rsidR="00C822E2" w:rsidRPr="00A812B8" w14:paraId="4386F06B" w14:textId="77777777" w:rsidTr="00CD2663">
        <w:trPr>
          <w:trHeight w:val="288"/>
        </w:trPr>
        <w:tc>
          <w:tcPr>
            <w:tcW w:w="1185" w:type="dxa"/>
            <w:tcBorders>
              <w:bottom w:val="nil"/>
            </w:tcBorders>
            <w:shd w:val="clear" w:color="auto" w:fill="auto"/>
          </w:tcPr>
          <w:p w14:paraId="7A34321B" w14:textId="77777777" w:rsidR="00C822E2" w:rsidRPr="00307983" w:rsidRDefault="00C822E2" w:rsidP="00CD2663">
            <w:pPr>
              <w:spacing w:before="40" w:after="40"/>
            </w:pPr>
            <w:r w:rsidRPr="00307983">
              <w:t>POPP</w:t>
            </w:r>
          </w:p>
        </w:tc>
        <w:tc>
          <w:tcPr>
            <w:tcW w:w="7842" w:type="dxa"/>
            <w:tcBorders>
              <w:bottom w:val="nil"/>
            </w:tcBorders>
            <w:shd w:val="clear" w:color="auto" w:fill="auto"/>
          </w:tcPr>
          <w:p w14:paraId="3F7340BA" w14:textId="77777777" w:rsidR="00C822E2" w:rsidRPr="00307983" w:rsidRDefault="00C822E2" w:rsidP="00CD2663">
            <w:pPr>
              <w:spacing w:before="40" w:after="40"/>
            </w:pPr>
            <w:r w:rsidRPr="00307983">
              <w:rPr>
                <w:rFonts w:cs="Calibri"/>
              </w:rPr>
              <w:t>Programme and Operations Policies and Procedures</w:t>
            </w:r>
            <w:r>
              <w:rPr>
                <w:rFonts w:cs="Calibri"/>
              </w:rPr>
              <w:t xml:space="preserve"> (UNDP)</w:t>
            </w:r>
          </w:p>
        </w:tc>
      </w:tr>
      <w:tr w:rsidR="00C822E2" w:rsidRPr="00A812B8" w14:paraId="0C6F8A53" w14:textId="77777777" w:rsidTr="00CD2663">
        <w:trPr>
          <w:trHeight w:val="288"/>
        </w:trPr>
        <w:tc>
          <w:tcPr>
            <w:tcW w:w="1185" w:type="dxa"/>
            <w:tcBorders>
              <w:bottom w:val="nil"/>
            </w:tcBorders>
            <w:shd w:val="clear" w:color="auto" w:fill="auto"/>
          </w:tcPr>
          <w:p w14:paraId="2AC21256" w14:textId="77777777" w:rsidR="00C822E2" w:rsidRPr="00307983" w:rsidRDefault="00C822E2" w:rsidP="00CD2663">
            <w:pPr>
              <w:spacing w:before="40" w:after="40"/>
            </w:pPr>
            <w:r w:rsidRPr="00307983">
              <w:t>PPG</w:t>
            </w:r>
          </w:p>
        </w:tc>
        <w:tc>
          <w:tcPr>
            <w:tcW w:w="7842" w:type="dxa"/>
            <w:tcBorders>
              <w:bottom w:val="nil"/>
            </w:tcBorders>
            <w:shd w:val="clear" w:color="auto" w:fill="auto"/>
          </w:tcPr>
          <w:p w14:paraId="7246426F" w14:textId="77777777" w:rsidR="00C822E2" w:rsidRPr="00307983" w:rsidRDefault="00C822E2" w:rsidP="00CD2663">
            <w:pPr>
              <w:spacing w:before="40" w:after="40"/>
            </w:pPr>
            <w:r w:rsidRPr="00307983">
              <w:t>Project Preparation Grant</w:t>
            </w:r>
            <w:r>
              <w:t xml:space="preserve"> (GEF)</w:t>
            </w:r>
          </w:p>
        </w:tc>
      </w:tr>
      <w:tr w:rsidR="00C822E2" w:rsidRPr="00A812B8" w14:paraId="7C79A0F6" w14:textId="77777777" w:rsidTr="00CD2663">
        <w:trPr>
          <w:trHeight w:val="288"/>
        </w:trPr>
        <w:tc>
          <w:tcPr>
            <w:tcW w:w="1185" w:type="dxa"/>
            <w:tcBorders>
              <w:bottom w:val="nil"/>
            </w:tcBorders>
            <w:shd w:val="clear" w:color="auto" w:fill="auto"/>
          </w:tcPr>
          <w:p w14:paraId="2E1A3824" w14:textId="77777777" w:rsidR="00C822E2" w:rsidRDefault="00C822E2" w:rsidP="00CD2663">
            <w:pPr>
              <w:spacing w:before="40" w:after="40"/>
            </w:pPr>
            <w:r>
              <w:t>SECU</w:t>
            </w:r>
          </w:p>
        </w:tc>
        <w:tc>
          <w:tcPr>
            <w:tcW w:w="7842" w:type="dxa"/>
            <w:tcBorders>
              <w:bottom w:val="nil"/>
            </w:tcBorders>
            <w:shd w:val="clear" w:color="auto" w:fill="auto"/>
          </w:tcPr>
          <w:p w14:paraId="3EE89A70" w14:textId="77777777" w:rsidR="00C822E2" w:rsidRDefault="00C822E2" w:rsidP="00CD2663">
            <w:pPr>
              <w:spacing w:before="40" w:after="40"/>
            </w:pPr>
            <w:r>
              <w:t>Social and Environmental Compliance Review Unit (UNDP)</w:t>
            </w:r>
          </w:p>
        </w:tc>
      </w:tr>
      <w:tr w:rsidR="00C822E2" w:rsidRPr="00A812B8" w14:paraId="23579BE6" w14:textId="77777777" w:rsidTr="00CD2663">
        <w:trPr>
          <w:trHeight w:val="288"/>
        </w:trPr>
        <w:tc>
          <w:tcPr>
            <w:tcW w:w="1185" w:type="dxa"/>
            <w:tcBorders>
              <w:bottom w:val="nil"/>
            </w:tcBorders>
            <w:shd w:val="clear" w:color="auto" w:fill="auto"/>
          </w:tcPr>
          <w:p w14:paraId="6120FB3F" w14:textId="77777777" w:rsidR="00C822E2" w:rsidRDefault="00C822E2" w:rsidP="00CD2663">
            <w:pPr>
              <w:spacing w:before="40" w:after="40"/>
            </w:pPr>
            <w:r>
              <w:t>SES</w:t>
            </w:r>
          </w:p>
        </w:tc>
        <w:tc>
          <w:tcPr>
            <w:tcW w:w="7842" w:type="dxa"/>
            <w:tcBorders>
              <w:bottom w:val="nil"/>
            </w:tcBorders>
            <w:shd w:val="clear" w:color="auto" w:fill="auto"/>
          </w:tcPr>
          <w:p w14:paraId="49537FB8" w14:textId="77777777" w:rsidR="00C822E2" w:rsidRDefault="00C822E2" w:rsidP="00CD2663">
            <w:pPr>
              <w:spacing w:before="40" w:after="40"/>
            </w:pPr>
            <w:r>
              <w:t>Social and Environmental Standards (UNDP)</w:t>
            </w:r>
          </w:p>
        </w:tc>
      </w:tr>
      <w:tr w:rsidR="00C822E2" w:rsidRPr="00A812B8" w14:paraId="29F7D312" w14:textId="77777777" w:rsidTr="00CD2663">
        <w:trPr>
          <w:trHeight w:val="288"/>
        </w:trPr>
        <w:tc>
          <w:tcPr>
            <w:tcW w:w="1185" w:type="dxa"/>
            <w:tcBorders>
              <w:bottom w:val="nil"/>
            </w:tcBorders>
            <w:shd w:val="clear" w:color="auto" w:fill="auto"/>
          </w:tcPr>
          <w:p w14:paraId="7304892A" w14:textId="77777777" w:rsidR="00C822E2" w:rsidRPr="00307983" w:rsidRDefault="00C822E2" w:rsidP="00CD2663">
            <w:pPr>
              <w:spacing w:before="40" w:after="40"/>
            </w:pPr>
            <w:r>
              <w:t>SESP</w:t>
            </w:r>
          </w:p>
        </w:tc>
        <w:tc>
          <w:tcPr>
            <w:tcW w:w="7842" w:type="dxa"/>
            <w:tcBorders>
              <w:bottom w:val="nil"/>
            </w:tcBorders>
            <w:shd w:val="clear" w:color="auto" w:fill="auto"/>
          </w:tcPr>
          <w:p w14:paraId="100EFC75" w14:textId="77777777" w:rsidR="00C822E2" w:rsidRPr="00307983" w:rsidRDefault="00C822E2" w:rsidP="00CD2663">
            <w:pPr>
              <w:spacing w:before="40" w:after="40"/>
            </w:pPr>
            <w:r>
              <w:t>Social and Environmental Screening Procedure (UNDP)</w:t>
            </w:r>
          </w:p>
        </w:tc>
      </w:tr>
      <w:tr w:rsidR="00C822E2" w:rsidRPr="00A812B8" w14:paraId="3C3F9983" w14:textId="77777777" w:rsidTr="00CD2663">
        <w:trPr>
          <w:trHeight w:val="288"/>
        </w:trPr>
        <w:tc>
          <w:tcPr>
            <w:tcW w:w="1185" w:type="dxa"/>
            <w:tcBorders>
              <w:bottom w:val="nil"/>
            </w:tcBorders>
            <w:shd w:val="clear" w:color="auto" w:fill="auto"/>
          </w:tcPr>
          <w:p w14:paraId="236926B8" w14:textId="77777777" w:rsidR="00C822E2" w:rsidRDefault="00C822E2" w:rsidP="00CD2663">
            <w:pPr>
              <w:spacing w:before="40" w:after="40"/>
            </w:pPr>
            <w:r>
              <w:t>SRM</w:t>
            </w:r>
          </w:p>
        </w:tc>
        <w:tc>
          <w:tcPr>
            <w:tcW w:w="7842" w:type="dxa"/>
            <w:tcBorders>
              <w:bottom w:val="nil"/>
            </w:tcBorders>
            <w:shd w:val="clear" w:color="auto" w:fill="auto"/>
          </w:tcPr>
          <w:p w14:paraId="13FF17C5" w14:textId="77777777" w:rsidR="00C822E2" w:rsidRDefault="00C822E2" w:rsidP="00CD2663">
            <w:pPr>
              <w:spacing w:before="40" w:after="40"/>
            </w:pPr>
            <w:r>
              <w:t>Stakeholder Response Mechanism (UNDP)</w:t>
            </w:r>
          </w:p>
        </w:tc>
      </w:tr>
      <w:tr w:rsidR="00C822E2" w:rsidRPr="00A812B8" w14:paraId="28E796C5" w14:textId="77777777" w:rsidTr="00CD2663">
        <w:trPr>
          <w:trHeight w:val="288"/>
        </w:trPr>
        <w:tc>
          <w:tcPr>
            <w:tcW w:w="1185" w:type="dxa"/>
            <w:tcBorders>
              <w:bottom w:val="nil"/>
            </w:tcBorders>
            <w:shd w:val="clear" w:color="auto" w:fill="auto"/>
          </w:tcPr>
          <w:p w14:paraId="6EF11239" w14:textId="77777777" w:rsidR="00C822E2" w:rsidRDefault="00C822E2" w:rsidP="00CD2663">
            <w:pPr>
              <w:spacing w:before="40" w:after="40"/>
            </w:pPr>
            <w:r>
              <w:t>SUF</w:t>
            </w:r>
          </w:p>
        </w:tc>
        <w:tc>
          <w:tcPr>
            <w:tcW w:w="7842" w:type="dxa"/>
            <w:tcBorders>
              <w:bottom w:val="nil"/>
            </w:tcBorders>
            <w:shd w:val="clear" w:color="auto" w:fill="auto"/>
          </w:tcPr>
          <w:p w14:paraId="31551A88" w14:textId="77777777" w:rsidR="00C822E2" w:rsidRDefault="00C822E2" w:rsidP="00CD2663">
            <w:pPr>
              <w:spacing w:before="40" w:after="40"/>
            </w:pPr>
            <w:r>
              <w:t>Special Use Forest</w:t>
            </w:r>
          </w:p>
        </w:tc>
      </w:tr>
      <w:tr w:rsidR="00C822E2" w:rsidRPr="00A812B8" w14:paraId="038BD901" w14:textId="77777777" w:rsidTr="00CD2663">
        <w:trPr>
          <w:trHeight w:val="288"/>
        </w:trPr>
        <w:tc>
          <w:tcPr>
            <w:tcW w:w="1185" w:type="dxa"/>
            <w:tcBorders>
              <w:bottom w:val="nil"/>
            </w:tcBorders>
            <w:shd w:val="clear" w:color="auto" w:fill="auto"/>
          </w:tcPr>
          <w:p w14:paraId="578FC25B" w14:textId="77777777" w:rsidR="00C822E2" w:rsidRPr="00AA64A0" w:rsidRDefault="00C822E2" w:rsidP="00CD2663">
            <w:pPr>
              <w:spacing w:before="40" w:after="40"/>
            </w:pPr>
            <w:r>
              <w:t>UNDP</w:t>
            </w:r>
          </w:p>
        </w:tc>
        <w:tc>
          <w:tcPr>
            <w:tcW w:w="7842" w:type="dxa"/>
            <w:tcBorders>
              <w:bottom w:val="nil"/>
            </w:tcBorders>
            <w:shd w:val="clear" w:color="auto" w:fill="auto"/>
          </w:tcPr>
          <w:p w14:paraId="411FFF24" w14:textId="77777777" w:rsidR="00C822E2" w:rsidRPr="00AA64A0" w:rsidRDefault="00C822E2" w:rsidP="00CD2663">
            <w:pPr>
              <w:spacing w:before="40" w:after="40"/>
            </w:pPr>
            <w:r>
              <w:t>United Nations Development Programme</w:t>
            </w:r>
          </w:p>
        </w:tc>
      </w:tr>
      <w:tr w:rsidR="00C822E2" w:rsidRPr="00A812B8" w14:paraId="609FF50F" w14:textId="77777777" w:rsidTr="00CD2663">
        <w:trPr>
          <w:trHeight w:val="288"/>
        </w:trPr>
        <w:tc>
          <w:tcPr>
            <w:tcW w:w="1185" w:type="dxa"/>
            <w:tcBorders>
              <w:bottom w:val="nil"/>
            </w:tcBorders>
            <w:shd w:val="clear" w:color="auto" w:fill="auto"/>
          </w:tcPr>
          <w:p w14:paraId="2710B56F" w14:textId="77777777" w:rsidR="00C822E2" w:rsidRPr="00307983" w:rsidRDefault="00C822E2" w:rsidP="00CD2663">
            <w:pPr>
              <w:spacing w:before="40" w:after="40"/>
              <w:rPr>
                <w:rFonts w:ascii="Calibri" w:hAnsi="Calibri" w:cs="Calibri"/>
              </w:rPr>
            </w:pPr>
            <w:r w:rsidRPr="00307983">
              <w:rPr>
                <w:rFonts w:ascii="Calibri" w:hAnsi="Calibri" w:cs="Calibri"/>
              </w:rPr>
              <w:t>UNDP-GEF</w:t>
            </w:r>
          </w:p>
        </w:tc>
        <w:tc>
          <w:tcPr>
            <w:tcW w:w="7842" w:type="dxa"/>
            <w:tcBorders>
              <w:bottom w:val="nil"/>
            </w:tcBorders>
            <w:shd w:val="clear" w:color="auto" w:fill="auto"/>
          </w:tcPr>
          <w:p w14:paraId="470D3466" w14:textId="77777777" w:rsidR="00C822E2" w:rsidRPr="00307983" w:rsidRDefault="00C822E2" w:rsidP="00CD2663">
            <w:pPr>
              <w:spacing w:before="40" w:after="40"/>
              <w:rPr>
                <w:rFonts w:ascii="Calibri" w:hAnsi="Calibri" w:cs="Calibri"/>
              </w:rPr>
            </w:pPr>
            <w:r w:rsidRPr="00307983">
              <w:rPr>
                <w:rFonts w:ascii="Calibri" w:hAnsi="Calibri" w:cs="Calibri"/>
              </w:rPr>
              <w:t>UNDP Global Environmental Finance Unit</w:t>
            </w:r>
          </w:p>
        </w:tc>
      </w:tr>
    </w:tbl>
    <w:p w14:paraId="73892FA4" w14:textId="77777777" w:rsidR="00C822E2" w:rsidRDefault="00C822E2" w:rsidP="00C822E2"/>
    <w:p w14:paraId="70F595B2" w14:textId="77777777" w:rsidR="00C822E2" w:rsidRPr="00B20DCD" w:rsidRDefault="00C822E2" w:rsidP="00C822E2"/>
    <w:p w14:paraId="187CB5E4" w14:textId="77777777" w:rsidR="00C822E2" w:rsidRDefault="00C822E2" w:rsidP="00C822E2">
      <w:pPr>
        <w:pStyle w:val="Heading1"/>
        <w:numPr>
          <w:ilvl w:val="0"/>
          <w:numId w:val="1"/>
        </w:numPr>
        <w:ind w:left="0" w:firstLine="0"/>
        <w:rPr>
          <w:color w:val="002060"/>
        </w:rPr>
        <w:sectPr w:rsidR="00C822E2" w:rsidSect="000603CE">
          <w:footerReference w:type="default" r:id="rId11"/>
          <w:pgSz w:w="11907" w:h="16839" w:code="9"/>
          <w:pgMar w:top="1440" w:right="1440" w:bottom="1440" w:left="1440" w:header="432" w:footer="432" w:gutter="0"/>
          <w:pgNumType w:fmt="lowerRoman"/>
          <w:cols w:space="720"/>
          <w:docGrid w:linePitch="360"/>
        </w:sectPr>
      </w:pPr>
    </w:p>
    <w:p w14:paraId="035AB8C9" w14:textId="77777777" w:rsidR="00C822E2" w:rsidRDefault="00C822E2" w:rsidP="00C822E2">
      <w:pPr>
        <w:pStyle w:val="Heading1"/>
        <w:rPr>
          <w:color w:val="002060"/>
        </w:rPr>
      </w:pPr>
      <w:bookmarkStart w:id="10" w:name="_Toc35030059"/>
      <w:bookmarkStart w:id="11" w:name="_Toc104218377"/>
      <w:bookmarkStart w:id="12" w:name="_Toc35030061"/>
      <w:r>
        <w:rPr>
          <w:color w:val="002060"/>
        </w:rPr>
        <w:lastRenderedPageBreak/>
        <w:t>Executive Summary</w:t>
      </w:r>
      <w:bookmarkEnd w:id="10"/>
      <w:bookmarkEnd w:id="11"/>
    </w:p>
    <w:p w14:paraId="4A6F9909" w14:textId="4541F2D5" w:rsidR="00C822E2" w:rsidRPr="00C12294" w:rsidRDefault="00C822E2" w:rsidP="00C822E2">
      <w:pPr>
        <w:pStyle w:val="Footer"/>
        <w:pBdr>
          <w:top w:val="single" w:sz="8" w:space="4" w:color="215868" w:themeColor="accent5" w:themeShade="80"/>
        </w:pBdr>
        <w:tabs>
          <w:tab w:val="left" w:pos="3381"/>
          <w:tab w:val="right" w:pos="9900"/>
        </w:tabs>
        <w:ind w:right="-2"/>
        <w:rPr>
          <w:rFonts w:asciiTheme="majorHAnsi" w:hAnsiTheme="majorHAnsi" w:cstheme="majorHAnsi"/>
          <w:sz w:val="22"/>
          <w:lang w:val="en-US"/>
        </w:rPr>
      </w:pPr>
      <w:r w:rsidRPr="00C12294">
        <w:rPr>
          <w:rFonts w:asciiTheme="majorHAnsi" w:hAnsiTheme="majorHAnsi" w:cstheme="majorHAnsi"/>
          <w:sz w:val="22"/>
          <w:lang w:val="en-US"/>
        </w:rPr>
        <w:t>This Environmental and Social Management Framework (ESMF) has been prepared for the submission of the UNDP project proposal “</w:t>
      </w:r>
      <w:r w:rsidR="00BF3C02" w:rsidRPr="00C12294">
        <w:rPr>
          <w:rFonts w:asciiTheme="majorHAnsi" w:hAnsiTheme="majorHAnsi" w:cstheme="majorHAnsi"/>
          <w:i/>
          <w:iCs/>
          <w:sz w:val="22"/>
          <w:lang w:val="en-US"/>
        </w:rPr>
        <w:t>Promote Wildlife Conservation and Responsible Nature Based Tourism for Sustainable Development in Vietnam</w:t>
      </w:r>
      <w:r w:rsidRPr="00C12294">
        <w:rPr>
          <w:rFonts w:asciiTheme="majorHAnsi" w:hAnsiTheme="majorHAnsi" w:cstheme="majorHAnsi"/>
          <w:i/>
          <w:sz w:val="22"/>
          <w:lang w:val="en-US"/>
        </w:rPr>
        <w:t>”</w:t>
      </w:r>
      <w:r w:rsidRPr="00C12294">
        <w:rPr>
          <w:rFonts w:asciiTheme="majorHAnsi" w:hAnsiTheme="majorHAnsi" w:cstheme="majorHAnsi"/>
          <w:sz w:val="22"/>
          <w:lang w:val="en-US"/>
        </w:rPr>
        <w:t xml:space="preserve"> to the GEF.  Its purpose is to assist in the assessment of potential environmental and social impacts.  The Framework forms the basis upon which Environmental and Social Management impacts of the project will be assessed and managed, so as to ensure full compliance with the requirements of UNDP’s Social and Environmental Standards. </w:t>
      </w:r>
    </w:p>
    <w:p w14:paraId="0E0DACE6" w14:textId="77777777" w:rsidR="00CD4369" w:rsidRPr="00C12294" w:rsidRDefault="00CD4369" w:rsidP="00C822E2">
      <w:pPr>
        <w:pStyle w:val="Footer"/>
        <w:pBdr>
          <w:top w:val="single" w:sz="8" w:space="4" w:color="215868" w:themeColor="accent5" w:themeShade="80"/>
        </w:pBdr>
        <w:tabs>
          <w:tab w:val="left" w:pos="3381"/>
          <w:tab w:val="right" w:pos="9900"/>
        </w:tabs>
        <w:ind w:right="-2"/>
        <w:rPr>
          <w:rFonts w:asciiTheme="majorHAnsi" w:hAnsiTheme="majorHAnsi" w:cstheme="majorHAnsi"/>
          <w:sz w:val="22"/>
          <w:lang w:val="en-US"/>
        </w:rPr>
      </w:pPr>
    </w:p>
    <w:p w14:paraId="364ED9F1" w14:textId="5E160DA2" w:rsidR="00C822E2" w:rsidRPr="00C12294" w:rsidRDefault="00C822E2" w:rsidP="00C822E2">
      <w:pPr>
        <w:rPr>
          <w:rFonts w:asciiTheme="majorHAnsi" w:hAnsiTheme="majorHAnsi" w:cstheme="majorHAnsi"/>
          <w:b/>
          <w:bCs/>
          <w:sz w:val="22"/>
          <w:lang w:val="en-US"/>
        </w:rPr>
      </w:pPr>
      <w:r w:rsidRPr="00C12294">
        <w:rPr>
          <w:rFonts w:asciiTheme="majorHAnsi" w:hAnsiTheme="majorHAnsi" w:cstheme="majorHAnsi"/>
          <w:sz w:val="22"/>
          <w:lang w:val="en-US"/>
        </w:rPr>
        <w:t xml:space="preserve">Preliminary analysis and screening conducted during the project development phase via </w:t>
      </w:r>
      <w:r w:rsidRPr="00C12294">
        <w:rPr>
          <w:rFonts w:asciiTheme="majorHAnsi" w:hAnsiTheme="majorHAnsi" w:cstheme="majorHAnsi"/>
          <w:sz w:val="22"/>
        </w:rPr>
        <w:t xml:space="preserve">UNDP’s Social and Environment Screening Procedure (SESP) </w:t>
      </w:r>
      <w:r w:rsidRPr="00C12294">
        <w:rPr>
          <w:rFonts w:asciiTheme="majorHAnsi" w:hAnsiTheme="majorHAnsi" w:cstheme="majorHAnsi"/>
          <w:sz w:val="22"/>
          <w:lang w:val="en-US"/>
        </w:rPr>
        <w:t xml:space="preserve">identified potential social and environmental risks associated with project activities.  The screening procedure led to the identification of 3‘Substantial’ risks, </w:t>
      </w:r>
      <w:r w:rsidR="00863BC2" w:rsidRPr="00C12294">
        <w:rPr>
          <w:rFonts w:asciiTheme="majorHAnsi" w:hAnsiTheme="majorHAnsi" w:cstheme="majorHAnsi"/>
          <w:sz w:val="22"/>
          <w:lang w:val="en-US"/>
        </w:rPr>
        <w:t xml:space="preserve">and 11 </w:t>
      </w:r>
      <w:r w:rsidRPr="00C12294">
        <w:rPr>
          <w:rFonts w:asciiTheme="majorHAnsi" w:hAnsiTheme="majorHAnsi" w:cstheme="majorHAnsi"/>
          <w:sz w:val="22"/>
          <w:lang w:val="en-US"/>
        </w:rPr>
        <w:t xml:space="preserve"> ‘Moderate risks’ resulting in the project having an overall rating of ‘Substantial’ and that the identified social and environmental risks’ impacts are manageable through identified mitigation measures detailed in the Screening Template, included in </w:t>
      </w:r>
      <w:r w:rsidRPr="00C12294">
        <w:rPr>
          <w:rFonts w:asciiTheme="majorHAnsi" w:hAnsiTheme="majorHAnsi" w:cstheme="majorHAnsi"/>
          <w:b/>
          <w:bCs/>
          <w:sz w:val="22"/>
          <w:highlight w:val="yellow"/>
          <w:lang w:val="en-US"/>
        </w:rPr>
        <w:t>Annex 9.1.</w:t>
      </w:r>
    </w:p>
    <w:p w14:paraId="331964CC" w14:textId="77777777" w:rsidR="00A42473" w:rsidRPr="00C12294" w:rsidRDefault="00A42473" w:rsidP="00C822E2">
      <w:pPr>
        <w:rPr>
          <w:rFonts w:asciiTheme="majorHAnsi" w:hAnsiTheme="majorHAnsi" w:cstheme="majorHAnsi"/>
          <w:sz w:val="22"/>
          <w:lang w:val="en-US"/>
        </w:rPr>
      </w:pPr>
    </w:p>
    <w:p w14:paraId="25799DD3" w14:textId="77777777" w:rsidR="00B91E44" w:rsidRDefault="008E2ED6" w:rsidP="00C822E2">
      <w:pPr>
        <w:pStyle w:val="Default"/>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It should be noted that s</w:t>
      </w:r>
      <w:r w:rsidR="00C822E2" w:rsidRPr="00C12294">
        <w:rPr>
          <w:rFonts w:asciiTheme="majorHAnsi" w:eastAsia="Calibri" w:hAnsiTheme="majorHAnsi" w:cstheme="majorHAnsi"/>
          <w:color w:val="000000" w:themeColor="text1"/>
          <w:sz w:val="22"/>
          <w:szCs w:val="22"/>
        </w:rPr>
        <w:t xml:space="preserve">ome of the demonstration activities will be implemented in sites where ethnic minorities (indigenous peoples as defined by SES Standard 6) live or </w:t>
      </w:r>
      <w:r w:rsidRPr="00C12294">
        <w:rPr>
          <w:rFonts w:asciiTheme="majorHAnsi" w:eastAsia="Calibri" w:hAnsiTheme="majorHAnsi" w:cstheme="majorHAnsi"/>
          <w:color w:val="000000" w:themeColor="text1"/>
          <w:sz w:val="22"/>
          <w:szCs w:val="22"/>
        </w:rPr>
        <w:t xml:space="preserve">rely on for their livelihoods and traditions. </w:t>
      </w:r>
      <w:r w:rsidR="00C822E2" w:rsidRPr="00C12294">
        <w:rPr>
          <w:rFonts w:asciiTheme="majorHAnsi" w:eastAsia="Calibri" w:hAnsiTheme="majorHAnsi" w:cstheme="majorHAnsi"/>
          <w:color w:val="000000" w:themeColor="text1"/>
          <w:sz w:val="22"/>
          <w:szCs w:val="22"/>
        </w:rPr>
        <w:t xml:space="preserve">While consultations have been undertaken with EMs during the PPG stage with efforts to ensure that these were conducted in keeping with the FPIC principles, additional FPIC will be undertaken to confirm consent of these communities regarding project investments and activities as part of a more detailed consultative process during project implementation. </w:t>
      </w:r>
    </w:p>
    <w:p w14:paraId="6996F1CF" w14:textId="77777777" w:rsidR="00B91E44" w:rsidRDefault="00B91E44" w:rsidP="00C822E2">
      <w:pPr>
        <w:pStyle w:val="Default"/>
        <w:jc w:val="both"/>
        <w:rPr>
          <w:rFonts w:asciiTheme="majorHAnsi" w:eastAsia="Calibri" w:hAnsiTheme="majorHAnsi" w:cstheme="majorHAnsi"/>
          <w:color w:val="000000" w:themeColor="text1"/>
          <w:sz w:val="22"/>
          <w:szCs w:val="22"/>
        </w:rPr>
      </w:pPr>
    </w:p>
    <w:p w14:paraId="0A0BCD11" w14:textId="45A86E29" w:rsidR="00C822E2" w:rsidRPr="00C12294" w:rsidRDefault="00C822E2" w:rsidP="00C822E2">
      <w:pPr>
        <w:pStyle w:val="Default"/>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The ESMF was developed for the specific intent of outlining the process that will be carried out during the inception/implementation phases of the Project, for the additional assessment of possible impacts and the identification and development of appropriate risk management measures, in accordance with the UNDP’s SES. It also includes an Indigenous Peoples Planning Framework (called Ethnic Minority Planning Framework;), and descriptions about the roles and responsibilities, the associated budget and timeframe for its implementation. Relevant activities of this ESMF include:</w:t>
      </w:r>
    </w:p>
    <w:p w14:paraId="01C6C8D7" w14:textId="77777777" w:rsidR="00C822E2" w:rsidRPr="00C12294" w:rsidRDefault="00C822E2" w:rsidP="00C822E2">
      <w:pPr>
        <w:pStyle w:val="Default"/>
        <w:jc w:val="both"/>
        <w:rPr>
          <w:rFonts w:asciiTheme="majorHAnsi" w:eastAsia="Calibri" w:hAnsiTheme="majorHAnsi" w:cstheme="majorHAnsi"/>
          <w:color w:val="000000" w:themeColor="text1"/>
          <w:sz w:val="22"/>
          <w:szCs w:val="22"/>
        </w:rPr>
      </w:pPr>
    </w:p>
    <w:p w14:paraId="45F3D8B3" w14:textId="450E2463" w:rsidR="00C90404" w:rsidRPr="00C90404" w:rsidRDefault="00C822E2" w:rsidP="00C90404">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 xml:space="preserve">Additional FPIC procedures will be undertaken from the start of the project with ethnic minorities to achieve their consent </w:t>
      </w:r>
      <w:r w:rsidR="00512B7D" w:rsidRPr="00C12294">
        <w:rPr>
          <w:rFonts w:asciiTheme="majorHAnsi" w:eastAsia="Calibri" w:hAnsiTheme="majorHAnsi" w:cstheme="majorHAnsi"/>
          <w:color w:val="000000" w:themeColor="text1"/>
          <w:sz w:val="22"/>
          <w:szCs w:val="22"/>
        </w:rPr>
        <w:t xml:space="preserve">for </w:t>
      </w:r>
      <w:r w:rsidRPr="00C12294">
        <w:rPr>
          <w:rFonts w:asciiTheme="majorHAnsi" w:eastAsia="Calibri" w:hAnsiTheme="majorHAnsi" w:cstheme="majorHAnsi"/>
          <w:color w:val="000000" w:themeColor="text1"/>
          <w:sz w:val="22"/>
          <w:szCs w:val="22"/>
        </w:rPr>
        <w:t>activities</w:t>
      </w:r>
      <w:r w:rsidR="006766F1">
        <w:rPr>
          <w:rStyle w:val="FootnoteReference"/>
          <w:rFonts w:asciiTheme="majorHAnsi" w:eastAsia="Calibri" w:hAnsiTheme="majorHAnsi" w:cstheme="majorHAnsi"/>
          <w:color w:val="000000" w:themeColor="text1"/>
          <w:sz w:val="22"/>
          <w:szCs w:val="22"/>
        </w:rPr>
        <w:footnoteReference w:id="1"/>
      </w:r>
      <w:r w:rsidRPr="00C12294">
        <w:rPr>
          <w:rFonts w:asciiTheme="majorHAnsi" w:eastAsia="Calibri" w:hAnsiTheme="majorHAnsi" w:cstheme="majorHAnsi"/>
          <w:color w:val="000000" w:themeColor="text1"/>
          <w:sz w:val="22"/>
          <w:szCs w:val="22"/>
        </w:rPr>
        <w:t xml:space="preserve"> in the project sites within </w:t>
      </w:r>
      <w:r w:rsidR="00512B7D" w:rsidRPr="00C12294">
        <w:rPr>
          <w:rFonts w:asciiTheme="majorHAnsi" w:eastAsia="Calibri" w:hAnsiTheme="majorHAnsi" w:cstheme="majorHAnsi"/>
          <w:color w:val="000000" w:themeColor="text1"/>
          <w:sz w:val="22"/>
          <w:szCs w:val="22"/>
        </w:rPr>
        <w:t>both PA landscapes</w:t>
      </w:r>
      <w:r w:rsidRPr="00C12294">
        <w:rPr>
          <w:rFonts w:asciiTheme="majorHAnsi" w:eastAsia="Calibri" w:hAnsiTheme="majorHAnsi" w:cstheme="majorHAnsi"/>
          <w:color w:val="000000" w:themeColor="text1"/>
          <w:sz w:val="22"/>
          <w:szCs w:val="22"/>
        </w:rPr>
        <w:t>. FPIC will continue throughout implementation (per the EMPF and subsequent EMP).</w:t>
      </w:r>
    </w:p>
    <w:p w14:paraId="04312B62" w14:textId="7761EB5A"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hAnsiTheme="majorHAnsi" w:cstheme="majorHAnsi"/>
          <w:sz w:val="22"/>
          <w:szCs w:val="22"/>
        </w:rPr>
        <w:t>Development of scoped ESIAs</w:t>
      </w:r>
      <w:r w:rsidR="00483628">
        <w:rPr>
          <w:rStyle w:val="FootnoteReference"/>
          <w:rFonts w:asciiTheme="majorHAnsi" w:hAnsiTheme="majorHAnsi" w:cstheme="majorHAnsi"/>
          <w:sz w:val="22"/>
          <w:szCs w:val="22"/>
        </w:rPr>
        <w:footnoteReference w:id="2"/>
      </w:r>
      <w:r w:rsidRPr="00C12294">
        <w:rPr>
          <w:rFonts w:asciiTheme="majorHAnsi" w:hAnsiTheme="majorHAnsi" w:cstheme="majorHAnsi"/>
          <w:sz w:val="22"/>
          <w:szCs w:val="22"/>
        </w:rPr>
        <w:t xml:space="preserve"> and ESMPs in </w:t>
      </w:r>
      <w:r w:rsidRPr="00C12294">
        <w:rPr>
          <w:rFonts w:asciiTheme="majorHAnsi" w:eastAsia="Calibri" w:hAnsiTheme="majorHAnsi" w:cstheme="majorHAnsi"/>
          <w:color w:val="000000" w:themeColor="text1"/>
          <w:sz w:val="22"/>
          <w:szCs w:val="22"/>
        </w:rPr>
        <w:t xml:space="preserve">Year 1-Q3 </w:t>
      </w:r>
      <w:r w:rsidRPr="00C12294">
        <w:rPr>
          <w:rFonts w:asciiTheme="majorHAnsi" w:hAnsiTheme="majorHAnsi" w:cstheme="majorHAnsi"/>
          <w:sz w:val="22"/>
          <w:szCs w:val="22"/>
        </w:rPr>
        <w:t xml:space="preserve"> and an Ethnic Minorities Plan (equivalent to an Indigenous Peoples Plan) to replace the Ethnic Minorities Planning Framework (EMPF) developed at PPG stage. </w:t>
      </w:r>
    </w:p>
    <w:p w14:paraId="6D5A11A9" w14:textId="141C5ACC"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t xml:space="preserve">The conduct/application of a Strategic Environmental and Social Assessment (SESA) to assess and manage ‘upstream’ risks/potential impacts that may arise as a result of project activities: </w:t>
      </w:r>
      <w:r w:rsidR="00B2178B" w:rsidRPr="00C12294">
        <w:rPr>
          <w:rFonts w:asciiTheme="majorHAnsi" w:eastAsia="Calibri" w:hAnsiTheme="majorHAnsi" w:cstheme="majorHAnsi"/>
          <w:color w:val="000000" w:themeColor="text1"/>
          <w:sz w:val="22"/>
          <w:szCs w:val="22"/>
        </w:rPr>
        <w:t>1.2.4, 1.3.1, 1.3.2, 1.3.4, 1.4.7, 1.5.5, 2.3.</w:t>
      </w:r>
      <w:r w:rsidR="00AB19A7" w:rsidRPr="00C12294">
        <w:rPr>
          <w:rFonts w:asciiTheme="majorHAnsi" w:eastAsia="Calibri" w:hAnsiTheme="majorHAnsi" w:cstheme="majorHAnsi"/>
          <w:color w:val="000000" w:themeColor="text1"/>
          <w:sz w:val="22"/>
          <w:szCs w:val="22"/>
        </w:rPr>
        <w:t>6</w:t>
      </w:r>
      <w:r w:rsidR="00B2178B" w:rsidRPr="00C12294">
        <w:rPr>
          <w:rFonts w:asciiTheme="majorHAnsi" w:eastAsia="Calibri" w:hAnsiTheme="majorHAnsi" w:cstheme="majorHAnsi"/>
          <w:color w:val="000000" w:themeColor="text1"/>
          <w:sz w:val="22"/>
          <w:szCs w:val="22"/>
        </w:rPr>
        <w:t>, 2.3.</w:t>
      </w:r>
      <w:r w:rsidR="00AB19A7" w:rsidRPr="00C12294">
        <w:rPr>
          <w:rFonts w:asciiTheme="majorHAnsi" w:eastAsia="Calibri" w:hAnsiTheme="majorHAnsi" w:cstheme="majorHAnsi"/>
          <w:color w:val="000000" w:themeColor="text1"/>
          <w:sz w:val="22"/>
          <w:szCs w:val="22"/>
        </w:rPr>
        <w:t>8, 2.4.5,3.2.2.</w:t>
      </w:r>
    </w:p>
    <w:p w14:paraId="3364700A" w14:textId="77777777" w:rsidR="00C822E2" w:rsidRPr="00C12294" w:rsidRDefault="00C822E2" w:rsidP="00AA431B">
      <w:pPr>
        <w:pStyle w:val="Default"/>
        <w:numPr>
          <w:ilvl w:val="0"/>
          <w:numId w:val="14"/>
        </w:numPr>
        <w:jc w:val="both"/>
        <w:rPr>
          <w:rFonts w:asciiTheme="majorHAnsi" w:eastAsia="Calibri" w:hAnsiTheme="majorHAnsi" w:cstheme="majorHAnsi"/>
          <w:color w:val="000000" w:themeColor="text1"/>
          <w:sz w:val="22"/>
          <w:szCs w:val="22"/>
        </w:rPr>
      </w:pPr>
      <w:r w:rsidRPr="00C12294">
        <w:rPr>
          <w:rFonts w:asciiTheme="majorHAnsi" w:eastAsia="Calibri" w:hAnsiTheme="majorHAnsi" w:cstheme="majorHAnsi"/>
          <w:color w:val="000000" w:themeColor="text1"/>
          <w:sz w:val="22"/>
          <w:szCs w:val="22"/>
        </w:rPr>
        <w:lastRenderedPageBreak/>
        <w:t>Application of additional screening process (with the SESP). The ongoing FPIC process will enable the incorporation of any emerging concern from EMs in further SESP application and ESMP continuous updates.</w:t>
      </w:r>
    </w:p>
    <w:p w14:paraId="2F2AFBFC" w14:textId="77777777" w:rsidR="00C822E2" w:rsidRPr="00C12294" w:rsidRDefault="00C822E2" w:rsidP="00C822E2">
      <w:pPr>
        <w:rPr>
          <w:rFonts w:asciiTheme="majorHAnsi" w:hAnsiTheme="majorHAnsi" w:cstheme="majorHAnsi"/>
          <w:sz w:val="22"/>
          <w:lang w:val="en-US"/>
        </w:rPr>
      </w:pPr>
    </w:p>
    <w:p w14:paraId="1F11CFE9" w14:textId="77777777" w:rsidR="00C822E2" w:rsidRPr="00C12294" w:rsidRDefault="00C822E2" w:rsidP="00C822E2">
      <w:pPr>
        <w:rPr>
          <w:rFonts w:eastAsiaTheme="majorEastAsia" w:cstheme="majorBidi"/>
          <w:b/>
          <w:bCs/>
          <w:color w:val="002060"/>
          <w:sz w:val="22"/>
        </w:rPr>
      </w:pPr>
      <w:r w:rsidRPr="00C12294">
        <w:rPr>
          <w:color w:val="002060"/>
          <w:sz w:val="22"/>
        </w:rPr>
        <w:br w:type="page"/>
      </w:r>
    </w:p>
    <w:p w14:paraId="0961DD90" w14:textId="30513789" w:rsidR="00C822E2" w:rsidRDefault="00C822E2" w:rsidP="0091120C">
      <w:pPr>
        <w:pStyle w:val="Heading1"/>
        <w:numPr>
          <w:ilvl w:val="0"/>
          <w:numId w:val="3"/>
        </w:numPr>
        <w:rPr>
          <w:color w:val="002060"/>
        </w:rPr>
      </w:pPr>
      <w:bookmarkStart w:id="13" w:name="_Toc104218378"/>
      <w:r w:rsidRPr="00142DC9">
        <w:rPr>
          <w:color w:val="002060"/>
        </w:rPr>
        <w:lastRenderedPageBreak/>
        <w:t>Introduction</w:t>
      </w:r>
      <w:bookmarkEnd w:id="12"/>
      <w:bookmarkEnd w:id="13"/>
    </w:p>
    <w:p w14:paraId="0A7D8E78" w14:textId="7E940E48" w:rsidR="00C822E2" w:rsidRPr="00C12294" w:rsidRDefault="00C822E2" w:rsidP="00C822E2">
      <w:pPr>
        <w:rPr>
          <w:rFonts w:asciiTheme="majorHAnsi" w:hAnsiTheme="majorHAnsi" w:cstheme="majorHAnsi"/>
          <w:sz w:val="22"/>
        </w:rPr>
      </w:pPr>
      <w:r w:rsidRPr="00C12294">
        <w:rPr>
          <w:rFonts w:asciiTheme="majorHAnsi" w:hAnsiTheme="majorHAnsi" w:cstheme="majorHAnsi"/>
          <w:sz w:val="22"/>
        </w:rPr>
        <w:t>This Environmental and Social Management Framework (ESMF) has been prepared for the UNDP-supported project</w:t>
      </w:r>
      <w:r w:rsidRPr="00C12294">
        <w:rPr>
          <w:rFonts w:asciiTheme="majorHAnsi" w:hAnsiTheme="majorHAnsi" w:cstheme="majorHAnsi"/>
          <w:i/>
          <w:sz w:val="22"/>
        </w:rPr>
        <w:t xml:space="preserve"> “</w:t>
      </w:r>
      <w:r w:rsidR="00863BC2" w:rsidRPr="00C12294">
        <w:rPr>
          <w:rFonts w:asciiTheme="majorHAnsi" w:hAnsiTheme="majorHAnsi" w:cstheme="majorHAnsi"/>
          <w:i/>
          <w:sz w:val="22"/>
        </w:rPr>
        <w:t>Promote Wildlife Conservation and Responsible Nature Based Tourism for Sustainable Development in Vietnam</w:t>
      </w:r>
      <w:r w:rsidRPr="00C12294">
        <w:rPr>
          <w:rFonts w:asciiTheme="majorHAnsi" w:hAnsiTheme="majorHAnsi" w:cstheme="majorHAnsi"/>
          <w:i/>
          <w:noProof/>
          <w:sz w:val="22"/>
        </w:rPr>
        <w:t>”</w:t>
      </w:r>
      <w:r w:rsidRPr="00C12294">
        <w:rPr>
          <w:rFonts w:asciiTheme="majorHAnsi" w:hAnsiTheme="majorHAnsi" w:cstheme="majorHAnsi"/>
          <w:sz w:val="22"/>
        </w:rPr>
        <w:t xml:space="preserve">.  </w:t>
      </w:r>
      <w:r w:rsidRPr="00C12294">
        <w:rPr>
          <w:rFonts w:asciiTheme="majorHAnsi" w:hAnsiTheme="majorHAnsi" w:cstheme="majorHAnsi"/>
          <w:sz w:val="22"/>
          <w:lang w:val="en-US"/>
        </w:rPr>
        <w:t xml:space="preserve">Its purpose is to assist in the assessment of potential environmental and social impacts.  The Framework forms the basis upon which targeted Environmental and Social Management assessments and Plan(s) will be developed at early project implementation so as to ensure full compliance with the requirements of UNDP’s SES policies. The Implementation of the ESMF will be the responsibility </w:t>
      </w:r>
      <w:r w:rsidR="00863BC2" w:rsidRPr="00C12294">
        <w:rPr>
          <w:rFonts w:asciiTheme="majorHAnsi" w:hAnsiTheme="majorHAnsi" w:cstheme="majorHAnsi"/>
          <w:sz w:val="22"/>
          <w:lang w:val="en-US"/>
        </w:rPr>
        <w:t xml:space="preserve">of the Ministry of Natural Resources (MONRE) </w:t>
      </w:r>
      <w:r w:rsidRPr="00C12294">
        <w:rPr>
          <w:rFonts w:asciiTheme="majorHAnsi" w:hAnsiTheme="majorHAnsi" w:cstheme="majorHAnsi"/>
          <w:sz w:val="22"/>
          <w:lang w:val="en-US"/>
        </w:rPr>
        <w:t xml:space="preserve">) and overseen by the UNDP National Project Manager and monitored throughout the duration of the project. </w:t>
      </w:r>
      <w:r w:rsidRPr="00C12294">
        <w:rPr>
          <w:rFonts w:asciiTheme="majorHAnsi" w:hAnsiTheme="majorHAnsi" w:cstheme="majorHAnsi"/>
          <w:sz w:val="22"/>
        </w:rPr>
        <w:t>UNDP is the GEF Agency for the project to which this ESMF applies. The UNDP Social and Environmental Standards are the applicable standards for this management framework.</w:t>
      </w:r>
    </w:p>
    <w:p w14:paraId="10F4DF9D" w14:textId="77777777" w:rsidR="00863BC2" w:rsidRPr="00C12294" w:rsidRDefault="00863BC2" w:rsidP="00C822E2">
      <w:pPr>
        <w:rPr>
          <w:rFonts w:asciiTheme="majorHAnsi" w:hAnsiTheme="majorHAnsi" w:cstheme="majorHAnsi"/>
          <w:sz w:val="22"/>
          <w:lang w:val="en-US"/>
        </w:rPr>
      </w:pPr>
    </w:p>
    <w:p w14:paraId="0DCF4B11" w14:textId="77777777" w:rsidR="00C822E2" w:rsidRPr="00C12294" w:rsidRDefault="00C822E2" w:rsidP="00C822E2">
      <w:pPr>
        <w:rPr>
          <w:rFonts w:asciiTheme="majorHAnsi" w:hAnsiTheme="majorHAnsi" w:cstheme="majorHAnsi"/>
          <w:sz w:val="22"/>
          <w:lang w:val="en-US"/>
        </w:rPr>
      </w:pPr>
      <w:r w:rsidRPr="00C12294">
        <w:rPr>
          <w:rFonts w:asciiTheme="majorHAnsi" w:hAnsiTheme="majorHAnsi" w:cstheme="majorHAnsi"/>
          <w:sz w:val="22"/>
          <w:lang w:val="en-US"/>
        </w:rPr>
        <w:t xml:space="preserve">Preliminary analysis and screening conducted during the project development phase via </w:t>
      </w:r>
      <w:r w:rsidRPr="00C12294">
        <w:rPr>
          <w:rFonts w:asciiTheme="majorHAnsi" w:hAnsiTheme="majorHAnsi" w:cstheme="majorHAnsi"/>
          <w:sz w:val="22"/>
        </w:rPr>
        <w:t xml:space="preserve">UNDP’s Social and Environment Screening Procedure (SESP) </w:t>
      </w:r>
      <w:r w:rsidRPr="00C12294">
        <w:rPr>
          <w:rFonts w:asciiTheme="majorHAnsi" w:hAnsiTheme="majorHAnsi" w:cstheme="majorHAnsi"/>
          <w:sz w:val="22"/>
          <w:lang w:val="en-US"/>
        </w:rPr>
        <w:t xml:space="preserve">identified potential social and environmental risks associated with project activities.  The screening procedure established that the project is overall rated as being of ‘Substantial’ risk, and that most of the ‘moderate’ and ‘low’ risks are manageable through identified mitigation measures detailed in the SESP report and in Table 4 of this report. Target ESIA(s) and ESMP(s) will be necessitated to manage the two risks classified; as ‘Substantial’ as these might involve economic displacement and/or impacts on the social, </w:t>
      </w:r>
      <w:proofErr w:type="gramStart"/>
      <w:r w:rsidRPr="00C12294">
        <w:rPr>
          <w:rFonts w:asciiTheme="majorHAnsi" w:hAnsiTheme="majorHAnsi" w:cstheme="majorHAnsi"/>
          <w:sz w:val="22"/>
          <w:lang w:val="en-US"/>
        </w:rPr>
        <w:t>cultural</w:t>
      </w:r>
      <w:proofErr w:type="gramEnd"/>
      <w:r w:rsidRPr="00C12294">
        <w:rPr>
          <w:rFonts w:asciiTheme="majorHAnsi" w:hAnsiTheme="majorHAnsi" w:cstheme="majorHAnsi"/>
          <w:sz w:val="22"/>
          <w:lang w:val="en-US"/>
        </w:rPr>
        <w:t xml:space="preserve"> and traditional practices of ethnic minorities as well as for “moderate’ risks that might need additional assessment and safeguard management measures. </w:t>
      </w:r>
    </w:p>
    <w:p w14:paraId="647F8ADD" w14:textId="379A19AA" w:rsidR="00C822E2" w:rsidRDefault="00C822E2" w:rsidP="0091120C">
      <w:pPr>
        <w:pStyle w:val="Heading1"/>
        <w:numPr>
          <w:ilvl w:val="0"/>
          <w:numId w:val="3"/>
        </w:numPr>
        <w:rPr>
          <w:color w:val="002060"/>
        </w:rPr>
      </w:pPr>
      <w:bookmarkStart w:id="14" w:name="_Toc35030062"/>
      <w:bookmarkStart w:id="15" w:name="_Toc104218379"/>
      <w:r w:rsidRPr="008B5494">
        <w:rPr>
          <w:color w:val="002060"/>
        </w:rPr>
        <w:t xml:space="preserve">Project </w:t>
      </w:r>
      <w:r w:rsidR="008B5494" w:rsidRPr="008B5494">
        <w:rPr>
          <w:color w:val="002060"/>
        </w:rPr>
        <w:t>D</w:t>
      </w:r>
      <w:r w:rsidRPr="008B5494">
        <w:rPr>
          <w:color w:val="002060"/>
        </w:rPr>
        <w:t>escription</w:t>
      </w:r>
      <w:bookmarkEnd w:id="14"/>
      <w:bookmarkEnd w:id="15"/>
    </w:p>
    <w:p w14:paraId="7C780D5F" w14:textId="4A92D72B"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Project Objective:</w:t>
      </w:r>
      <w:r w:rsidRPr="00C12294">
        <w:rPr>
          <w:rFonts w:asciiTheme="majorHAnsi" w:hAnsiTheme="majorHAnsi" w:cstheme="majorHAnsi"/>
          <w:sz w:val="22"/>
        </w:rPr>
        <w:t xml:space="preserve"> To promote biodiversity conservation and sustainable livelihoods through innovative solutions for nature-based tourism. </w:t>
      </w:r>
    </w:p>
    <w:p w14:paraId="7E5573F2" w14:textId="77777777" w:rsidR="00E56AD7" w:rsidRPr="00C12294" w:rsidRDefault="00E56AD7" w:rsidP="00E56AD7">
      <w:pPr>
        <w:pStyle w:val="BodyText1"/>
        <w:rPr>
          <w:rFonts w:asciiTheme="majorHAnsi" w:hAnsiTheme="majorHAnsi" w:cstheme="majorHAnsi"/>
          <w:sz w:val="22"/>
        </w:rPr>
      </w:pPr>
    </w:p>
    <w:p w14:paraId="24A5E78E"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Programming Directions:</w:t>
      </w:r>
      <w:r w:rsidRPr="00C12294">
        <w:rPr>
          <w:rFonts w:asciiTheme="majorHAnsi" w:hAnsiTheme="majorHAnsi" w:cstheme="majorHAnsi"/>
          <w:sz w:val="22"/>
        </w:rPr>
        <w:t xml:space="preserve"> </w:t>
      </w:r>
    </w:p>
    <w:p w14:paraId="0BB105FC"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Mainstream biodiversity across sectors and landscapes and seascapes through biodiversity mainstreaming in priority sectors.</w:t>
      </w:r>
    </w:p>
    <w:p w14:paraId="213F4E65" w14:textId="2F4DF743"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Address direct drivers to protect habitats and species and improve financial sustainability, effective management, and ecosystem coverage of the global protected area estate.</w:t>
      </w:r>
    </w:p>
    <w:p w14:paraId="5D1391FD" w14:textId="77777777" w:rsidR="00E56AD7" w:rsidRPr="00C12294" w:rsidRDefault="00E56AD7" w:rsidP="00E56AD7">
      <w:pPr>
        <w:pStyle w:val="BodyText1"/>
        <w:rPr>
          <w:rFonts w:asciiTheme="majorHAnsi" w:hAnsiTheme="majorHAnsi" w:cstheme="majorHAnsi"/>
          <w:sz w:val="22"/>
        </w:rPr>
      </w:pPr>
    </w:p>
    <w:p w14:paraId="14AF34DD" w14:textId="52D49025"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b/>
          <w:bCs/>
          <w:sz w:val="22"/>
        </w:rPr>
        <w:t>Nui Chua National Park</w:t>
      </w:r>
      <w:r w:rsidRPr="00C12294">
        <w:rPr>
          <w:rFonts w:asciiTheme="majorHAnsi" w:hAnsiTheme="majorHAnsi" w:cstheme="majorHAnsi"/>
          <w:sz w:val="22"/>
        </w:rPr>
        <w:t xml:space="preserve"> in </w:t>
      </w:r>
      <w:proofErr w:type="spellStart"/>
      <w:r w:rsidRPr="00C12294">
        <w:rPr>
          <w:rFonts w:asciiTheme="majorHAnsi" w:hAnsiTheme="majorHAnsi" w:cstheme="majorHAnsi"/>
          <w:sz w:val="22"/>
        </w:rPr>
        <w:t>Ninh</w:t>
      </w:r>
      <w:proofErr w:type="spellEnd"/>
      <w:r w:rsidRPr="00C12294">
        <w:rPr>
          <w:rFonts w:asciiTheme="majorHAnsi" w:hAnsiTheme="majorHAnsi" w:cstheme="majorHAnsi"/>
          <w:sz w:val="22"/>
        </w:rPr>
        <w:t xml:space="preserve"> </w:t>
      </w:r>
      <w:proofErr w:type="spellStart"/>
      <w:r w:rsidRPr="00C12294">
        <w:rPr>
          <w:rFonts w:asciiTheme="majorHAnsi" w:hAnsiTheme="majorHAnsi" w:cstheme="majorHAnsi"/>
          <w:sz w:val="22"/>
        </w:rPr>
        <w:t>Thuan</w:t>
      </w:r>
      <w:proofErr w:type="spellEnd"/>
      <w:r w:rsidRPr="00C12294">
        <w:rPr>
          <w:rFonts w:asciiTheme="majorHAnsi" w:hAnsiTheme="majorHAnsi" w:cstheme="majorHAnsi"/>
          <w:sz w:val="22"/>
        </w:rPr>
        <w:t xml:space="preserve"> province and </w:t>
      </w:r>
      <w:proofErr w:type="spellStart"/>
      <w:r w:rsidRPr="00C12294">
        <w:rPr>
          <w:rFonts w:asciiTheme="majorHAnsi" w:hAnsiTheme="majorHAnsi" w:cstheme="majorHAnsi"/>
          <w:b/>
          <w:bCs/>
          <w:sz w:val="22"/>
        </w:rPr>
        <w:t>Phong</w:t>
      </w:r>
      <w:proofErr w:type="spellEnd"/>
      <w:r w:rsidRPr="00C12294">
        <w:rPr>
          <w:rFonts w:asciiTheme="majorHAnsi" w:hAnsiTheme="majorHAnsi" w:cstheme="majorHAnsi"/>
          <w:b/>
          <w:bCs/>
          <w:sz w:val="22"/>
        </w:rPr>
        <w:t xml:space="preserve"> </w:t>
      </w:r>
      <w:proofErr w:type="spellStart"/>
      <w:r w:rsidRPr="00C12294">
        <w:rPr>
          <w:rFonts w:asciiTheme="majorHAnsi" w:hAnsiTheme="majorHAnsi" w:cstheme="majorHAnsi"/>
          <w:b/>
          <w:bCs/>
          <w:sz w:val="22"/>
        </w:rPr>
        <w:t>Nha-Ke</w:t>
      </w:r>
      <w:proofErr w:type="spellEnd"/>
      <w:r w:rsidRPr="00C12294">
        <w:rPr>
          <w:rFonts w:asciiTheme="majorHAnsi" w:hAnsiTheme="majorHAnsi" w:cstheme="majorHAnsi"/>
          <w:b/>
          <w:bCs/>
          <w:sz w:val="22"/>
        </w:rPr>
        <w:t xml:space="preserve"> Bang National Park</w:t>
      </w:r>
      <w:r w:rsidRPr="00C12294">
        <w:rPr>
          <w:rFonts w:asciiTheme="majorHAnsi" w:hAnsiTheme="majorHAnsi" w:cstheme="majorHAnsi"/>
          <w:sz w:val="22"/>
        </w:rPr>
        <w:t xml:space="preserve"> in Quang </w:t>
      </w:r>
      <w:proofErr w:type="spellStart"/>
      <w:r w:rsidRPr="00C12294">
        <w:rPr>
          <w:rFonts w:asciiTheme="majorHAnsi" w:hAnsiTheme="majorHAnsi" w:cstheme="majorHAnsi"/>
          <w:sz w:val="22"/>
        </w:rPr>
        <w:t>Binh</w:t>
      </w:r>
      <w:proofErr w:type="spellEnd"/>
      <w:r w:rsidRPr="00C12294">
        <w:rPr>
          <w:rFonts w:asciiTheme="majorHAnsi" w:hAnsiTheme="majorHAnsi" w:cstheme="majorHAnsi"/>
          <w:sz w:val="22"/>
        </w:rPr>
        <w:t xml:space="preserve"> province will be supported by the project, covering an estimated 146,984 ha of terrestrial area (23,658 ha in Nui Chua and 123,326 ha in </w:t>
      </w:r>
      <w:proofErr w:type="spellStart"/>
      <w:r w:rsidRPr="00C12294">
        <w:rPr>
          <w:rFonts w:asciiTheme="majorHAnsi" w:hAnsiTheme="majorHAnsi" w:cstheme="majorHAnsi"/>
          <w:sz w:val="22"/>
        </w:rPr>
        <w:t>Phong</w:t>
      </w:r>
      <w:proofErr w:type="spellEnd"/>
      <w:r w:rsidRPr="00C12294">
        <w:rPr>
          <w:rFonts w:asciiTheme="majorHAnsi" w:hAnsiTheme="majorHAnsi" w:cstheme="majorHAnsi"/>
          <w:sz w:val="22"/>
        </w:rPr>
        <w:t xml:space="preserve"> </w:t>
      </w:r>
      <w:proofErr w:type="spellStart"/>
      <w:r w:rsidRPr="00C12294">
        <w:rPr>
          <w:rFonts w:asciiTheme="majorHAnsi" w:hAnsiTheme="majorHAnsi" w:cstheme="majorHAnsi"/>
          <w:sz w:val="22"/>
        </w:rPr>
        <w:t>Nha-Ke</w:t>
      </w:r>
      <w:proofErr w:type="spellEnd"/>
      <w:r w:rsidRPr="00C12294">
        <w:rPr>
          <w:rFonts w:asciiTheme="majorHAnsi" w:hAnsiTheme="majorHAnsi" w:cstheme="majorHAnsi"/>
          <w:sz w:val="22"/>
        </w:rPr>
        <w:t xml:space="preserve"> Bang) and 7,352 ha of marine area (in Nui Chua), since the intent is to also expand nature-based conservation in the surrounding landscape/seascape around Nui Chua National Park. </w:t>
      </w:r>
    </w:p>
    <w:p w14:paraId="3FAAB13C" w14:textId="77777777" w:rsidR="00E56AD7" w:rsidRPr="00C12294" w:rsidRDefault="00E56AD7" w:rsidP="00E56AD7">
      <w:pPr>
        <w:pStyle w:val="BodyText1"/>
        <w:rPr>
          <w:rFonts w:asciiTheme="majorHAnsi" w:hAnsiTheme="majorHAnsi" w:cstheme="majorHAnsi"/>
          <w:sz w:val="22"/>
        </w:rPr>
      </w:pPr>
    </w:p>
    <w:p w14:paraId="208BB04B"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The project promotes responsible nature-based tourism through multi-sectoral coordination in a larger landscape approach to reduce threats to natural resources, reduce market demand for wildlife-related products, and mobilize sustainable financing mechanisms. </w:t>
      </w:r>
    </w:p>
    <w:p w14:paraId="29F6F4F4"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lastRenderedPageBreak/>
        <w:t xml:space="preserve">Based on a conservative estimate of potential opportunities for the generation of new and/or stabilization/maintenance of ‘green’ employment and community tourism-based livelihood operations, there will be an estimated 3,000 beneficiaries. </w:t>
      </w:r>
    </w:p>
    <w:p w14:paraId="022007F7" w14:textId="125E23D1" w:rsidR="00E56AD7" w:rsidRPr="00C12294" w:rsidRDefault="00E56AD7" w:rsidP="00E56AD7">
      <w:pPr>
        <w:pStyle w:val="BodyText1"/>
        <w:rPr>
          <w:rFonts w:asciiTheme="majorHAnsi" w:hAnsiTheme="majorHAnsi" w:cstheme="majorHAnsi"/>
          <w:sz w:val="22"/>
        </w:rPr>
      </w:pPr>
      <w:bookmarkStart w:id="16" w:name="_Toc102826403"/>
      <w:r w:rsidRPr="00C12294">
        <w:rPr>
          <w:rFonts w:asciiTheme="majorHAnsi" w:hAnsiTheme="majorHAnsi" w:cstheme="majorHAnsi"/>
          <w:sz w:val="22"/>
        </w:rPr>
        <w:t>Components/Outputs</w:t>
      </w:r>
      <w:bookmarkEnd w:id="16"/>
      <w:r w:rsidRPr="00C12294">
        <w:rPr>
          <w:rFonts w:asciiTheme="majorHAnsi" w:hAnsiTheme="majorHAnsi" w:cstheme="majorHAnsi"/>
          <w:sz w:val="22"/>
        </w:rPr>
        <w:t xml:space="preserve"> </w:t>
      </w:r>
    </w:p>
    <w:p w14:paraId="4090B44F" w14:textId="77777777" w:rsidR="00E56AD7" w:rsidRPr="00C12294" w:rsidRDefault="00E56AD7" w:rsidP="00E56AD7">
      <w:pPr>
        <w:pStyle w:val="BodyText1"/>
        <w:rPr>
          <w:rFonts w:asciiTheme="majorHAnsi" w:hAnsiTheme="majorHAnsi" w:cstheme="majorHAnsi"/>
          <w:sz w:val="22"/>
        </w:rPr>
      </w:pPr>
    </w:p>
    <w:p w14:paraId="21DE419C" w14:textId="1BCB0DA0"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The project objective is to implement four interrelated and mutually complementary components:</w:t>
      </w:r>
    </w:p>
    <w:p w14:paraId="57D67729" w14:textId="77777777" w:rsidR="00E56AD7" w:rsidRPr="00C12294" w:rsidRDefault="00E56AD7" w:rsidP="00E56AD7">
      <w:pPr>
        <w:pStyle w:val="BodyText1"/>
        <w:rPr>
          <w:rFonts w:asciiTheme="majorHAnsi" w:hAnsiTheme="majorHAnsi" w:cstheme="majorHAnsi"/>
          <w:sz w:val="22"/>
        </w:rPr>
      </w:pPr>
    </w:p>
    <w:p w14:paraId="6687BDF6"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Component 1: Enabling a framework to harmonize nature conservation and tourism development</w:t>
      </w:r>
    </w:p>
    <w:p w14:paraId="008F715E"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six outputs: </w:t>
      </w:r>
    </w:p>
    <w:p w14:paraId="19FCE550"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1.1: An effective national inter-agency partnership and coordination platform established for multi-level planning for tourism in high-value biodiversity areas to support the implementation of the National Biodiversity Strategy and Action Plan - up to 2030, vision 2050 (NBSAP) under Decision 149/QD-</w:t>
      </w:r>
      <w:proofErr w:type="spellStart"/>
      <w:r w:rsidRPr="00C12294">
        <w:rPr>
          <w:rFonts w:asciiTheme="majorHAnsi" w:hAnsiTheme="majorHAnsi" w:cstheme="majorHAnsi"/>
          <w:sz w:val="22"/>
        </w:rPr>
        <w:t>TTg</w:t>
      </w:r>
      <w:proofErr w:type="spellEnd"/>
      <w:r w:rsidRPr="00C12294">
        <w:rPr>
          <w:rFonts w:asciiTheme="majorHAnsi" w:hAnsiTheme="majorHAnsi" w:cstheme="majorHAnsi"/>
          <w:sz w:val="22"/>
        </w:rPr>
        <w:t xml:space="preserve"> dated January 28, 2022, and contributed to the effective implementation of the biodiversity and national tourism strategies.</w:t>
      </w:r>
    </w:p>
    <w:p w14:paraId="15F5F074"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1.2: Biodiversity conservation standards, criteria and guidelines for sustainable tourism development, management and operations in high-value biodiversity areas developed and adopted, supported by monitoring, verification, and reporting systems.</w:t>
      </w:r>
    </w:p>
    <w:p w14:paraId="17164E93"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1.3:  Mainstreaming biodiversity conservation into tourism policy, regulations, and master planning to develop national nature-based tourism and integration in PA management policies.</w:t>
      </w:r>
    </w:p>
    <w:p w14:paraId="4DD1109E"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1.4: A policy framework for operationalizing nature-based tourism strengthened, particularly for promoting: (</w:t>
      </w:r>
      <w:proofErr w:type="spellStart"/>
      <w:r w:rsidRPr="00C12294">
        <w:rPr>
          <w:rFonts w:asciiTheme="majorHAnsi" w:hAnsiTheme="majorHAnsi" w:cstheme="majorHAnsi"/>
          <w:sz w:val="22"/>
        </w:rPr>
        <w:t>i</w:t>
      </w:r>
      <w:proofErr w:type="spellEnd"/>
      <w:r w:rsidRPr="00C12294">
        <w:rPr>
          <w:rFonts w:asciiTheme="majorHAnsi" w:hAnsiTheme="majorHAnsi" w:cstheme="majorHAnsi"/>
          <w:sz w:val="22"/>
        </w:rPr>
        <w:t>) public-private partnerships in nature-based tourism; and (ii) community participation and benefit-sharing from nature-based tourism that ensure biodiversity conservation improvement.</w:t>
      </w:r>
    </w:p>
    <w:p w14:paraId="687749D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1.5: Practical and standardized methodologies for ecological and social impact assessment developed for nature-based tourism in high-value biodiversity areas to minimize impacts on wildlife, habitats, local culture, lifestyles, and standards to ensure compliance.</w:t>
      </w:r>
    </w:p>
    <w:p w14:paraId="435977F4" w14:textId="7BB86631" w:rsidR="00E56AD7" w:rsidRPr="00C12294" w:rsidRDefault="00E56AD7" w:rsidP="00E56AD7">
      <w:pPr>
        <w:pStyle w:val="BodyText1"/>
        <w:ind w:left="717"/>
        <w:rPr>
          <w:rFonts w:asciiTheme="majorHAnsi" w:hAnsiTheme="majorHAnsi" w:cstheme="majorHAnsi"/>
          <w:sz w:val="22"/>
        </w:rPr>
      </w:pPr>
      <w:r w:rsidRPr="00C12294">
        <w:rPr>
          <w:rFonts w:asciiTheme="majorHAnsi" w:hAnsiTheme="majorHAnsi" w:cstheme="majorHAnsi"/>
          <w:sz w:val="22"/>
        </w:rPr>
        <w:t>Output 1.6: Enabling national policy and clear legal framework underpinning the promotion and application of payment for ecosystem services from marine and wetland ecosystems (PMES and PWES) applied in project sites and replicated.</w:t>
      </w:r>
    </w:p>
    <w:p w14:paraId="562436DE" w14:textId="77777777" w:rsidR="00E56AD7" w:rsidRPr="00C12294" w:rsidRDefault="00E56AD7" w:rsidP="00E56AD7">
      <w:pPr>
        <w:pStyle w:val="BodyText1"/>
        <w:rPr>
          <w:rFonts w:asciiTheme="majorHAnsi" w:hAnsiTheme="majorHAnsi" w:cstheme="majorHAnsi"/>
          <w:b/>
          <w:bCs/>
          <w:sz w:val="22"/>
        </w:rPr>
      </w:pPr>
    </w:p>
    <w:p w14:paraId="5A5BAF38" w14:textId="6C355C56"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 xml:space="preserve">Component 2: Nature-based tourism partnerships benefitting communities, wildlife and habitats at Nui Chua and </w:t>
      </w:r>
      <w:proofErr w:type="spellStart"/>
      <w:r w:rsidRPr="00C12294">
        <w:rPr>
          <w:rFonts w:asciiTheme="majorHAnsi" w:hAnsiTheme="majorHAnsi" w:cstheme="majorHAnsi"/>
          <w:b/>
          <w:bCs/>
          <w:sz w:val="22"/>
        </w:rPr>
        <w:t>Phong</w:t>
      </w:r>
      <w:proofErr w:type="spellEnd"/>
      <w:r w:rsidRPr="00C12294">
        <w:rPr>
          <w:rFonts w:asciiTheme="majorHAnsi" w:hAnsiTheme="majorHAnsi" w:cstheme="majorHAnsi"/>
          <w:b/>
          <w:bCs/>
          <w:sz w:val="22"/>
        </w:rPr>
        <w:t xml:space="preserve"> </w:t>
      </w:r>
      <w:proofErr w:type="spellStart"/>
      <w:r w:rsidRPr="00C12294">
        <w:rPr>
          <w:rFonts w:asciiTheme="majorHAnsi" w:hAnsiTheme="majorHAnsi" w:cstheme="majorHAnsi"/>
          <w:b/>
          <w:bCs/>
          <w:sz w:val="22"/>
        </w:rPr>
        <w:t>Nha-Ke</w:t>
      </w:r>
      <w:proofErr w:type="spellEnd"/>
      <w:r w:rsidRPr="00C12294">
        <w:rPr>
          <w:rFonts w:asciiTheme="majorHAnsi" w:hAnsiTheme="majorHAnsi" w:cstheme="majorHAnsi"/>
          <w:b/>
          <w:bCs/>
          <w:sz w:val="22"/>
        </w:rPr>
        <w:t xml:space="preserve"> Bang National Parks</w:t>
      </w:r>
    </w:p>
    <w:p w14:paraId="0A5DE08C"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seven outputs: </w:t>
      </w:r>
    </w:p>
    <w:p w14:paraId="4E7C0F3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 xml:space="preserve">Output 2.1: Provincial multi-sectoral nature-based tourism platform established to support coordinated action and investment across government and private sectors to promote nature-based tourism development and biodiversity conservation in the Quang </w:t>
      </w:r>
      <w:proofErr w:type="spellStart"/>
      <w:r w:rsidRPr="00C12294">
        <w:rPr>
          <w:rFonts w:asciiTheme="majorHAnsi" w:hAnsiTheme="majorHAnsi" w:cstheme="majorHAnsi"/>
          <w:sz w:val="22"/>
        </w:rPr>
        <w:t>Binh</w:t>
      </w:r>
      <w:proofErr w:type="spellEnd"/>
      <w:r w:rsidRPr="00C12294">
        <w:rPr>
          <w:rFonts w:asciiTheme="majorHAnsi" w:hAnsiTheme="majorHAnsi" w:cstheme="majorHAnsi"/>
          <w:sz w:val="22"/>
        </w:rPr>
        <w:t xml:space="preserve"> and </w:t>
      </w:r>
      <w:proofErr w:type="spellStart"/>
      <w:r w:rsidRPr="00C12294">
        <w:rPr>
          <w:rFonts w:asciiTheme="majorHAnsi" w:hAnsiTheme="majorHAnsi" w:cstheme="majorHAnsi"/>
          <w:sz w:val="22"/>
        </w:rPr>
        <w:t>Ninh</w:t>
      </w:r>
      <w:proofErr w:type="spellEnd"/>
      <w:r w:rsidRPr="00C12294">
        <w:rPr>
          <w:rFonts w:asciiTheme="majorHAnsi" w:hAnsiTheme="majorHAnsi" w:cstheme="majorHAnsi"/>
          <w:sz w:val="22"/>
        </w:rPr>
        <w:t xml:space="preserve"> </w:t>
      </w:r>
      <w:proofErr w:type="spellStart"/>
      <w:r w:rsidRPr="00C12294">
        <w:rPr>
          <w:rFonts w:asciiTheme="majorHAnsi" w:hAnsiTheme="majorHAnsi" w:cstheme="majorHAnsi"/>
          <w:sz w:val="22"/>
        </w:rPr>
        <w:t>Thuan</w:t>
      </w:r>
      <w:proofErr w:type="spellEnd"/>
      <w:r w:rsidRPr="00C12294">
        <w:rPr>
          <w:rFonts w:asciiTheme="majorHAnsi" w:hAnsiTheme="majorHAnsi" w:cstheme="majorHAnsi"/>
          <w:sz w:val="22"/>
        </w:rPr>
        <w:t xml:space="preserve"> provinces.</w:t>
      </w:r>
    </w:p>
    <w:p w14:paraId="0861495E"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 xml:space="preserve">Output 2.2: Integrated nature-based tourism programs designed in Nui Chua and </w:t>
      </w:r>
      <w:proofErr w:type="spellStart"/>
      <w:r w:rsidRPr="00C12294">
        <w:rPr>
          <w:rFonts w:asciiTheme="majorHAnsi" w:hAnsiTheme="majorHAnsi" w:cstheme="majorHAnsi"/>
          <w:sz w:val="22"/>
        </w:rPr>
        <w:t>Phong</w:t>
      </w:r>
      <w:proofErr w:type="spellEnd"/>
      <w:r w:rsidRPr="00C12294">
        <w:rPr>
          <w:rFonts w:asciiTheme="majorHAnsi" w:hAnsiTheme="majorHAnsi" w:cstheme="majorHAnsi"/>
          <w:sz w:val="22"/>
        </w:rPr>
        <w:t xml:space="preserve"> </w:t>
      </w:r>
      <w:proofErr w:type="spellStart"/>
      <w:r w:rsidRPr="00C12294">
        <w:rPr>
          <w:rFonts w:asciiTheme="majorHAnsi" w:hAnsiTheme="majorHAnsi" w:cstheme="majorHAnsi"/>
          <w:sz w:val="22"/>
        </w:rPr>
        <w:t>Nha-Ke</w:t>
      </w:r>
      <w:proofErr w:type="spellEnd"/>
      <w:r w:rsidRPr="00C12294">
        <w:rPr>
          <w:rFonts w:asciiTheme="majorHAnsi" w:hAnsiTheme="majorHAnsi" w:cstheme="majorHAnsi"/>
          <w:sz w:val="22"/>
        </w:rPr>
        <w:t xml:space="preserve"> Bang National Parks. </w:t>
      </w:r>
    </w:p>
    <w:p w14:paraId="17484317"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2.3: Improved monitoring of the status of key biodiversity resources to assess the effectiveness of PA management, illegal wildlife threat management and biodiversity conservation outcomes of nature-based tourism.</w:t>
      </w:r>
    </w:p>
    <w:p w14:paraId="4A4275B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2.4: Institutional capacity for improving biodiversity conservation and management of PAs and effective monitoring, surveillance, and prevention of illegal wildlife activities.</w:t>
      </w:r>
    </w:p>
    <w:p w14:paraId="72AAB555"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2.5: Implementation of community-based biodiversity conservation and benefit-sharing programs from nature-based tourism and related products and services that provide new and innovative income generation activities.</w:t>
      </w:r>
    </w:p>
    <w:p w14:paraId="19FB8580" w14:textId="77777777" w:rsidR="00E56AD7" w:rsidRPr="00C12294" w:rsidRDefault="00E56AD7" w:rsidP="00E56AD7">
      <w:pPr>
        <w:pStyle w:val="BodyText1"/>
        <w:ind w:firstLine="363"/>
        <w:rPr>
          <w:rFonts w:asciiTheme="majorHAnsi" w:hAnsiTheme="majorHAnsi" w:cstheme="majorHAnsi"/>
          <w:sz w:val="22"/>
        </w:rPr>
      </w:pPr>
      <w:r w:rsidRPr="00C12294">
        <w:rPr>
          <w:rFonts w:asciiTheme="majorHAnsi" w:hAnsiTheme="majorHAnsi" w:cstheme="majorHAnsi"/>
          <w:sz w:val="22"/>
        </w:rPr>
        <w:t xml:space="preserve">Output 2.6: Demonstration of PMES in Nui Chua national park and surrounding landscape; </w:t>
      </w:r>
    </w:p>
    <w:p w14:paraId="613D50A5" w14:textId="4659C494"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lastRenderedPageBreak/>
        <w:t>Output 2.7: Distillation of results from the piloting / evidence-based application of guidelines and criteria at the local level as a feedback loop for refinement.</w:t>
      </w:r>
    </w:p>
    <w:p w14:paraId="7CD74B1D" w14:textId="77777777" w:rsidR="00E56AD7" w:rsidRPr="00C12294" w:rsidRDefault="00E56AD7" w:rsidP="00E56AD7">
      <w:pPr>
        <w:pStyle w:val="BodyText1"/>
        <w:ind w:left="720"/>
        <w:rPr>
          <w:rFonts w:asciiTheme="majorHAnsi" w:hAnsiTheme="majorHAnsi" w:cstheme="majorHAnsi"/>
          <w:sz w:val="22"/>
        </w:rPr>
      </w:pPr>
    </w:p>
    <w:p w14:paraId="084BBF48"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Component 3: Capacity building and behaviour change for acceptance of the value of nature-based tourism and wildlife and biodiversity protection</w:t>
      </w:r>
    </w:p>
    <w:p w14:paraId="5CF5F1DD" w14:textId="77777777" w:rsidR="00E56AD7" w:rsidRPr="00C12294" w:rsidRDefault="00E56AD7" w:rsidP="00E56AD7">
      <w:pPr>
        <w:pStyle w:val="BodyText1"/>
        <w:rPr>
          <w:rFonts w:asciiTheme="majorHAnsi" w:hAnsiTheme="majorHAnsi" w:cstheme="majorHAnsi"/>
          <w:sz w:val="22"/>
        </w:rPr>
      </w:pPr>
      <w:r w:rsidRPr="00C12294">
        <w:rPr>
          <w:rFonts w:asciiTheme="majorHAnsi" w:hAnsiTheme="majorHAnsi" w:cstheme="majorHAnsi"/>
          <w:sz w:val="22"/>
        </w:rPr>
        <w:t xml:space="preserve">Under this component, there are five outputs: </w:t>
      </w:r>
    </w:p>
    <w:p w14:paraId="624C9AC7"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3.1: Advocacy with the travel and tourism sector to promote nature-based tourism and biodiversity conservation.</w:t>
      </w:r>
    </w:p>
    <w:p w14:paraId="2FDAA8EC"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3.2: Targeted social and behavioural change communications and initiatives for domestic and international tourists to influence the purchase, use and trafficking of illegal wildlife products and promote more positive attitudes towards wildlife and nature conservation.</w:t>
      </w:r>
    </w:p>
    <w:p w14:paraId="728F3D6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3.3: Community outreach at the two protected areas (Pas) and buffer zones to shift attitudes and create social pressures for deterred involvement in poaching and trafficking of wildlife and increase awareness of the benefits of nature-based tourism and payment for environmental services.</w:t>
      </w:r>
    </w:p>
    <w:p w14:paraId="7C335FD2"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3.4: Tourism and related enterprises integrate biodiversity-friendly practices to enhance biodiversity protection, improve visitor awareness and behaviour change, and participate in actions protecting biodiversity at the two PAs.</w:t>
      </w:r>
    </w:p>
    <w:p w14:paraId="59EFFF89" w14:textId="6A698035"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3.5: Institutional capacity building and training of national stakeholders to integrate and mainstream biodiversity in nature-based tourism planning, monitoring, implementation, and enforcement.</w:t>
      </w:r>
    </w:p>
    <w:p w14:paraId="6C686803" w14:textId="77777777" w:rsidR="00E56AD7" w:rsidRPr="00C12294" w:rsidRDefault="00E56AD7" w:rsidP="00E56AD7">
      <w:pPr>
        <w:pStyle w:val="BodyText1"/>
        <w:ind w:left="720"/>
        <w:rPr>
          <w:rFonts w:asciiTheme="majorHAnsi" w:hAnsiTheme="majorHAnsi" w:cstheme="majorHAnsi"/>
          <w:sz w:val="22"/>
        </w:rPr>
      </w:pPr>
    </w:p>
    <w:p w14:paraId="672B1B89" w14:textId="77777777" w:rsidR="00E56AD7" w:rsidRPr="00C12294" w:rsidRDefault="00E56AD7" w:rsidP="00E56AD7">
      <w:pPr>
        <w:pStyle w:val="BodyText1"/>
        <w:rPr>
          <w:rFonts w:asciiTheme="majorHAnsi" w:hAnsiTheme="majorHAnsi" w:cstheme="majorHAnsi"/>
          <w:b/>
          <w:bCs/>
          <w:sz w:val="22"/>
        </w:rPr>
      </w:pPr>
      <w:r w:rsidRPr="00C12294">
        <w:rPr>
          <w:rFonts w:asciiTheme="majorHAnsi" w:hAnsiTheme="majorHAnsi" w:cstheme="majorHAnsi"/>
          <w:b/>
          <w:bCs/>
          <w:sz w:val="22"/>
        </w:rPr>
        <w:t xml:space="preserve">Component 4. Marketing, knowledge management, and monitoring and evaluation (M&amp;E) </w:t>
      </w:r>
    </w:p>
    <w:p w14:paraId="7BCC3EC4" w14:textId="77777777" w:rsidR="00E56AD7" w:rsidRPr="00C12294" w:rsidRDefault="00E56AD7" w:rsidP="00E56AD7">
      <w:pPr>
        <w:pStyle w:val="BodyText1"/>
        <w:ind w:firstLine="363"/>
        <w:rPr>
          <w:rFonts w:asciiTheme="majorHAnsi" w:hAnsiTheme="majorHAnsi" w:cstheme="majorHAnsi"/>
          <w:sz w:val="22"/>
        </w:rPr>
      </w:pPr>
      <w:r w:rsidRPr="00C12294">
        <w:rPr>
          <w:rFonts w:asciiTheme="majorHAnsi" w:hAnsiTheme="majorHAnsi" w:cstheme="majorHAnsi"/>
          <w:sz w:val="22"/>
        </w:rPr>
        <w:t xml:space="preserve">Under this component, there are three outputs: </w:t>
      </w:r>
    </w:p>
    <w:p w14:paraId="6590E9E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4.1: Marketing strategies and informational materials for promoting the quality and diversity of nature-based tourism at demonstration PAs developed and disseminated across tourism platforms in Vietnam and abroad.</w:t>
      </w:r>
    </w:p>
    <w:p w14:paraId="036A10C6" w14:textId="77777777"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4.2: Knowledge exchange platform developed for sharing experiences to replicate nature-based tourism planning and management models.</w:t>
      </w:r>
    </w:p>
    <w:p w14:paraId="24815253" w14:textId="171224D8" w:rsidR="00E56AD7" w:rsidRPr="00C12294" w:rsidRDefault="00E56AD7" w:rsidP="00E56AD7">
      <w:pPr>
        <w:pStyle w:val="BodyText1"/>
        <w:ind w:left="720"/>
        <w:rPr>
          <w:rFonts w:asciiTheme="majorHAnsi" w:hAnsiTheme="majorHAnsi" w:cstheme="majorHAnsi"/>
          <w:sz w:val="22"/>
        </w:rPr>
      </w:pPr>
      <w:r w:rsidRPr="00C12294">
        <w:rPr>
          <w:rFonts w:asciiTheme="majorHAnsi" w:hAnsiTheme="majorHAnsi" w:cstheme="majorHAnsi"/>
          <w:sz w:val="22"/>
        </w:rPr>
        <w:t>Output 4.3: M&amp;E system incorporating gender mainstreaming and safeguards developed and implemented for adaptive project management.</w:t>
      </w:r>
    </w:p>
    <w:p w14:paraId="00634C70" w14:textId="77777777" w:rsidR="00E56AD7" w:rsidRPr="00C12294" w:rsidRDefault="00E56AD7" w:rsidP="00E56AD7">
      <w:pPr>
        <w:rPr>
          <w:sz w:val="22"/>
        </w:rPr>
      </w:pPr>
    </w:p>
    <w:p w14:paraId="52276FBB" w14:textId="6883F7FA" w:rsidR="00C822E2" w:rsidRPr="008B5494" w:rsidRDefault="00C822E2" w:rsidP="00C822E2">
      <w:pPr>
        <w:pStyle w:val="Heading1"/>
        <w:rPr>
          <w:color w:val="002060"/>
        </w:rPr>
      </w:pPr>
      <w:bookmarkStart w:id="17" w:name="_Toc26097110"/>
      <w:bookmarkStart w:id="18" w:name="_Toc26097305"/>
      <w:bookmarkStart w:id="19" w:name="_Toc26111911"/>
      <w:bookmarkStart w:id="20" w:name="_Toc26169179"/>
      <w:bookmarkStart w:id="21" w:name="_Toc26097111"/>
      <w:bookmarkStart w:id="22" w:name="_Toc26097306"/>
      <w:bookmarkStart w:id="23" w:name="_Toc26111912"/>
      <w:bookmarkStart w:id="24" w:name="_Toc26169180"/>
      <w:bookmarkStart w:id="25" w:name="_Toc26097112"/>
      <w:bookmarkStart w:id="26" w:name="_Toc26097307"/>
      <w:bookmarkStart w:id="27" w:name="_Toc26111913"/>
      <w:bookmarkStart w:id="28" w:name="_Toc26169181"/>
      <w:bookmarkStart w:id="29" w:name="_Toc26097113"/>
      <w:bookmarkStart w:id="30" w:name="_Toc26097308"/>
      <w:bookmarkStart w:id="31" w:name="_Toc26111914"/>
      <w:bookmarkStart w:id="32" w:name="_Toc26169182"/>
      <w:bookmarkStart w:id="33" w:name="_Toc26097114"/>
      <w:bookmarkStart w:id="34" w:name="_Toc26097309"/>
      <w:bookmarkStart w:id="35" w:name="_Toc26111915"/>
      <w:bookmarkStart w:id="36" w:name="_Toc26169183"/>
      <w:bookmarkStart w:id="37" w:name="_Toc26097115"/>
      <w:bookmarkStart w:id="38" w:name="_Toc26097310"/>
      <w:bookmarkStart w:id="39" w:name="_Toc26111916"/>
      <w:bookmarkStart w:id="40" w:name="_Toc26169184"/>
      <w:bookmarkStart w:id="41" w:name="_Toc26097116"/>
      <w:bookmarkStart w:id="42" w:name="_Toc26097311"/>
      <w:bookmarkStart w:id="43" w:name="_Toc26111917"/>
      <w:bookmarkStart w:id="44" w:name="_Toc26169185"/>
      <w:bookmarkStart w:id="45" w:name="_Toc26097117"/>
      <w:bookmarkStart w:id="46" w:name="_Toc26097312"/>
      <w:bookmarkStart w:id="47" w:name="_Toc26111918"/>
      <w:bookmarkStart w:id="48" w:name="_Toc26169186"/>
      <w:bookmarkStart w:id="49" w:name="_Toc26097118"/>
      <w:bookmarkStart w:id="50" w:name="_Toc26097313"/>
      <w:bookmarkStart w:id="51" w:name="_Toc26111919"/>
      <w:bookmarkStart w:id="52" w:name="_Toc26169187"/>
      <w:bookmarkStart w:id="53" w:name="_Toc26097119"/>
      <w:bookmarkStart w:id="54" w:name="_Toc26097314"/>
      <w:bookmarkStart w:id="55" w:name="_Toc26111920"/>
      <w:bookmarkStart w:id="56" w:name="_Toc26169188"/>
      <w:bookmarkStart w:id="57" w:name="_Toc26097120"/>
      <w:bookmarkStart w:id="58" w:name="_Toc26097315"/>
      <w:bookmarkStart w:id="59" w:name="_Toc26111921"/>
      <w:bookmarkStart w:id="60" w:name="_Toc26169189"/>
      <w:bookmarkStart w:id="61" w:name="_Toc26097121"/>
      <w:bookmarkStart w:id="62" w:name="_Toc26097316"/>
      <w:bookmarkStart w:id="63" w:name="_Toc26111922"/>
      <w:bookmarkStart w:id="64" w:name="_Toc26169190"/>
      <w:bookmarkStart w:id="65" w:name="_Toc26097122"/>
      <w:bookmarkStart w:id="66" w:name="_Toc26097317"/>
      <w:bookmarkStart w:id="67" w:name="_Toc26111923"/>
      <w:bookmarkStart w:id="68" w:name="_Toc26169191"/>
      <w:bookmarkStart w:id="69" w:name="_Toc26097123"/>
      <w:bookmarkStart w:id="70" w:name="_Toc26097318"/>
      <w:bookmarkStart w:id="71" w:name="_Toc26111924"/>
      <w:bookmarkStart w:id="72" w:name="_Toc26169192"/>
      <w:bookmarkStart w:id="73" w:name="_Toc26097124"/>
      <w:bookmarkStart w:id="74" w:name="_Toc26097319"/>
      <w:bookmarkStart w:id="75" w:name="_Toc26111925"/>
      <w:bookmarkStart w:id="76" w:name="_Toc26169193"/>
      <w:bookmarkStart w:id="77" w:name="_Toc26097125"/>
      <w:bookmarkStart w:id="78" w:name="_Toc26097320"/>
      <w:bookmarkStart w:id="79" w:name="_Toc26111926"/>
      <w:bookmarkStart w:id="80" w:name="_Toc26169194"/>
      <w:bookmarkStart w:id="81" w:name="_Toc26097126"/>
      <w:bookmarkStart w:id="82" w:name="_Toc26097321"/>
      <w:bookmarkStart w:id="83" w:name="_Toc26111927"/>
      <w:bookmarkStart w:id="84" w:name="_Toc26169195"/>
      <w:bookmarkStart w:id="85" w:name="_Toc26097127"/>
      <w:bookmarkStart w:id="86" w:name="_Toc26097322"/>
      <w:bookmarkStart w:id="87" w:name="_Toc26111928"/>
      <w:bookmarkStart w:id="88" w:name="_Toc26169196"/>
      <w:bookmarkStart w:id="89" w:name="_Toc26097128"/>
      <w:bookmarkStart w:id="90" w:name="_Toc26097323"/>
      <w:bookmarkStart w:id="91" w:name="_Toc26111929"/>
      <w:bookmarkStart w:id="92" w:name="_Toc26169197"/>
      <w:bookmarkStart w:id="93" w:name="_Toc26097129"/>
      <w:bookmarkStart w:id="94" w:name="_Toc26097324"/>
      <w:bookmarkStart w:id="95" w:name="_Toc26111930"/>
      <w:bookmarkStart w:id="96" w:name="_Toc26169198"/>
      <w:bookmarkStart w:id="97" w:name="_Toc26097130"/>
      <w:bookmarkStart w:id="98" w:name="_Toc26097325"/>
      <w:bookmarkStart w:id="99" w:name="_Toc26111931"/>
      <w:bookmarkStart w:id="100" w:name="_Toc26169199"/>
      <w:bookmarkStart w:id="101" w:name="_Toc26097131"/>
      <w:bookmarkStart w:id="102" w:name="_Toc26097326"/>
      <w:bookmarkStart w:id="103" w:name="_Toc26111932"/>
      <w:bookmarkStart w:id="104" w:name="_Toc26169200"/>
      <w:bookmarkStart w:id="105" w:name="_Toc26097132"/>
      <w:bookmarkStart w:id="106" w:name="_Toc26097327"/>
      <w:bookmarkStart w:id="107" w:name="_Toc26111933"/>
      <w:bookmarkStart w:id="108" w:name="_Toc26169201"/>
      <w:bookmarkStart w:id="109" w:name="_Toc26097133"/>
      <w:bookmarkStart w:id="110" w:name="_Toc26097328"/>
      <w:bookmarkStart w:id="111" w:name="_Toc26111934"/>
      <w:bookmarkStart w:id="112" w:name="_Toc26169202"/>
      <w:bookmarkStart w:id="113" w:name="_Toc26097134"/>
      <w:bookmarkStart w:id="114" w:name="_Toc26097329"/>
      <w:bookmarkStart w:id="115" w:name="_Toc26111935"/>
      <w:bookmarkStart w:id="116" w:name="_Toc26169203"/>
      <w:bookmarkStart w:id="117" w:name="_Toc26097135"/>
      <w:bookmarkStart w:id="118" w:name="_Toc26097330"/>
      <w:bookmarkStart w:id="119" w:name="_Toc26111936"/>
      <w:bookmarkStart w:id="120" w:name="_Toc26169204"/>
      <w:bookmarkStart w:id="121" w:name="_Toc26097136"/>
      <w:bookmarkStart w:id="122" w:name="_Toc26097331"/>
      <w:bookmarkStart w:id="123" w:name="_Toc26111937"/>
      <w:bookmarkStart w:id="124" w:name="_Toc26169205"/>
      <w:bookmarkStart w:id="125" w:name="_Toc26097137"/>
      <w:bookmarkStart w:id="126" w:name="_Toc26097332"/>
      <w:bookmarkStart w:id="127" w:name="_Toc26111938"/>
      <w:bookmarkStart w:id="128" w:name="_Toc26169206"/>
      <w:bookmarkStart w:id="129" w:name="_Toc26097138"/>
      <w:bookmarkStart w:id="130" w:name="_Toc26097333"/>
      <w:bookmarkStart w:id="131" w:name="_Toc26111939"/>
      <w:bookmarkStart w:id="132" w:name="_Toc26169207"/>
      <w:bookmarkStart w:id="133" w:name="_Toc26097139"/>
      <w:bookmarkStart w:id="134" w:name="_Toc26097334"/>
      <w:bookmarkStart w:id="135" w:name="_Toc26111940"/>
      <w:bookmarkStart w:id="136" w:name="_Toc26169208"/>
      <w:bookmarkStart w:id="137" w:name="_Toc35030063"/>
      <w:bookmarkStart w:id="138" w:name="_Toc10421838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8B5494">
        <w:rPr>
          <w:color w:val="002060"/>
        </w:rPr>
        <w:t>3. Purpose and s</w:t>
      </w:r>
      <w:r w:rsidR="00D17579">
        <w:rPr>
          <w:color w:val="002060"/>
        </w:rPr>
        <w:t>c</w:t>
      </w:r>
      <w:r w:rsidRPr="008B5494">
        <w:rPr>
          <w:color w:val="002060"/>
        </w:rPr>
        <w:t>ope of this ESMF</w:t>
      </w:r>
      <w:bookmarkEnd w:id="137"/>
      <w:bookmarkEnd w:id="138"/>
    </w:p>
    <w:p w14:paraId="34D14BED" w14:textId="07C9C18D" w:rsidR="003941CC" w:rsidRPr="00C12294" w:rsidRDefault="003941CC" w:rsidP="003941CC">
      <w:pPr>
        <w:spacing w:before="240"/>
        <w:rPr>
          <w:rFonts w:asciiTheme="majorHAnsi" w:eastAsiaTheme="majorEastAsia" w:hAnsiTheme="majorHAnsi" w:cstheme="majorHAnsi"/>
          <w:sz w:val="22"/>
          <w:lang w:val="en-US"/>
        </w:rPr>
      </w:pPr>
      <w:r w:rsidRPr="00C12294">
        <w:rPr>
          <w:rFonts w:asciiTheme="majorHAnsi" w:hAnsiTheme="majorHAnsi" w:cstheme="majorHAnsi"/>
          <w:sz w:val="22"/>
          <w:lang w:val="en-US"/>
        </w:rPr>
        <w:t>This ESMF  has been developed as a management tool to assist in managing potential adverse social and environmental impacts associated with activities of this GEF-financed project, in line with the requirements of UNDP’s SES. The implementing partner of the project and the relevant members of the Project Management Unit will follow this ESMF during project implementation and ensure the environmental and social risks and impacts are fully assessed and management measures are put in place prior to the implementation of the relevant project activities</w:t>
      </w:r>
      <w:r w:rsidRPr="00C12294">
        <w:rPr>
          <w:rFonts w:asciiTheme="majorHAnsi" w:eastAsiaTheme="majorEastAsia" w:hAnsiTheme="majorHAnsi" w:cstheme="majorHAnsi"/>
          <w:sz w:val="22"/>
          <w:lang w:val="en-US"/>
        </w:rPr>
        <w:t>.</w:t>
      </w:r>
    </w:p>
    <w:p w14:paraId="795F8ABA" w14:textId="4ADF9133" w:rsidR="00C822E2" w:rsidRPr="00C12294" w:rsidRDefault="003941CC" w:rsidP="00B70B5C">
      <w:pPr>
        <w:spacing w:before="240"/>
        <w:rPr>
          <w:rFonts w:asciiTheme="majorHAnsi" w:eastAsiaTheme="majorEastAsia" w:hAnsiTheme="majorHAnsi" w:cstheme="majorHAnsi"/>
          <w:sz w:val="22"/>
          <w:lang w:val="en-US"/>
        </w:rPr>
      </w:pPr>
      <w:r w:rsidRPr="00C12294">
        <w:rPr>
          <w:rFonts w:asciiTheme="majorHAnsi" w:eastAsiaTheme="majorEastAsia" w:hAnsiTheme="majorHAnsi" w:cstheme="majorHAnsi"/>
          <w:sz w:val="22"/>
          <w:lang w:val="en-US"/>
        </w:rPr>
        <w:t xml:space="preserve">This ESMF identifies the steps for detailed screening and assessment of the project’s potential social and environmental risks, and for preparing and approving the required management plans for avoiding, and where avoidance is not possible, reducing, mitigating, and managing these adverse impacts. Its scope </w:t>
      </w:r>
      <w:r w:rsidRPr="00C12294">
        <w:rPr>
          <w:rFonts w:asciiTheme="majorHAnsi" w:eastAsiaTheme="majorEastAsia" w:hAnsiTheme="majorHAnsi" w:cstheme="majorHAnsi"/>
          <w:sz w:val="22"/>
          <w:lang w:val="en-US"/>
        </w:rPr>
        <w:lastRenderedPageBreak/>
        <w:t>covers all project activities described in above in Section 2, which include co-financing in terms of in-kind contributions, grants and equity investment by various government agencies and the private sector needed to implement the project.</w:t>
      </w:r>
    </w:p>
    <w:p w14:paraId="6DF838BC" w14:textId="081069CF" w:rsidR="00C822E2" w:rsidRPr="0091120C" w:rsidRDefault="0061518B" w:rsidP="0091120C">
      <w:pPr>
        <w:pStyle w:val="Heading1"/>
        <w:rPr>
          <w:color w:val="002060"/>
        </w:rPr>
      </w:pPr>
      <w:bookmarkStart w:id="139" w:name="_Toc26097141"/>
      <w:bookmarkStart w:id="140" w:name="_Toc26097336"/>
      <w:bookmarkStart w:id="141" w:name="_Toc26111942"/>
      <w:bookmarkStart w:id="142" w:name="_Toc26169210"/>
      <w:bookmarkStart w:id="143" w:name="_Toc26097142"/>
      <w:bookmarkStart w:id="144" w:name="_Toc26097337"/>
      <w:bookmarkStart w:id="145" w:name="_Toc26111943"/>
      <w:bookmarkStart w:id="146" w:name="_Toc26169211"/>
      <w:bookmarkStart w:id="147" w:name="_Toc35030064"/>
      <w:bookmarkStart w:id="148" w:name="_Toc104218381"/>
      <w:bookmarkEnd w:id="139"/>
      <w:bookmarkEnd w:id="140"/>
      <w:bookmarkEnd w:id="141"/>
      <w:bookmarkEnd w:id="142"/>
      <w:bookmarkEnd w:id="143"/>
      <w:bookmarkEnd w:id="144"/>
      <w:bookmarkEnd w:id="145"/>
      <w:bookmarkEnd w:id="146"/>
      <w:r w:rsidRPr="0091120C">
        <w:rPr>
          <w:color w:val="002060"/>
        </w:rPr>
        <w:t xml:space="preserve">4 </w:t>
      </w:r>
      <w:r w:rsidR="00C822E2" w:rsidRPr="0091120C">
        <w:rPr>
          <w:color w:val="002060"/>
        </w:rPr>
        <w:t>Potential Social and Environmental Impacts</w:t>
      </w:r>
      <w:bookmarkEnd w:id="147"/>
      <w:bookmarkEnd w:id="148"/>
      <w:r w:rsidR="00C822E2" w:rsidRPr="0091120C">
        <w:rPr>
          <w:color w:val="002060"/>
        </w:rPr>
        <w:t xml:space="preserve"> </w:t>
      </w:r>
    </w:p>
    <w:p w14:paraId="271A3518" w14:textId="4CB7C658" w:rsidR="00C822E2" w:rsidRPr="00C12294" w:rsidRDefault="00036443" w:rsidP="00C822E2">
      <w:pPr>
        <w:spacing w:after="160"/>
        <w:contextualSpacing/>
        <w:rPr>
          <w:rFonts w:asciiTheme="majorHAnsi" w:hAnsiTheme="majorHAnsi" w:cstheme="majorHAnsi"/>
          <w:sz w:val="22"/>
          <w:lang w:val="en-US"/>
        </w:rPr>
      </w:pPr>
      <w:r w:rsidRPr="00C12294">
        <w:rPr>
          <w:rFonts w:asciiTheme="majorHAnsi" w:hAnsiTheme="majorHAnsi" w:cstheme="majorHAnsi"/>
          <w:sz w:val="22"/>
          <w:lang w:val="en-US"/>
        </w:rPr>
        <w:t xml:space="preserve">During the PPG phase, the UNDP SESP was used to identify potential social and environmental risks and positive impacts associated with this Project. The </w:t>
      </w:r>
      <w:r w:rsidRPr="00C12294">
        <w:rPr>
          <w:rFonts w:asciiTheme="majorHAnsi" w:hAnsiTheme="majorHAnsi" w:cstheme="majorHAnsi"/>
          <w:sz w:val="22"/>
        </w:rPr>
        <w:t xml:space="preserve">project was scrutinized as to its type, location, scale, sensitivity and the magnitude of its potential social and environmental impacts. All project activities were screened, including planning support, policy advice, and capacity-building, and site-specific, physical interventions. </w:t>
      </w:r>
      <w:r w:rsidRPr="00C12294">
        <w:rPr>
          <w:rFonts w:asciiTheme="majorHAnsi" w:hAnsiTheme="majorHAnsi" w:cstheme="majorHAnsi"/>
          <w:sz w:val="22"/>
          <w:lang w:val="en-US"/>
        </w:rPr>
        <w:t xml:space="preserve">The screening highlighted the project intentions as they related to mainstreaming human rights, gender equality and women’s empowerment, accountability and environmental sustainability. </w:t>
      </w:r>
    </w:p>
    <w:p w14:paraId="70C2BD49" w14:textId="79E49AC5" w:rsidR="008C6D5E" w:rsidRPr="00C12294" w:rsidRDefault="008C6D5E" w:rsidP="008C6D5E">
      <w:pPr>
        <w:rPr>
          <w:rFonts w:asciiTheme="majorHAnsi" w:hAnsiTheme="majorHAnsi" w:cstheme="majorHAnsi"/>
          <w:sz w:val="22"/>
        </w:rPr>
      </w:pPr>
    </w:p>
    <w:p w14:paraId="52125E24" w14:textId="1D3A7E1F" w:rsidR="008C6D5E" w:rsidRPr="00C12294" w:rsidRDefault="00036443" w:rsidP="008C6D5E">
      <w:pPr>
        <w:rPr>
          <w:rFonts w:asciiTheme="majorHAnsi" w:hAnsiTheme="majorHAnsi" w:cstheme="majorHAnsi"/>
          <w:sz w:val="22"/>
        </w:rPr>
      </w:pPr>
      <w:r w:rsidRPr="00C12294">
        <w:rPr>
          <w:rFonts w:asciiTheme="majorHAnsi" w:hAnsiTheme="majorHAnsi" w:cstheme="majorHAnsi"/>
          <w:sz w:val="22"/>
          <w:lang w:val="en-US"/>
        </w:rPr>
        <w:t xml:space="preserve">In terms of risks, the SESP identified a total of </w:t>
      </w:r>
      <w:r w:rsidR="00727B72">
        <w:rPr>
          <w:rFonts w:asciiTheme="majorHAnsi" w:hAnsiTheme="majorHAnsi" w:cstheme="majorHAnsi"/>
          <w:sz w:val="22"/>
          <w:lang w:val="en-US"/>
        </w:rPr>
        <w:t>fourteen</w:t>
      </w:r>
      <w:r w:rsidRPr="00C12294">
        <w:rPr>
          <w:rFonts w:asciiTheme="majorHAnsi" w:hAnsiTheme="majorHAnsi" w:cstheme="majorHAnsi"/>
          <w:sz w:val="22"/>
          <w:lang w:val="en-US"/>
        </w:rPr>
        <w:t xml:space="preserve"> risks, </w:t>
      </w:r>
      <w:r w:rsidR="002958D8" w:rsidRPr="00C12294">
        <w:rPr>
          <w:rFonts w:asciiTheme="majorHAnsi" w:hAnsiTheme="majorHAnsi" w:cstheme="majorHAnsi"/>
          <w:sz w:val="22"/>
          <w:lang w:val="en-US"/>
        </w:rPr>
        <w:t>ten</w:t>
      </w:r>
      <w:r w:rsidRPr="00C12294">
        <w:rPr>
          <w:rFonts w:asciiTheme="majorHAnsi" w:hAnsiTheme="majorHAnsi" w:cstheme="majorHAnsi"/>
          <w:sz w:val="22"/>
          <w:lang w:val="en-US"/>
        </w:rPr>
        <w:t xml:space="preserve"> of which have been assessed as having Moderate significance while </w:t>
      </w:r>
      <w:r w:rsidR="00703C93" w:rsidRPr="00C12294">
        <w:rPr>
          <w:rFonts w:asciiTheme="majorHAnsi" w:hAnsiTheme="majorHAnsi" w:cstheme="majorHAnsi"/>
          <w:sz w:val="22"/>
          <w:lang w:val="en-US"/>
        </w:rPr>
        <w:t xml:space="preserve">three </w:t>
      </w:r>
      <w:r w:rsidRPr="00C12294">
        <w:rPr>
          <w:rFonts w:asciiTheme="majorHAnsi" w:hAnsiTheme="majorHAnsi" w:cstheme="majorHAnsi"/>
          <w:sz w:val="22"/>
          <w:lang w:val="en-US"/>
        </w:rPr>
        <w:t>were rated Substantial</w:t>
      </w:r>
      <w:r w:rsidR="00727B72">
        <w:rPr>
          <w:rFonts w:asciiTheme="majorHAnsi" w:hAnsiTheme="majorHAnsi" w:cstheme="majorHAnsi"/>
          <w:sz w:val="22"/>
          <w:lang w:val="en-US"/>
        </w:rPr>
        <w:t xml:space="preserve"> (and one as low)</w:t>
      </w:r>
      <w:r w:rsidRPr="00C12294">
        <w:rPr>
          <w:rFonts w:asciiTheme="majorHAnsi" w:hAnsiTheme="majorHAnsi" w:cstheme="majorHAnsi"/>
          <w:sz w:val="22"/>
          <w:lang w:val="en-US"/>
        </w:rPr>
        <w:t>; hence overall SESP risk categorization rating for the project is “Substantial”. The project document includes the SESP template that details the specific environmental and social risks identified.</w:t>
      </w:r>
    </w:p>
    <w:p w14:paraId="383BE484" w14:textId="3A3EE4D2" w:rsidR="00E56AD7" w:rsidRPr="00C12294" w:rsidRDefault="00E56AD7" w:rsidP="008C6D5E">
      <w:pPr>
        <w:rPr>
          <w:sz w:val="22"/>
        </w:rPr>
      </w:pPr>
    </w:p>
    <w:p w14:paraId="51BF4C2C" w14:textId="77777777" w:rsidR="00703C93" w:rsidRPr="00C12294" w:rsidRDefault="00703C93" w:rsidP="00703C93">
      <w:pPr>
        <w:rPr>
          <w:rFonts w:asciiTheme="majorHAnsi" w:hAnsiTheme="majorHAnsi" w:cstheme="majorHAnsi"/>
          <w:sz w:val="22"/>
        </w:rPr>
      </w:pPr>
      <w:r w:rsidRPr="00C12294">
        <w:rPr>
          <w:rFonts w:asciiTheme="majorHAnsi" w:hAnsiTheme="majorHAnsi" w:cstheme="majorHAnsi"/>
          <w:b/>
          <w:sz w:val="22"/>
        </w:rPr>
        <w:t>Substantial Risk</w:t>
      </w:r>
      <w:r w:rsidRPr="00C12294">
        <w:rPr>
          <w:rFonts w:asciiTheme="majorHAnsi" w:hAnsiTheme="majorHAnsi" w:cstheme="majorHAnsi"/>
          <w:sz w:val="22"/>
        </w:rPr>
        <w:t xml:space="preserve">: Defined by UNDP’s SESP as </w:t>
      </w:r>
      <w:r w:rsidRPr="00C12294">
        <w:rPr>
          <w:rFonts w:asciiTheme="majorHAnsi" w:hAnsiTheme="majorHAnsi" w:cstheme="majorHAnsi"/>
          <w:i/>
          <w:iCs/>
          <w:sz w:val="22"/>
        </w:rPr>
        <w:t xml:space="preserve">“Projects that include activities with potential adverse social and environmental risks and impacts that are more varied or complex than those of Moderate Risk projects but remain limited in scale and are of lesser magnitude than those of </w:t>
      </w:r>
      <w:proofErr w:type="gramStart"/>
      <w:r w:rsidRPr="00C12294">
        <w:rPr>
          <w:rFonts w:asciiTheme="majorHAnsi" w:hAnsiTheme="majorHAnsi" w:cstheme="majorHAnsi"/>
          <w:i/>
          <w:iCs/>
          <w:sz w:val="22"/>
        </w:rPr>
        <w:t>High Risk</w:t>
      </w:r>
      <w:proofErr w:type="gramEnd"/>
      <w:r w:rsidRPr="00C12294">
        <w:rPr>
          <w:rFonts w:asciiTheme="majorHAnsi" w:hAnsiTheme="majorHAnsi" w:cstheme="majorHAnsi"/>
          <w:i/>
          <w:iCs/>
          <w:sz w:val="22"/>
        </w:rPr>
        <w:t xml:space="preserve"> projects (e.g. reversible, predictable, smaller footprint, less risk of cumulative impacts).”</w:t>
      </w:r>
    </w:p>
    <w:p w14:paraId="19DD16C5" w14:textId="05DC6F77" w:rsidR="00703C93" w:rsidRPr="00C12294" w:rsidRDefault="00703C93" w:rsidP="00703C93">
      <w:pPr>
        <w:rPr>
          <w:rFonts w:asciiTheme="majorHAnsi" w:hAnsiTheme="majorHAnsi" w:cstheme="majorHAnsi"/>
          <w:sz w:val="22"/>
        </w:rPr>
      </w:pPr>
      <w:r w:rsidRPr="00C12294">
        <w:rPr>
          <w:rFonts w:asciiTheme="majorHAnsi" w:hAnsiTheme="majorHAnsi" w:cstheme="majorHAnsi"/>
          <w:sz w:val="22"/>
          <w:lang w:val="en-US"/>
        </w:rPr>
        <w:t xml:space="preserve">The following are the project risks and their significance as identified in the completed SESP found in </w:t>
      </w:r>
      <w:r w:rsidRPr="00C12294">
        <w:rPr>
          <w:rFonts w:asciiTheme="majorHAnsi" w:hAnsiTheme="majorHAnsi" w:cstheme="majorHAnsi"/>
          <w:sz w:val="22"/>
          <w:highlight w:val="yellow"/>
          <w:lang w:val="en-US"/>
        </w:rPr>
        <w:t>Annex 9.1</w:t>
      </w:r>
      <w:r w:rsidR="00AB19A7" w:rsidRPr="00C12294">
        <w:rPr>
          <w:rFonts w:asciiTheme="majorHAnsi" w:hAnsiTheme="majorHAnsi" w:cstheme="majorHAnsi"/>
          <w:sz w:val="22"/>
          <w:lang w:val="en-US"/>
        </w:rPr>
        <w:t xml:space="preserve"> of the </w:t>
      </w:r>
      <w:proofErr w:type="spellStart"/>
      <w:r w:rsidR="00AB19A7" w:rsidRPr="00C12294">
        <w:rPr>
          <w:rFonts w:asciiTheme="majorHAnsi" w:hAnsiTheme="majorHAnsi" w:cstheme="majorHAnsi"/>
          <w:sz w:val="22"/>
          <w:lang w:val="en-US"/>
        </w:rPr>
        <w:t>ProDoc</w:t>
      </w:r>
      <w:proofErr w:type="spellEnd"/>
      <w:r w:rsidR="00AB19A7" w:rsidRPr="00C12294">
        <w:rPr>
          <w:rFonts w:asciiTheme="majorHAnsi" w:hAnsiTheme="majorHAnsi" w:cstheme="majorHAnsi"/>
          <w:sz w:val="22"/>
          <w:lang w:val="en-US"/>
        </w:rPr>
        <w:t xml:space="preserve">. </w:t>
      </w:r>
    </w:p>
    <w:p w14:paraId="4537E198" w14:textId="627B25D7" w:rsidR="00E56AD7" w:rsidRPr="00C12294" w:rsidRDefault="00E56AD7" w:rsidP="008C6D5E">
      <w:pPr>
        <w:rPr>
          <w:rFonts w:asciiTheme="majorHAnsi" w:hAnsiTheme="majorHAnsi" w:cstheme="majorHAnsi"/>
          <w:sz w:val="22"/>
        </w:rPr>
      </w:pPr>
    </w:p>
    <w:p w14:paraId="5FBEACBA" w14:textId="0D0B93E8" w:rsidR="00703C93" w:rsidRPr="00C12294" w:rsidRDefault="00703C93" w:rsidP="00703C93">
      <w:pPr>
        <w:spacing w:after="60"/>
        <w:rPr>
          <w:rFonts w:asciiTheme="majorHAnsi" w:hAnsiTheme="majorHAnsi" w:cstheme="majorHAnsi"/>
          <w:b/>
          <w:bCs/>
          <w:iCs/>
          <w:sz w:val="22"/>
          <w:u w:val="single"/>
        </w:rPr>
      </w:pPr>
      <w:r w:rsidRPr="00C12294">
        <w:rPr>
          <w:rFonts w:asciiTheme="majorHAnsi" w:eastAsia="Times New Roman" w:hAnsiTheme="majorHAnsi" w:cstheme="majorHAnsi"/>
          <w:i/>
          <w:sz w:val="22"/>
          <w:u w:val="single"/>
        </w:rPr>
        <w:t>Risk 1</w:t>
      </w:r>
      <w:r w:rsidRPr="00C12294">
        <w:rPr>
          <w:rFonts w:asciiTheme="majorHAnsi" w:eastAsia="Times New Roman" w:hAnsiTheme="majorHAnsi" w:cstheme="majorHAnsi"/>
          <w:i/>
          <w:sz w:val="22"/>
        </w:rPr>
        <w:t xml:space="preserve">: Given the presence of ethnic minorities in both PA sites, certain key project outputs/components will require the informed consent (FPIC) of ethnic minorities before the implementation of these activities. This is particularly the case for project supported activities on the development of local nature-based tourism products and experiences, as well as </w:t>
      </w:r>
      <w:r w:rsidRPr="00C12294">
        <w:rPr>
          <w:rFonts w:asciiTheme="majorHAnsi" w:hAnsiTheme="majorHAnsi" w:cstheme="majorHAnsi"/>
          <w:i/>
          <w:sz w:val="22"/>
        </w:rPr>
        <w:t xml:space="preserve">participation during project design and the implementation . </w:t>
      </w:r>
      <w:r w:rsidRPr="00C12294">
        <w:rPr>
          <w:rFonts w:asciiTheme="majorHAnsi" w:eastAsia="Times New Roman" w:hAnsiTheme="majorHAnsi" w:cstheme="majorHAnsi"/>
          <w:i/>
          <w:sz w:val="22"/>
        </w:rPr>
        <w:t xml:space="preserve"> Ethnic m</w:t>
      </w:r>
      <w:r w:rsidRPr="00C12294">
        <w:rPr>
          <w:rFonts w:asciiTheme="majorHAnsi" w:eastAsia="Times New Roman" w:hAnsiTheme="majorHAnsi" w:cstheme="majorHAnsi"/>
          <w:iCs/>
          <w:sz w:val="22"/>
        </w:rPr>
        <w:t xml:space="preserve">inority </w:t>
      </w:r>
      <w:r w:rsidRPr="00C12294">
        <w:rPr>
          <w:rFonts w:asciiTheme="majorHAnsi" w:eastAsia="Times New Roman" w:hAnsiTheme="majorHAnsi" w:cstheme="majorHAnsi"/>
          <w:i/>
          <w:sz w:val="22"/>
        </w:rPr>
        <w:t xml:space="preserve">communities </w:t>
      </w:r>
      <w:r w:rsidRPr="00C12294">
        <w:rPr>
          <w:rFonts w:asciiTheme="majorHAnsi" w:hAnsiTheme="majorHAnsi" w:cstheme="majorHAnsi"/>
          <w:i/>
          <w:sz w:val="22"/>
        </w:rPr>
        <w:t>might not be aware of the consent-giving process or be fully capacitated to give FPIC in accordance with international and national policies. Consultation and engagement with local communities has been limited during the design of the project (due to national Covid-19 restrictions) which has further exacerbated issues surrounding PAPs ability to give consent in line with the requirements of UNDP SES 6.   (</w:t>
      </w:r>
      <w:r w:rsidRPr="00C12294">
        <w:rPr>
          <w:rFonts w:asciiTheme="majorHAnsi" w:hAnsiTheme="majorHAnsi" w:cstheme="majorHAnsi"/>
          <w:b/>
          <w:bCs/>
          <w:iCs/>
          <w:sz w:val="22"/>
          <w:u w:val="single"/>
        </w:rPr>
        <w:t>Substantial)</w:t>
      </w:r>
    </w:p>
    <w:p w14:paraId="0B6D54C3" w14:textId="31B65BE4" w:rsidR="00073CFA" w:rsidRPr="00C12294" w:rsidRDefault="00073CFA" w:rsidP="00703C93">
      <w:pPr>
        <w:spacing w:after="60"/>
        <w:rPr>
          <w:rFonts w:asciiTheme="majorHAnsi" w:hAnsiTheme="majorHAnsi" w:cstheme="majorHAnsi"/>
          <w:b/>
          <w:bCs/>
          <w:iCs/>
          <w:sz w:val="22"/>
          <w:u w:val="single"/>
        </w:rPr>
      </w:pPr>
    </w:p>
    <w:p w14:paraId="0EC21CE0" w14:textId="092B1F72" w:rsidR="00073CFA" w:rsidRPr="00C12294" w:rsidRDefault="00073CFA" w:rsidP="00073CFA">
      <w:pPr>
        <w:spacing w:after="60"/>
        <w:rPr>
          <w:rFonts w:asciiTheme="majorHAnsi" w:eastAsia="Times New Roman" w:hAnsiTheme="majorHAnsi" w:cstheme="majorHAnsi"/>
          <w:b/>
          <w:bCs/>
          <w:iCs/>
          <w:sz w:val="22"/>
          <w:u w:val="single"/>
        </w:rPr>
      </w:pPr>
      <w:r w:rsidRPr="00C12294">
        <w:rPr>
          <w:rFonts w:asciiTheme="majorHAnsi" w:eastAsia="Times New Roman" w:hAnsiTheme="majorHAnsi" w:cstheme="majorHAnsi"/>
          <w:i/>
          <w:sz w:val="22"/>
          <w:u w:val="single"/>
        </w:rPr>
        <w:t>Risk 2</w:t>
      </w:r>
      <w:r w:rsidRPr="00C12294">
        <w:rPr>
          <w:rFonts w:asciiTheme="majorHAnsi" w:eastAsia="Times New Roman" w:hAnsiTheme="majorHAnsi" w:cstheme="majorHAnsi"/>
          <w:i/>
          <w:sz w:val="22"/>
        </w:rPr>
        <w:t xml:space="preserve">: </w:t>
      </w:r>
      <w:r w:rsidRPr="00C12294">
        <w:rPr>
          <w:rFonts w:asciiTheme="majorHAnsi" w:hAnsiTheme="majorHAnsi" w:cstheme="majorHAnsi"/>
          <w:sz w:val="22"/>
        </w:rPr>
        <w:t xml:space="preserve">Project-related policy changes could lead to new tourism activities and potential cessation/reduction of existing operations. </w:t>
      </w:r>
      <w:r w:rsidRPr="00C12294">
        <w:rPr>
          <w:rFonts w:asciiTheme="majorHAnsi" w:eastAsia="Times New Roman" w:hAnsiTheme="majorHAnsi" w:cstheme="majorHAnsi"/>
          <w:i/>
          <w:sz w:val="22"/>
        </w:rPr>
        <w:t xml:space="preserve"> This in-turn could lead to conflicts with local communities in and surrounding the PA sites. Conflicts could arise as a result of project components </w:t>
      </w:r>
      <w:r w:rsidRPr="00C12294">
        <w:rPr>
          <w:rFonts w:asciiTheme="majorHAnsi" w:eastAsia="Times New Roman" w:hAnsiTheme="majorHAnsi" w:cstheme="majorHAnsi"/>
          <w:i/>
          <w:sz w:val="22"/>
          <w:highlight w:val="yellow"/>
        </w:rPr>
        <w:t>XXXXXX</w:t>
      </w:r>
      <w:r w:rsidRPr="00C12294">
        <w:rPr>
          <w:rFonts w:asciiTheme="majorHAnsi" w:eastAsia="Times New Roman" w:hAnsiTheme="majorHAnsi" w:cstheme="majorHAnsi"/>
          <w:i/>
          <w:sz w:val="22"/>
        </w:rPr>
        <w:t xml:space="preserve"> . Potential conflicts could include disagreements between local governments and local communities or  tourism </w:t>
      </w:r>
      <w:r w:rsidRPr="00C12294">
        <w:rPr>
          <w:rFonts w:asciiTheme="majorHAnsi" w:eastAsia="Times New Roman" w:hAnsiTheme="majorHAnsi" w:cstheme="majorHAnsi"/>
          <w:i/>
          <w:sz w:val="22"/>
        </w:rPr>
        <w:lastRenderedPageBreak/>
        <w:t xml:space="preserve">operators or communities depending on particular views and interests in tourism development. </w:t>
      </w:r>
      <w:r w:rsidRPr="00C12294">
        <w:rPr>
          <w:rFonts w:asciiTheme="majorHAnsi" w:eastAsia="Times New Roman" w:hAnsiTheme="majorHAnsi" w:cstheme="majorHAnsi"/>
          <w:b/>
          <w:bCs/>
          <w:iCs/>
          <w:sz w:val="22"/>
          <w:u w:val="single"/>
        </w:rPr>
        <w:t>(Moderate)</w:t>
      </w:r>
    </w:p>
    <w:p w14:paraId="56621781" w14:textId="0C2C8775" w:rsidR="00073CFA" w:rsidRPr="00C12294" w:rsidRDefault="00073CFA" w:rsidP="00073CFA">
      <w:pPr>
        <w:spacing w:after="60"/>
        <w:rPr>
          <w:rFonts w:asciiTheme="majorHAnsi" w:eastAsia="Times New Roman" w:hAnsiTheme="majorHAnsi" w:cstheme="majorHAnsi"/>
          <w:i/>
          <w:sz w:val="22"/>
          <w:u w:val="single"/>
        </w:rPr>
      </w:pPr>
    </w:p>
    <w:p w14:paraId="266C6E6E" w14:textId="333EEB28"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3</w:t>
      </w:r>
      <w:r w:rsidRPr="00C12294">
        <w:rPr>
          <w:rFonts w:asciiTheme="majorHAnsi" w:eastAsia="Times New Roman" w:hAnsiTheme="majorHAnsi" w:cstheme="majorHAnsi"/>
          <w:i/>
          <w:sz w:val="22"/>
        </w:rPr>
        <w:t>: Nature-based tourism development might not fully incorporate or reflect views of women and girls and ensure equitable opportunities for their involvement and benefit as well in decision-making on resource use and management.</w:t>
      </w:r>
      <w:r w:rsidR="002958D8" w:rsidRPr="00C12294">
        <w:rPr>
          <w:rFonts w:asciiTheme="majorHAnsi" w:eastAsia="Times New Roman" w:hAnsiTheme="majorHAnsi" w:cstheme="majorHAnsi"/>
          <w:i/>
          <w:sz w:val="22"/>
        </w:rPr>
        <w:t xml:space="preserve"> (</w:t>
      </w:r>
      <w:r w:rsidR="002958D8" w:rsidRPr="00C12294">
        <w:rPr>
          <w:rFonts w:asciiTheme="majorHAnsi" w:eastAsia="Times New Roman" w:hAnsiTheme="majorHAnsi" w:cstheme="majorHAnsi"/>
          <w:b/>
          <w:bCs/>
          <w:iCs/>
          <w:sz w:val="22"/>
          <w:u w:val="single"/>
        </w:rPr>
        <w:t>Moderate)</w:t>
      </w:r>
    </w:p>
    <w:p w14:paraId="235553F2" w14:textId="576F4EDB" w:rsidR="00073CFA" w:rsidRPr="00C12294" w:rsidRDefault="00073CFA" w:rsidP="00073CFA">
      <w:pPr>
        <w:spacing w:after="60"/>
        <w:rPr>
          <w:rFonts w:asciiTheme="majorHAnsi" w:eastAsia="Times New Roman" w:hAnsiTheme="majorHAnsi" w:cstheme="majorHAnsi"/>
          <w:i/>
          <w:sz w:val="22"/>
          <w:u w:val="single"/>
        </w:rPr>
      </w:pPr>
    </w:p>
    <w:p w14:paraId="52737775" w14:textId="1A283F68"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4</w:t>
      </w:r>
      <w:r w:rsidRPr="00C12294">
        <w:rPr>
          <w:rFonts w:asciiTheme="majorHAnsi" w:eastAsia="Times New Roman" w:hAnsiTheme="majorHAnsi" w:cstheme="majorHAnsi"/>
          <w:i/>
          <w:sz w:val="22"/>
        </w:rPr>
        <w:t>: The project interventions could cause/support activities that lead (either directly or indirectly) to impacts of changed amount/type of tourism and/or nature-based tourism and increasing demand for nature-based products on sensitive habitats or ecosystems (e.g., soil/vegetation erosion, waste, sewage, IAS spread) or threatened or harvested species</w:t>
      </w:r>
      <w:r w:rsidR="002958D8" w:rsidRPr="00C12294">
        <w:rPr>
          <w:rFonts w:asciiTheme="majorHAnsi" w:eastAsia="Times New Roman" w:hAnsiTheme="majorHAnsi" w:cstheme="majorHAnsi"/>
          <w:b/>
          <w:bCs/>
          <w:iCs/>
          <w:sz w:val="22"/>
          <w:u w:val="single"/>
        </w:rPr>
        <w:t xml:space="preserve"> Moderate)</w:t>
      </w:r>
    </w:p>
    <w:p w14:paraId="64310332" w14:textId="693640B8" w:rsidR="00073CFA" w:rsidRPr="00C12294" w:rsidRDefault="00073CFA" w:rsidP="00073CFA">
      <w:pPr>
        <w:spacing w:after="60"/>
        <w:rPr>
          <w:rFonts w:asciiTheme="majorHAnsi" w:eastAsia="Times New Roman" w:hAnsiTheme="majorHAnsi" w:cstheme="majorHAnsi"/>
          <w:i/>
          <w:sz w:val="22"/>
          <w:u w:val="single"/>
        </w:rPr>
      </w:pPr>
    </w:p>
    <w:p w14:paraId="647107D1" w14:textId="4037AEEF" w:rsidR="00073CFA" w:rsidRPr="00C12294" w:rsidRDefault="00073CFA" w:rsidP="00073CFA">
      <w:pPr>
        <w:pStyle w:val="NoSpacing"/>
        <w:spacing w:after="60"/>
        <w:rPr>
          <w:rFonts w:asciiTheme="majorHAnsi" w:hAnsiTheme="majorHAnsi" w:cstheme="majorHAnsi"/>
          <w:color w:val="000000"/>
        </w:rPr>
      </w:pPr>
      <w:r w:rsidRPr="00C12294">
        <w:rPr>
          <w:rFonts w:asciiTheme="majorHAnsi" w:eastAsia="Times New Roman" w:hAnsiTheme="majorHAnsi" w:cstheme="majorHAnsi"/>
          <w:i/>
          <w:u w:val="single"/>
        </w:rPr>
        <w:t xml:space="preserve">Risk 5: </w:t>
      </w:r>
      <w:r w:rsidRPr="00C12294">
        <w:rPr>
          <w:rFonts w:asciiTheme="majorHAnsi" w:hAnsiTheme="majorHAnsi" w:cstheme="majorHAnsi"/>
          <w:i/>
          <w:color w:val="000000"/>
        </w:rPr>
        <w:t xml:space="preserve">The Project may involve the harvesting of NTFP from natural forests and marine resources for proposed livelihoods and small-scale community enterprises, which could inadvertently adversely affect critical habitats. </w:t>
      </w:r>
      <w:r w:rsidR="002958D8" w:rsidRPr="00C12294">
        <w:rPr>
          <w:rFonts w:asciiTheme="majorHAnsi" w:hAnsiTheme="majorHAnsi" w:cstheme="majorHAnsi"/>
          <w:i/>
          <w:color w:val="000000"/>
        </w:rPr>
        <w:t>(</w:t>
      </w:r>
      <w:r w:rsidR="002958D8" w:rsidRPr="00C12294">
        <w:rPr>
          <w:rFonts w:asciiTheme="majorHAnsi" w:eastAsia="Times New Roman" w:hAnsiTheme="majorHAnsi" w:cstheme="majorHAnsi"/>
          <w:b/>
          <w:bCs/>
          <w:iCs/>
          <w:u w:val="single"/>
        </w:rPr>
        <w:t>Moderate)</w:t>
      </w:r>
    </w:p>
    <w:p w14:paraId="615DBEE3" w14:textId="52E8D948" w:rsidR="00073CFA" w:rsidRPr="00C12294" w:rsidRDefault="00073CFA" w:rsidP="00073CFA">
      <w:pPr>
        <w:spacing w:after="60"/>
        <w:rPr>
          <w:rFonts w:asciiTheme="majorHAnsi" w:eastAsia="Times New Roman" w:hAnsiTheme="majorHAnsi" w:cstheme="majorHAnsi"/>
          <w:i/>
          <w:sz w:val="22"/>
          <w:u w:val="single"/>
          <w:lang w:val="en-US"/>
        </w:rPr>
      </w:pPr>
    </w:p>
    <w:p w14:paraId="5D4D5CF2" w14:textId="51D70069" w:rsidR="00073CFA" w:rsidRPr="00C12294" w:rsidRDefault="00073CFA" w:rsidP="00073CFA">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6</w:t>
      </w:r>
      <w:r w:rsidRPr="00C12294">
        <w:rPr>
          <w:rFonts w:asciiTheme="majorHAnsi" w:eastAsia="Times New Roman" w:hAnsiTheme="majorHAnsi" w:cstheme="majorHAnsi"/>
          <w:i/>
          <w:sz w:val="22"/>
        </w:rPr>
        <w:t>: Nature-based tourism development could result in damage to sacred sites and cultural sites, including through inappropriate tourist behavior (e.g., desecration of cultural site), and/or could harm/change intangible cultural heritage (e.g., traditional knowledge) through its commercialization and use in ecotourism</w:t>
      </w:r>
      <w:r w:rsidR="002958D8" w:rsidRPr="00C12294">
        <w:rPr>
          <w:rFonts w:asciiTheme="majorHAnsi" w:eastAsia="Times New Roman" w:hAnsiTheme="majorHAnsi" w:cstheme="majorHAnsi"/>
          <w:i/>
          <w:sz w:val="22"/>
        </w:rPr>
        <w:t>. (</w:t>
      </w:r>
      <w:r w:rsidR="002958D8" w:rsidRPr="00C12294">
        <w:rPr>
          <w:rFonts w:asciiTheme="majorHAnsi" w:eastAsia="Times New Roman" w:hAnsiTheme="majorHAnsi" w:cstheme="majorHAnsi"/>
          <w:b/>
          <w:bCs/>
          <w:iCs/>
          <w:sz w:val="22"/>
          <w:u w:val="single"/>
        </w:rPr>
        <w:t>Moderate)</w:t>
      </w:r>
    </w:p>
    <w:p w14:paraId="49E47AF1" w14:textId="6245F643" w:rsidR="00073CFA" w:rsidRPr="00C12294" w:rsidRDefault="00073CFA" w:rsidP="00073CFA">
      <w:pPr>
        <w:spacing w:after="60"/>
        <w:rPr>
          <w:rFonts w:asciiTheme="majorHAnsi" w:eastAsia="Times New Roman" w:hAnsiTheme="majorHAnsi" w:cstheme="majorHAnsi"/>
          <w:i/>
          <w:sz w:val="22"/>
          <w:u w:val="single"/>
        </w:rPr>
      </w:pPr>
    </w:p>
    <w:p w14:paraId="33A46B05" w14:textId="67C64B4E"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7</w:t>
      </w:r>
      <w:r w:rsidRPr="00C12294">
        <w:rPr>
          <w:rFonts w:asciiTheme="majorHAnsi" w:eastAsia="Times New Roman" w:hAnsiTheme="majorHAnsi" w:cstheme="majorHAnsi"/>
          <w:i/>
          <w:sz w:val="22"/>
        </w:rPr>
        <w:t>: The development of nature-based tourism could change current access to PAs and their resources, including by unintentional restricting access to local communities. (</w:t>
      </w:r>
      <w:r w:rsidRPr="00C12294">
        <w:rPr>
          <w:rFonts w:asciiTheme="majorHAnsi" w:eastAsia="Times New Roman" w:hAnsiTheme="majorHAnsi" w:cstheme="majorHAnsi"/>
          <w:b/>
          <w:bCs/>
          <w:iCs/>
          <w:sz w:val="22"/>
          <w:u w:val="single"/>
        </w:rPr>
        <w:t>Moderate)</w:t>
      </w:r>
    </w:p>
    <w:p w14:paraId="31054E95" w14:textId="1684AE4B" w:rsidR="002958D8" w:rsidRPr="00C12294" w:rsidRDefault="002958D8" w:rsidP="00073CFA">
      <w:pPr>
        <w:spacing w:after="60"/>
        <w:rPr>
          <w:rFonts w:asciiTheme="majorHAnsi" w:eastAsia="Times New Roman" w:hAnsiTheme="majorHAnsi" w:cstheme="majorHAnsi"/>
          <w:i/>
          <w:sz w:val="22"/>
          <w:u w:val="single"/>
        </w:rPr>
      </w:pPr>
    </w:p>
    <w:p w14:paraId="77FD37C5" w14:textId="432C2E79"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8</w:t>
      </w:r>
      <w:r w:rsidRPr="00C12294">
        <w:rPr>
          <w:rFonts w:asciiTheme="majorHAnsi" w:eastAsia="Times New Roman" w:hAnsiTheme="majorHAnsi" w:cstheme="majorHAnsi"/>
          <w:i/>
          <w:sz w:val="22"/>
        </w:rPr>
        <w:t>: Local communities, governments and tour operators may not have the capacity to manage and oversee tourism development and operations to adhere to established standards and benchmarks for sustainable tourism planning, development and operations and therefore impinge on human rights. (</w:t>
      </w:r>
      <w:r w:rsidRPr="00C12294">
        <w:rPr>
          <w:rFonts w:asciiTheme="majorHAnsi" w:eastAsia="Times New Roman" w:hAnsiTheme="majorHAnsi" w:cstheme="majorHAnsi"/>
          <w:b/>
          <w:bCs/>
          <w:iCs/>
          <w:sz w:val="22"/>
          <w:u w:val="single"/>
        </w:rPr>
        <w:t>Moderate)</w:t>
      </w:r>
    </w:p>
    <w:p w14:paraId="7B1F39E6" w14:textId="5F829CC4" w:rsidR="002958D8" w:rsidRPr="00C12294" w:rsidRDefault="002958D8" w:rsidP="00073CFA">
      <w:pPr>
        <w:spacing w:after="60"/>
        <w:rPr>
          <w:rFonts w:asciiTheme="majorHAnsi" w:eastAsia="Times New Roman" w:hAnsiTheme="majorHAnsi" w:cstheme="majorHAnsi"/>
          <w:i/>
          <w:sz w:val="22"/>
          <w:u w:val="single"/>
        </w:rPr>
      </w:pPr>
    </w:p>
    <w:p w14:paraId="11988EDD" w14:textId="10FFA2AA"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9</w:t>
      </w:r>
      <w:r w:rsidRPr="00C12294">
        <w:rPr>
          <w:rFonts w:asciiTheme="majorHAnsi" w:eastAsia="Times New Roman" w:hAnsiTheme="majorHAnsi" w:cstheme="majorHAnsi"/>
          <w:i/>
          <w:sz w:val="22"/>
        </w:rPr>
        <w:t>: The operation of nature-based tourism adventure activities could pose safety risks to communities, local tourism operators and tourists during operation. Project supported NBT activities could include activities with heightened safety risks such as cave expeditions etc. (</w:t>
      </w:r>
      <w:r w:rsidRPr="00C12294">
        <w:rPr>
          <w:rFonts w:asciiTheme="majorHAnsi" w:eastAsia="Times New Roman" w:hAnsiTheme="majorHAnsi" w:cstheme="majorHAnsi"/>
          <w:b/>
          <w:bCs/>
          <w:iCs/>
          <w:sz w:val="22"/>
          <w:u w:val="single"/>
        </w:rPr>
        <w:t>Moderate)</w:t>
      </w:r>
    </w:p>
    <w:p w14:paraId="30C50689" w14:textId="78F5E0ED" w:rsidR="002958D8" w:rsidRPr="00C12294" w:rsidRDefault="002958D8" w:rsidP="00073CFA">
      <w:pPr>
        <w:spacing w:after="60"/>
        <w:rPr>
          <w:rFonts w:asciiTheme="majorHAnsi" w:eastAsia="Times New Roman" w:hAnsiTheme="majorHAnsi" w:cstheme="majorHAnsi"/>
          <w:i/>
          <w:sz w:val="22"/>
          <w:u w:val="single"/>
        </w:rPr>
      </w:pPr>
    </w:p>
    <w:p w14:paraId="4E1F16C2" w14:textId="3A100AE8" w:rsidR="002958D8" w:rsidRPr="00C12294" w:rsidRDefault="002958D8" w:rsidP="002958D8">
      <w:pPr>
        <w:spacing w:after="60"/>
        <w:rPr>
          <w:rFonts w:asciiTheme="majorHAnsi" w:hAnsiTheme="majorHAnsi" w:cstheme="majorHAnsi"/>
          <w:i/>
          <w:sz w:val="22"/>
        </w:rPr>
      </w:pPr>
      <w:r w:rsidRPr="00C12294">
        <w:rPr>
          <w:rFonts w:asciiTheme="majorHAnsi" w:eastAsia="Times New Roman" w:hAnsiTheme="majorHAnsi" w:cstheme="majorHAnsi"/>
          <w:i/>
          <w:sz w:val="22"/>
          <w:u w:val="single"/>
        </w:rPr>
        <w:t xml:space="preserve">Risk 10: </w:t>
      </w:r>
      <w:r w:rsidRPr="00C12294">
        <w:rPr>
          <w:rFonts w:asciiTheme="majorHAnsi" w:hAnsiTheme="majorHAnsi" w:cstheme="majorHAnsi"/>
          <w:i/>
          <w:sz w:val="22"/>
        </w:rPr>
        <w:t xml:space="preserve">The nature-based tourism activities could potentially enhance release of pollutants and waste (from increased tourist numbers and inadequate waste management practices at PA sites) into natural ecosystems resulting in localized impacts </w:t>
      </w:r>
      <w:r w:rsidRPr="00C12294">
        <w:rPr>
          <w:rFonts w:asciiTheme="majorHAnsi" w:eastAsia="Times New Roman" w:hAnsiTheme="majorHAnsi" w:cstheme="majorHAnsi"/>
          <w:i/>
          <w:sz w:val="22"/>
        </w:rPr>
        <w:t>(</w:t>
      </w:r>
      <w:r w:rsidRPr="00C12294">
        <w:rPr>
          <w:rFonts w:asciiTheme="majorHAnsi" w:eastAsia="Times New Roman" w:hAnsiTheme="majorHAnsi" w:cstheme="majorHAnsi"/>
          <w:b/>
          <w:bCs/>
          <w:iCs/>
          <w:sz w:val="22"/>
          <w:u w:val="single"/>
        </w:rPr>
        <w:t>Moderate)</w:t>
      </w:r>
    </w:p>
    <w:p w14:paraId="31E59B45" w14:textId="3A8F94EE" w:rsidR="002958D8" w:rsidRPr="00C12294" w:rsidRDefault="002958D8" w:rsidP="002958D8">
      <w:pPr>
        <w:spacing w:after="60"/>
        <w:rPr>
          <w:rFonts w:asciiTheme="majorHAnsi" w:eastAsia="Times New Roman" w:hAnsiTheme="majorHAnsi" w:cstheme="majorHAnsi"/>
          <w:i/>
          <w:sz w:val="22"/>
        </w:rPr>
      </w:pPr>
      <w:r w:rsidRPr="00C12294">
        <w:rPr>
          <w:rFonts w:asciiTheme="majorHAnsi" w:eastAsia="Times New Roman" w:hAnsiTheme="majorHAnsi" w:cstheme="majorHAnsi"/>
          <w:i/>
          <w:sz w:val="22"/>
          <w:u w:val="single"/>
        </w:rPr>
        <w:t>Risk 11</w:t>
      </w:r>
      <w:r w:rsidRPr="00C12294">
        <w:rPr>
          <w:rFonts w:asciiTheme="majorHAnsi" w:eastAsia="Times New Roman" w:hAnsiTheme="majorHAnsi" w:cstheme="majorHAnsi"/>
          <w:i/>
          <w:sz w:val="22"/>
        </w:rPr>
        <w:t xml:space="preserve">: Project support for site-based management effectiveness such as law enforcement or awareness-raising could bring safety risks for PA staff due to increased interaction with poachers. Conversely, support to PA staff/security personnel may also pose risks to local communities. </w:t>
      </w:r>
      <w:r w:rsidRPr="00C12294">
        <w:rPr>
          <w:rFonts w:asciiTheme="majorHAnsi" w:hAnsiTheme="majorHAnsi" w:cstheme="majorHAnsi"/>
          <w:i/>
          <w:sz w:val="22"/>
        </w:rPr>
        <w:t>(</w:t>
      </w:r>
      <w:r w:rsidRPr="00C12294">
        <w:rPr>
          <w:rFonts w:asciiTheme="majorHAnsi" w:hAnsiTheme="majorHAnsi" w:cstheme="majorHAnsi"/>
          <w:b/>
          <w:bCs/>
          <w:iCs/>
          <w:sz w:val="22"/>
          <w:u w:val="single"/>
        </w:rPr>
        <w:t>Substantial)</w:t>
      </w:r>
    </w:p>
    <w:p w14:paraId="0BC2E02F" w14:textId="663399B5" w:rsidR="002958D8" w:rsidRPr="00C12294" w:rsidRDefault="002958D8" w:rsidP="00073CFA">
      <w:pPr>
        <w:spacing w:after="60"/>
        <w:rPr>
          <w:rFonts w:asciiTheme="majorHAnsi" w:eastAsia="Times New Roman" w:hAnsiTheme="majorHAnsi" w:cstheme="majorHAnsi"/>
          <w:i/>
          <w:sz w:val="22"/>
          <w:u w:val="single"/>
        </w:rPr>
      </w:pPr>
      <w:r w:rsidRPr="00C12294">
        <w:rPr>
          <w:rFonts w:asciiTheme="majorHAnsi" w:eastAsia="Times New Roman" w:hAnsiTheme="majorHAnsi" w:cstheme="majorHAnsi"/>
          <w:i/>
          <w:sz w:val="22"/>
          <w:u w:val="single"/>
        </w:rPr>
        <w:lastRenderedPageBreak/>
        <w:t>Risk 12</w:t>
      </w:r>
      <w:r w:rsidRPr="00C12294">
        <w:rPr>
          <w:rFonts w:asciiTheme="majorHAnsi" w:eastAsia="Times New Roman" w:hAnsiTheme="majorHAnsi" w:cstheme="majorHAnsi"/>
          <w:i/>
          <w:sz w:val="22"/>
        </w:rPr>
        <w:t>: Unintended negative consequences from upstream policy changes that result in changes to tourism development in Vietnam (for example new nature-based tourism standards and guidelines) could lead to adverse impacts on cultural heritage, or could restrict access of local communities to PAs and the resources therein. (</w:t>
      </w:r>
      <w:r w:rsidRPr="00C12294">
        <w:rPr>
          <w:rFonts w:asciiTheme="majorHAnsi" w:eastAsia="Times New Roman" w:hAnsiTheme="majorHAnsi" w:cstheme="majorHAnsi"/>
          <w:b/>
          <w:bCs/>
          <w:iCs/>
          <w:sz w:val="22"/>
          <w:u w:val="single"/>
        </w:rPr>
        <w:t>Moderate)</w:t>
      </w:r>
    </w:p>
    <w:p w14:paraId="3BEFFBD7" w14:textId="2D4A5BD7" w:rsidR="00073CFA" w:rsidRPr="00C12294" w:rsidRDefault="00073CFA" w:rsidP="00703C93">
      <w:pPr>
        <w:spacing w:after="60"/>
        <w:rPr>
          <w:rFonts w:asciiTheme="majorHAnsi" w:eastAsia="Times New Roman" w:hAnsiTheme="majorHAnsi" w:cstheme="majorHAnsi"/>
          <w:i/>
          <w:sz w:val="22"/>
        </w:rPr>
      </w:pPr>
    </w:p>
    <w:p w14:paraId="18B20A3E" w14:textId="3A5C9CAA" w:rsidR="002958D8" w:rsidRDefault="002958D8" w:rsidP="00703C93">
      <w:pPr>
        <w:spacing w:after="60"/>
        <w:rPr>
          <w:rFonts w:asciiTheme="majorHAnsi" w:hAnsiTheme="majorHAnsi" w:cstheme="majorHAnsi"/>
          <w:b/>
          <w:bCs/>
          <w:iCs/>
          <w:sz w:val="22"/>
          <w:u w:val="single"/>
        </w:rPr>
      </w:pPr>
      <w:r w:rsidRPr="00C12294">
        <w:rPr>
          <w:rFonts w:asciiTheme="majorHAnsi" w:hAnsiTheme="majorHAnsi" w:cstheme="majorHAnsi"/>
          <w:i/>
          <w:sz w:val="22"/>
          <w:u w:val="single"/>
        </w:rPr>
        <w:t>Risk 13</w:t>
      </w:r>
      <w:r w:rsidRPr="00C12294">
        <w:rPr>
          <w:rFonts w:asciiTheme="majorHAnsi" w:hAnsiTheme="majorHAnsi" w:cstheme="majorHAnsi"/>
          <w:i/>
          <w:sz w:val="22"/>
        </w:rPr>
        <w:t xml:space="preserve">: </w:t>
      </w:r>
      <w:r w:rsidRPr="00C12294">
        <w:rPr>
          <w:rFonts w:asciiTheme="majorHAnsi" w:hAnsiTheme="majorHAnsi" w:cstheme="majorHAnsi"/>
          <w:i/>
          <w:color w:val="000000"/>
          <w:sz w:val="22"/>
        </w:rPr>
        <w:t xml:space="preserve">Covid-19 and other potential zoonotic disease outbreaks that remain prevalent in the project sites could pose the risk of infection and exposure of persons involved in implementing project activities to these diseases </w:t>
      </w:r>
      <w:r w:rsidRPr="00C12294">
        <w:rPr>
          <w:rFonts w:asciiTheme="majorHAnsi" w:hAnsiTheme="majorHAnsi" w:cstheme="majorHAnsi"/>
          <w:i/>
          <w:sz w:val="22"/>
        </w:rPr>
        <w:t>(</w:t>
      </w:r>
      <w:r w:rsidRPr="00C12294">
        <w:rPr>
          <w:rFonts w:asciiTheme="majorHAnsi" w:hAnsiTheme="majorHAnsi" w:cstheme="majorHAnsi"/>
          <w:b/>
          <w:bCs/>
          <w:iCs/>
          <w:sz w:val="22"/>
          <w:u w:val="single"/>
        </w:rPr>
        <w:t>Substantial)</w:t>
      </w:r>
    </w:p>
    <w:p w14:paraId="0DF2F8B5" w14:textId="3D3BEE27" w:rsidR="00727B72" w:rsidRDefault="00727B72" w:rsidP="00703C93">
      <w:pPr>
        <w:spacing w:after="60"/>
        <w:rPr>
          <w:rFonts w:asciiTheme="majorHAnsi" w:hAnsiTheme="majorHAnsi" w:cstheme="majorHAnsi"/>
          <w:b/>
          <w:bCs/>
          <w:iCs/>
          <w:sz w:val="22"/>
          <w:u w:val="single"/>
        </w:rPr>
      </w:pPr>
    </w:p>
    <w:p w14:paraId="1B49EEF0" w14:textId="34AE354D" w:rsidR="00727B72" w:rsidRDefault="00727B72" w:rsidP="00727B72">
      <w:pPr>
        <w:spacing w:after="60"/>
        <w:rPr>
          <w:i/>
        </w:rPr>
      </w:pPr>
      <w:r w:rsidRPr="00727B72">
        <w:rPr>
          <w:rFonts w:asciiTheme="majorHAnsi" w:hAnsiTheme="majorHAnsi" w:cstheme="majorHAnsi"/>
          <w:i/>
          <w:sz w:val="22"/>
          <w:u w:val="single"/>
        </w:rPr>
        <w:t>Risk 14:</w:t>
      </w:r>
      <w:r w:rsidRPr="00727B72">
        <w:rPr>
          <w:rFonts w:asciiTheme="majorHAnsi" w:hAnsiTheme="majorHAnsi" w:cstheme="majorHAnsi"/>
          <w:i/>
          <w:sz w:val="22"/>
        </w:rPr>
        <w:t xml:space="preserve"> Child labor remains a pertinent issue in Vietnam, and may occur in surrounding project areas,</w:t>
      </w:r>
      <w:r w:rsidRPr="00727B72">
        <w:rPr>
          <w:rFonts w:asciiTheme="majorHAnsi" w:hAnsiTheme="majorHAnsi" w:cstheme="majorHAnsi"/>
          <w:sz w:val="22"/>
        </w:rPr>
        <w:t xml:space="preserve"> especially since ethnic minorities are at particular risk of being affected</w:t>
      </w:r>
      <w:r w:rsidRPr="00727B72">
        <w:rPr>
          <w:rStyle w:val="FootnoteReference"/>
          <w:rFonts w:asciiTheme="majorHAnsi" w:hAnsiTheme="majorHAnsi" w:cstheme="majorHAnsi"/>
          <w:b/>
          <w:bCs/>
          <w:sz w:val="22"/>
          <w:u w:val="single"/>
        </w:rPr>
        <w:footnoteReference w:id="3"/>
      </w:r>
      <w:r w:rsidRPr="00727B72">
        <w:rPr>
          <w:rFonts w:asciiTheme="majorHAnsi" w:hAnsiTheme="majorHAnsi" w:cstheme="majorHAnsi"/>
          <w:b/>
          <w:bCs/>
          <w:sz w:val="22"/>
          <w:u w:val="single"/>
        </w:rPr>
        <w:t>. (Low)</w:t>
      </w:r>
    </w:p>
    <w:p w14:paraId="795A2CBA" w14:textId="77777777" w:rsidR="00E56AD7" w:rsidRPr="008C6D5E" w:rsidRDefault="00E56AD7" w:rsidP="008C6D5E"/>
    <w:p w14:paraId="69B1EDC4" w14:textId="52D705EC" w:rsidR="00783D4D" w:rsidRPr="0091120C" w:rsidRDefault="0091120C" w:rsidP="0091120C">
      <w:pPr>
        <w:pStyle w:val="Heading1"/>
        <w:rPr>
          <w:color w:val="002060"/>
        </w:rPr>
      </w:pPr>
      <w:bookmarkStart w:id="149" w:name="_Toc104218382"/>
      <w:r>
        <w:rPr>
          <w:color w:val="002060"/>
        </w:rPr>
        <w:t xml:space="preserve">5. </w:t>
      </w:r>
      <w:r w:rsidR="00703C93" w:rsidRPr="0091120C">
        <w:rPr>
          <w:color w:val="002060"/>
        </w:rPr>
        <w:t xml:space="preserve">Legislative and Institutional Framework for Environmental and Social Matters </w:t>
      </w:r>
      <w:bookmarkEnd w:id="149"/>
    </w:p>
    <w:p w14:paraId="21E2D206" w14:textId="7810BCEC" w:rsidR="008B5494" w:rsidRPr="008B5494" w:rsidRDefault="0091120C" w:rsidP="0091120C">
      <w:pPr>
        <w:pStyle w:val="Heading2"/>
      </w:pPr>
      <w:r>
        <w:t xml:space="preserve">5.1 </w:t>
      </w:r>
      <w:r w:rsidR="008B5494" w:rsidRPr="008B5494">
        <w:t xml:space="preserve">National Regulatory Framework </w:t>
      </w:r>
    </w:p>
    <w:p w14:paraId="6CE59ADE" w14:textId="4190BA19" w:rsidR="00783D4D" w:rsidRPr="00C12294" w:rsidRDefault="00783D4D" w:rsidP="00783D4D">
      <w:pPr>
        <w:ind w:firstLine="720"/>
        <w:rPr>
          <w:rFonts w:asciiTheme="majorHAnsi" w:hAnsiTheme="majorHAnsi" w:cstheme="majorHAnsi"/>
          <w:sz w:val="22"/>
        </w:rPr>
      </w:pPr>
      <w:r w:rsidRPr="00C12294">
        <w:rPr>
          <w:rFonts w:asciiTheme="majorHAnsi" w:hAnsiTheme="majorHAnsi" w:cstheme="majorHAnsi"/>
          <w:sz w:val="22"/>
        </w:rPr>
        <w:t xml:space="preserve">The following section provides a preliminary overview of the Vietnamese national regulatory framework in respect of Environmental and Social matters relevant to the project. The provisions detailed below (and all other provisions of national law) must be adhered to at all times by the project. </w:t>
      </w:r>
    </w:p>
    <w:p w14:paraId="54AD07AB" w14:textId="25E76BC9" w:rsidR="009070C2" w:rsidRPr="00C12294" w:rsidRDefault="00783D4D">
      <w:pPr>
        <w:rPr>
          <w:rFonts w:asciiTheme="majorHAnsi" w:hAnsiTheme="majorHAnsi" w:cstheme="majorHAnsi"/>
          <w:sz w:val="22"/>
        </w:rPr>
      </w:pPr>
      <w:r w:rsidRPr="00C12294">
        <w:rPr>
          <w:rFonts w:asciiTheme="majorHAnsi" w:hAnsiTheme="majorHAnsi" w:cstheme="majorHAnsi"/>
          <w:sz w:val="22"/>
        </w:rPr>
        <w:tab/>
        <w:t>Viet</w:t>
      </w:r>
      <w:r w:rsidR="00A55640" w:rsidRPr="00C12294">
        <w:rPr>
          <w:rFonts w:asciiTheme="majorHAnsi" w:hAnsiTheme="majorHAnsi" w:cstheme="majorHAnsi"/>
          <w:sz w:val="22"/>
        </w:rPr>
        <w:t>n</w:t>
      </w:r>
      <w:r w:rsidRPr="00C12294">
        <w:rPr>
          <w:rFonts w:asciiTheme="majorHAnsi" w:hAnsiTheme="majorHAnsi" w:cstheme="majorHAnsi"/>
          <w:sz w:val="22"/>
        </w:rPr>
        <w:t xml:space="preserve">am has a complex legal system comprised of a various forms of codified laws, resolutions, ordinances, decrees, decisions, and circulars promulgated from differing levels of government. This </w:t>
      </w:r>
      <w:r w:rsidR="007F2133" w:rsidRPr="00C12294">
        <w:rPr>
          <w:rFonts w:asciiTheme="majorHAnsi" w:hAnsiTheme="majorHAnsi" w:cstheme="majorHAnsi"/>
          <w:sz w:val="22"/>
        </w:rPr>
        <w:t>report does not seek to provide an exhaustive list of every legal instrument relevant to the project. Rather, this report provides a cursory overview of the most relevant provisions. All provisions of national regulation must be adhered to by the project, notwithstanding that they may be omitted from the following overview.</w:t>
      </w:r>
    </w:p>
    <w:p w14:paraId="7AB047C8" w14:textId="386DB380" w:rsidR="009070C2" w:rsidRPr="00C12294" w:rsidRDefault="009070C2" w:rsidP="009070C2">
      <w:pPr>
        <w:shd w:val="clear" w:color="auto" w:fill="FFFFFF"/>
        <w:spacing w:before="120" w:line="240" w:lineRule="auto"/>
        <w:rPr>
          <w:rFonts w:asciiTheme="majorHAnsi" w:eastAsia="Times New Roman" w:hAnsiTheme="majorHAnsi" w:cstheme="majorHAnsi"/>
          <w:color w:val="0070C0"/>
          <w:sz w:val="22"/>
        </w:rPr>
      </w:pPr>
      <w:r w:rsidRPr="00C12294">
        <w:rPr>
          <w:rFonts w:asciiTheme="majorHAnsi" w:eastAsia="Times New Roman" w:hAnsiTheme="majorHAnsi" w:cstheme="majorHAnsi"/>
          <w:color w:val="202122"/>
          <w:sz w:val="22"/>
          <w:lang w:val="vi-VN"/>
        </w:rPr>
        <w:t>The system of legal documents of Vietnam include</w:t>
      </w:r>
      <w:r w:rsidRPr="00C12294">
        <w:rPr>
          <w:rStyle w:val="FootnoteReference"/>
          <w:rFonts w:asciiTheme="majorHAnsi" w:eastAsia="Times New Roman" w:hAnsiTheme="majorHAnsi" w:cstheme="majorHAnsi"/>
          <w:color w:val="202122"/>
          <w:sz w:val="22"/>
          <w:lang w:val="vi-VN"/>
        </w:rPr>
        <w:footnoteReference w:id="4"/>
      </w:r>
      <w:r w:rsidRPr="00C12294">
        <w:rPr>
          <w:rFonts w:asciiTheme="majorHAnsi" w:eastAsia="Times New Roman" w:hAnsiTheme="majorHAnsi" w:cstheme="majorHAnsi"/>
          <w:color w:val="0070C0"/>
          <w:sz w:val="22"/>
          <w:lang w:val="vi-VN"/>
        </w:rPr>
        <w:t>:</w:t>
      </w:r>
    </w:p>
    <w:p w14:paraId="57BECF06" w14:textId="3C7833DE"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Constitution – Promulgated by the National Assembly</w:t>
      </w:r>
      <w:r w:rsidR="00323A27" w:rsidRPr="00C12294">
        <w:rPr>
          <w:rFonts w:cstheme="majorHAnsi"/>
          <w:color w:val="202122"/>
          <w:szCs w:val="22"/>
          <w:lang w:val="en-CA"/>
        </w:rPr>
        <w:t xml:space="preserve">. This </w:t>
      </w:r>
      <w:r w:rsidRPr="00C12294">
        <w:rPr>
          <w:rFonts w:cstheme="majorHAnsi"/>
          <w:color w:val="202122"/>
          <w:szCs w:val="22"/>
          <w:lang w:val="vi-VN"/>
        </w:rPr>
        <w:t xml:space="preserve">is the </w:t>
      </w:r>
      <w:proofErr w:type="gramStart"/>
      <w:r w:rsidRPr="00C12294">
        <w:rPr>
          <w:rFonts w:cstheme="majorHAnsi"/>
          <w:color w:val="202122"/>
          <w:szCs w:val="22"/>
          <w:lang w:val="vi-VN"/>
        </w:rPr>
        <w:t>highest</w:t>
      </w:r>
      <w:r w:rsidR="00323A27" w:rsidRPr="00C12294">
        <w:rPr>
          <w:rFonts w:cstheme="majorHAnsi"/>
          <w:color w:val="202122"/>
          <w:szCs w:val="22"/>
          <w:lang w:val="en-CA"/>
        </w:rPr>
        <w:t xml:space="preserve"> level</w:t>
      </w:r>
      <w:proofErr w:type="gramEnd"/>
      <w:r w:rsidRPr="00C12294">
        <w:rPr>
          <w:rFonts w:cstheme="majorHAnsi"/>
          <w:color w:val="202122"/>
          <w:szCs w:val="22"/>
          <w:lang w:val="vi-VN"/>
        </w:rPr>
        <w:t xml:space="preserve"> legal document.</w:t>
      </w:r>
    </w:p>
    <w:p w14:paraId="4E18ED53"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 xml:space="preserve">Law  – Passed by the National Assembly and signed by the President for promulgation. There are a number of laws such as: Civil </w:t>
      </w:r>
      <w:r w:rsidRPr="00C12294">
        <w:rPr>
          <w:rFonts w:cstheme="majorHAnsi"/>
          <w:color w:val="202122"/>
          <w:szCs w:val="22"/>
        </w:rPr>
        <w:t>Law</w:t>
      </w:r>
      <w:r w:rsidRPr="00C12294">
        <w:rPr>
          <w:rFonts w:cstheme="majorHAnsi"/>
          <w:color w:val="202122"/>
          <w:szCs w:val="22"/>
          <w:lang w:val="vi-VN"/>
        </w:rPr>
        <w:t xml:space="preserve">, Penal </w:t>
      </w:r>
      <w:r w:rsidRPr="00C12294">
        <w:rPr>
          <w:rFonts w:cstheme="majorHAnsi"/>
          <w:color w:val="202122"/>
          <w:szCs w:val="22"/>
        </w:rPr>
        <w:t>Law</w:t>
      </w:r>
      <w:r w:rsidRPr="00C12294">
        <w:rPr>
          <w:rFonts w:cstheme="majorHAnsi"/>
          <w:color w:val="202122"/>
          <w:szCs w:val="22"/>
          <w:lang w:val="vi-VN"/>
        </w:rPr>
        <w:t xml:space="preserve">, Civil Procedure </w:t>
      </w:r>
      <w:r w:rsidRPr="00C12294">
        <w:rPr>
          <w:rFonts w:cstheme="majorHAnsi"/>
          <w:color w:val="202122"/>
          <w:szCs w:val="22"/>
        </w:rPr>
        <w:t>Law</w:t>
      </w:r>
      <w:r w:rsidRPr="00C12294">
        <w:rPr>
          <w:rFonts w:cstheme="majorHAnsi"/>
          <w:color w:val="202122"/>
          <w:szCs w:val="22"/>
          <w:lang w:val="vi-VN"/>
        </w:rPr>
        <w:t xml:space="preserve">, Criminal Procedure Code, Labor </w:t>
      </w:r>
      <w:r w:rsidRPr="00C12294">
        <w:rPr>
          <w:rFonts w:cstheme="majorHAnsi"/>
          <w:color w:val="202122"/>
          <w:szCs w:val="22"/>
        </w:rPr>
        <w:t>Law</w:t>
      </w:r>
      <w:r w:rsidRPr="00C12294">
        <w:rPr>
          <w:rFonts w:cstheme="majorHAnsi"/>
          <w:color w:val="202122"/>
          <w:szCs w:val="22"/>
          <w:lang w:val="vi-VN"/>
        </w:rPr>
        <w:t xml:space="preserve">, Maritime </w:t>
      </w:r>
      <w:r w:rsidRPr="00C12294">
        <w:rPr>
          <w:rFonts w:cstheme="majorHAnsi"/>
          <w:color w:val="202122"/>
          <w:szCs w:val="22"/>
        </w:rPr>
        <w:t>Law, Environment Law, Biodiversity Law, Tourism Law, Forestry Law, Fisheries Law, etc.</w:t>
      </w:r>
    </w:p>
    <w:p w14:paraId="2D556252"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Resolution of</w:t>
      </w:r>
      <w:r w:rsidRPr="00C12294">
        <w:rPr>
          <w:rFonts w:cstheme="majorHAnsi"/>
          <w:color w:val="202122"/>
          <w:szCs w:val="22"/>
        </w:rPr>
        <w:t xml:space="preserve"> </w:t>
      </w:r>
      <w:r w:rsidRPr="00C12294">
        <w:rPr>
          <w:rFonts w:cstheme="majorHAnsi"/>
          <w:color w:val="202122"/>
          <w:szCs w:val="22"/>
          <w:lang w:val="vi-VN"/>
        </w:rPr>
        <w:t>National Assembly</w:t>
      </w:r>
      <w:r w:rsidRPr="00C12294">
        <w:rPr>
          <w:rFonts w:cstheme="majorHAnsi"/>
          <w:color w:val="202122"/>
          <w:szCs w:val="22"/>
        </w:rPr>
        <w:t>.</w:t>
      </w:r>
    </w:p>
    <w:p w14:paraId="3FA99D1C" w14:textId="77777777" w:rsidR="009070C2" w:rsidRPr="00C12294" w:rsidRDefault="009070C2" w:rsidP="0091120C">
      <w:pPr>
        <w:pStyle w:val="ListNumber2"/>
        <w:rPr>
          <w:rFonts w:cstheme="majorHAnsi"/>
          <w:color w:val="202122"/>
          <w:szCs w:val="22"/>
        </w:rPr>
      </w:pPr>
      <w:r w:rsidRPr="00C12294">
        <w:rPr>
          <w:rFonts w:cstheme="majorHAnsi"/>
          <w:color w:val="202122"/>
          <w:szCs w:val="22"/>
          <w:lang w:val="vi-VN"/>
        </w:rPr>
        <w:t>Sub-law documents include</w:t>
      </w:r>
      <w:r w:rsidRPr="00C12294">
        <w:rPr>
          <w:rFonts w:cstheme="majorHAnsi"/>
          <w:color w:val="202122"/>
          <w:szCs w:val="22"/>
        </w:rPr>
        <w:t>:</w:t>
      </w:r>
    </w:p>
    <w:p w14:paraId="68FD1349" w14:textId="04D94EEA"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lastRenderedPageBreak/>
        <w:t>Standing Committee of the National Assembly</w:t>
      </w:r>
      <w:r w:rsidRPr="00C12294">
        <w:rPr>
          <w:rFonts w:cstheme="majorHAnsi"/>
          <w:color w:val="202122"/>
          <w:szCs w:val="22"/>
        </w:rPr>
        <w:t xml:space="preserve"> </w:t>
      </w:r>
      <w:r w:rsidR="00CD4A84" w:rsidRPr="00C12294">
        <w:rPr>
          <w:rFonts w:cstheme="majorHAnsi"/>
          <w:color w:val="202122"/>
          <w:szCs w:val="22"/>
        </w:rPr>
        <w:t>promulgates</w:t>
      </w:r>
      <w:r w:rsidRPr="00C12294">
        <w:rPr>
          <w:rFonts w:cstheme="majorHAnsi"/>
          <w:color w:val="202122"/>
          <w:szCs w:val="22"/>
          <w:lang w:val="vi-VN"/>
        </w:rPr>
        <w:t xml:space="preserve"> Ordinances</w:t>
      </w:r>
      <w:r w:rsidR="00CD4A84" w:rsidRPr="00C12294">
        <w:rPr>
          <w:rFonts w:cstheme="majorHAnsi"/>
          <w:color w:val="202122"/>
          <w:szCs w:val="22"/>
          <w:lang w:val="en-CA"/>
        </w:rPr>
        <w:t xml:space="preserve"> and</w:t>
      </w:r>
      <w:r w:rsidRPr="00C12294">
        <w:rPr>
          <w:rFonts w:cstheme="majorHAnsi"/>
          <w:color w:val="202122"/>
          <w:szCs w:val="22"/>
          <w:lang w:val="vi-VN"/>
        </w:rPr>
        <w:t xml:space="preserve"> Resolution</w:t>
      </w:r>
      <w:r w:rsidR="00CD4A84" w:rsidRPr="00C12294">
        <w:rPr>
          <w:rFonts w:cstheme="majorHAnsi"/>
          <w:color w:val="202122"/>
          <w:szCs w:val="22"/>
          <w:lang w:val="en-CA"/>
        </w:rPr>
        <w:t>s</w:t>
      </w:r>
      <w:r w:rsidRPr="00C12294">
        <w:rPr>
          <w:rFonts w:cstheme="majorHAnsi"/>
          <w:color w:val="202122"/>
          <w:szCs w:val="22"/>
          <w:lang w:val="vi-VN"/>
        </w:rPr>
        <w:t>.</w:t>
      </w:r>
    </w:p>
    <w:p w14:paraId="4FD9C8BC"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President</w:t>
      </w:r>
      <w:r w:rsidRPr="00C12294">
        <w:rPr>
          <w:rFonts w:cstheme="majorHAnsi"/>
          <w:color w:val="202122"/>
          <w:szCs w:val="22"/>
        </w:rPr>
        <w:t xml:space="preserve"> issues</w:t>
      </w:r>
      <w:r w:rsidRPr="00C12294">
        <w:rPr>
          <w:rFonts w:cstheme="majorHAnsi"/>
          <w:color w:val="202122"/>
          <w:szCs w:val="22"/>
          <w:lang w:val="vi-VN"/>
        </w:rPr>
        <w:t xml:space="preserve"> Order, Decision</w:t>
      </w:r>
      <w:r w:rsidRPr="00C12294">
        <w:rPr>
          <w:rFonts w:cstheme="majorHAnsi"/>
          <w:color w:val="202122"/>
          <w:szCs w:val="22"/>
        </w:rPr>
        <w:t>.</w:t>
      </w:r>
    </w:p>
    <w:p w14:paraId="70F6BFBE"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Government</w:t>
      </w:r>
      <w:r w:rsidRPr="00C12294">
        <w:rPr>
          <w:rFonts w:cstheme="majorHAnsi"/>
          <w:color w:val="202122"/>
          <w:szCs w:val="22"/>
        </w:rPr>
        <w:t xml:space="preserve"> issues</w:t>
      </w:r>
      <w:r w:rsidRPr="00C12294">
        <w:rPr>
          <w:rFonts w:cstheme="majorHAnsi"/>
          <w:color w:val="202122"/>
          <w:szCs w:val="22"/>
          <w:lang w:val="vi-VN"/>
        </w:rPr>
        <w:t xml:space="preserve"> Decree.</w:t>
      </w:r>
      <w:r w:rsidRPr="00C12294">
        <w:rPr>
          <w:rFonts w:cstheme="majorHAnsi"/>
          <w:color w:val="202122"/>
          <w:szCs w:val="22"/>
        </w:rPr>
        <w:t xml:space="preserve"> </w:t>
      </w:r>
    </w:p>
    <w:p w14:paraId="4526C7FF"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Prime Minister</w:t>
      </w:r>
      <w:r w:rsidRPr="00C12294">
        <w:rPr>
          <w:rFonts w:cstheme="majorHAnsi"/>
          <w:color w:val="202122"/>
          <w:szCs w:val="22"/>
        </w:rPr>
        <w:t xml:space="preserve"> issues</w:t>
      </w:r>
      <w:r w:rsidRPr="00C12294">
        <w:rPr>
          <w:rFonts w:cstheme="majorHAnsi"/>
          <w:color w:val="202122"/>
          <w:szCs w:val="22"/>
          <w:lang w:val="vi-VN"/>
        </w:rPr>
        <w:t xml:space="preserve"> Decision</w:t>
      </w:r>
      <w:r w:rsidRPr="00C12294">
        <w:rPr>
          <w:rFonts w:cstheme="majorHAnsi"/>
          <w:color w:val="202122"/>
          <w:szCs w:val="22"/>
        </w:rPr>
        <w:t xml:space="preserve">. </w:t>
      </w:r>
    </w:p>
    <w:p w14:paraId="7BD351BB"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Judicial Council of the Supreme People's Court: Resolution</w:t>
      </w:r>
      <w:r w:rsidRPr="00C12294">
        <w:rPr>
          <w:rFonts w:cstheme="majorHAnsi"/>
          <w:color w:val="202122"/>
          <w:szCs w:val="22"/>
        </w:rPr>
        <w:t>.</w:t>
      </w:r>
    </w:p>
    <w:p w14:paraId="74F379CD"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Chief Justice of the Supreme People's Court: Circular.</w:t>
      </w:r>
      <w:r w:rsidRPr="00C12294">
        <w:rPr>
          <w:rFonts w:cstheme="majorHAnsi"/>
          <w:color w:val="202122"/>
          <w:szCs w:val="22"/>
        </w:rPr>
        <w:t xml:space="preserve"> </w:t>
      </w:r>
    </w:p>
    <w:p w14:paraId="3B94ABE1"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Procurator General of the Supreme People's Procuracy: Circular.</w:t>
      </w:r>
    </w:p>
    <w:p w14:paraId="51929AB3"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Ministers, Heads of ministerial-level agencies: Circular</w:t>
      </w:r>
      <w:r w:rsidRPr="00C12294">
        <w:rPr>
          <w:rFonts w:cstheme="majorHAnsi"/>
          <w:color w:val="202122"/>
          <w:szCs w:val="22"/>
        </w:rPr>
        <w:t xml:space="preserve">. </w:t>
      </w:r>
    </w:p>
    <w:p w14:paraId="00459534"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State Auditor General: Decision</w:t>
      </w:r>
      <w:r w:rsidRPr="00C12294">
        <w:rPr>
          <w:rFonts w:cstheme="majorHAnsi"/>
          <w:color w:val="202122"/>
          <w:szCs w:val="22"/>
        </w:rPr>
        <w:t xml:space="preserve">. </w:t>
      </w:r>
    </w:p>
    <w:p w14:paraId="0879AD02" w14:textId="77777777" w:rsidR="009070C2" w:rsidRPr="00C12294" w:rsidRDefault="009070C2" w:rsidP="0091120C">
      <w:pPr>
        <w:pStyle w:val="ListNumber2"/>
        <w:rPr>
          <w:rFonts w:cstheme="majorHAnsi"/>
          <w:color w:val="202122"/>
          <w:szCs w:val="22"/>
          <w:lang w:val="vi-VN"/>
        </w:rPr>
      </w:pPr>
      <w:r w:rsidRPr="00C12294">
        <w:rPr>
          <w:rFonts w:cstheme="majorHAnsi"/>
          <w:color w:val="202122"/>
          <w:szCs w:val="22"/>
          <w:lang w:val="vi-VN"/>
        </w:rPr>
        <w:t>Joint resolutions between the Standing Committee of the National Assembly or between the Government and central agencies of socio-political organizations.</w:t>
      </w:r>
      <w:r w:rsidRPr="00C12294">
        <w:rPr>
          <w:rFonts w:cstheme="majorHAnsi"/>
          <w:color w:val="202122"/>
          <w:szCs w:val="22"/>
        </w:rPr>
        <w:t xml:space="preserve"> </w:t>
      </w:r>
    </w:p>
    <w:p w14:paraId="3EEED349" w14:textId="77777777" w:rsidR="009070C2" w:rsidRPr="00C12294" w:rsidRDefault="009070C2" w:rsidP="0091120C">
      <w:pPr>
        <w:pStyle w:val="ListNumber2"/>
        <w:rPr>
          <w:rFonts w:cstheme="majorHAnsi"/>
          <w:szCs w:val="22"/>
          <w:lang w:val="vi-VN"/>
        </w:rPr>
      </w:pPr>
      <w:r w:rsidRPr="00C12294">
        <w:rPr>
          <w:rFonts w:cstheme="majorHAnsi"/>
          <w:color w:val="202122"/>
          <w:szCs w:val="22"/>
          <w:lang w:val="vi-VN"/>
        </w:rPr>
        <w:t xml:space="preserve">Joint circular between the Chief Justice of the Supreme People's Court and the Chief Procurator of the Supreme People's Procuracy; between the Minister, the Head of the ministerial-level agency, the Chief Justice of the Supreme People's Court, the Chief </w:t>
      </w:r>
      <w:r w:rsidRPr="00C12294">
        <w:rPr>
          <w:rFonts w:cstheme="majorHAnsi"/>
          <w:szCs w:val="22"/>
          <w:lang w:val="vi-VN"/>
        </w:rPr>
        <w:t>Procurator of the Supreme People's Procuracy; between ministers and heads of ministerial-level agencies.</w:t>
      </w:r>
    </w:p>
    <w:p w14:paraId="6B2C6A27" w14:textId="0E55185E" w:rsidR="009070C2" w:rsidRPr="00C12294" w:rsidRDefault="009070C2" w:rsidP="0091120C">
      <w:pPr>
        <w:pStyle w:val="ListNumber2"/>
        <w:rPr>
          <w:rFonts w:cstheme="majorHAnsi"/>
          <w:szCs w:val="22"/>
          <w:lang w:val="vi-VN"/>
        </w:rPr>
      </w:pPr>
      <w:r w:rsidRPr="00C12294">
        <w:rPr>
          <w:rFonts w:cstheme="majorHAnsi"/>
          <w:szCs w:val="22"/>
          <w:lang w:val="vi-VN"/>
        </w:rPr>
        <w:t xml:space="preserve">Legal documents of the </w:t>
      </w:r>
      <w:r w:rsidRPr="00C12294">
        <w:rPr>
          <w:rFonts w:cstheme="majorHAnsi"/>
          <w:szCs w:val="22"/>
        </w:rPr>
        <w:t xml:space="preserve">Provincial </w:t>
      </w:r>
      <w:r w:rsidRPr="00C12294">
        <w:rPr>
          <w:rFonts w:cstheme="majorHAnsi"/>
          <w:szCs w:val="22"/>
          <w:lang w:val="vi-VN"/>
        </w:rPr>
        <w:t>People's Council and the People's Committee</w:t>
      </w:r>
      <w:r w:rsidRPr="00C12294">
        <w:rPr>
          <w:rFonts w:cstheme="majorHAnsi"/>
          <w:szCs w:val="22"/>
        </w:rPr>
        <w:t xml:space="preserve">, </w:t>
      </w:r>
      <w:proofErr w:type="spellStart"/>
      <w:r w:rsidRPr="00C12294">
        <w:rPr>
          <w:rFonts w:cstheme="majorHAnsi"/>
          <w:szCs w:val="22"/>
        </w:rPr>
        <w:t>i</w:t>
      </w:r>
      <w:proofErr w:type="spellEnd"/>
      <w:r w:rsidRPr="00C12294">
        <w:rPr>
          <w:rFonts w:cstheme="majorHAnsi"/>
          <w:szCs w:val="22"/>
          <w:lang w:val="vi-VN"/>
        </w:rPr>
        <w:t>nclude</w:t>
      </w:r>
      <w:r w:rsidRPr="00C12294">
        <w:rPr>
          <w:rStyle w:val="FootnoteReference"/>
          <w:rFonts w:cstheme="majorHAnsi"/>
          <w:szCs w:val="22"/>
          <w:lang w:val="vi-VN"/>
        </w:rPr>
        <w:footnoteReference w:id="5"/>
      </w:r>
      <w:r w:rsidR="007F2133" w:rsidRPr="00C12294">
        <w:rPr>
          <w:rFonts w:cstheme="majorHAnsi"/>
          <w:szCs w:val="22"/>
          <w:lang w:val="en-CA"/>
        </w:rPr>
        <w:t>:</w:t>
      </w:r>
    </w:p>
    <w:p w14:paraId="21F15880" w14:textId="77777777" w:rsidR="009070C2" w:rsidRPr="00C12294" w:rsidRDefault="009070C2" w:rsidP="0091120C">
      <w:pPr>
        <w:pStyle w:val="ListNumber2"/>
        <w:rPr>
          <w:rFonts w:cstheme="majorHAnsi"/>
          <w:szCs w:val="22"/>
          <w:lang w:val="vi-VN"/>
        </w:rPr>
      </w:pPr>
      <w:r w:rsidRPr="00C12294">
        <w:rPr>
          <w:rFonts w:cstheme="majorHAnsi"/>
          <w:szCs w:val="22"/>
        </w:rPr>
        <w:t xml:space="preserve">Provincial </w:t>
      </w:r>
      <w:r w:rsidRPr="00C12294">
        <w:rPr>
          <w:rFonts w:cstheme="majorHAnsi"/>
          <w:szCs w:val="22"/>
          <w:lang w:val="vi-VN"/>
        </w:rPr>
        <w:t>People's Council: Resolution.</w:t>
      </w:r>
    </w:p>
    <w:p w14:paraId="42DCE391" w14:textId="77777777" w:rsidR="009070C2" w:rsidRPr="00C12294" w:rsidRDefault="009070C2" w:rsidP="0091120C">
      <w:pPr>
        <w:pStyle w:val="ListNumber2"/>
        <w:rPr>
          <w:rFonts w:cstheme="majorHAnsi"/>
          <w:szCs w:val="22"/>
          <w:lang w:val="vi-VN"/>
        </w:rPr>
      </w:pPr>
      <w:r w:rsidRPr="00C12294">
        <w:rPr>
          <w:rFonts w:cstheme="majorHAnsi"/>
          <w:szCs w:val="22"/>
        </w:rPr>
        <w:t xml:space="preserve">Provincial </w:t>
      </w:r>
      <w:r w:rsidRPr="00C12294">
        <w:rPr>
          <w:rFonts w:cstheme="majorHAnsi"/>
          <w:szCs w:val="22"/>
          <w:lang w:val="vi-VN"/>
        </w:rPr>
        <w:t>People's Committee: Decision.</w:t>
      </w:r>
    </w:p>
    <w:p w14:paraId="2F130CF1" w14:textId="77777777" w:rsidR="009070C2" w:rsidRPr="007F2133" w:rsidRDefault="009070C2" w:rsidP="009070C2">
      <w:pPr>
        <w:pStyle w:val="Heading4"/>
        <w:spacing w:before="120" w:after="120" w:line="240" w:lineRule="auto"/>
        <w:rPr>
          <w:rFonts w:cs="Times New Roman"/>
          <w:i/>
          <w:color w:val="000000"/>
        </w:rPr>
      </w:pPr>
      <w:r w:rsidRPr="007F2133">
        <w:rPr>
          <w:rFonts w:cs="Times New Roman"/>
          <w:color w:val="000000"/>
        </w:rPr>
        <w:t>Comparison between the 2008 and 2015 Laws on Promulgation of Legal Documents in Vietnam is summarized in below table</w:t>
      </w:r>
      <w:r w:rsidRPr="007F2133">
        <w:rPr>
          <w:rStyle w:val="FootnoteReference"/>
          <w:rFonts w:cs="Times New Roman"/>
          <w:color w:val="000000"/>
        </w:rPr>
        <w:footnoteReference w:id="6"/>
      </w:r>
      <w:r w:rsidRPr="007F2133">
        <w:rPr>
          <w:rFonts w:cs="Times New Roman"/>
          <w:color w:val="000000"/>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2"/>
        <w:gridCol w:w="5348"/>
      </w:tblGrid>
      <w:tr w:rsidR="009070C2" w:rsidRPr="00F9788A" w14:paraId="0F018909" w14:textId="77777777" w:rsidTr="00776642">
        <w:trPr>
          <w:trHeight w:val="240"/>
          <w:tblCellSpacing w:w="0" w:type="dxa"/>
        </w:trPr>
        <w:tc>
          <w:tcPr>
            <w:tcW w:w="3502" w:type="dxa"/>
            <w:vAlign w:val="center"/>
            <w:hideMark/>
          </w:tcPr>
          <w:p w14:paraId="08E4362C" w14:textId="77777777" w:rsidR="009070C2" w:rsidRPr="007F2133" w:rsidRDefault="009070C2" w:rsidP="00776642">
            <w:pPr>
              <w:spacing w:line="240" w:lineRule="auto"/>
              <w:jc w:val="center"/>
              <w:rPr>
                <w:rFonts w:cs="Times New Roman"/>
                <w:sz w:val="20"/>
                <w:szCs w:val="20"/>
              </w:rPr>
            </w:pPr>
            <w:r w:rsidRPr="007F2133">
              <w:rPr>
                <w:rFonts w:cs="Times New Roman"/>
                <w:color w:val="000000"/>
                <w:sz w:val="20"/>
                <w:szCs w:val="20"/>
              </w:rPr>
              <w:t> </w:t>
            </w:r>
            <w:r w:rsidRPr="007F2133">
              <w:rPr>
                <w:rFonts w:cs="Times New Roman"/>
                <w:sz w:val="20"/>
                <w:szCs w:val="20"/>
              </w:rPr>
              <w:t>Constitution</w:t>
            </w:r>
          </w:p>
        </w:tc>
        <w:tc>
          <w:tcPr>
            <w:tcW w:w="5348" w:type="dxa"/>
            <w:vMerge w:val="restart"/>
            <w:vAlign w:val="center"/>
            <w:hideMark/>
          </w:tcPr>
          <w:p w14:paraId="35FEE770"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National Assembly</w:t>
            </w:r>
          </w:p>
        </w:tc>
      </w:tr>
      <w:tr w:rsidR="009070C2" w:rsidRPr="00F9788A" w14:paraId="0C28AB13" w14:textId="77777777" w:rsidTr="00776642">
        <w:trPr>
          <w:trHeight w:val="240"/>
          <w:tblCellSpacing w:w="0" w:type="dxa"/>
        </w:trPr>
        <w:tc>
          <w:tcPr>
            <w:tcW w:w="3502" w:type="dxa"/>
            <w:vAlign w:val="center"/>
            <w:hideMark/>
          </w:tcPr>
          <w:p w14:paraId="48F2CD79"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Code/Law</w:t>
            </w:r>
          </w:p>
        </w:tc>
        <w:tc>
          <w:tcPr>
            <w:tcW w:w="5348" w:type="dxa"/>
            <w:vMerge/>
            <w:vAlign w:val="center"/>
            <w:hideMark/>
          </w:tcPr>
          <w:p w14:paraId="25C1856F" w14:textId="77777777" w:rsidR="009070C2" w:rsidRPr="007F2133" w:rsidRDefault="009070C2" w:rsidP="00776642">
            <w:pPr>
              <w:spacing w:line="240" w:lineRule="auto"/>
              <w:rPr>
                <w:rFonts w:cs="Times New Roman"/>
                <w:sz w:val="20"/>
                <w:szCs w:val="20"/>
              </w:rPr>
            </w:pPr>
          </w:p>
        </w:tc>
      </w:tr>
      <w:tr w:rsidR="009070C2" w:rsidRPr="00F9788A" w14:paraId="283D812A" w14:textId="77777777" w:rsidTr="00776642">
        <w:trPr>
          <w:trHeight w:val="240"/>
          <w:tblCellSpacing w:w="0" w:type="dxa"/>
        </w:trPr>
        <w:tc>
          <w:tcPr>
            <w:tcW w:w="3502" w:type="dxa"/>
            <w:vAlign w:val="center"/>
            <w:hideMark/>
          </w:tcPr>
          <w:p w14:paraId="0F37B0C7"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Resolution</w:t>
            </w:r>
          </w:p>
        </w:tc>
        <w:tc>
          <w:tcPr>
            <w:tcW w:w="5348" w:type="dxa"/>
            <w:vMerge/>
            <w:vAlign w:val="center"/>
            <w:hideMark/>
          </w:tcPr>
          <w:p w14:paraId="66857099" w14:textId="77777777" w:rsidR="009070C2" w:rsidRPr="007F2133" w:rsidRDefault="009070C2" w:rsidP="00776642">
            <w:pPr>
              <w:spacing w:line="240" w:lineRule="auto"/>
              <w:rPr>
                <w:rFonts w:cs="Times New Roman"/>
                <w:sz w:val="20"/>
                <w:szCs w:val="20"/>
              </w:rPr>
            </w:pPr>
          </w:p>
        </w:tc>
      </w:tr>
      <w:tr w:rsidR="009070C2" w:rsidRPr="00F9788A" w14:paraId="4F71AB12" w14:textId="77777777" w:rsidTr="00776642">
        <w:trPr>
          <w:tblCellSpacing w:w="0" w:type="dxa"/>
        </w:trPr>
        <w:tc>
          <w:tcPr>
            <w:tcW w:w="3502" w:type="dxa"/>
            <w:vAlign w:val="center"/>
            <w:hideMark/>
          </w:tcPr>
          <w:p w14:paraId="5A90EB18"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Ordinance</w:t>
            </w:r>
          </w:p>
        </w:tc>
        <w:tc>
          <w:tcPr>
            <w:tcW w:w="5348" w:type="dxa"/>
            <w:vMerge w:val="restart"/>
            <w:vAlign w:val="center"/>
            <w:hideMark/>
          </w:tcPr>
          <w:p w14:paraId="0497D276"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National Assembly Standing Committee</w:t>
            </w:r>
          </w:p>
        </w:tc>
      </w:tr>
      <w:tr w:rsidR="009070C2" w:rsidRPr="00F9788A" w14:paraId="268105E0" w14:textId="77777777" w:rsidTr="00776642">
        <w:trPr>
          <w:tblCellSpacing w:w="0" w:type="dxa"/>
        </w:trPr>
        <w:tc>
          <w:tcPr>
            <w:tcW w:w="3502" w:type="dxa"/>
            <w:vAlign w:val="center"/>
            <w:hideMark/>
          </w:tcPr>
          <w:p w14:paraId="56BC9FD7"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Resolution</w:t>
            </w:r>
          </w:p>
        </w:tc>
        <w:tc>
          <w:tcPr>
            <w:tcW w:w="5348" w:type="dxa"/>
            <w:vMerge/>
            <w:vAlign w:val="center"/>
            <w:hideMark/>
          </w:tcPr>
          <w:p w14:paraId="1D4CCDD4" w14:textId="77777777" w:rsidR="009070C2" w:rsidRPr="007F2133" w:rsidRDefault="009070C2" w:rsidP="00776642">
            <w:pPr>
              <w:spacing w:line="240" w:lineRule="auto"/>
              <w:rPr>
                <w:rFonts w:cs="Times New Roman"/>
                <w:sz w:val="20"/>
                <w:szCs w:val="20"/>
              </w:rPr>
            </w:pPr>
          </w:p>
        </w:tc>
      </w:tr>
      <w:tr w:rsidR="009070C2" w:rsidRPr="00F9788A" w14:paraId="474B9A37" w14:textId="77777777" w:rsidTr="00776642">
        <w:trPr>
          <w:tblCellSpacing w:w="0" w:type="dxa"/>
        </w:trPr>
        <w:tc>
          <w:tcPr>
            <w:tcW w:w="3502" w:type="dxa"/>
            <w:vAlign w:val="center"/>
            <w:hideMark/>
          </w:tcPr>
          <w:p w14:paraId="3ECB1D45"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Order</w:t>
            </w:r>
          </w:p>
        </w:tc>
        <w:tc>
          <w:tcPr>
            <w:tcW w:w="5348" w:type="dxa"/>
            <w:vMerge w:val="restart"/>
            <w:vAlign w:val="center"/>
            <w:hideMark/>
          </w:tcPr>
          <w:p w14:paraId="112EB111"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President</w:t>
            </w:r>
          </w:p>
        </w:tc>
      </w:tr>
      <w:tr w:rsidR="009070C2" w:rsidRPr="00F9788A" w14:paraId="57232790" w14:textId="77777777" w:rsidTr="00776642">
        <w:trPr>
          <w:trHeight w:val="336"/>
          <w:tblCellSpacing w:w="0" w:type="dxa"/>
        </w:trPr>
        <w:tc>
          <w:tcPr>
            <w:tcW w:w="3502" w:type="dxa"/>
            <w:vAlign w:val="center"/>
            <w:hideMark/>
          </w:tcPr>
          <w:p w14:paraId="3A67FCEF"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Decision</w:t>
            </w:r>
          </w:p>
        </w:tc>
        <w:tc>
          <w:tcPr>
            <w:tcW w:w="5348" w:type="dxa"/>
            <w:vMerge/>
            <w:vAlign w:val="center"/>
            <w:hideMark/>
          </w:tcPr>
          <w:p w14:paraId="425F2535" w14:textId="77777777" w:rsidR="009070C2" w:rsidRPr="007F2133" w:rsidRDefault="009070C2" w:rsidP="00776642">
            <w:pPr>
              <w:spacing w:line="240" w:lineRule="auto"/>
              <w:rPr>
                <w:rFonts w:cs="Times New Roman"/>
                <w:sz w:val="20"/>
                <w:szCs w:val="20"/>
              </w:rPr>
            </w:pPr>
          </w:p>
        </w:tc>
      </w:tr>
      <w:tr w:rsidR="009070C2" w:rsidRPr="00F9788A" w14:paraId="30EA5096" w14:textId="77777777" w:rsidTr="00776642">
        <w:trPr>
          <w:trHeight w:val="309"/>
          <w:tblCellSpacing w:w="0" w:type="dxa"/>
        </w:trPr>
        <w:tc>
          <w:tcPr>
            <w:tcW w:w="3502" w:type="dxa"/>
            <w:vAlign w:val="center"/>
            <w:hideMark/>
          </w:tcPr>
          <w:p w14:paraId="7AB199D3"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Decree</w:t>
            </w:r>
          </w:p>
        </w:tc>
        <w:tc>
          <w:tcPr>
            <w:tcW w:w="5348" w:type="dxa"/>
            <w:vAlign w:val="center"/>
            <w:hideMark/>
          </w:tcPr>
          <w:p w14:paraId="0A671DAE"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Government</w:t>
            </w:r>
          </w:p>
        </w:tc>
      </w:tr>
      <w:tr w:rsidR="009070C2" w:rsidRPr="00F9788A" w14:paraId="6EA60C78" w14:textId="77777777" w:rsidTr="00776642">
        <w:trPr>
          <w:tblCellSpacing w:w="0" w:type="dxa"/>
        </w:trPr>
        <w:tc>
          <w:tcPr>
            <w:tcW w:w="3502" w:type="dxa"/>
            <w:vAlign w:val="center"/>
            <w:hideMark/>
          </w:tcPr>
          <w:p w14:paraId="2822630F"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Decision</w:t>
            </w:r>
          </w:p>
        </w:tc>
        <w:tc>
          <w:tcPr>
            <w:tcW w:w="5348" w:type="dxa"/>
            <w:vAlign w:val="center"/>
            <w:hideMark/>
          </w:tcPr>
          <w:p w14:paraId="4A3F04C0"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Prime Minister</w:t>
            </w:r>
          </w:p>
        </w:tc>
      </w:tr>
      <w:tr w:rsidR="009070C2" w:rsidRPr="00F9788A" w14:paraId="3EDFB23C" w14:textId="77777777" w:rsidTr="00776642">
        <w:trPr>
          <w:tblCellSpacing w:w="0" w:type="dxa"/>
        </w:trPr>
        <w:tc>
          <w:tcPr>
            <w:tcW w:w="3502" w:type="dxa"/>
            <w:vAlign w:val="center"/>
            <w:hideMark/>
          </w:tcPr>
          <w:p w14:paraId="733945CF"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Resolution</w:t>
            </w:r>
          </w:p>
        </w:tc>
        <w:tc>
          <w:tcPr>
            <w:tcW w:w="5348" w:type="dxa"/>
            <w:vAlign w:val="center"/>
            <w:hideMark/>
          </w:tcPr>
          <w:p w14:paraId="77381DE4"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Judicial Council of the Supreme People’s Court</w:t>
            </w:r>
          </w:p>
        </w:tc>
      </w:tr>
      <w:tr w:rsidR="009070C2" w:rsidRPr="00F9788A" w14:paraId="36E8E4C8" w14:textId="77777777" w:rsidTr="00776642">
        <w:trPr>
          <w:trHeight w:val="615"/>
          <w:tblCellSpacing w:w="0" w:type="dxa"/>
        </w:trPr>
        <w:tc>
          <w:tcPr>
            <w:tcW w:w="3502" w:type="dxa"/>
            <w:vAlign w:val="center"/>
            <w:hideMark/>
          </w:tcPr>
          <w:p w14:paraId="26C56BC2"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Circular</w:t>
            </w:r>
          </w:p>
        </w:tc>
        <w:tc>
          <w:tcPr>
            <w:tcW w:w="5348" w:type="dxa"/>
            <w:vAlign w:val="center"/>
            <w:hideMark/>
          </w:tcPr>
          <w:p w14:paraId="7EC3C1A5"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Procurator General of the Supreme People’s Procuracy, Chief Justice of the Supreme People’s Court</w:t>
            </w:r>
          </w:p>
        </w:tc>
      </w:tr>
      <w:tr w:rsidR="009070C2" w:rsidRPr="00F9788A" w14:paraId="26D4C61E" w14:textId="77777777" w:rsidTr="00776642">
        <w:trPr>
          <w:tblCellSpacing w:w="0" w:type="dxa"/>
        </w:trPr>
        <w:tc>
          <w:tcPr>
            <w:tcW w:w="3502" w:type="dxa"/>
            <w:vAlign w:val="center"/>
            <w:hideMark/>
          </w:tcPr>
          <w:p w14:paraId="1F9DA0A7"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Circular</w:t>
            </w:r>
          </w:p>
        </w:tc>
        <w:tc>
          <w:tcPr>
            <w:tcW w:w="5348" w:type="dxa"/>
            <w:vAlign w:val="center"/>
            <w:hideMark/>
          </w:tcPr>
          <w:p w14:paraId="7D28F1E4"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Ministers, heads of ministerial-level agencies</w:t>
            </w:r>
          </w:p>
        </w:tc>
      </w:tr>
      <w:tr w:rsidR="009070C2" w:rsidRPr="00F9788A" w14:paraId="310463C5" w14:textId="77777777" w:rsidTr="00776642">
        <w:trPr>
          <w:tblCellSpacing w:w="0" w:type="dxa"/>
        </w:trPr>
        <w:tc>
          <w:tcPr>
            <w:tcW w:w="3502" w:type="dxa"/>
            <w:vAlign w:val="center"/>
            <w:hideMark/>
          </w:tcPr>
          <w:p w14:paraId="4BC14457"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Decision</w:t>
            </w:r>
          </w:p>
        </w:tc>
        <w:tc>
          <w:tcPr>
            <w:tcW w:w="5348" w:type="dxa"/>
            <w:vAlign w:val="center"/>
            <w:hideMark/>
          </w:tcPr>
          <w:p w14:paraId="50679678"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State Auditor General</w:t>
            </w:r>
          </w:p>
        </w:tc>
      </w:tr>
      <w:tr w:rsidR="009070C2" w:rsidRPr="00F9788A" w14:paraId="73EAE0F8" w14:textId="77777777" w:rsidTr="00776642">
        <w:trPr>
          <w:tblCellSpacing w:w="0" w:type="dxa"/>
        </w:trPr>
        <w:tc>
          <w:tcPr>
            <w:tcW w:w="3502" w:type="dxa"/>
            <w:vAlign w:val="center"/>
            <w:hideMark/>
          </w:tcPr>
          <w:p w14:paraId="10743ECE"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Resolution</w:t>
            </w:r>
          </w:p>
        </w:tc>
        <w:tc>
          <w:tcPr>
            <w:tcW w:w="5348" w:type="dxa"/>
            <w:vAlign w:val="center"/>
            <w:hideMark/>
          </w:tcPr>
          <w:p w14:paraId="569A2E31"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People’s Councils at all levels</w:t>
            </w:r>
          </w:p>
        </w:tc>
      </w:tr>
      <w:tr w:rsidR="009070C2" w:rsidRPr="00F9788A" w14:paraId="1562DFA1" w14:textId="77777777" w:rsidTr="00776642">
        <w:trPr>
          <w:tblCellSpacing w:w="0" w:type="dxa"/>
        </w:trPr>
        <w:tc>
          <w:tcPr>
            <w:tcW w:w="3502" w:type="dxa"/>
            <w:vAlign w:val="center"/>
            <w:hideMark/>
          </w:tcPr>
          <w:p w14:paraId="14C57BC3"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Decision (</w:t>
            </w:r>
            <w:r w:rsidRPr="007F2133">
              <w:rPr>
                <w:rStyle w:val="Emphasis"/>
                <w:rFonts w:cs="Times New Roman"/>
                <w:sz w:val="20"/>
                <w:szCs w:val="20"/>
              </w:rPr>
              <w:t>and Directive under the 2008 Law</w:t>
            </w:r>
            <w:r w:rsidRPr="007F2133">
              <w:rPr>
                <w:rFonts w:cs="Times New Roman"/>
                <w:sz w:val="20"/>
                <w:szCs w:val="20"/>
              </w:rPr>
              <w:t>)</w:t>
            </w:r>
          </w:p>
        </w:tc>
        <w:tc>
          <w:tcPr>
            <w:tcW w:w="5348" w:type="dxa"/>
            <w:vAlign w:val="center"/>
            <w:hideMark/>
          </w:tcPr>
          <w:p w14:paraId="7729B071"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People’s Committees at all levels</w:t>
            </w:r>
          </w:p>
        </w:tc>
      </w:tr>
      <w:tr w:rsidR="009070C2" w:rsidRPr="00F9788A" w14:paraId="1E96F0E3" w14:textId="77777777" w:rsidTr="00776642">
        <w:trPr>
          <w:tblCellSpacing w:w="0" w:type="dxa"/>
        </w:trPr>
        <w:tc>
          <w:tcPr>
            <w:tcW w:w="3502" w:type="dxa"/>
            <w:vAlign w:val="center"/>
            <w:hideMark/>
          </w:tcPr>
          <w:p w14:paraId="0D29F1A4"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lastRenderedPageBreak/>
              <w:t>Legal documents (</w:t>
            </w:r>
            <w:r w:rsidRPr="007F2133">
              <w:rPr>
                <w:rStyle w:val="Emphasis"/>
                <w:rFonts w:cs="Times New Roman"/>
                <w:sz w:val="20"/>
                <w:szCs w:val="20"/>
              </w:rPr>
              <w:t>introduced for the first time in the 2015 Law)</w:t>
            </w:r>
          </w:p>
        </w:tc>
        <w:tc>
          <w:tcPr>
            <w:tcW w:w="5348" w:type="dxa"/>
            <w:vAlign w:val="center"/>
            <w:hideMark/>
          </w:tcPr>
          <w:p w14:paraId="1D27E55D"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Local administrations in special administrative-economic units</w:t>
            </w:r>
          </w:p>
        </w:tc>
      </w:tr>
      <w:tr w:rsidR="009070C2" w:rsidRPr="00F9788A" w14:paraId="480C665E" w14:textId="77777777" w:rsidTr="00776642">
        <w:trPr>
          <w:tblCellSpacing w:w="0" w:type="dxa"/>
        </w:trPr>
        <w:tc>
          <w:tcPr>
            <w:tcW w:w="3502" w:type="dxa"/>
            <w:vAlign w:val="center"/>
            <w:hideMark/>
          </w:tcPr>
          <w:p w14:paraId="1FA3EE9D"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Joint Resolution</w:t>
            </w:r>
          </w:p>
        </w:tc>
        <w:tc>
          <w:tcPr>
            <w:tcW w:w="5348" w:type="dxa"/>
            <w:vAlign w:val="center"/>
            <w:hideMark/>
          </w:tcPr>
          <w:p w14:paraId="6F05AEB6"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Between National Assembly Standing Committee or Government and Presidium of the Central Committee of the Vietnam Fatherland Front (</w:t>
            </w:r>
            <w:r w:rsidRPr="007F2133">
              <w:rPr>
                <w:rStyle w:val="Emphasis"/>
                <w:rFonts w:cs="Times New Roman"/>
                <w:sz w:val="20"/>
                <w:szCs w:val="20"/>
              </w:rPr>
              <w:t>between National Assembly Standing Committee or Government and a central agency of a socio-political organization under the 2008 Law</w:t>
            </w:r>
            <w:r w:rsidRPr="007F2133">
              <w:rPr>
                <w:rFonts w:cs="Times New Roman"/>
                <w:sz w:val="20"/>
                <w:szCs w:val="20"/>
              </w:rPr>
              <w:t>)</w:t>
            </w:r>
          </w:p>
        </w:tc>
      </w:tr>
      <w:tr w:rsidR="009070C2" w:rsidRPr="00F9788A" w14:paraId="6556C192" w14:textId="77777777" w:rsidTr="00776642">
        <w:trPr>
          <w:tblCellSpacing w:w="0" w:type="dxa"/>
        </w:trPr>
        <w:tc>
          <w:tcPr>
            <w:tcW w:w="3502" w:type="dxa"/>
            <w:vMerge w:val="restart"/>
            <w:vAlign w:val="center"/>
            <w:hideMark/>
          </w:tcPr>
          <w:p w14:paraId="1EBFED81"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Joint Circular</w:t>
            </w:r>
          </w:p>
        </w:tc>
        <w:tc>
          <w:tcPr>
            <w:tcW w:w="5348" w:type="dxa"/>
            <w:vAlign w:val="center"/>
            <w:hideMark/>
          </w:tcPr>
          <w:p w14:paraId="44074109"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Between Chief Justice of the Supreme People’s Court and Procurator General of the Supreme People’s Procuracy</w:t>
            </w:r>
          </w:p>
        </w:tc>
      </w:tr>
      <w:tr w:rsidR="009070C2" w:rsidRPr="00F9788A" w14:paraId="7AB464CF" w14:textId="77777777" w:rsidTr="00776642">
        <w:trPr>
          <w:tblCellSpacing w:w="0" w:type="dxa"/>
        </w:trPr>
        <w:tc>
          <w:tcPr>
            <w:tcW w:w="3502" w:type="dxa"/>
            <w:vMerge/>
            <w:vAlign w:val="center"/>
            <w:hideMark/>
          </w:tcPr>
          <w:p w14:paraId="4C4CECEF" w14:textId="77777777" w:rsidR="009070C2" w:rsidRPr="007F2133" w:rsidRDefault="009070C2" w:rsidP="00776642">
            <w:pPr>
              <w:spacing w:line="240" w:lineRule="auto"/>
              <w:rPr>
                <w:rFonts w:cs="Times New Roman"/>
                <w:sz w:val="20"/>
                <w:szCs w:val="20"/>
              </w:rPr>
            </w:pPr>
          </w:p>
        </w:tc>
        <w:tc>
          <w:tcPr>
            <w:tcW w:w="5348" w:type="dxa"/>
            <w:vAlign w:val="center"/>
            <w:hideMark/>
          </w:tcPr>
          <w:p w14:paraId="3E2A6012" w14:textId="77777777" w:rsidR="009070C2" w:rsidRPr="007F2133" w:rsidRDefault="009070C2" w:rsidP="00776642">
            <w:pPr>
              <w:spacing w:line="240" w:lineRule="auto"/>
              <w:jc w:val="center"/>
              <w:rPr>
                <w:rFonts w:cs="Times New Roman"/>
                <w:sz w:val="20"/>
                <w:szCs w:val="20"/>
              </w:rPr>
            </w:pPr>
            <w:r w:rsidRPr="007F2133">
              <w:rPr>
                <w:rFonts w:cs="Times New Roman"/>
                <w:sz w:val="20"/>
                <w:szCs w:val="20"/>
              </w:rPr>
              <w:t>Between Ministers or heads of ministerial-level agencies and Procurator General of the Supreme People’s Procuracy or Chief Justice of the Supreme People’s Court</w:t>
            </w:r>
            <w:r w:rsidRPr="007F2133">
              <w:rPr>
                <w:rFonts w:cs="Times New Roman"/>
                <w:sz w:val="20"/>
                <w:szCs w:val="20"/>
              </w:rPr>
              <w:br/>
              <w:t>(</w:t>
            </w:r>
            <w:r w:rsidRPr="007F2133">
              <w:rPr>
                <w:rStyle w:val="Emphasis"/>
                <w:rFonts w:cs="Times New Roman"/>
                <w:sz w:val="20"/>
                <w:szCs w:val="20"/>
              </w:rPr>
              <w:t>between competent state agencies under the 2008 Law)</w:t>
            </w:r>
          </w:p>
        </w:tc>
      </w:tr>
    </w:tbl>
    <w:p w14:paraId="2548F373" w14:textId="77777777" w:rsidR="009070C2" w:rsidRDefault="009070C2"/>
    <w:p w14:paraId="4B9CB69F" w14:textId="057E152A" w:rsidR="00BB3AEA" w:rsidRPr="008B5494" w:rsidRDefault="0091120C" w:rsidP="0091120C">
      <w:pPr>
        <w:pStyle w:val="Heading2"/>
        <w:numPr>
          <w:ilvl w:val="1"/>
          <w:numId w:val="0"/>
        </w:numPr>
        <w:tabs>
          <w:tab w:val="num" w:pos="360"/>
        </w:tabs>
        <w:rPr>
          <w:color w:val="002060"/>
        </w:rPr>
      </w:pPr>
      <w:bookmarkStart w:id="150" w:name="_1m5awnv7kt9t" w:colFirst="0" w:colLast="0"/>
      <w:bookmarkStart w:id="151" w:name="_Toc104218383"/>
      <w:bookmarkEnd w:id="150"/>
      <w:r>
        <w:rPr>
          <w:color w:val="002060"/>
        </w:rPr>
        <w:t xml:space="preserve">5.1.1 </w:t>
      </w:r>
      <w:r w:rsidR="00F25AA1" w:rsidRPr="008B5494">
        <w:rPr>
          <w:color w:val="002060"/>
        </w:rPr>
        <w:t>Social</w:t>
      </w:r>
      <w:bookmarkEnd w:id="151"/>
      <w:r w:rsidR="00F25AA1" w:rsidRPr="008B5494">
        <w:rPr>
          <w:color w:val="002060"/>
        </w:rPr>
        <w:t xml:space="preserve"> </w:t>
      </w:r>
    </w:p>
    <w:p w14:paraId="6B80E2EB" w14:textId="42A5D2DC" w:rsidR="00BB3AEA" w:rsidRPr="00457205" w:rsidRDefault="00BB3AEA" w:rsidP="00981A27">
      <w:pPr>
        <w:ind w:firstLine="420"/>
        <w:rPr>
          <w:rFonts w:asciiTheme="majorHAnsi" w:hAnsiTheme="majorHAnsi" w:cstheme="majorHAnsi"/>
          <w:sz w:val="22"/>
        </w:rPr>
      </w:pPr>
      <w:r w:rsidRPr="00457205">
        <w:rPr>
          <w:rFonts w:asciiTheme="majorHAnsi" w:hAnsiTheme="majorHAnsi" w:cstheme="majorHAnsi"/>
          <w:sz w:val="22"/>
        </w:rPr>
        <w:t>The following section outlines regulatory provisions in respect of social</w:t>
      </w:r>
      <w:r w:rsidR="00981A27" w:rsidRPr="00457205">
        <w:rPr>
          <w:rFonts w:asciiTheme="majorHAnsi" w:hAnsiTheme="majorHAnsi" w:cstheme="majorHAnsi"/>
          <w:sz w:val="22"/>
        </w:rPr>
        <w:t xml:space="preserve"> matters that have been deemed relevant </w:t>
      </w:r>
      <w:r w:rsidR="00F72D1B" w:rsidRPr="00457205">
        <w:rPr>
          <w:rFonts w:asciiTheme="majorHAnsi" w:hAnsiTheme="majorHAnsi" w:cstheme="majorHAnsi"/>
          <w:sz w:val="22"/>
        </w:rPr>
        <w:t>to the project after</w:t>
      </w:r>
      <w:r w:rsidR="00981A27" w:rsidRPr="00457205">
        <w:rPr>
          <w:rFonts w:asciiTheme="majorHAnsi" w:hAnsiTheme="majorHAnsi" w:cstheme="majorHAnsi"/>
          <w:sz w:val="22"/>
        </w:rPr>
        <w:t xml:space="preserve"> </w:t>
      </w:r>
      <w:r w:rsidR="00A55640" w:rsidRPr="00457205">
        <w:rPr>
          <w:rFonts w:asciiTheme="majorHAnsi" w:hAnsiTheme="majorHAnsi" w:cstheme="majorHAnsi"/>
          <w:sz w:val="22"/>
        </w:rPr>
        <w:t xml:space="preserve">PPG </w:t>
      </w:r>
      <w:r w:rsidR="00981A27" w:rsidRPr="00457205">
        <w:rPr>
          <w:rFonts w:asciiTheme="majorHAnsi" w:hAnsiTheme="majorHAnsi" w:cstheme="majorHAnsi"/>
          <w:sz w:val="22"/>
        </w:rPr>
        <w:t>SESP screening. The project must adhere to all of the provisions outlined below as well as any other applicable national regulation notwithstanding that it may be omitted from the following section.</w:t>
      </w:r>
    </w:p>
    <w:p w14:paraId="25688CCF" w14:textId="33B52691" w:rsidR="002A1B1F" w:rsidRDefault="00053BC1" w:rsidP="00053BC1">
      <w:pPr>
        <w:pStyle w:val="Heading3"/>
      </w:pPr>
      <w:bookmarkStart w:id="152" w:name="_Toc104218384"/>
      <w:r>
        <w:t xml:space="preserve"> </w:t>
      </w:r>
      <w:r w:rsidR="00F25AA1">
        <w:t>Table</w:t>
      </w:r>
      <w:r w:rsidR="00AB19A7">
        <w:t xml:space="preserve"> 1</w:t>
      </w:r>
      <w:r w:rsidR="00F25AA1">
        <w:t>: Summary of Social Regulation</w:t>
      </w:r>
      <w:bookmarkEnd w:id="152"/>
    </w:p>
    <w:tbl>
      <w:tblPr>
        <w:tblStyle w:val="2"/>
        <w:tblW w:w="9370" w:type="dxa"/>
        <w:tblInd w:w="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20"/>
        <w:gridCol w:w="3120"/>
      </w:tblGrid>
      <w:tr w:rsidR="002A1B1F" w14:paraId="15A4A43D" w14:textId="77777777">
        <w:tc>
          <w:tcPr>
            <w:tcW w:w="3130"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36EEA9CE" w14:textId="77777777" w:rsidR="002A1B1F" w:rsidRDefault="00F25AA1">
            <w:pPr>
              <w:spacing w:line="240" w:lineRule="auto"/>
              <w:rPr>
                <w:b/>
                <w:sz w:val="20"/>
                <w:szCs w:val="20"/>
              </w:rPr>
            </w:pPr>
            <w:r>
              <w:rPr>
                <w:b/>
                <w:sz w:val="20"/>
                <w:szCs w:val="20"/>
              </w:rPr>
              <w:t xml:space="preserve">Law / Decree / Resolution number </w:t>
            </w:r>
          </w:p>
        </w:tc>
        <w:tc>
          <w:tcPr>
            <w:tcW w:w="3120" w:type="dxa"/>
            <w:tcBorders>
              <w:top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7CF51E0C" w14:textId="35B55990" w:rsidR="002A1B1F" w:rsidRDefault="00F25AA1">
            <w:pPr>
              <w:spacing w:line="240" w:lineRule="auto"/>
              <w:rPr>
                <w:b/>
                <w:sz w:val="20"/>
                <w:szCs w:val="20"/>
              </w:rPr>
            </w:pPr>
            <w:r>
              <w:rPr>
                <w:b/>
                <w:sz w:val="20"/>
                <w:szCs w:val="20"/>
              </w:rPr>
              <w:t>Title [non-official English translation]</w:t>
            </w:r>
            <w:r w:rsidR="00E96CF1">
              <w:rPr>
                <w:b/>
                <w:sz w:val="20"/>
                <w:szCs w:val="20"/>
              </w:rPr>
              <w:t>/</w:t>
            </w:r>
            <w:proofErr w:type="spellStart"/>
            <w:r w:rsidR="00E96CF1">
              <w:rPr>
                <w:b/>
                <w:sz w:val="20"/>
                <w:szCs w:val="20"/>
              </w:rPr>
              <w:t>Decription</w:t>
            </w:r>
            <w:proofErr w:type="spellEnd"/>
            <w:r>
              <w:rPr>
                <w:b/>
                <w:sz w:val="20"/>
                <w:szCs w:val="20"/>
              </w:rPr>
              <w:t xml:space="preserve"> </w:t>
            </w:r>
          </w:p>
        </w:tc>
        <w:tc>
          <w:tcPr>
            <w:tcW w:w="3120" w:type="dxa"/>
            <w:tcBorders>
              <w:top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628EA6DF" w14:textId="77777777" w:rsidR="002A1B1F" w:rsidRDefault="00F25AA1">
            <w:pPr>
              <w:spacing w:line="240" w:lineRule="auto"/>
              <w:rPr>
                <w:b/>
                <w:sz w:val="20"/>
                <w:szCs w:val="20"/>
              </w:rPr>
            </w:pPr>
            <w:r>
              <w:rPr>
                <w:b/>
                <w:sz w:val="20"/>
                <w:szCs w:val="20"/>
              </w:rPr>
              <w:t>Issued Date</w:t>
            </w:r>
          </w:p>
        </w:tc>
      </w:tr>
      <w:tr w:rsidR="002A1B1F" w14:paraId="3CC91648" w14:textId="77777777">
        <w:tc>
          <w:tcPr>
            <w:tcW w:w="3130" w:type="dxa"/>
            <w:shd w:val="clear" w:color="auto" w:fill="auto"/>
            <w:tcMar>
              <w:top w:w="100" w:type="dxa"/>
              <w:left w:w="100" w:type="dxa"/>
              <w:bottom w:w="100" w:type="dxa"/>
              <w:right w:w="100" w:type="dxa"/>
            </w:tcMar>
          </w:tcPr>
          <w:p w14:paraId="683D68DD" w14:textId="3388E66E" w:rsidR="002A1B1F" w:rsidRPr="00BB3AEA" w:rsidRDefault="00BB3AEA" w:rsidP="00BB3AEA">
            <w:pPr>
              <w:rPr>
                <w:sz w:val="20"/>
                <w:szCs w:val="18"/>
              </w:rPr>
            </w:pPr>
            <w:r w:rsidRPr="00BB3AEA">
              <w:rPr>
                <w:rFonts w:cs="Times New Roman"/>
                <w:sz w:val="20"/>
                <w:szCs w:val="18"/>
              </w:rPr>
              <w:t>Order No.18/2013/L-CTN</w:t>
            </w:r>
          </w:p>
        </w:tc>
        <w:tc>
          <w:tcPr>
            <w:tcW w:w="3120" w:type="dxa"/>
            <w:shd w:val="clear" w:color="auto" w:fill="auto"/>
            <w:tcMar>
              <w:top w:w="100" w:type="dxa"/>
              <w:left w:w="100" w:type="dxa"/>
              <w:bottom w:w="100" w:type="dxa"/>
              <w:right w:w="100" w:type="dxa"/>
            </w:tcMar>
          </w:tcPr>
          <w:p w14:paraId="16ECC2AD" w14:textId="121FCD48" w:rsidR="002A1B1F" w:rsidRDefault="00BB3AEA">
            <w:pPr>
              <w:spacing w:line="240" w:lineRule="auto"/>
              <w:rPr>
                <w:sz w:val="20"/>
                <w:szCs w:val="20"/>
              </w:rPr>
            </w:pPr>
            <w:r>
              <w:rPr>
                <w:sz w:val="20"/>
                <w:szCs w:val="20"/>
              </w:rPr>
              <w:t xml:space="preserve">The </w:t>
            </w:r>
            <w:r w:rsidR="00F25AA1">
              <w:rPr>
                <w:sz w:val="20"/>
                <w:szCs w:val="20"/>
              </w:rPr>
              <w:t xml:space="preserve">Constitution </w:t>
            </w:r>
          </w:p>
        </w:tc>
        <w:tc>
          <w:tcPr>
            <w:tcW w:w="3120" w:type="dxa"/>
            <w:shd w:val="clear" w:color="auto" w:fill="auto"/>
            <w:tcMar>
              <w:top w:w="100" w:type="dxa"/>
              <w:left w:w="100" w:type="dxa"/>
              <w:bottom w:w="100" w:type="dxa"/>
              <w:right w:w="100" w:type="dxa"/>
            </w:tcMar>
          </w:tcPr>
          <w:p w14:paraId="13F518E7" w14:textId="70BCF84C" w:rsidR="002A1B1F" w:rsidRDefault="00DC0AC7">
            <w:pPr>
              <w:spacing w:line="240" w:lineRule="auto"/>
              <w:rPr>
                <w:sz w:val="20"/>
                <w:szCs w:val="20"/>
              </w:rPr>
            </w:pPr>
            <w:r>
              <w:rPr>
                <w:sz w:val="20"/>
                <w:szCs w:val="20"/>
              </w:rPr>
              <w:t>8 December 2013</w:t>
            </w:r>
          </w:p>
        </w:tc>
      </w:tr>
      <w:tr w:rsidR="002A1B1F" w14:paraId="6E6D509F" w14:textId="77777777">
        <w:tc>
          <w:tcPr>
            <w:tcW w:w="3130" w:type="dxa"/>
            <w:shd w:val="clear" w:color="auto" w:fill="auto"/>
            <w:tcMar>
              <w:top w:w="100" w:type="dxa"/>
              <w:left w:w="100" w:type="dxa"/>
              <w:bottom w:w="100" w:type="dxa"/>
              <w:right w:w="100" w:type="dxa"/>
            </w:tcMar>
          </w:tcPr>
          <w:p w14:paraId="0968A31F" w14:textId="742A25EB" w:rsidR="002A1B1F" w:rsidRPr="00BB3AEA" w:rsidRDefault="00BB3AEA" w:rsidP="00BB3AEA">
            <w:pPr>
              <w:rPr>
                <w:sz w:val="20"/>
                <w:szCs w:val="18"/>
              </w:rPr>
            </w:pPr>
            <w:r w:rsidRPr="00BB3AEA">
              <w:rPr>
                <w:rFonts w:cs="Times New Roman"/>
                <w:sz w:val="20"/>
                <w:szCs w:val="18"/>
                <w:lang w:val="en-CA"/>
              </w:rPr>
              <w:t>Law No. 100/2015/QH13</w:t>
            </w:r>
          </w:p>
        </w:tc>
        <w:tc>
          <w:tcPr>
            <w:tcW w:w="3120" w:type="dxa"/>
            <w:shd w:val="clear" w:color="auto" w:fill="auto"/>
            <w:tcMar>
              <w:top w:w="100" w:type="dxa"/>
              <w:left w:w="100" w:type="dxa"/>
              <w:bottom w:w="100" w:type="dxa"/>
              <w:right w:w="100" w:type="dxa"/>
            </w:tcMar>
          </w:tcPr>
          <w:p w14:paraId="0E46A35F" w14:textId="69130DA2" w:rsidR="002A1B1F" w:rsidRDefault="00F25AA1">
            <w:pPr>
              <w:spacing w:line="240" w:lineRule="auto"/>
              <w:rPr>
                <w:sz w:val="20"/>
                <w:szCs w:val="20"/>
              </w:rPr>
            </w:pPr>
            <w:r>
              <w:rPr>
                <w:sz w:val="20"/>
                <w:szCs w:val="20"/>
              </w:rPr>
              <w:t xml:space="preserve">Penal Code </w:t>
            </w:r>
          </w:p>
        </w:tc>
        <w:tc>
          <w:tcPr>
            <w:tcW w:w="3120" w:type="dxa"/>
            <w:shd w:val="clear" w:color="auto" w:fill="auto"/>
            <w:tcMar>
              <w:top w:w="100" w:type="dxa"/>
              <w:left w:w="100" w:type="dxa"/>
              <w:bottom w:w="100" w:type="dxa"/>
              <w:right w:w="100" w:type="dxa"/>
            </w:tcMar>
          </w:tcPr>
          <w:p w14:paraId="46F63573" w14:textId="5C98E603" w:rsidR="002A1B1F" w:rsidRDefault="00BB3AEA">
            <w:pPr>
              <w:spacing w:line="240" w:lineRule="auto"/>
              <w:rPr>
                <w:sz w:val="20"/>
                <w:szCs w:val="20"/>
              </w:rPr>
            </w:pPr>
            <w:r>
              <w:rPr>
                <w:sz w:val="20"/>
                <w:szCs w:val="20"/>
              </w:rPr>
              <w:t>27 November 2015</w:t>
            </w:r>
          </w:p>
        </w:tc>
      </w:tr>
      <w:tr w:rsidR="002A1B1F" w14:paraId="027DFDD4" w14:textId="77777777">
        <w:tc>
          <w:tcPr>
            <w:tcW w:w="3130" w:type="dxa"/>
            <w:shd w:val="clear" w:color="auto" w:fill="auto"/>
            <w:tcMar>
              <w:top w:w="100" w:type="dxa"/>
              <w:left w:w="100" w:type="dxa"/>
              <w:bottom w:w="100" w:type="dxa"/>
              <w:right w:w="100" w:type="dxa"/>
            </w:tcMar>
          </w:tcPr>
          <w:p w14:paraId="72BAC76A" w14:textId="77777777" w:rsidR="002A1B1F" w:rsidRDefault="00F25AA1">
            <w:pPr>
              <w:spacing w:line="240" w:lineRule="auto"/>
              <w:rPr>
                <w:sz w:val="20"/>
                <w:szCs w:val="20"/>
              </w:rPr>
            </w:pPr>
            <w:r>
              <w:rPr>
                <w:sz w:val="20"/>
                <w:szCs w:val="20"/>
              </w:rPr>
              <w:t>Law No. 91/2015/QH13</w:t>
            </w:r>
          </w:p>
        </w:tc>
        <w:tc>
          <w:tcPr>
            <w:tcW w:w="3120" w:type="dxa"/>
            <w:shd w:val="clear" w:color="auto" w:fill="auto"/>
            <w:tcMar>
              <w:top w:w="100" w:type="dxa"/>
              <w:left w:w="100" w:type="dxa"/>
              <w:bottom w:w="100" w:type="dxa"/>
              <w:right w:w="100" w:type="dxa"/>
            </w:tcMar>
          </w:tcPr>
          <w:p w14:paraId="02811DD4" w14:textId="2EBBC879" w:rsidR="002A1B1F" w:rsidRDefault="00F25AA1">
            <w:pPr>
              <w:spacing w:line="240" w:lineRule="auto"/>
              <w:rPr>
                <w:sz w:val="20"/>
                <w:szCs w:val="20"/>
              </w:rPr>
            </w:pPr>
            <w:r>
              <w:rPr>
                <w:sz w:val="20"/>
                <w:szCs w:val="20"/>
              </w:rPr>
              <w:t xml:space="preserve">Civil Code </w:t>
            </w:r>
          </w:p>
        </w:tc>
        <w:tc>
          <w:tcPr>
            <w:tcW w:w="3120" w:type="dxa"/>
            <w:shd w:val="clear" w:color="auto" w:fill="auto"/>
            <w:tcMar>
              <w:top w:w="100" w:type="dxa"/>
              <w:left w:w="100" w:type="dxa"/>
              <w:bottom w:w="100" w:type="dxa"/>
              <w:right w:w="100" w:type="dxa"/>
            </w:tcMar>
          </w:tcPr>
          <w:p w14:paraId="2E620C48" w14:textId="653926F8" w:rsidR="002A1B1F" w:rsidRDefault="00F25AA1">
            <w:pPr>
              <w:spacing w:line="240" w:lineRule="auto"/>
              <w:rPr>
                <w:sz w:val="20"/>
                <w:szCs w:val="20"/>
              </w:rPr>
            </w:pPr>
            <w:r>
              <w:rPr>
                <w:sz w:val="20"/>
                <w:szCs w:val="20"/>
              </w:rPr>
              <w:t>24 November 2015</w:t>
            </w:r>
          </w:p>
        </w:tc>
      </w:tr>
      <w:tr w:rsidR="002A1B1F" w14:paraId="7A5027B9" w14:textId="77777777">
        <w:tc>
          <w:tcPr>
            <w:tcW w:w="3130" w:type="dxa"/>
            <w:shd w:val="clear" w:color="auto" w:fill="auto"/>
            <w:tcMar>
              <w:top w:w="100" w:type="dxa"/>
              <w:left w:w="100" w:type="dxa"/>
              <w:bottom w:w="100" w:type="dxa"/>
              <w:right w:w="100" w:type="dxa"/>
            </w:tcMar>
          </w:tcPr>
          <w:p w14:paraId="367F6610" w14:textId="6E3418AC" w:rsidR="002A1B1F" w:rsidRDefault="00EB2DF9">
            <w:pPr>
              <w:spacing w:line="240" w:lineRule="auto"/>
              <w:rPr>
                <w:sz w:val="20"/>
                <w:szCs w:val="20"/>
              </w:rPr>
            </w:pPr>
            <w:r>
              <w:rPr>
                <w:sz w:val="20"/>
                <w:szCs w:val="20"/>
              </w:rPr>
              <w:t>Law No. 28/2001/QH10</w:t>
            </w:r>
          </w:p>
        </w:tc>
        <w:tc>
          <w:tcPr>
            <w:tcW w:w="3120" w:type="dxa"/>
            <w:shd w:val="clear" w:color="auto" w:fill="auto"/>
            <w:tcMar>
              <w:top w:w="100" w:type="dxa"/>
              <w:left w:w="100" w:type="dxa"/>
              <w:bottom w:w="100" w:type="dxa"/>
              <w:right w:w="100" w:type="dxa"/>
            </w:tcMar>
          </w:tcPr>
          <w:p w14:paraId="507B488F" w14:textId="77777777" w:rsidR="002A1B1F" w:rsidRDefault="00F25AA1">
            <w:pPr>
              <w:spacing w:line="240" w:lineRule="auto"/>
              <w:rPr>
                <w:sz w:val="20"/>
                <w:szCs w:val="20"/>
              </w:rPr>
            </w:pPr>
            <w:r>
              <w:rPr>
                <w:sz w:val="20"/>
                <w:szCs w:val="20"/>
              </w:rPr>
              <w:t>Law on Cultural Heritage</w:t>
            </w:r>
          </w:p>
        </w:tc>
        <w:tc>
          <w:tcPr>
            <w:tcW w:w="3120" w:type="dxa"/>
            <w:shd w:val="clear" w:color="auto" w:fill="auto"/>
            <w:tcMar>
              <w:top w:w="100" w:type="dxa"/>
              <w:left w:w="100" w:type="dxa"/>
              <w:bottom w:w="100" w:type="dxa"/>
              <w:right w:w="100" w:type="dxa"/>
            </w:tcMar>
          </w:tcPr>
          <w:p w14:paraId="249B7124" w14:textId="00C01D85" w:rsidR="002A1B1F" w:rsidRDefault="00EB2DF9">
            <w:pPr>
              <w:spacing w:line="240" w:lineRule="auto"/>
              <w:rPr>
                <w:sz w:val="20"/>
                <w:szCs w:val="20"/>
              </w:rPr>
            </w:pPr>
            <w:r>
              <w:rPr>
                <w:sz w:val="20"/>
                <w:szCs w:val="20"/>
              </w:rPr>
              <w:t>29 June 2001</w:t>
            </w:r>
          </w:p>
        </w:tc>
      </w:tr>
      <w:tr w:rsidR="002A1B1F" w14:paraId="3220C917" w14:textId="77777777">
        <w:tc>
          <w:tcPr>
            <w:tcW w:w="3130" w:type="dxa"/>
            <w:shd w:val="clear" w:color="auto" w:fill="auto"/>
            <w:tcMar>
              <w:top w:w="100" w:type="dxa"/>
              <w:left w:w="100" w:type="dxa"/>
              <w:bottom w:w="100" w:type="dxa"/>
              <w:right w:w="100" w:type="dxa"/>
            </w:tcMar>
          </w:tcPr>
          <w:p w14:paraId="7010E681" w14:textId="77777777" w:rsidR="002A1B1F" w:rsidRDefault="00F25AA1">
            <w:pPr>
              <w:spacing w:line="240" w:lineRule="auto"/>
              <w:rPr>
                <w:sz w:val="20"/>
                <w:szCs w:val="20"/>
              </w:rPr>
            </w:pPr>
            <w:r>
              <w:rPr>
                <w:sz w:val="20"/>
                <w:szCs w:val="20"/>
              </w:rPr>
              <w:t>Resolution 88/2019/QH14 and Resolution 120/2020/QH14</w:t>
            </w:r>
          </w:p>
        </w:tc>
        <w:tc>
          <w:tcPr>
            <w:tcW w:w="3120" w:type="dxa"/>
            <w:shd w:val="clear" w:color="auto" w:fill="auto"/>
            <w:tcMar>
              <w:top w:w="100" w:type="dxa"/>
              <w:left w:w="100" w:type="dxa"/>
              <w:bottom w:w="100" w:type="dxa"/>
              <w:right w:w="100" w:type="dxa"/>
            </w:tcMar>
          </w:tcPr>
          <w:p w14:paraId="5367DE45" w14:textId="6B319A3B" w:rsidR="002A1B1F" w:rsidRDefault="00F25AA1">
            <w:pPr>
              <w:spacing w:line="240" w:lineRule="auto"/>
              <w:rPr>
                <w:sz w:val="20"/>
                <w:szCs w:val="20"/>
              </w:rPr>
            </w:pPr>
            <w:r>
              <w:rPr>
                <w:sz w:val="20"/>
                <w:szCs w:val="20"/>
              </w:rPr>
              <w:t xml:space="preserve">Resolutions by the National Congress and Resolution 12/2020/NQ-CP by the </w:t>
            </w:r>
            <w:proofErr w:type="spellStart"/>
            <w:r>
              <w:rPr>
                <w:sz w:val="20"/>
                <w:szCs w:val="20"/>
              </w:rPr>
              <w:t>GoV</w:t>
            </w:r>
            <w:proofErr w:type="spellEnd"/>
            <w:r>
              <w:rPr>
                <w:sz w:val="20"/>
                <w:szCs w:val="20"/>
              </w:rPr>
              <w:t xml:space="preserve"> on Overall Action Plan and Investment for socio economic development in ethnic minorit</w:t>
            </w:r>
            <w:r w:rsidR="00323A27">
              <w:rPr>
                <w:sz w:val="20"/>
                <w:szCs w:val="20"/>
              </w:rPr>
              <w:t>y</w:t>
            </w:r>
            <w:r>
              <w:rPr>
                <w:sz w:val="20"/>
                <w:szCs w:val="20"/>
              </w:rPr>
              <w:t xml:space="preserve"> and mountainous areas 2021-2030.</w:t>
            </w:r>
          </w:p>
        </w:tc>
        <w:tc>
          <w:tcPr>
            <w:tcW w:w="3120" w:type="dxa"/>
            <w:shd w:val="clear" w:color="auto" w:fill="auto"/>
            <w:tcMar>
              <w:top w:w="100" w:type="dxa"/>
              <w:left w:w="100" w:type="dxa"/>
              <w:bottom w:w="100" w:type="dxa"/>
              <w:right w:w="100" w:type="dxa"/>
            </w:tcMar>
          </w:tcPr>
          <w:p w14:paraId="52C6DD33" w14:textId="1F89B3B6" w:rsidR="002A1B1F" w:rsidRDefault="003F39DD">
            <w:pPr>
              <w:spacing w:line="240" w:lineRule="auto"/>
              <w:rPr>
                <w:sz w:val="20"/>
                <w:szCs w:val="20"/>
              </w:rPr>
            </w:pPr>
            <w:r>
              <w:rPr>
                <w:sz w:val="20"/>
                <w:szCs w:val="20"/>
              </w:rPr>
              <w:t>8 November 2019 and 19 June 2020</w:t>
            </w:r>
          </w:p>
        </w:tc>
      </w:tr>
      <w:tr w:rsidR="002A1B1F" w14:paraId="40813DED" w14:textId="77777777">
        <w:tc>
          <w:tcPr>
            <w:tcW w:w="3130" w:type="dxa"/>
            <w:shd w:val="clear" w:color="auto" w:fill="auto"/>
            <w:tcMar>
              <w:top w:w="100" w:type="dxa"/>
              <w:left w:w="100" w:type="dxa"/>
              <w:bottom w:w="100" w:type="dxa"/>
              <w:right w:w="100" w:type="dxa"/>
            </w:tcMar>
          </w:tcPr>
          <w:p w14:paraId="2ECF4FD9" w14:textId="77777777" w:rsidR="002A1B1F" w:rsidRDefault="00F25AA1">
            <w:pPr>
              <w:spacing w:line="240" w:lineRule="auto"/>
              <w:rPr>
                <w:sz w:val="20"/>
                <w:szCs w:val="20"/>
              </w:rPr>
            </w:pPr>
            <w:r>
              <w:rPr>
                <w:sz w:val="20"/>
                <w:szCs w:val="20"/>
              </w:rPr>
              <w:t>Decision 1600/QD-</w:t>
            </w:r>
            <w:proofErr w:type="spellStart"/>
            <w:r>
              <w:rPr>
                <w:sz w:val="20"/>
                <w:szCs w:val="20"/>
              </w:rPr>
              <w:t>TTg</w:t>
            </w:r>
            <w:proofErr w:type="spellEnd"/>
            <w:r>
              <w:rPr>
                <w:sz w:val="20"/>
                <w:szCs w:val="20"/>
              </w:rPr>
              <w:t xml:space="preserve"> </w:t>
            </w:r>
          </w:p>
        </w:tc>
        <w:tc>
          <w:tcPr>
            <w:tcW w:w="3120" w:type="dxa"/>
            <w:shd w:val="clear" w:color="auto" w:fill="auto"/>
            <w:tcMar>
              <w:top w:w="100" w:type="dxa"/>
              <w:left w:w="100" w:type="dxa"/>
              <w:bottom w:w="100" w:type="dxa"/>
              <w:right w:w="100" w:type="dxa"/>
            </w:tcMar>
          </w:tcPr>
          <w:p w14:paraId="6236FF29" w14:textId="77777777" w:rsidR="002A1B1F" w:rsidRDefault="00F25AA1">
            <w:pPr>
              <w:spacing w:line="240" w:lineRule="auto"/>
              <w:rPr>
                <w:sz w:val="20"/>
                <w:szCs w:val="20"/>
              </w:rPr>
            </w:pPr>
            <w:r>
              <w:rPr>
                <w:sz w:val="20"/>
                <w:szCs w:val="20"/>
              </w:rPr>
              <w:t>Approving the National Target Program on new rural development for 2016-2020.</w:t>
            </w:r>
          </w:p>
        </w:tc>
        <w:tc>
          <w:tcPr>
            <w:tcW w:w="3120" w:type="dxa"/>
            <w:shd w:val="clear" w:color="auto" w:fill="auto"/>
            <w:tcMar>
              <w:top w:w="100" w:type="dxa"/>
              <w:left w:w="100" w:type="dxa"/>
              <w:bottom w:w="100" w:type="dxa"/>
              <w:right w:w="100" w:type="dxa"/>
            </w:tcMar>
          </w:tcPr>
          <w:p w14:paraId="72E7C519" w14:textId="656FA98A" w:rsidR="002A1B1F" w:rsidRDefault="003F39DD">
            <w:pPr>
              <w:spacing w:line="240" w:lineRule="auto"/>
              <w:rPr>
                <w:sz w:val="20"/>
                <w:szCs w:val="20"/>
              </w:rPr>
            </w:pPr>
            <w:r>
              <w:rPr>
                <w:sz w:val="20"/>
                <w:szCs w:val="20"/>
              </w:rPr>
              <w:t>24 December 2001</w:t>
            </w:r>
          </w:p>
        </w:tc>
      </w:tr>
      <w:tr w:rsidR="002A1B1F" w14:paraId="057EBC4D" w14:textId="77777777">
        <w:tc>
          <w:tcPr>
            <w:tcW w:w="3130" w:type="dxa"/>
            <w:shd w:val="clear" w:color="auto" w:fill="auto"/>
            <w:tcMar>
              <w:top w:w="100" w:type="dxa"/>
              <w:left w:w="100" w:type="dxa"/>
              <w:bottom w:w="100" w:type="dxa"/>
              <w:right w:w="100" w:type="dxa"/>
            </w:tcMar>
          </w:tcPr>
          <w:p w14:paraId="39319207" w14:textId="77777777" w:rsidR="002A1B1F" w:rsidRDefault="00F25AA1">
            <w:pPr>
              <w:spacing w:line="240" w:lineRule="auto"/>
              <w:rPr>
                <w:sz w:val="20"/>
                <w:szCs w:val="20"/>
              </w:rPr>
            </w:pPr>
            <w:r>
              <w:rPr>
                <w:sz w:val="20"/>
                <w:szCs w:val="20"/>
              </w:rPr>
              <w:t>Decision 886/QD-</w:t>
            </w:r>
            <w:proofErr w:type="spellStart"/>
            <w:r>
              <w:rPr>
                <w:sz w:val="20"/>
                <w:szCs w:val="20"/>
              </w:rPr>
              <w:t>TTg</w:t>
            </w:r>
            <w:proofErr w:type="spellEnd"/>
          </w:p>
        </w:tc>
        <w:tc>
          <w:tcPr>
            <w:tcW w:w="3120" w:type="dxa"/>
            <w:shd w:val="clear" w:color="auto" w:fill="auto"/>
            <w:tcMar>
              <w:top w:w="100" w:type="dxa"/>
              <w:left w:w="100" w:type="dxa"/>
              <w:bottom w:w="100" w:type="dxa"/>
              <w:right w:w="100" w:type="dxa"/>
            </w:tcMar>
          </w:tcPr>
          <w:p w14:paraId="3DBBE3B8" w14:textId="153877B8" w:rsidR="002A1B1F" w:rsidRDefault="00F25AA1">
            <w:pPr>
              <w:spacing w:line="240" w:lineRule="auto"/>
              <w:rPr>
                <w:sz w:val="20"/>
                <w:szCs w:val="20"/>
              </w:rPr>
            </w:pPr>
            <w:r>
              <w:rPr>
                <w:sz w:val="20"/>
                <w:szCs w:val="20"/>
              </w:rPr>
              <w:t>Approving the Target Programme for Sustainable Forest Development for 2016-2020</w:t>
            </w:r>
            <w:r w:rsidR="00323A27">
              <w:rPr>
                <w:sz w:val="20"/>
                <w:szCs w:val="20"/>
              </w:rPr>
              <w:t>.</w:t>
            </w:r>
          </w:p>
        </w:tc>
        <w:tc>
          <w:tcPr>
            <w:tcW w:w="3120" w:type="dxa"/>
            <w:shd w:val="clear" w:color="auto" w:fill="auto"/>
            <w:tcMar>
              <w:top w:w="100" w:type="dxa"/>
              <w:left w:w="100" w:type="dxa"/>
              <w:bottom w:w="100" w:type="dxa"/>
              <w:right w:w="100" w:type="dxa"/>
            </w:tcMar>
          </w:tcPr>
          <w:p w14:paraId="6C1BE721" w14:textId="769FA451" w:rsidR="002A1B1F" w:rsidRDefault="003F39DD">
            <w:pPr>
              <w:spacing w:line="240" w:lineRule="auto"/>
              <w:rPr>
                <w:sz w:val="20"/>
                <w:szCs w:val="20"/>
              </w:rPr>
            </w:pPr>
            <w:r>
              <w:rPr>
                <w:sz w:val="20"/>
                <w:szCs w:val="20"/>
              </w:rPr>
              <w:t>16 June 2017</w:t>
            </w:r>
          </w:p>
        </w:tc>
      </w:tr>
      <w:tr w:rsidR="002A1B1F" w14:paraId="20B447B7" w14:textId="77777777">
        <w:tc>
          <w:tcPr>
            <w:tcW w:w="3130" w:type="dxa"/>
            <w:shd w:val="clear" w:color="auto" w:fill="auto"/>
            <w:tcMar>
              <w:top w:w="100" w:type="dxa"/>
              <w:left w:w="100" w:type="dxa"/>
              <w:bottom w:w="100" w:type="dxa"/>
              <w:right w:w="100" w:type="dxa"/>
            </w:tcMar>
          </w:tcPr>
          <w:p w14:paraId="6A0A8B3F" w14:textId="77777777" w:rsidR="002A1B1F" w:rsidRDefault="00F25AA1">
            <w:pPr>
              <w:spacing w:line="240" w:lineRule="auto"/>
              <w:rPr>
                <w:sz w:val="20"/>
                <w:szCs w:val="20"/>
              </w:rPr>
            </w:pPr>
            <w:r>
              <w:rPr>
                <w:sz w:val="20"/>
                <w:szCs w:val="20"/>
              </w:rPr>
              <w:lastRenderedPageBreak/>
              <w:t>Decision 2085/QĐ-</w:t>
            </w:r>
            <w:proofErr w:type="spellStart"/>
            <w:r>
              <w:rPr>
                <w:sz w:val="20"/>
                <w:szCs w:val="20"/>
              </w:rPr>
              <w:t>TTg</w:t>
            </w:r>
            <w:proofErr w:type="spellEnd"/>
            <w:r>
              <w:rPr>
                <w:sz w:val="20"/>
                <w:szCs w:val="20"/>
              </w:rPr>
              <w:t xml:space="preserve"> </w:t>
            </w:r>
          </w:p>
        </w:tc>
        <w:tc>
          <w:tcPr>
            <w:tcW w:w="3120" w:type="dxa"/>
            <w:shd w:val="clear" w:color="auto" w:fill="auto"/>
            <w:tcMar>
              <w:top w:w="100" w:type="dxa"/>
              <w:left w:w="100" w:type="dxa"/>
              <w:bottom w:w="100" w:type="dxa"/>
              <w:right w:w="100" w:type="dxa"/>
            </w:tcMar>
          </w:tcPr>
          <w:p w14:paraId="318CCF59" w14:textId="77D97180" w:rsidR="002A1B1F" w:rsidRDefault="00F25AA1">
            <w:pPr>
              <w:spacing w:line="240" w:lineRule="auto"/>
              <w:rPr>
                <w:sz w:val="20"/>
                <w:szCs w:val="20"/>
              </w:rPr>
            </w:pPr>
            <w:r>
              <w:rPr>
                <w:sz w:val="20"/>
                <w:szCs w:val="20"/>
              </w:rPr>
              <w:t>Approving specific policies to support the socio-economic development of ethnic minority and mountainous areas in the period 2017 – 2020</w:t>
            </w:r>
            <w:r w:rsidR="00323A27">
              <w:rPr>
                <w:sz w:val="20"/>
                <w:szCs w:val="20"/>
              </w:rPr>
              <w:t>. I</w:t>
            </w:r>
            <w:r>
              <w:rPr>
                <w:sz w:val="20"/>
                <w:szCs w:val="20"/>
              </w:rPr>
              <w:t>ncludes a range of framework targets and measures to enhance living standards of ethnic minorities in Viet</w:t>
            </w:r>
            <w:r w:rsidR="00835962">
              <w:rPr>
                <w:sz w:val="20"/>
                <w:szCs w:val="20"/>
              </w:rPr>
              <w:t>n</w:t>
            </w:r>
            <w:r>
              <w:rPr>
                <w:sz w:val="20"/>
                <w:szCs w:val="20"/>
              </w:rPr>
              <w:t>am</w:t>
            </w:r>
            <w:r w:rsidR="00323A27">
              <w:rPr>
                <w:sz w:val="20"/>
                <w:szCs w:val="20"/>
              </w:rPr>
              <w:t>.</w:t>
            </w:r>
          </w:p>
        </w:tc>
        <w:tc>
          <w:tcPr>
            <w:tcW w:w="3120" w:type="dxa"/>
            <w:shd w:val="clear" w:color="auto" w:fill="auto"/>
            <w:tcMar>
              <w:top w:w="100" w:type="dxa"/>
              <w:left w:w="100" w:type="dxa"/>
              <w:bottom w:w="100" w:type="dxa"/>
              <w:right w:w="100" w:type="dxa"/>
            </w:tcMar>
          </w:tcPr>
          <w:p w14:paraId="01FB4C8C" w14:textId="59719CF7" w:rsidR="002A1B1F" w:rsidRDefault="00F25AA1">
            <w:pPr>
              <w:spacing w:line="240" w:lineRule="auto"/>
              <w:rPr>
                <w:sz w:val="20"/>
                <w:szCs w:val="20"/>
              </w:rPr>
            </w:pPr>
            <w:r>
              <w:rPr>
                <w:sz w:val="20"/>
                <w:szCs w:val="20"/>
              </w:rPr>
              <w:t>31 October 2016</w:t>
            </w:r>
          </w:p>
        </w:tc>
      </w:tr>
      <w:tr w:rsidR="002A1B1F" w14:paraId="75D8F725" w14:textId="77777777">
        <w:tc>
          <w:tcPr>
            <w:tcW w:w="3130" w:type="dxa"/>
            <w:shd w:val="clear" w:color="auto" w:fill="auto"/>
            <w:tcMar>
              <w:top w:w="100" w:type="dxa"/>
              <w:left w:w="100" w:type="dxa"/>
              <w:bottom w:w="100" w:type="dxa"/>
              <w:right w:w="100" w:type="dxa"/>
            </w:tcMar>
          </w:tcPr>
          <w:p w14:paraId="3F2FFB71" w14:textId="77777777" w:rsidR="002A1B1F" w:rsidRDefault="00F25AA1">
            <w:pPr>
              <w:spacing w:line="240" w:lineRule="auto"/>
              <w:rPr>
                <w:sz w:val="20"/>
                <w:szCs w:val="20"/>
              </w:rPr>
            </w:pPr>
            <w:r>
              <w:rPr>
                <w:sz w:val="20"/>
                <w:szCs w:val="20"/>
              </w:rPr>
              <w:t xml:space="preserve">Decision 75/2015/NĐ-CP </w:t>
            </w:r>
          </w:p>
        </w:tc>
        <w:tc>
          <w:tcPr>
            <w:tcW w:w="3120" w:type="dxa"/>
            <w:shd w:val="clear" w:color="auto" w:fill="auto"/>
            <w:tcMar>
              <w:top w:w="100" w:type="dxa"/>
              <w:left w:w="100" w:type="dxa"/>
              <w:bottom w:w="100" w:type="dxa"/>
              <w:right w:w="100" w:type="dxa"/>
            </w:tcMar>
          </w:tcPr>
          <w:p w14:paraId="30AB607B" w14:textId="464FC8CD" w:rsidR="002A1B1F" w:rsidRDefault="00F25AA1">
            <w:pPr>
              <w:spacing w:line="240" w:lineRule="auto"/>
              <w:rPr>
                <w:sz w:val="20"/>
                <w:szCs w:val="20"/>
              </w:rPr>
            </w:pPr>
            <w:r>
              <w:rPr>
                <w:sz w:val="20"/>
                <w:szCs w:val="20"/>
              </w:rPr>
              <w:t>Mechanism and Policy of Forest Development Associated with the Policy on Sustainable and Rapid Poverty Reduction and Assistance to Ethnic Minorities for the period 2015 – 2020.</w:t>
            </w:r>
          </w:p>
        </w:tc>
        <w:tc>
          <w:tcPr>
            <w:tcW w:w="3120" w:type="dxa"/>
            <w:shd w:val="clear" w:color="auto" w:fill="auto"/>
            <w:tcMar>
              <w:top w:w="100" w:type="dxa"/>
              <w:left w:w="100" w:type="dxa"/>
              <w:bottom w:w="100" w:type="dxa"/>
              <w:right w:w="100" w:type="dxa"/>
            </w:tcMar>
          </w:tcPr>
          <w:p w14:paraId="39A1236E" w14:textId="1459F0A5" w:rsidR="002A1B1F" w:rsidRDefault="003F39DD">
            <w:pPr>
              <w:spacing w:line="240" w:lineRule="auto"/>
              <w:rPr>
                <w:sz w:val="20"/>
                <w:szCs w:val="20"/>
              </w:rPr>
            </w:pPr>
            <w:r>
              <w:rPr>
                <w:sz w:val="20"/>
                <w:szCs w:val="20"/>
              </w:rPr>
              <w:t>9 September 2015</w:t>
            </w:r>
          </w:p>
        </w:tc>
      </w:tr>
      <w:tr w:rsidR="002A1B1F" w14:paraId="64E42307" w14:textId="77777777">
        <w:tc>
          <w:tcPr>
            <w:tcW w:w="3130" w:type="dxa"/>
            <w:shd w:val="clear" w:color="auto" w:fill="auto"/>
            <w:tcMar>
              <w:top w:w="100" w:type="dxa"/>
              <w:left w:w="100" w:type="dxa"/>
              <w:bottom w:w="100" w:type="dxa"/>
              <w:right w:w="100" w:type="dxa"/>
            </w:tcMar>
          </w:tcPr>
          <w:p w14:paraId="1F8E2B86" w14:textId="77777777" w:rsidR="002A1B1F" w:rsidRDefault="00F25AA1">
            <w:pPr>
              <w:spacing w:line="240" w:lineRule="auto"/>
              <w:rPr>
                <w:sz w:val="20"/>
                <w:szCs w:val="20"/>
              </w:rPr>
            </w:pPr>
            <w:r>
              <w:rPr>
                <w:sz w:val="20"/>
                <w:szCs w:val="20"/>
              </w:rPr>
              <w:t>Decision 419/2017/</w:t>
            </w:r>
            <w:proofErr w:type="spellStart"/>
            <w:r>
              <w:rPr>
                <w:sz w:val="20"/>
                <w:szCs w:val="20"/>
              </w:rPr>
              <w:t>TTg</w:t>
            </w:r>
            <w:proofErr w:type="spellEnd"/>
            <w:r>
              <w:rPr>
                <w:sz w:val="20"/>
                <w:szCs w:val="20"/>
              </w:rPr>
              <w:t xml:space="preserve"> </w:t>
            </w:r>
          </w:p>
        </w:tc>
        <w:tc>
          <w:tcPr>
            <w:tcW w:w="3120" w:type="dxa"/>
            <w:shd w:val="clear" w:color="auto" w:fill="auto"/>
            <w:tcMar>
              <w:top w:w="100" w:type="dxa"/>
              <w:left w:w="100" w:type="dxa"/>
              <w:bottom w:w="100" w:type="dxa"/>
              <w:right w:w="100" w:type="dxa"/>
            </w:tcMar>
          </w:tcPr>
          <w:p w14:paraId="253DF8E1" w14:textId="46A4A48E" w:rsidR="002A1B1F" w:rsidRDefault="00F25AA1">
            <w:pPr>
              <w:spacing w:line="240" w:lineRule="auto"/>
              <w:rPr>
                <w:sz w:val="20"/>
                <w:szCs w:val="20"/>
              </w:rPr>
            </w:pPr>
            <w:r>
              <w:rPr>
                <w:sz w:val="20"/>
                <w:szCs w:val="20"/>
              </w:rPr>
              <w:t xml:space="preserve">On the requirement of respecting </w:t>
            </w:r>
            <w:r w:rsidR="00323A27">
              <w:rPr>
                <w:sz w:val="20"/>
                <w:szCs w:val="20"/>
              </w:rPr>
              <w:t>ethnic minority peoples</w:t>
            </w:r>
            <w:r>
              <w:rPr>
                <w:sz w:val="20"/>
                <w:szCs w:val="20"/>
              </w:rPr>
              <w:t xml:space="preserve"> in REDD+ activities.</w:t>
            </w:r>
          </w:p>
        </w:tc>
        <w:tc>
          <w:tcPr>
            <w:tcW w:w="3120" w:type="dxa"/>
            <w:shd w:val="clear" w:color="auto" w:fill="auto"/>
            <w:tcMar>
              <w:top w:w="100" w:type="dxa"/>
              <w:left w:w="100" w:type="dxa"/>
              <w:bottom w:w="100" w:type="dxa"/>
              <w:right w:w="100" w:type="dxa"/>
            </w:tcMar>
          </w:tcPr>
          <w:p w14:paraId="55818550" w14:textId="4A82BB58" w:rsidR="002A1B1F" w:rsidRDefault="003F39DD">
            <w:pPr>
              <w:spacing w:line="240" w:lineRule="auto"/>
              <w:rPr>
                <w:sz w:val="20"/>
                <w:szCs w:val="20"/>
              </w:rPr>
            </w:pPr>
            <w:r>
              <w:rPr>
                <w:sz w:val="20"/>
                <w:szCs w:val="20"/>
              </w:rPr>
              <w:t>5 April 2017</w:t>
            </w:r>
          </w:p>
        </w:tc>
      </w:tr>
      <w:tr w:rsidR="002A1B1F" w14:paraId="35ED8D18" w14:textId="77777777">
        <w:tc>
          <w:tcPr>
            <w:tcW w:w="3130" w:type="dxa"/>
            <w:shd w:val="clear" w:color="auto" w:fill="auto"/>
            <w:tcMar>
              <w:top w:w="100" w:type="dxa"/>
              <w:left w:w="100" w:type="dxa"/>
              <w:bottom w:w="100" w:type="dxa"/>
              <w:right w:w="100" w:type="dxa"/>
            </w:tcMar>
          </w:tcPr>
          <w:p w14:paraId="1F20C300" w14:textId="77777777" w:rsidR="002A1B1F" w:rsidRDefault="00F25AA1">
            <w:pPr>
              <w:spacing w:line="240" w:lineRule="auto"/>
              <w:rPr>
                <w:sz w:val="20"/>
                <w:szCs w:val="20"/>
              </w:rPr>
            </w:pPr>
            <w:r>
              <w:rPr>
                <w:sz w:val="20"/>
                <w:szCs w:val="20"/>
              </w:rPr>
              <w:t xml:space="preserve">Joint Circular No 03/2000/BTP-BVHTT-BTTUBTWMTTQVN of MOJ, Ministry of Culture and Information, Standing Committee of Fatherland Front </w:t>
            </w:r>
          </w:p>
        </w:tc>
        <w:tc>
          <w:tcPr>
            <w:tcW w:w="3120" w:type="dxa"/>
            <w:shd w:val="clear" w:color="auto" w:fill="auto"/>
            <w:tcMar>
              <w:top w:w="100" w:type="dxa"/>
              <w:left w:w="100" w:type="dxa"/>
              <w:bottom w:w="100" w:type="dxa"/>
              <w:right w:w="100" w:type="dxa"/>
            </w:tcMar>
          </w:tcPr>
          <w:p w14:paraId="46E5895A" w14:textId="7B1B321D" w:rsidR="002A1B1F" w:rsidRDefault="00F25AA1">
            <w:pPr>
              <w:spacing w:line="240" w:lineRule="auto"/>
              <w:rPr>
                <w:sz w:val="20"/>
                <w:szCs w:val="20"/>
              </w:rPr>
            </w:pPr>
            <w:r>
              <w:rPr>
                <w:sz w:val="20"/>
                <w:szCs w:val="20"/>
              </w:rPr>
              <w:t>Guiding the development and implementation of conventions</w:t>
            </w:r>
            <w:r w:rsidR="00323A27">
              <w:rPr>
                <w:sz w:val="20"/>
                <w:szCs w:val="20"/>
              </w:rPr>
              <w:t xml:space="preserve"> and</w:t>
            </w:r>
            <w:r>
              <w:rPr>
                <w:sz w:val="20"/>
                <w:szCs w:val="20"/>
              </w:rPr>
              <w:t xml:space="preserve"> rules of </w:t>
            </w:r>
            <w:r w:rsidR="00323A27">
              <w:rPr>
                <w:sz w:val="20"/>
                <w:szCs w:val="20"/>
              </w:rPr>
              <w:t>rural villages.</w:t>
            </w:r>
          </w:p>
          <w:p w14:paraId="6ED31DEE" w14:textId="77777777" w:rsidR="002A1B1F" w:rsidRDefault="002A1B1F">
            <w:pPr>
              <w:spacing w:line="240" w:lineRule="auto"/>
              <w:rPr>
                <w:sz w:val="20"/>
                <w:szCs w:val="20"/>
              </w:rPr>
            </w:pPr>
          </w:p>
        </w:tc>
        <w:tc>
          <w:tcPr>
            <w:tcW w:w="3120" w:type="dxa"/>
            <w:shd w:val="clear" w:color="auto" w:fill="auto"/>
            <w:tcMar>
              <w:top w:w="100" w:type="dxa"/>
              <w:left w:w="100" w:type="dxa"/>
              <w:bottom w:w="100" w:type="dxa"/>
              <w:right w:w="100" w:type="dxa"/>
            </w:tcMar>
          </w:tcPr>
          <w:p w14:paraId="3430244E" w14:textId="34DE2D75" w:rsidR="002A1B1F" w:rsidRDefault="00F25AA1">
            <w:pPr>
              <w:spacing w:line="240" w:lineRule="auto"/>
              <w:rPr>
                <w:sz w:val="20"/>
                <w:szCs w:val="20"/>
              </w:rPr>
            </w:pPr>
            <w:r>
              <w:rPr>
                <w:sz w:val="20"/>
                <w:szCs w:val="20"/>
              </w:rPr>
              <w:t>31 March 2000</w:t>
            </w:r>
          </w:p>
        </w:tc>
      </w:tr>
      <w:tr w:rsidR="002A1B1F" w14:paraId="2D4943E3" w14:textId="77777777">
        <w:tc>
          <w:tcPr>
            <w:tcW w:w="3130" w:type="dxa"/>
            <w:shd w:val="clear" w:color="auto" w:fill="auto"/>
            <w:tcMar>
              <w:top w:w="100" w:type="dxa"/>
              <w:left w:w="100" w:type="dxa"/>
              <w:bottom w:w="100" w:type="dxa"/>
              <w:right w:w="100" w:type="dxa"/>
            </w:tcMar>
          </w:tcPr>
          <w:p w14:paraId="754A9381" w14:textId="159387FB" w:rsidR="002A1B1F" w:rsidRDefault="00F25AA1">
            <w:pPr>
              <w:spacing w:line="240" w:lineRule="auto"/>
              <w:rPr>
                <w:sz w:val="20"/>
                <w:szCs w:val="20"/>
              </w:rPr>
            </w:pPr>
            <w:r>
              <w:rPr>
                <w:sz w:val="20"/>
                <w:szCs w:val="20"/>
              </w:rPr>
              <w:t>Joint Circular No 04/2001/TTLT-BTP-BVHTT-BTTUBMTTQVN-UBQGDSKHHGĐ Ministry of Culture and Information, Standing Committee of Fatherland Front, National Population and Family Planning Committee Viet</w:t>
            </w:r>
            <w:r w:rsidR="00835962">
              <w:rPr>
                <w:sz w:val="20"/>
                <w:szCs w:val="20"/>
              </w:rPr>
              <w:t>n</w:t>
            </w:r>
            <w:r>
              <w:rPr>
                <w:sz w:val="20"/>
                <w:szCs w:val="20"/>
              </w:rPr>
              <w:t>am</w:t>
            </w:r>
          </w:p>
        </w:tc>
        <w:tc>
          <w:tcPr>
            <w:tcW w:w="3120" w:type="dxa"/>
            <w:shd w:val="clear" w:color="auto" w:fill="auto"/>
            <w:tcMar>
              <w:top w:w="100" w:type="dxa"/>
              <w:left w:w="100" w:type="dxa"/>
              <w:bottom w:w="100" w:type="dxa"/>
              <w:right w:w="100" w:type="dxa"/>
            </w:tcMar>
          </w:tcPr>
          <w:p w14:paraId="4909A822" w14:textId="77777777" w:rsidR="002A1B1F" w:rsidRDefault="00F25AA1">
            <w:pPr>
              <w:spacing w:line="240" w:lineRule="auto"/>
              <w:rPr>
                <w:sz w:val="20"/>
                <w:szCs w:val="20"/>
              </w:rPr>
            </w:pPr>
            <w:r>
              <w:rPr>
                <w:sz w:val="20"/>
                <w:szCs w:val="20"/>
              </w:rPr>
              <w:t xml:space="preserve">Guidance to supplement the Joint Circular No 03/2000/TTLT-BTP-BVHTT-BTTUBTUMTTQVN; </w:t>
            </w:r>
          </w:p>
          <w:p w14:paraId="12840C54" w14:textId="77777777" w:rsidR="002A1B1F" w:rsidRDefault="002A1B1F">
            <w:pPr>
              <w:spacing w:line="240" w:lineRule="auto"/>
              <w:rPr>
                <w:sz w:val="20"/>
                <w:szCs w:val="20"/>
              </w:rPr>
            </w:pPr>
          </w:p>
        </w:tc>
        <w:tc>
          <w:tcPr>
            <w:tcW w:w="3120" w:type="dxa"/>
            <w:shd w:val="clear" w:color="auto" w:fill="auto"/>
            <w:tcMar>
              <w:top w:w="100" w:type="dxa"/>
              <w:left w:w="100" w:type="dxa"/>
              <w:bottom w:w="100" w:type="dxa"/>
              <w:right w:w="100" w:type="dxa"/>
            </w:tcMar>
          </w:tcPr>
          <w:p w14:paraId="6ED99C2C" w14:textId="78141107" w:rsidR="002A1B1F" w:rsidRDefault="003F39DD">
            <w:pPr>
              <w:spacing w:line="240" w:lineRule="auto"/>
              <w:rPr>
                <w:sz w:val="20"/>
                <w:szCs w:val="20"/>
              </w:rPr>
            </w:pPr>
            <w:r>
              <w:rPr>
                <w:sz w:val="20"/>
                <w:szCs w:val="20"/>
              </w:rPr>
              <w:t>9 July 2001</w:t>
            </w:r>
          </w:p>
        </w:tc>
      </w:tr>
      <w:tr w:rsidR="002A1B1F" w14:paraId="1A62FC5B" w14:textId="77777777">
        <w:tc>
          <w:tcPr>
            <w:tcW w:w="3130" w:type="dxa"/>
            <w:shd w:val="clear" w:color="auto" w:fill="auto"/>
            <w:tcMar>
              <w:top w:w="100" w:type="dxa"/>
              <w:left w:w="100" w:type="dxa"/>
              <w:bottom w:w="100" w:type="dxa"/>
              <w:right w:w="100" w:type="dxa"/>
            </w:tcMar>
          </w:tcPr>
          <w:p w14:paraId="6EBE37B3" w14:textId="77777777" w:rsidR="002A1B1F" w:rsidRDefault="00F25AA1">
            <w:pPr>
              <w:spacing w:line="240" w:lineRule="auto"/>
              <w:rPr>
                <w:sz w:val="20"/>
                <w:szCs w:val="20"/>
              </w:rPr>
            </w:pPr>
            <w:r>
              <w:rPr>
                <w:sz w:val="20"/>
                <w:szCs w:val="20"/>
              </w:rPr>
              <w:t>MARD Circular No. 70/2007/TT-BNN</w:t>
            </w:r>
          </w:p>
        </w:tc>
        <w:tc>
          <w:tcPr>
            <w:tcW w:w="3120" w:type="dxa"/>
            <w:shd w:val="clear" w:color="auto" w:fill="auto"/>
            <w:tcMar>
              <w:top w:w="100" w:type="dxa"/>
              <w:left w:w="100" w:type="dxa"/>
              <w:bottom w:w="100" w:type="dxa"/>
              <w:right w:w="100" w:type="dxa"/>
            </w:tcMar>
          </w:tcPr>
          <w:p w14:paraId="126BBEDF" w14:textId="50C94657" w:rsidR="002A1B1F" w:rsidRDefault="00F25AA1">
            <w:pPr>
              <w:spacing w:line="240" w:lineRule="auto"/>
              <w:rPr>
                <w:sz w:val="20"/>
                <w:szCs w:val="20"/>
              </w:rPr>
            </w:pPr>
            <w:r>
              <w:rPr>
                <w:sz w:val="20"/>
                <w:szCs w:val="20"/>
              </w:rPr>
              <w:t>Guiding development and implementation of forest protection regulation</w:t>
            </w:r>
            <w:r w:rsidR="00323A27">
              <w:rPr>
                <w:sz w:val="20"/>
                <w:szCs w:val="20"/>
              </w:rPr>
              <w:t>s</w:t>
            </w:r>
            <w:r>
              <w:rPr>
                <w:sz w:val="20"/>
                <w:szCs w:val="20"/>
              </w:rPr>
              <w:t xml:space="preserve"> at village community level</w:t>
            </w:r>
            <w:r w:rsidR="00323A27">
              <w:rPr>
                <w:sz w:val="20"/>
                <w:szCs w:val="20"/>
              </w:rPr>
              <w:t>.</w:t>
            </w:r>
            <w:r>
              <w:rPr>
                <w:sz w:val="20"/>
                <w:szCs w:val="20"/>
              </w:rPr>
              <w:t xml:space="preserve"> Provide</w:t>
            </w:r>
            <w:r w:rsidR="00323A27">
              <w:rPr>
                <w:sz w:val="20"/>
                <w:szCs w:val="20"/>
              </w:rPr>
              <w:t>s</w:t>
            </w:r>
            <w:r>
              <w:rPr>
                <w:sz w:val="20"/>
                <w:szCs w:val="20"/>
              </w:rPr>
              <w:t xml:space="preserve"> guidance on procedures, contents for development and implementation of Regulation on forest protection and development at village community level.</w:t>
            </w:r>
          </w:p>
        </w:tc>
        <w:tc>
          <w:tcPr>
            <w:tcW w:w="3120" w:type="dxa"/>
            <w:shd w:val="clear" w:color="auto" w:fill="auto"/>
            <w:tcMar>
              <w:top w:w="100" w:type="dxa"/>
              <w:left w:w="100" w:type="dxa"/>
              <w:bottom w:w="100" w:type="dxa"/>
              <w:right w:w="100" w:type="dxa"/>
            </w:tcMar>
          </w:tcPr>
          <w:p w14:paraId="4A8639C4" w14:textId="76716A9D" w:rsidR="002A1B1F" w:rsidRDefault="00F25AA1">
            <w:pPr>
              <w:spacing w:line="240" w:lineRule="auto"/>
              <w:rPr>
                <w:sz w:val="20"/>
                <w:szCs w:val="20"/>
              </w:rPr>
            </w:pPr>
            <w:r>
              <w:rPr>
                <w:sz w:val="20"/>
                <w:szCs w:val="20"/>
              </w:rPr>
              <w:t>8 January 2007</w:t>
            </w:r>
          </w:p>
        </w:tc>
      </w:tr>
    </w:tbl>
    <w:p w14:paraId="6277F4F7" w14:textId="77777777" w:rsidR="002A1B1F" w:rsidRDefault="002A1B1F"/>
    <w:p w14:paraId="7AFF4C15" w14:textId="36343F74" w:rsidR="00053BC1" w:rsidRDefault="008B5494" w:rsidP="00053BC1">
      <w:pPr>
        <w:pStyle w:val="Heading3"/>
      </w:pPr>
      <w:bookmarkStart w:id="153" w:name="_Toc104218385"/>
      <w:r>
        <w:t>5</w:t>
      </w:r>
      <w:r w:rsidR="009859EC">
        <w:t xml:space="preserve">.1.2 Relevant </w:t>
      </w:r>
      <w:r>
        <w:t xml:space="preserve">National </w:t>
      </w:r>
      <w:r w:rsidR="009859EC">
        <w:t>Social Regulation</w:t>
      </w:r>
      <w:bookmarkEnd w:id="153"/>
    </w:p>
    <w:p w14:paraId="04FF5F27" w14:textId="44FAB701" w:rsidR="00BF699C" w:rsidRPr="00457205" w:rsidRDefault="009859EC" w:rsidP="00BF699C">
      <w:pPr>
        <w:ind w:firstLine="720"/>
        <w:rPr>
          <w:rFonts w:asciiTheme="majorHAnsi" w:hAnsiTheme="majorHAnsi" w:cstheme="majorHAnsi"/>
          <w:sz w:val="22"/>
        </w:rPr>
      </w:pPr>
      <w:r w:rsidRPr="00457205">
        <w:rPr>
          <w:rFonts w:asciiTheme="majorHAnsi" w:hAnsiTheme="majorHAnsi" w:cstheme="majorHAnsi"/>
          <w:sz w:val="22"/>
        </w:rPr>
        <w:t>The Constitution states that ‘all ethnicities are equal, unified and respect and assist one another for mutual development; all acts of national discrimination and division are strictly forbidden’, and that ‘every ethnic group has the right to use its own language and system of writing, to preserve its national identity, to promote its fine customs, habits, traditions and culture’</w:t>
      </w:r>
      <w:r w:rsidR="00DC0AC7" w:rsidRPr="00457205">
        <w:rPr>
          <w:rStyle w:val="FootnoteReference"/>
          <w:rFonts w:asciiTheme="majorHAnsi" w:hAnsiTheme="majorHAnsi" w:cstheme="majorHAnsi"/>
          <w:sz w:val="22"/>
        </w:rPr>
        <w:footnoteReference w:id="7"/>
      </w:r>
      <w:r w:rsidRPr="00457205">
        <w:rPr>
          <w:rFonts w:asciiTheme="majorHAnsi" w:hAnsiTheme="majorHAnsi" w:cstheme="majorHAnsi"/>
          <w:sz w:val="22"/>
        </w:rPr>
        <w:t xml:space="preserve">. The right to non-discrimination is </w:t>
      </w:r>
      <w:r w:rsidRPr="00457205">
        <w:rPr>
          <w:rFonts w:asciiTheme="majorHAnsi" w:hAnsiTheme="majorHAnsi" w:cstheme="majorHAnsi"/>
          <w:sz w:val="22"/>
        </w:rPr>
        <w:lastRenderedPageBreak/>
        <w:t>supported by the Penal Code 201</w:t>
      </w:r>
      <w:r w:rsidR="00BF699C" w:rsidRPr="00457205">
        <w:rPr>
          <w:rFonts w:asciiTheme="majorHAnsi" w:hAnsiTheme="majorHAnsi" w:cstheme="majorHAnsi"/>
          <w:sz w:val="22"/>
        </w:rPr>
        <w:t>5, under which “causing hostility, discrimination, secession, infringement upon equality rights among the ethnic communities of Vietnam” is an offence</w:t>
      </w:r>
      <w:r w:rsidR="00BF699C" w:rsidRPr="00457205">
        <w:rPr>
          <w:rStyle w:val="FootnoteReference"/>
          <w:rFonts w:asciiTheme="majorHAnsi" w:hAnsiTheme="majorHAnsi" w:cstheme="majorHAnsi"/>
          <w:sz w:val="22"/>
        </w:rPr>
        <w:footnoteReference w:id="8"/>
      </w:r>
      <w:r w:rsidRPr="00457205">
        <w:rPr>
          <w:rFonts w:asciiTheme="majorHAnsi" w:hAnsiTheme="majorHAnsi" w:cstheme="majorHAnsi"/>
          <w:sz w:val="22"/>
        </w:rPr>
        <w:t>.</w:t>
      </w:r>
    </w:p>
    <w:p w14:paraId="7B8679DC" w14:textId="0905F7A9" w:rsidR="009859EC" w:rsidRPr="00457205" w:rsidRDefault="009859EC" w:rsidP="00BF699C">
      <w:pPr>
        <w:ind w:firstLine="360"/>
        <w:rPr>
          <w:rFonts w:asciiTheme="majorHAnsi" w:hAnsiTheme="majorHAnsi" w:cstheme="majorHAnsi"/>
          <w:sz w:val="22"/>
        </w:rPr>
      </w:pPr>
      <w:r w:rsidRPr="00457205">
        <w:rPr>
          <w:rFonts w:asciiTheme="majorHAnsi" w:hAnsiTheme="majorHAnsi" w:cstheme="majorHAnsi"/>
          <w:sz w:val="22"/>
        </w:rPr>
        <w:t>The Go</w:t>
      </w:r>
      <w:r w:rsidR="00BF699C" w:rsidRPr="00457205">
        <w:rPr>
          <w:rFonts w:asciiTheme="majorHAnsi" w:hAnsiTheme="majorHAnsi" w:cstheme="majorHAnsi"/>
          <w:sz w:val="22"/>
        </w:rPr>
        <w:t xml:space="preserve">vernment of Vietnam </w:t>
      </w:r>
      <w:r w:rsidRPr="00457205">
        <w:rPr>
          <w:rFonts w:asciiTheme="majorHAnsi" w:hAnsiTheme="majorHAnsi" w:cstheme="majorHAnsi"/>
          <w:sz w:val="22"/>
        </w:rPr>
        <w:t>also has several policies and laws that aim to specifically promote economic development and inclusion for ethnic minorities and remote local communities</w:t>
      </w:r>
      <w:r w:rsidR="00BF699C" w:rsidRPr="00457205">
        <w:rPr>
          <w:rFonts w:asciiTheme="majorHAnsi" w:hAnsiTheme="majorHAnsi" w:cstheme="majorHAnsi"/>
          <w:sz w:val="22"/>
        </w:rPr>
        <w:t xml:space="preserve"> that are listed in the summary table above.</w:t>
      </w:r>
    </w:p>
    <w:p w14:paraId="436B88D3" w14:textId="5FA36DAD" w:rsidR="009859EC" w:rsidRPr="00457205" w:rsidRDefault="009859EC" w:rsidP="005B6E78">
      <w:pPr>
        <w:ind w:firstLine="720"/>
        <w:rPr>
          <w:rFonts w:asciiTheme="majorHAnsi" w:hAnsiTheme="majorHAnsi" w:cstheme="majorHAnsi"/>
          <w:sz w:val="22"/>
        </w:rPr>
      </w:pPr>
      <w:r w:rsidRPr="00457205">
        <w:rPr>
          <w:rFonts w:asciiTheme="majorHAnsi" w:hAnsiTheme="majorHAnsi" w:cstheme="majorHAnsi"/>
          <w:sz w:val="22"/>
        </w:rPr>
        <w:t xml:space="preserve">The Civil Code (2015) </w:t>
      </w:r>
      <w:r w:rsidR="00D26D80" w:rsidRPr="00457205">
        <w:rPr>
          <w:rFonts w:asciiTheme="majorHAnsi" w:hAnsiTheme="majorHAnsi" w:cstheme="majorHAnsi"/>
          <w:sz w:val="22"/>
        </w:rPr>
        <w:t>states that ever</w:t>
      </w:r>
      <w:r w:rsidR="00981A27" w:rsidRPr="00457205">
        <w:rPr>
          <w:rFonts w:asciiTheme="majorHAnsi" w:hAnsiTheme="majorHAnsi" w:cstheme="majorHAnsi"/>
          <w:sz w:val="22"/>
        </w:rPr>
        <w:t>y</w:t>
      </w:r>
      <w:r w:rsidR="00D26D80" w:rsidRPr="00457205">
        <w:rPr>
          <w:rFonts w:asciiTheme="majorHAnsi" w:hAnsiTheme="majorHAnsi" w:cstheme="majorHAnsi"/>
          <w:sz w:val="22"/>
        </w:rPr>
        <w:t xml:space="preserve"> person shall be equal in civil relations and shall enjoy equal protection under the law</w:t>
      </w:r>
      <w:r w:rsidR="00D26D80" w:rsidRPr="00457205">
        <w:rPr>
          <w:rStyle w:val="FootnoteReference"/>
          <w:rFonts w:asciiTheme="majorHAnsi" w:hAnsiTheme="majorHAnsi" w:cstheme="majorHAnsi"/>
          <w:sz w:val="22"/>
        </w:rPr>
        <w:footnoteReference w:id="9"/>
      </w:r>
      <w:r w:rsidR="00D26D80" w:rsidRPr="00457205">
        <w:rPr>
          <w:rFonts w:asciiTheme="majorHAnsi" w:hAnsiTheme="majorHAnsi" w:cstheme="majorHAnsi"/>
          <w:sz w:val="22"/>
        </w:rPr>
        <w:t xml:space="preserve">. Each individual is afforded the right to </w:t>
      </w:r>
      <w:r w:rsidR="00BB3AEA" w:rsidRPr="00457205">
        <w:rPr>
          <w:rFonts w:asciiTheme="majorHAnsi" w:hAnsiTheme="majorHAnsi" w:cstheme="majorHAnsi"/>
          <w:sz w:val="22"/>
        </w:rPr>
        <w:t xml:space="preserve">life, safety of life, health and body, and the right </w:t>
      </w:r>
      <w:r w:rsidR="00D26D80" w:rsidRPr="00457205">
        <w:rPr>
          <w:rFonts w:asciiTheme="majorHAnsi" w:hAnsiTheme="majorHAnsi" w:cstheme="majorHAnsi"/>
          <w:sz w:val="22"/>
        </w:rPr>
        <w:t>identify and re-identify their ethnicity</w:t>
      </w:r>
      <w:r w:rsidR="00D26D80" w:rsidRPr="00457205">
        <w:rPr>
          <w:rStyle w:val="FootnoteReference"/>
          <w:rFonts w:asciiTheme="majorHAnsi" w:hAnsiTheme="majorHAnsi" w:cstheme="majorHAnsi"/>
          <w:sz w:val="22"/>
        </w:rPr>
        <w:footnoteReference w:id="10"/>
      </w:r>
      <w:r w:rsidR="00D26D80" w:rsidRPr="00457205">
        <w:rPr>
          <w:rFonts w:asciiTheme="majorHAnsi" w:hAnsiTheme="majorHAnsi" w:cstheme="majorHAnsi"/>
          <w:sz w:val="22"/>
        </w:rPr>
        <w:t>.</w:t>
      </w:r>
      <w:r w:rsidR="00BB3AEA" w:rsidRPr="00457205">
        <w:rPr>
          <w:rFonts w:asciiTheme="majorHAnsi" w:hAnsiTheme="majorHAnsi" w:cstheme="majorHAnsi"/>
          <w:sz w:val="22"/>
        </w:rPr>
        <w:t xml:space="preserve"> Additionally, the Civil Code of Vietnam protects the private life, personal secrets and family secrets of every individual</w:t>
      </w:r>
      <w:r w:rsidR="00BB3AEA" w:rsidRPr="00457205">
        <w:rPr>
          <w:rStyle w:val="FootnoteReference"/>
          <w:rFonts w:asciiTheme="majorHAnsi" w:hAnsiTheme="majorHAnsi" w:cstheme="majorHAnsi"/>
          <w:sz w:val="22"/>
        </w:rPr>
        <w:footnoteReference w:id="11"/>
      </w:r>
      <w:r w:rsidR="00BB3AEA" w:rsidRPr="00457205">
        <w:rPr>
          <w:rFonts w:asciiTheme="majorHAnsi" w:hAnsiTheme="majorHAnsi" w:cstheme="majorHAnsi"/>
          <w:sz w:val="22"/>
        </w:rPr>
        <w:t>.</w:t>
      </w:r>
    </w:p>
    <w:p w14:paraId="2E65CD3E" w14:textId="0D8B4177" w:rsidR="007A2126" w:rsidRPr="00457205" w:rsidRDefault="00D63D6B" w:rsidP="00323A27">
      <w:pPr>
        <w:ind w:firstLine="720"/>
        <w:rPr>
          <w:rFonts w:asciiTheme="majorHAnsi" w:hAnsiTheme="majorHAnsi" w:cstheme="majorHAnsi"/>
          <w:sz w:val="22"/>
        </w:rPr>
      </w:pPr>
      <w:r w:rsidRPr="00457205">
        <w:rPr>
          <w:rFonts w:asciiTheme="majorHAnsi" w:hAnsiTheme="majorHAnsi" w:cstheme="majorHAnsi"/>
          <w:sz w:val="22"/>
        </w:rPr>
        <w:t>Cultural heritage</w:t>
      </w:r>
      <w:r w:rsidRPr="00457205">
        <w:rPr>
          <w:rStyle w:val="FootnoteReference"/>
          <w:rFonts w:asciiTheme="majorHAnsi" w:hAnsiTheme="majorHAnsi" w:cstheme="majorHAnsi"/>
          <w:sz w:val="22"/>
        </w:rPr>
        <w:footnoteReference w:id="12"/>
      </w:r>
      <w:r w:rsidRPr="00457205">
        <w:rPr>
          <w:rFonts w:asciiTheme="majorHAnsi" w:hAnsiTheme="majorHAnsi" w:cstheme="majorHAnsi"/>
          <w:sz w:val="22"/>
        </w:rPr>
        <w:t xml:space="preserve"> is protected under the unified management of the state and is owned by the entire population with recognition of traditional forms of collective and joint community ownership</w:t>
      </w:r>
      <w:r w:rsidRPr="00457205">
        <w:rPr>
          <w:rStyle w:val="FootnoteReference"/>
          <w:rFonts w:asciiTheme="majorHAnsi" w:hAnsiTheme="majorHAnsi" w:cstheme="majorHAnsi"/>
          <w:sz w:val="22"/>
        </w:rPr>
        <w:footnoteReference w:id="13"/>
      </w:r>
      <w:r w:rsidRPr="00457205">
        <w:rPr>
          <w:rFonts w:asciiTheme="majorHAnsi" w:hAnsiTheme="majorHAnsi" w:cstheme="majorHAnsi"/>
          <w:sz w:val="22"/>
        </w:rPr>
        <w:t>.</w:t>
      </w:r>
      <w:r w:rsidR="00FC7105" w:rsidRPr="00457205">
        <w:rPr>
          <w:rFonts w:asciiTheme="majorHAnsi" w:hAnsiTheme="majorHAnsi" w:cstheme="majorHAnsi"/>
          <w:sz w:val="22"/>
        </w:rPr>
        <w:t xml:space="preserve"> The Law on Cultural Heritage provides a variety of protections to ensure the safeguarding of Cultural Heritage and promotion of associated cultural values. The protections contained within the law apply to Vietnamese organizat</w:t>
      </w:r>
      <w:r w:rsidR="00721C99" w:rsidRPr="00457205">
        <w:rPr>
          <w:rFonts w:asciiTheme="majorHAnsi" w:hAnsiTheme="majorHAnsi" w:cstheme="majorHAnsi"/>
          <w:sz w:val="22"/>
        </w:rPr>
        <w:t>ions and individuals and foreign organizations and individuals that operate in Vietnam</w:t>
      </w:r>
      <w:r w:rsidR="00721C99" w:rsidRPr="00457205">
        <w:rPr>
          <w:rStyle w:val="FootnoteReference"/>
          <w:rFonts w:asciiTheme="majorHAnsi" w:hAnsiTheme="majorHAnsi" w:cstheme="majorHAnsi"/>
          <w:sz w:val="22"/>
        </w:rPr>
        <w:footnoteReference w:id="14"/>
      </w:r>
      <w:r w:rsidR="00721C99" w:rsidRPr="00457205">
        <w:rPr>
          <w:rFonts w:asciiTheme="majorHAnsi" w:hAnsiTheme="majorHAnsi" w:cstheme="majorHAnsi"/>
          <w:sz w:val="22"/>
        </w:rPr>
        <w:t>.</w:t>
      </w:r>
    </w:p>
    <w:p w14:paraId="7877A52A" w14:textId="3F5018C1" w:rsidR="00323A27" w:rsidRPr="00457205" w:rsidRDefault="009859EC" w:rsidP="00721C99">
      <w:pPr>
        <w:ind w:firstLine="360"/>
        <w:rPr>
          <w:rFonts w:asciiTheme="majorHAnsi" w:hAnsiTheme="majorHAnsi" w:cstheme="majorHAnsi"/>
          <w:sz w:val="22"/>
        </w:rPr>
      </w:pPr>
      <w:r w:rsidRPr="00457205">
        <w:rPr>
          <w:rFonts w:asciiTheme="majorHAnsi" w:hAnsiTheme="majorHAnsi" w:cstheme="majorHAnsi"/>
          <w:sz w:val="22"/>
        </w:rPr>
        <w:t xml:space="preserve">In addition, although the legal framework does not </w:t>
      </w:r>
      <w:r w:rsidR="00721C99" w:rsidRPr="00457205">
        <w:rPr>
          <w:rFonts w:asciiTheme="majorHAnsi" w:hAnsiTheme="majorHAnsi" w:cstheme="majorHAnsi"/>
          <w:sz w:val="22"/>
        </w:rPr>
        <w:t xml:space="preserve">expressly </w:t>
      </w:r>
      <w:r w:rsidRPr="00457205">
        <w:rPr>
          <w:rFonts w:asciiTheme="majorHAnsi" w:hAnsiTheme="majorHAnsi" w:cstheme="majorHAnsi"/>
          <w:sz w:val="22"/>
        </w:rPr>
        <w:t>provide for customary land tenure, traditional knowledge of ethnic minorities and local communities is respected in the legal framework through the provision that local regulations can be developed to uphold community customs in compliance with State regulations. The practice of villages maintaining traditional conventions or regulations (</w:t>
      </w:r>
      <w:proofErr w:type="spellStart"/>
      <w:r w:rsidRPr="00457205">
        <w:rPr>
          <w:rFonts w:asciiTheme="majorHAnsi" w:hAnsiTheme="majorHAnsi" w:cstheme="majorHAnsi"/>
          <w:sz w:val="22"/>
        </w:rPr>
        <w:t>huong</w:t>
      </w:r>
      <w:proofErr w:type="spellEnd"/>
      <w:r w:rsidRPr="00457205">
        <w:rPr>
          <w:rFonts w:asciiTheme="majorHAnsi" w:hAnsiTheme="majorHAnsi" w:cstheme="majorHAnsi"/>
          <w:sz w:val="22"/>
        </w:rPr>
        <w:t xml:space="preserve"> </w:t>
      </w:r>
      <w:proofErr w:type="spellStart"/>
      <w:r w:rsidRPr="00457205">
        <w:rPr>
          <w:rFonts w:asciiTheme="majorHAnsi" w:hAnsiTheme="majorHAnsi" w:cstheme="majorHAnsi"/>
          <w:sz w:val="22"/>
        </w:rPr>
        <w:t>uoc</w:t>
      </w:r>
      <w:proofErr w:type="spellEnd"/>
      <w:r w:rsidRPr="00457205">
        <w:rPr>
          <w:rFonts w:asciiTheme="majorHAnsi" w:hAnsiTheme="majorHAnsi" w:cstheme="majorHAnsi"/>
          <w:sz w:val="22"/>
        </w:rPr>
        <w:t xml:space="preserve"> or </w:t>
      </w:r>
      <w:proofErr w:type="spellStart"/>
      <w:r w:rsidRPr="00457205">
        <w:rPr>
          <w:rFonts w:asciiTheme="majorHAnsi" w:hAnsiTheme="majorHAnsi" w:cstheme="majorHAnsi"/>
          <w:sz w:val="22"/>
        </w:rPr>
        <w:t>quy</w:t>
      </w:r>
      <w:proofErr w:type="spellEnd"/>
      <w:r w:rsidRPr="00457205">
        <w:rPr>
          <w:rFonts w:asciiTheme="majorHAnsi" w:hAnsiTheme="majorHAnsi" w:cstheme="majorHAnsi"/>
          <w:sz w:val="22"/>
        </w:rPr>
        <w:t xml:space="preserve"> </w:t>
      </w:r>
      <w:proofErr w:type="spellStart"/>
      <w:r w:rsidRPr="00457205">
        <w:rPr>
          <w:rFonts w:asciiTheme="majorHAnsi" w:hAnsiTheme="majorHAnsi" w:cstheme="majorHAnsi"/>
          <w:sz w:val="22"/>
        </w:rPr>
        <w:t>uoc</w:t>
      </w:r>
      <w:proofErr w:type="spellEnd"/>
      <w:r w:rsidRPr="00457205">
        <w:rPr>
          <w:rFonts w:asciiTheme="majorHAnsi" w:hAnsiTheme="majorHAnsi" w:cstheme="majorHAnsi"/>
          <w:sz w:val="22"/>
        </w:rPr>
        <w:t>) has existed for centuries in Viet</w:t>
      </w:r>
      <w:r w:rsidR="00835962" w:rsidRPr="00457205">
        <w:rPr>
          <w:rFonts w:asciiTheme="majorHAnsi" w:hAnsiTheme="majorHAnsi" w:cstheme="majorHAnsi"/>
          <w:sz w:val="22"/>
        </w:rPr>
        <w:t>n</w:t>
      </w:r>
      <w:r w:rsidRPr="00457205">
        <w:rPr>
          <w:rFonts w:asciiTheme="majorHAnsi" w:hAnsiTheme="majorHAnsi" w:cstheme="majorHAnsi"/>
          <w:sz w:val="22"/>
        </w:rPr>
        <w:t>am – the term is widely understood and application in practice is widespread. In line with Grassroots Democracy Decree, “</w:t>
      </w:r>
      <w:proofErr w:type="spellStart"/>
      <w:r w:rsidRPr="00457205">
        <w:rPr>
          <w:rFonts w:asciiTheme="majorHAnsi" w:hAnsiTheme="majorHAnsi" w:cstheme="majorHAnsi"/>
          <w:sz w:val="22"/>
        </w:rPr>
        <w:t>huong</w:t>
      </w:r>
      <w:proofErr w:type="spellEnd"/>
      <w:r w:rsidRPr="00457205">
        <w:rPr>
          <w:rFonts w:asciiTheme="majorHAnsi" w:hAnsiTheme="majorHAnsi" w:cstheme="majorHAnsi"/>
          <w:sz w:val="22"/>
        </w:rPr>
        <w:t xml:space="preserve"> </w:t>
      </w:r>
      <w:proofErr w:type="spellStart"/>
      <w:r w:rsidRPr="00457205">
        <w:rPr>
          <w:rFonts w:asciiTheme="majorHAnsi" w:hAnsiTheme="majorHAnsi" w:cstheme="majorHAnsi"/>
          <w:sz w:val="22"/>
        </w:rPr>
        <w:t>uoc</w:t>
      </w:r>
      <w:proofErr w:type="spellEnd"/>
      <w:r w:rsidRPr="00457205">
        <w:rPr>
          <w:rFonts w:asciiTheme="majorHAnsi" w:hAnsiTheme="majorHAnsi" w:cstheme="majorHAnsi"/>
          <w:sz w:val="22"/>
        </w:rPr>
        <w:t xml:space="preserve">” can thus be considered a form of ‘grassroots </w:t>
      </w:r>
      <w:proofErr w:type="spellStart"/>
      <w:r w:rsidRPr="00457205">
        <w:rPr>
          <w:rFonts w:asciiTheme="majorHAnsi" w:hAnsiTheme="majorHAnsi" w:cstheme="majorHAnsi"/>
          <w:sz w:val="22"/>
        </w:rPr>
        <w:t>democratisation</w:t>
      </w:r>
      <w:proofErr w:type="spellEnd"/>
      <w:r w:rsidRPr="00457205">
        <w:rPr>
          <w:rFonts w:asciiTheme="majorHAnsi" w:hAnsiTheme="majorHAnsi" w:cstheme="majorHAnsi"/>
          <w:sz w:val="22"/>
        </w:rPr>
        <w:t xml:space="preserve">’. </w:t>
      </w:r>
    </w:p>
    <w:p w14:paraId="21151D7C" w14:textId="77777777" w:rsidR="00323A27" w:rsidRPr="00457205" w:rsidRDefault="00323A27" w:rsidP="00323A27">
      <w:pPr>
        <w:rPr>
          <w:rFonts w:asciiTheme="majorHAnsi" w:hAnsiTheme="majorHAnsi" w:cstheme="majorHAnsi"/>
          <w:sz w:val="22"/>
        </w:rPr>
      </w:pPr>
    </w:p>
    <w:p w14:paraId="0F6CCD3D" w14:textId="5A77CDE6" w:rsidR="009859EC" w:rsidRPr="00457205" w:rsidRDefault="009859EC" w:rsidP="00323A27">
      <w:pPr>
        <w:rPr>
          <w:rFonts w:asciiTheme="majorHAnsi" w:hAnsiTheme="majorHAnsi" w:cstheme="majorHAnsi"/>
          <w:sz w:val="22"/>
        </w:rPr>
      </w:pPr>
      <w:r w:rsidRPr="00457205">
        <w:rPr>
          <w:rFonts w:asciiTheme="majorHAnsi" w:hAnsiTheme="majorHAnsi" w:cstheme="majorHAnsi"/>
          <w:sz w:val="22"/>
        </w:rPr>
        <w:t>There are several relevant pieces of legislation formally acknowledging the practic</w:t>
      </w:r>
      <w:r w:rsidR="00E96CF1" w:rsidRPr="00457205">
        <w:rPr>
          <w:rFonts w:asciiTheme="majorHAnsi" w:hAnsiTheme="majorHAnsi" w:cstheme="majorHAnsi"/>
          <w:sz w:val="22"/>
        </w:rPr>
        <w:t>e that are mentioned in the summary table above</w:t>
      </w:r>
      <w:r w:rsidRPr="00457205">
        <w:rPr>
          <w:rFonts w:asciiTheme="majorHAnsi" w:hAnsiTheme="majorHAnsi" w:cstheme="majorHAnsi"/>
          <w:sz w:val="22"/>
        </w:rPr>
        <w:t>:</w:t>
      </w:r>
    </w:p>
    <w:p w14:paraId="5C0A54AE" w14:textId="726EA3F4" w:rsidR="009859EC" w:rsidRPr="00457205" w:rsidRDefault="009859EC" w:rsidP="0091120C">
      <w:pPr>
        <w:pStyle w:val="ListNumber2"/>
        <w:rPr>
          <w:rFonts w:cstheme="majorHAnsi"/>
          <w:szCs w:val="22"/>
        </w:rPr>
      </w:pPr>
      <w:r w:rsidRPr="00457205">
        <w:rPr>
          <w:rFonts w:cstheme="majorHAnsi"/>
          <w:szCs w:val="22"/>
        </w:rPr>
        <w:t>Joint Circular No 03/2000/BTP-BVHTT-BTTUBTWMTTQVN of MOJ, Ministry of Culture and Information, Standing Committee of Fatherland Front dated March 31, 2000</w:t>
      </w:r>
      <w:r w:rsidR="00E96CF1" w:rsidRPr="00457205">
        <w:rPr>
          <w:rFonts w:cstheme="majorHAnsi"/>
          <w:szCs w:val="22"/>
        </w:rPr>
        <w:t>;</w:t>
      </w:r>
    </w:p>
    <w:p w14:paraId="135F87E8" w14:textId="18BFC494" w:rsidR="009859EC" w:rsidRPr="00457205" w:rsidRDefault="009859EC" w:rsidP="0091120C">
      <w:pPr>
        <w:pStyle w:val="ListNumber2"/>
        <w:rPr>
          <w:rFonts w:cstheme="majorHAnsi"/>
          <w:szCs w:val="22"/>
        </w:rPr>
      </w:pPr>
      <w:r w:rsidRPr="00457205">
        <w:rPr>
          <w:rFonts w:cstheme="majorHAnsi"/>
          <w:szCs w:val="22"/>
        </w:rPr>
        <w:t>Joint Circular No 04/2001/TTLT-BTP-BVHTT-BTTUBMTTQVN-UBQGDSKHHGĐ of MOJ, Ministry of Culture and Information, Standing Committee of Fatherland Front, National Population and Family Planning Committee Viet</w:t>
      </w:r>
      <w:r w:rsidR="0029654F" w:rsidRPr="00457205">
        <w:rPr>
          <w:rFonts w:cstheme="majorHAnsi"/>
          <w:szCs w:val="22"/>
        </w:rPr>
        <w:t>n</w:t>
      </w:r>
      <w:r w:rsidRPr="00457205">
        <w:rPr>
          <w:rFonts w:cstheme="majorHAnsi"/>
          <w:szCs w:val="22"/>
        </w:rPr>
        <w:t>am</w:t>
      </w:r>
      <w:r w:rsidR="00E96CF1" w:rsidRPr="00457205">
        <w:rPr>
          <w:rFonts w:cstheme="majorHAnsi"/>
          <w:szCs w:val="22"/>
        </w:rPr>
        <w:t>; and</w:t>
      </w:r>
    </w:p>
    <w:p w14:paraId="52ED89F3" w14:textId="4BC057AF" w:rsidR="009859EC" w:rsidRPr="00457205" w:rsidRDefault="009859EC" w:rsidP="0091120C">
      <w:pPr>
        <w:pStyle w:val="ListNumber2"/>
        <w:rPr>
          <w:rFonts w:cstheme="majorHAnsi"/>
          <w:szCs w:val="22"/>
        </w:rPr>
      </w:pPr>
      <w:r w:rsidRPr="00457205">
        <w:rPr>
          <w:rFonts w:cstheme="majorHAnsi"/>
          <w:szCs w:val="22"/>
        </w:rPr>
        <w:t>MARD Circular No. 70/2007/TT-BN</w:t>
      </w:r>
      <w:r w:rsidR="00E96CF1" w:rsidRPr="00457205">
        <w:rPr>
          <w:rFonts w:cstheme="majorHAnsi"/>
          <w:szCs w:val="22"/>
        </w:rPr>
        <w:t>N.</w:t>
      </w:r>
    </w:p>
    <w:p w14:paraId="7DD211BB" w14:textId="0AF8B508" w:rsidR="009859EC" w:rsidRPr="00457205" w:rsidRDefault="00721C99" w:rsidP="00721C99">
      <w:pPr>
        <w:ind w:firstLine="360"/>
        <w:rPr>
          <w:rFonts w:asciiTheme="majorHAnsi" w:hAnsiTheme="majorHAnsi" w:cstheme="majorHAnsi"/>
          <w:sz w:val="22"/>
        </w:rPr>
      </w:pPr>
      <w:r w:rsidRPr="00457205">
        <w:rPr>
          <w:rFonts w:asciiTheme="majorHAnsi" w:hAnsiTheme="majorHAnsi" w:cstheme="majorHAnsi"/>
          <w:sz w:val="22"/>
        </w:rPr>
        <w:t xml:space="preserve">The </w:t>
      </w:r>
      <w:r w:rsidR="009859EC" w:rsidRPr="00457205">
        <w:rPr>
          <w:rFonts w:asciiTheme="majorHAnsi" w:hAnsiTheme="majorHAnsi" w:cstheme="majorHAnsi"/>
          <w:sz w:val="22"/>
        </w:rPr>
        <w:t xml:space="preserve">Forestry Law </w:t>
      </w:r>
      <w:r w:rsidRPr="00457205">
        <w:rPr>
          <w:rFonts w:asciiTheme="majorHAnsi" w:hAnsiTheme="majorHAnsi" w:cstheme="majorHAnsi"/>
          <w:sz w:val="22"/>
        </w:rPr>
        <w:t>(</w:t>
      </w:r>
      <w:r w:rsidR="009859EC" w:rsidRPr="00457205">
        <w:rPr>
          <w:rFonts w:asciiTheme="majorHAnsi" w:hAnsiTheme="majorHAnsi" w:cstheme="majorHAnsi"/>
          <w:sz w:val="22"/>
        </w:rPr>
        <w:t>2017</w:t>
      </w:r>
      <w:r w:rsidRPr="00457205">
        <w:rPr>
          <w:rFonts w:asciiTheme="majorHAnsi" w:hAnsiTheme="majorHAnsi" w:cstheme="majorHAnsi"/>
          <w:sz w:val="22"/>
        </w:rPr>
        <w:t>)</w:t>
      </w:r>
      <w:r w:rsidR="009859EC" w:rsidRPr="00457205">
        <w:rPr>
          <w:rFonts w:asciiTheme="majorHAnsi" w:hAnsiTheme="majorHAnsi" w:cstheme="majorHAnsi"/>
          <w:sz w:val="22"/>
        </w:rPr>
        <w:t xml:space="preserve"> </w:t>
      </w:r>
      <w:r w:rsidR="00981A27" w:rsidRPr="00457205">
        <w:rPr>
          <w:rFonts w:asciiTheme="majorHAnsi" w:hAnsiTheme="majorHAnsi" w:cstheme="majorHAnsi"/>
          <w:sz w:val="22"/>
        </w:rPr>
        <w:t>provides that communities are</w:t>
      </w:r>
      <w:r w:rsidR="009859EC" w:rsidRPr="00457205">
        <w:rPr>
          <w:rFonts w:asciiTheme="majorHAnsi" w:hAnsiTheme="majorHAnsi" w:cstheme="majorHAnsi"/>
          <w:sz w:val="22"/>
        </w:rPr>
        <w:t xml:space="preserve"> recognized as one of the seven main forest owners</w:t>
      </w:r>
      <w:r w:rsidR="00063894" w:rsidRPr="00457205">
        <w:rPr>
          <w:rStyle w:val="FootnoteReference"/>
          <w:rFonts w:asciiTheme="majorHAnsi" w:hAnsiTheme="majorHAnsi" w:cstheme="majorHAnsi"/>
          <w:sz w:val="22"/>
        </w:rPr>
        <w:footnoteReference w:id="15"/>
      </w:r>
      <w:r w:rsidR="009859EC" w:rsidRPr="00457205">
        <w:rPr>
          <w:rFonts w:asciiTheme="majorHAnsi" w:hAnsiTheme="majorHAnsi" w:cstheme="majorHAnsi"/>
          <w:sz w:val="22"/>
        </w:rPr>
        <w:t xml:space="preserve">; areas of spiritual forest and community-managed water protection forests have also been </w:t>
      </w:r>
      <w:r w:rsidR="009859EC" w:rsidRPr="00457205">
        <w:rPr>
          <w:rFonts w:asciiTheme="majorHAnsi" w:hAnsiTheme="majorHAnsi" w:cstheme="majorHAnsi"/>
          <w:sz w:val="22"/>
        </w:rPr>
        <w:lastRenderedPageBreak/>
        <w:t>upgraded. This is considered an important step forward and opens up new opportunities in maintaining and promoting the community forest model, towards the sustainable management, protection and development of forests in the future.</w:t>
      </w:r>
    </w:p>
    <w:p w14:paraId="2082ECEC" w14:textId="7B177A73" w:rsidR="009859EC" w:rsidRPr="00457205" w:rsidRDefault="009859EC" w:rsidP="005E7136">
      <w:pPr>
        <w:pStyle w:val="ECC-7Gachkhung"/>
        <w:numPr>
          <w:ilvl w:val="0"/>
          <w:numId w:val="0"/>
        </w:numPr>
        <w:ind w:firstLine="420"/>
        <w:rPr>
          <w:rFonts w:asciiTheme="majorHAnsi" w:hAnsiTheme="majorHAnsi" w:cstheme="majorHAnsi"/>
          <w:szCs w:val="22"/>
        </w:rPr>
      </w:pPr>
      <w:r w:rsidRPr="00457205">
        <w:rPr>
          <w:rFonts w:asciiTheme="majorHAnsi" w:hAnsiTheme="majorHAnsi" w:cstheme="majorHAnsi"/>
          <w:szCs w:val="22"/>
        </w:rPr>
        <w:t>Viet</w:t>
      </w:r>
      <w:r w:rsidR="0029654F" w:rsidRPr="00457205">
        <w:rPr>
          <w:rFonts w:asciiTheme="majorHAnsi" w:hAnsiTheme="majorHAnsi" w:cstheme="majorHAnsi"/>
          <w:szCs w:val="22"/>
        </w:rPr>
        <w:t>n</w:t>
      </w:r>
      <w:r w:rsidRPr="00457205">
        <w:rPr>
          <w:rFonts w:asciiTheme="majorHAnsi" w:hAnsiTheme="majorHAnsi" w:cstheme="majorHAnsi"/>
          <w:szCs w:val="22"/>
        </w:rPr>
        <w:t>am’s legal framework explicitly recognizes and protects several rights with regard to ‘ethnic minorities’ including the right of non-discrimination, the recognition and promotion of cultural rights and cultural inheritance of ethnic minorities’ cultural rights (implicitly recognizing a degree of self-determination). The Constitution affirm</w:t>
      </w:r>
      <w:r w:rsidR="000D4010" w:rsidRPr="00457205">
        <w:rPr>
          <w:rFonts w:asciiTheme="majorHAnsi" w:hAnsiTheme="majorHAnsi" w:cstheme="majorHAnsi"/>
          <w:szCs w:val="22"/>
        </w:rPr>
        <w:t>s</w:t>
      </w:r>
      <w:r w:rsidRPr="00457205">
        <w:rPr>
          <w:rFonts w:asciiTheme="majorHAnsi" w:hAnsiTheme="majorHAnsi" w:cstheme="majorHAnsi"/>
          <w:szCs w:val="22"/>
        </w:rPr>
        <w:t xml:space="preserve"> the equality</w:t>
      </w:r>
      <w:r w:rsidR="000D4010" w:rsidRPr="00457205">
        <w:rPr>
          <w:rFonts w:asciiTheme="majorHAnsi" w:hAnsiTheme="majorHAnsi" w:cstheme="majorHAnsi"/>
          <w:szCs w:val="22"/>
        </w:rPr>
        <w:t xml:space="preserve"> of ethnic minority peoples</w:t>
      </w:r>
      <w:r w:rsidRPr="00457205">
        <w:rPr>
          <w:rFonts w:asciiTheme="majorHAnsi" w:hAnsiTheme="majorHAnsi" w:cstheme="majorHAnsi"/>
          <w:szCs w:val="22"/>
        </w:rPr>
        <w:t>, while the existing Law on Cultural Heritage recognizes values and need to protect culture of the people following their wishes</w:t>
      </w:r>
      <w:r w:rsidR="000D4010" w:rsidRPr="00457205">
        <w:rPr>
          <w:rFonts w:asciiTheme="majorHAnsi" w:hAnsiTheme="majorHAnsi" w:cstheme="majorHAnsi"/>
          <w:szCs w:val="22"/>
        </w:rPr>
        <w:t>.</w:t>
      </w:r>
      <w:r w:rsidR="00E96CF1" w:rsidRPr="00457205">
        <w:rPr>
          <w:rFonts w:asciiTheme="majorHAnsi" w:hAnsiTheme="majorHAnsi" w:cstheme="majorHAnsi"/>
          <w:szCs w:val="22"/>
        </w:rPr>
        <w:t xml:space="preserve"> These principles and the substantive provisions that ensure their application in national law must be reflected and adhered to throughout the project’s lifecycle.</w:t>
      </w:r>
    </w:p>
    <w:p w14:paraId="433E34BA" w14:textId="670CDA30" w:rsidR="002A1B1F" w:rsidRPr="008B5494" w:rsidRDefault="0091120C" w:rsidP="0091120C">
      <w:pPr>
        <w:pStyle w:val="Heading2"/>
        <w:numPr>
          <w:ilvl w:val="1"/>
          <w:numId w:val="0"/>
        </w:numPr>
        <w:tabs>
          <w:tab w:val="num" w:pos="360"/>
        </w:tabs>
        <w:rPr>
          <w:color w:val="002060"/>
        </w:rPr>
      </w:pPr>
      <w:bookmarkStart w:id="154" w:name="_2byhvyb6w4px" w:colFirst="0" w:colLast="0"/>
      <w:bookmarkStart w:id="155" w:name="_Toc104218386"/>
      <w:bookmarkEnd w:id="154"/>
      <w:r>
        <w:rPr>
          <w:color w:val="002060"/>
        </w:rPr>
        <w:t xml:space="preserve">5.1.3 </w:t>
      </w:r>
      <w:r w:rsidR="00F25AA1" w:rsidRPr="008B5494">
        <w:rPr>
          <w:color w:val="002060"/>
        </w:rPr>
        <w:t>Environmental and Tourism</w:t>
      </w:r>
      <w:bookmarkEnd w:id="155"/>
    </w:p>
    <w:p w14:paraId="5E5C3005" w14:textId="47E466B7" w:rsidR="00981A27" w:rsidRPr="00C12294" w:rsidRDefault="00981A27" w:rsidP="00981A27">
      <w:pPr>
        <w:ind w:firstLine="420"/>
        <w:rPr>
          <w:rFonts w:asciiTheme="majorHAnsi" w:hAnsiTheme="majorHAnsi" w:cstheme="majorHAnsi"/>
          <w:sz w:val="22"/>
        </w:rPr>
      </w:pPr>
      <w:r w:rsidRPr="00C12294">
        <w:rPr>
          <w:rFonts w:asciiTheme="majorHAnsi" w:hAnsiTheme="majorHAnsi" w:cstheme="majorHAnsi"/>
          <w:sz w:val="22"/>
        </w:rPr>
        <w:t xml:space="preserve">The following section outlines regulatory provisions in respect of Environmental and Ecotourism-specific matters that have been deemed relevant in the </w:t>
      </w:r>
      <w:r w:rsidR="00804A3C" w:rsidRPr="00C12294">
        <w:rPr>
          <w:rFonts w:asciiTheme="majorHAnsi" w:hAnsiTheme="majorHAnsi" w:cstheme="majorHAnsi"/>
          <w:sz w:val="22"/>
        </w:rPr>
        <w:t xml:space="preserve">PPG </w:t>
      </w:r>
      <w:r w:rsidRPr="00C12294">
        <w:rPr>
          <w:rFonts w:asciiTheme="majorHAnsi" w:hAnsiTheme="majorHAnsi" w:cstheme="majorHAnsi"/>
          <w:sz w:val="22"/>
        </w:rPr>
        <w:t>SESP screening. The project must adhere to all of the provisions outlined below as well as any other applicable national regulation notwithstanding that it may be omitted from the following section.</w:t>
      </w:r>
    </w:p>
    <w:p w14:paraId="4479A6DA" w14:textId="1326B52A" w:rsidR="002A1B1F" w:rsidRDefault="00F25AA1" w:rsidP="00053BC1">
      <w:pPr>
        <w:pStyle w:val="Heading3"/>
        <w:rPr>
          <w:b w:val="0"/>
        </w:rPr>
      </w:pPr>
      <w:bookmarkStart w:id="156" w:name="_Toc104218387"/>
      <w:r>
        <w:t>Table</w:t>
      </w:r>
      <w:r w:rsidR="00AB19A7">
        <w:t xml:space="preserve"> 2</w:t>
      </w:r>
      <w:r>
        <w:t>:</w:t>
      </w:r>
      <w:r w:rsidR="00053BC1">
        <w:rPr>
          <w:b w:val="0"/>
        </w:rPr>
        <w:t xml:space="preserve"> </w:t>
      </w:r>
      <w:r>
        <w:t>Summary of Environmental and Tourism Regulation</w:t>
      </w:r>
      <w:bookmarkEnd w:id="156"/>
    </w:p>
    <w:tbl>
      <w:tblPr>
        <w:tblStyle w:val="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52"/>
        <w:gridCol w:w="4039"/>
        <w:gridCol w:w="2269"/>
      </w:tblGrid>
      <w:tr w:rsidR="002A1B1F" w14:paraId="72BD10E9" w14:textId="77777777" w:rsidTr="009070C2">
        <w:trPr>
          <w:trHeight w:val="468"/>
        </w:trPr>
        <w:tc>
          <w:tcPr>
            <w:tcW w:w="3052" w:type="dxa"/>
            <w:tcBorders>
              <w:top w:val="single" w:sz="8" w:space="0" w:color="000000"/>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0A02C686" w14:textId="77777777" w:rsidR="002A1B1F" w:rsidRDefault="00F25AA1">
            <w:pPr>
              <w:ind w:left="-100"/>
              <w:rPr>
                <w:b/>
                <w:sz w:val="20"/>
                <w:szCs w:val="20"/>
              </w:rPr>
            </w:pPr>
            <w:r>
              <w:rPr>
                <w:b/>
                <w:sz w:val="20"/>
                <w:szCs w:val="20"/>
              </w:rPr>
              <w:t xml:space="preserve"> Law / Decree / Resolution number </w:t>
            </w:r>
          </w:p>
        </w:tc>
        <w:tc>
          <w:tcPr>
            <w:tcW w:w="4039" w:type="dxa"/>
            <w:tcBorders>
              <w:top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2786C78A" w14:textId="4B5E9BEA" w:rsidR="002A1B1F" w:rsidRDefault="00F25AA1">
            <w:pPr>
              <w:ind w:left="-100"/>
              <w:rPr>
                <w:b/>
                <w:sz w:val="20"/>
                <w:szCs w:val="20"/>
              </w:rPr>
            </w:pPr>
            <w:r>
              <w:rPr>
                <w:b/>
                <w:sz w:val="20"/>
                <w:szCs w:val="20"/>
              </w:rPr>
              <w:t>Title [non-official English translation]</w:t>
            </w:r>
            <w:r w:rsidR="00E96CF1">
              <w:rPr>
                <w:b/>
                <w:sz w:val="20"/>
                <w:szCs w:val="20"/>
              </w:rPr>
              <w:t>/Description</w:t>
            </w:r>
          </w:p>
        </w:tc>
        <w:tc>
          <w:tcPr>
            <w:tcW w:w="2269" w:type="dxa"/>
            <w:tcBorders>
              <w:top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14:paraId="78A1D032" w14:textId="77777777" w:rsidR="002A1B1F" w:rsidRDefault="00F25AA1">
            <w:pPr>
              <w:ind w:left="-100"/>
              <w:rPr>
                <w:b/>
                <w:sz w:val="20"/>
                <w:szCs w:val="20"/>
              </w:rPr>
            </w:pPr>
            <w:r>
              <w:rPr>
                <w:b/>
                <w:sz w:val="20"/>
                <w:szCs w:val="20"/>
              </w:rPr>
              <w:t>Issued Date</w:t>
            </w:r>
          </w:p>
        </w:tc>
      </w:tr>
      <w:tr w:rsidR="002A1B1F" w14:paraId="335F2AE8" w14:textId="77777777" w:rsidTr="00E9499C">
        <w:trPr>
          <w:trHeight w:val="18"/>
        </w:trPr>
        <w:tc>
          <w:tcPr>
            <w:tcW w:w="9360" w:type="dxa"/>
            <w:gridSpan w:val="3"/>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3EB97F" w14:textId="77777777" w:rsidR="002A1B1F" w:rsidRDefault="00F25AA1" w:rsidP="00E9499C">
            <w:pPr>
              <w:ind w:left="-100"/>
              <w:jc w:val="center"/>
              <w:rPr>
                <w:sz w:val="20"/>
                <w:szCs w:val="20"/>
              </w:rPr>
            </w:pPr>
            <w:r>
              <w:rPr>
                <w:b/>
                <w:sz w:val="20"/>
                <w:szCs w:val="20"/>
              </w:rPr>
              <w:t>Tourism</w:t>
            </w:r>
          </w:p>
        </w:tc>
      </w:tr>
      <w:tr w:rsidR="002A1B1F" w14:paraId="02946F1B"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DE417" w14:textId="77777777" w:rsidR="002A1B1F" w:rsidRDefault="00F25AA1">
            <w:pPr>
              <w:ind w:left="-100"/>
              <w:rPr>
                <w:sz w:val="20"/>
                <w:szCs w:val="20"/>
              </w:rPr>
            </w:pPr>
            <w:r>
              <w:rPr>
                <w:sz w:val="20"/>
                <w:szCs w:val="20"/>
              </w:rPr>
              <w:t>Law No.09/2017/QH14</w:t>
            </w:r>
          </w:p>
        </w:tc>
        <w:tc>
          <w:tcPr>
            <w:tcW w:w="4039" w:type="dxa"/>
            <w:tcBorders>
              <w:bottom w:val="single" w:sz="8" w:space="0" w:color="000000"/>
              <w:right w:val="single" w:sz="8" w:space="0" w:color="000000"/>
            </w:tcBorders>
            <w:tcMar>
              <w:top w:w="100" w:type="dxa"/>
              <w:left w:w="100" w:type="dxa"/>
              <w:bottom w:w="100" w:type="dxa"/>
              <w:right w:w="100" w:type="dxa"/>
            </w:tcMar>
          </w:tcPr>
          <w:p w14:paraId="7B243013" w14:textId="77777777" w:rsidR="002A1B1F" w:rsidRDefault="00F25AA1">
            <w:pPr>
              <w:ind w:left="-100"/>
              <w:rPr>
                <w:sz w:val="20"/>
                <w:szCs w:val="20"/>
              </w:rPr>
            </w:pPr>
            <w:r>
              <w:rPr>
                <w:sz w:val="20"/>
                <w:szCs w:val="20"/>
              </w:rPr>
              <w:t xml:space="preserve">Tourism law </w:t>
            </w:r>
          </w:p>
        </w:tc>
        <w:tc>
          <w:tcPr>
            <w:tcW w:w="2269" w:type="dxa"/>
            <w:tcBorders>
              <w:bottom w:val="single" w:sz="8" w:space="0" w:color="000000"/>
              <w:right w:val="single" w:sz="8" w:space="0" w:color="000000"/>
            </w:tcBorders>
            <w:tcMar>
              <w:top w:w="100" w:type="dxa"/>
              <w:left w:w="100" w:type="dxa"/>
              <w:bottom w:w="100" w:type="dxa"/>
              <w:right w:w="100" w:type="dxa"/>
            </w:tcMar>
          </w:tcPr>
          <w:p w14:paraId="3655546B" w14:textId="77777777" w:rsidR="002A1B1F" w:rsidRDefault="00F25AA1">
            <w:pPr>
              <w:ind w:left="-100"/>
              <w:rPr>
                <w:sz w:val="20"/>
                <w:szCs w:val="20"/>
              </w:rPr>
            </w:pPr>
            <w:r>
              <w:rPr>
                <w:sz w:val="20"/>
                <w:szCs w:val="20"/>
              </w:rPr>
              <w:t>19 June 2017</w:t>
            </w:r>
          </w:p>
        </w:tc>
      </w:tr>
      <w:tr w:rsidR="002A1B1F" w14:paraId="1C6014E9"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7174F" w14:textId="77777777" w:rsidR="002A1B1F" w:rsidRDefault="00F25AA1">
            <w:pPr>
              <w:ind w:left="-100"/>
              <w:rPr>
                <w:sz w:val="20"/>
                <w:szCs w:val="20"/>
              </w:rPr>
            </w:pPr>
            <w:r>
              <w:rPr>
                <w:sz w:val="20"/>
                <w:szCs w:val="20"/>
              </w:rPr>
              <w:t>Decree No. 168/2017/ND-CP</w:t>
            </w:r>
          </w:p>
        </w:tc>
        <w:tc>
          <w:tcPr>
            <w:tcW w:w="4039" w:type="dxa"/>
            <w:tcBorders>
              <w:bottom w:val="single" w:sz="8" w:space="0" w:color="000000"/>
              <w:right w:val="single" w:sz="8" w:space="0" w:color="000000"/>
            </w:tcBorders>
            <w:tcMar>
              <w:top w:w="100" w:type="dxa"/>
              <w:left w:w="100" w:type="dxa"/>
              <w:bottom w:w="100" w:type="dxa"/>
              <w:right w:w="100" w:type="dxa"/>
            </w:tcMar>
          </w:tcPr>
          <w:p w14:paraId="5AC5E387" w14:textId="360FA6D2" w:rsidR="002A1B1F" w:rsidRDefault="00F25AA1">
            <w:pPr>
              <w:ind w:left="-100"/>
              <w:rPr>
                <w:sz w:val="20"/>
                <w:szCs w:val="20"/>
              </w:rPr>
            </w:pPr>
            <w:r>
              <w:rPr>
                <w:sz w:val="20"/>
                <w:szCs w:val="20"/>
              </w:rPr>
              <w:t>Details some articles for</w:t>
            </w:r>
            <w:r w:rsidR="0029654F">
              <w:rPr>
                <w:sz w:val="20"/>
                <w:szCs w:val="20"/>
              </w:rPr>
              <w:t xml:space="preserve"> the</w:t>
            </w:r>
            <w:r>
              <w:rPr>
                <w:sz w:val="20"/>
                <w:szCs w:val="20"/>
              </w:rPr>
              <w:t xml:space="preserve"> implementation of tourism law</w:t>
            </w:r>
            <w:r w:rsidR="0029654F">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74B69ADD" w14:textId="77777777" w:rsidR="002A1B1F" w:rsidRDefault="00F25AA1">
            <w:pPr>
              <w:ind w:left="-100"/>
              <w:rPr>
                <w:sz w:val="20"/>
                <w:szCs w:val="20"/>
              </w:rPr>
            </w:pPr>
            <w:r>
              <w:rPr>
                <w:sz w:val="20"/>
                <w:szCs w:val="20"/>
              </w:rPr>
              <w:t>31 December 2017</w:t>
            </w:r>
          </w:p>
        </w:tc>
      </w:tr>
      <w:tr w:rsidR="002A1B1F" w14:paraId="052E52EE"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0EF59A" w14:textId="77777777" w:rsidR="002A1B1F" w:rsidRDefault="00F25AA1">
            <w:pPr>
              <w:ind w:left="-100"/>
              <w:rPr>
                <w:sz w:val="20"/>
                <w:szCs w:val="20"/>
              </w:rPr>
            </w:pPr>
            <w:r>
              <w:rPr>
                <w:sz w:val="20"/>
                <w:szCs w:val="20"/>
              </w:rPr>
              <w:t>Decision No. 147/2020/QD-</w:t>
            </w:r>
            <w:proofErr w:type="spellStart"/>
            <w:r>
              <w:rPr>
                <w:sz w:val="20"/>
                <w:szCs w:val="20"/>
              </w:rPr>
              <w:t>TTg</w:t>
            </w:r>
            <w:proofErr w:type="spellEnd"/>
            <w:r>
              <w:rPr>
                <w:sz w:val="20"/>
                <w:szCs w:val="20"/>
              </w:rPr>
              <w:t xml:space="preserve"> </w:t>
            </w:r>
          </w:p>
        </w:tc>
        <w:tc>
          <w:tcPr>
            <w:tcW w:w="4039" w:type="dxa"/>
            <w:tcBorders>
              <w:bottom w:val="single" w:sz="8" w:space="0" w:color="000000"/>
              <w:right w:val="single" w:sz="8" w:space="0" w:color="000000"/>
            </w:tcBorders>
            <w:tcMar>
              <w:top w:w="100" w:type="dxa"/>
              <w:left w:w="100" w:type="dxa"/>
              <w:bottom w:w="100" w:type="dxa"/>
              <w:right w:w="100" w:type="dxa"/>
            </w:tcMar>
          </w:tcPr>
          <w:p w14:paraId="31F0EF4F" w14:textId="0EDFAD7F" w:rsidR="002A1B1F" w:rsidRDefault="00F25AA1">
            <w:pPr>
              <w:ind w:left="-100"/>
              <w:rPr>
                <w:sz w:val="20"/>
                <w:szCs w:val="20"/>
              </w:rPr>
            </w:pPr>
            <w:r>
              <w:rPr>
                <w:sz w:val="20"/>
                <w:szCs w:val="20"/>
              </w:rPr>
              <w:t>Approving the Vietnam Tourism Development Strategy to 2030</w:t>
            </w:r>
            <w:r w:rsidR="0029654F">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031985CA" w14:textId="77777777" w:rsidR="002A1B1F" w:rsidRDefault="00F25AA1">
            <w:pPr>
              <w:ind w:left="-100"/>
              <w:rPr>
                <w:sz w:val="20"/>
                <w:szCs w:val="20"/>
              </w:rPr>
            </w:pPr>
            <w:r>
              <w:rPr>
                <w:sz w:val="20"/>
                <w:szCs w:val="20"/>
              </w:rPr>
              <w:t>22 January 2020</w:t>
            </w:r>
          </w:p>
        </w:tc>
      </w:tr>
      <w:tr w:rsidR="002A1B1F" w14:paraId="1A201A60" w14:textId="77777777" w:rsidTr="00E9499C">
        <w:trPr>
          <w:trHeight w:val="200"/>
        </w:trPr>
        <w:tc>
          <w:tcPr>
            <w:tcW w:w="9360" w:type="dxa"/>
            <w:gridSpan w:val="3"/>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D301EF2" w14:textId="77777777" w:rsidR="002A1B1F" w:rsidRDefault="00F25AA1" w:rsidP="00E9499C">
            <w:pPr>
              <w:ind w:left="-100"/>
              <w:jc w:val="center"/>
              <w:rPr>
                <w:sz w:val="20"/>
                <w:szCs w:val="20"/>
              </w:rPr>
            </w:pPr>
            <w:r>
              <w:rPr>
                <w:b/>
                <w:sz w:val="20"/>
                <w:szCs w:val="20"/>
              </w:rPr>
              <w:t>Environment</w:t>
            </w:r>
          </w:p>
        </w:tc>
      </w:tr>
      <w:tr w:rsidR="002A1B1F" w14:paraId="46475EB4"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A091B7" w14:textId="77777777" w:rsidR="002A1B1F" w:rsidRDefault="00F25AA1">
            <w:pPr>
              <w:ind w:left="-100"/>
              <w:rPr>
                <w:sz w:val="20"/>
                <w:szCs w:val="20"/>
              </w:rPr>
            </w:pPr>
            <w:r>
              <w:rPr>
                <w:sz w:val="20"/>
                <w:szCs w:val="20"/>
              </w:rPr>
              <w:t>Law No. 17/2012/QH13</w:t>
            </w:r>
          </w:p>
        </w:tc>
        <w:tc>
          <w:tcPr>
            <w:tcW w:w="4039" w:type="dxa"/>
            <w:tcBorders>
              <w:bottom w:val="single" w:sz="8" w:space="0" w:color="000000"/>
              <w:right w:val="single" w:sz="8" w:space="0" w:color="000000"/>
            </w:tcBorders>
            <w:tcMar>
              <w:top w:w="100" w:type="dxa"/>
              <w:left w:w="100" w:type="dxa"/>
              <w:bottom w:w="100" w:type="dxa"/>
              <w:right w:w="100" w:type="dxa"/>
            </w:tcMar>
          </w:tcPr>
          <w:p w14:paraId="17030634" w14:textId="77777777" w:rsidR="002A1B1F" w:rsidRDefault="00F25AA1">
            <w:pPr>
              <w:ind w:left="-100"/>
              <w:rPr>
                <w:sz w:val="20"/>
                <w:szCs w:val="20"/>
              </w:rPr>
            </w:pPr>
            <w:r>
              <w:rPr>
                <w:sz w:val="20"/>
                <w:szCs w:val="20"/>
              </w:rPr>
              <w:t>Law on Water Resources</w:t>
            </w:r>
          </w:p>
        </w:tc>
        <w:tc>
          <w:tcPr>
            <w:tcW w:w="2269" w:type="dxa"/>
            <w:tcBorders>
              <w:bottom w:val="single" w:sz="8" w:space="0" w:color="000000"/>
              <w:right w:val="single" w:sz="8" w:space="0" w:color="000000"/>
            </w:tcBorders>
            <w:tcMar>
              <w:top w:w="100" w:type="dxa"/>
              <w:left w:w="100" w:type="dxa"/>
              <w:bottom w:w="100" w:type="dxa"/>
              <w:right w:w="100" w:type="dxa"/>
            </w:tcMar>
          </w:tcPr>
          <w:p w14:paraId="6A11C1DE" w14:textId="77777777" w:rsidR="002A1B1F" w:rsidRDefault="00F25AA1">
            <w:pPr>
              <w:ind w:left="-100"/>
              <w:rPr>
                <w:sz w:val="20"/>
                <w:szCs w:val="20"/>
              </w:rPr>
            </w:pPr>
            <w:r>
              <w:rPr>
                <w:sz w:val="20"/>
                <w:szCs w:val="20"/>
              </w:rPr>
              <w:t>21 June, 2012</w:t>
            </w:r>
          </w:p>
        </w:tc>
      </w:tr>
      <w:tr w:rsidR="002A1B1F" w14:paraId="3AD6922D"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8FF4D" w14:textId="01A1A1EA" w:rsidR="002A1B1F" w:rsidRPr="00295735" w:rsidRDefault="00295735">
            <w:pPr>
              <w:ind w:left="-100"/>
              <w:rPr>
                <w:color w:val="000000" w:themeColor="text1"/>
                <w:sz w:val="20"/>
                <w:szCs w:val="20"/>
              </w:rPr>
            </w:pPr>
            <w:r>
              <w:rPr>
                <w:color w:val="000000" w:themeColor="text1"/>
                <w:sz w:val="20"/>
                <w:szCs w:val="20"/>
              </w:rPr>
              <w:t>Law No. 45/2013/QH13</w:t>
            </w:r>
          </w:p>
        </w:tc>
        <w:tc>
          <w:tcPr>
            <w:tcW w:w="4039" w:type="dxa"/>
            <w:tcBorders>
              <w:bottom w:val="single" w:sz="8" w:space="0" w:color="000000"/>
              <w:right w:val="single" w:sz="8" w:space="0" w:color="000000"/>
            </w:tcBorders>
            <w:tcMar>
              <w:top w:w="100" w:type="dxa"/>
              <w:left w:w="100" w:type="dxa"/>
              <w:bottom w:w="100" w:type="dxa"/>
              <w:right w:w="100" w:type="dxa"/>
            </w:tcMar>
          </w:tcPr>
          <w:p w14:paraId="6336F3A1" w14:textId="77777777" w:rsidR="002A1B1F" w:rsidRDefault="00F25AA1">
            <w:pPr>
              <w:ind w:left="-100"/>
              <w:rPr>
                <w:sz w:val="20"/>
                <w:szCs w:val="20"/>
              </w:rPr>
            </w:pPr>
            <w:r>
              <w:rPr>
                <w:sz w:val="20"/>
                <w:szCs w:val="20"/>
              </w:rPr>
              <w:t>Land Law</w:t>
            </w:r>
          </w:p>
        </w:tc>
        <w:tc>
          <w:tcPr>
            <w:tcW w:w="2269" w:type="dxa"/>
            <w:tcBorders>
              <w:bottom w:val="single" w:sz="8" w:space="0" w:color="000000"/>
              <w:right w:val="single" w:sz="8" w:space="0" w:color="000000"/>
            </w:tcBorders>
            <w:tcMar>
              <w:top w:w="100" w:type="dxa"/>
              <w:left w:w="100" w:type="dxa"/>
              <w:bottom w:w="100" w:type="dxa"/>
              <w:right w:w="100" w:type="dxa"/>
            </w:tcMar>
          </w:tcPr>
          <w:p w14:paraId="4E2D4C57" w14:textId="4E06D049" w:rsidR="002A1B1F" w:rsidRPr="00295735" w:rsidRDefault="00295735">
            <w:pPr>
              <w:ind w:left="-100"/>
              <w:rPr>
                <w:color w:val="000000" w:themeColor="text1"/>
                <w:sz w:val="20"/>
                <w:szCs w:val="20"/>
              </w:rPr>
            </w:pPr>
            <w:r>
              <w:rPr>
                <w:color w:val="000000" w:themeColor="text1"/>
                <w:sz w:val="20"/>
                <w:szCs w:val="20"/>
              </w:rPr>
              <w:t>29 Novembe</w:t>
            </w:r>
            <w:r w:rsidR="00E96CF1">
              <w:rPr>
                <w:color w:val="000000" w:themeColor="text1"/>
                <w:sz w:val="20"/>
                <w:szCs w:val="20"/>
              </w:rPr>
              <w:t>r</w:t>
            </w:r>
            <w:r>
              <w:rPr>
                <w:color w:val="000000" w:themeColor="text1"/>
                <w:sz w:val="20"/>
                <w:szCs w:val="20"/>
              </w:rPr>
              <w:t xml:space="preserve"> 2013</w:t>
            </w:r>
          </w:p>
        </w:tc>
      </w:tr>
      <w:tr w:rsidR="002A1B1F" w14:paraId="51D384BA"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B2A9C1" w14:textId="77777777" w:rsidR="002A1B1F" w:rsidRDefault="002A1B1F">
            <w:pPr>
              <w:ind w:left="-100"/>
              <w:rPr>
                <w:color w:val="FF0000"/>
                <w:sz w:val="20"/>
                <w:szCs w:val="20"/>
              </w:rPr>
            </w:pPr>
          </w:p>
        </w:tc>
        <w:tc>
          <w:tcPr>
            <w:tcW w:w="4039" w:type="dxa"/>
            <w:tcBorders>
              <w:bottom w:val="single" w:sz="8" w:space="0" w:color="000000"/>
              <w:right w:val="single" w:sz="8" w:space="0" w:color="000000"/>
            </w:tcBorders>
            <w:tcMar>
              <w:top w:w="100" w:type="dxa"/>
              <w:left w:w="100" w:type="dxa"/>
              <w:bottom w:w="100" w:type="dxa"/>
              <w:right w:w="100" w:type="dxa"/>
            </w:tcMar>
          </w:tcPr>
          <w:p w14:paraId="6527300C" w14:textId="79D958A3" w:rsidR="002A1B1F" w:rsidRDefault="00F25AA1">
            <w:pPr>
              <w:ind w:left="-100"/>
              <w:rPr>
                <w:sz w:val="20"/>
                <w:szCs w:val="20"/>
              </w:rPr>
            </w:pPr>
            <w:r>
              <w:rPr>
                <w:sz w:val="20"/>
                <w:szCs w:val="20"/>
              </w:rPr>
              <w:t>Decrees made pursuant to the Land Law (</w:t>
            </w:r>
            <w:r w:rsidR="00295735">
              <w:rPr>
                <w:color w:val="000000" w:themeColor="text1"/>
                <w:sz w:val="20"/>
                <w:szCs w:val="20"/>
              </w:rPr>
              <w:t>Law No. 45/2013/QH13</w:t>
            </w:r>
            <w:r>
              <w:rPr>
                <w:sz w:val="20"/>
                <w:szCs w:val="20"/>
              </w:rPr>
              <w:t>):</w:t>
            </w:r>
          </w:p>
          <w:p w14:paraId="2B6B1B85" w14:textId="65B745EF" w:rsidR="002A1B1F" w:rsidRDefault="00F25AA1" w:rsidP="0091120C">
            <w:pPr>
              <w:pStyle w:val="ListNumber2"/>
              <w:rPr>
                <w:sz w:val="20"/>
              </w:rPr>
            </w:pPr>
            <w:r>
              <w:rPr>
                <w:sz w:val="20"/>
              </w:rPr>
              <w:t xml:space="preserve">Decree No. 43/2014/ND-CP dated 15/05/2014 of the Government </w:t>
            </w:r>
            <w:r>
              <w:rPr>
                <w:sz w:val="20"/>
              </w:rPr>
              <w:lastRenderedPageBreak/>
              <w:t xml:space="preserve">regulations detailing a number of articles of the Land Law; </w:t>
            </w:r>
          </w:p>
          <w:p w14:paraId="470B8B04" w14:textId="4302D37E" w:rsidR="002A1B1F" w:rsidRDefault="00F25AA1" w:rsidP="0091120C">
            <w:pPr>
              <w:pStyle w:val="ListNumber2"/>
              <w:rPr>
                <w:sz w:val="20"/>
              </w:rPr>
            </w:pPr>
            <w:r>
              <w:rPr>
                <w:sz w:val="20"/>
              </w:rPr>
              <w:t xml:space="preserve">Decree No. 47/2014/ND-CP dated 15/05/2014 of the Government regulations on compensation, support and resettlement upon land recovery by the State; </w:t>
            </w:r>
          </w:p>
          <w:p w14:paraId="20E10028" w14:textId="77777777" w:rsidR="002A1B1F" w:rsidRDefault="00F25AA1" w:rsidP="0091120C">
            <w:pPr>
              <w:pStyle w:val="ListNumber2"/>
              <w:rPr>
                <w:sz w:val="20"/>
              </w:rPr>
            </w:pPr>
            <w:r>
              <w:rPr>
                <w:sz w:val="20"/>
              </w:rPr>
              <w:t xml:space="preserve">Decree No. 75/2012/ND-CP dated 03/10/2012 of the Government detailing a number of articles of the Law on Complaints; </w:t>
            </w:r>
          </w:p>
          <w:p w14:paraId="72CFC0FD" w14:textId="651C71D3" w:rsidR="002A1B1F" w:rsidRDefault="00F25AA1" w:rsidP="0091120C">
            <w:pPr>
              <w:pStyle w:val="ListNumber2"/>
              <w:rPr>
                <w:sz w:val="20"/>
              </w:rPr>
            </w:pPr>
            <w:r>
              <w:rPr>
                <w:sz w:val="20"/>
              </w:rPr>
              <w:t>The Circular No. 37/2014/TT-BTNMT dated 30/06/2014 of MONRE detailing compensation, support and resettlement upon land acquisition by the State</w:t>
            </w:r>
            <w:r w:rsidR="00E96CF1">
              <w:rPr>
                <w:sz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272BAE89" w14:textId="77777777" w:rsidR="002A1B1F" w:rsidRDefault="002A1B1F">
            <w:pPr>
              <w:ind w:left="-100"/>
              <w:rPr>
                <w:color w:val="FF0000"/>
                <w:sz w:val="20"/>
                <w:szCs w:val="20"/>
              </w:rPr>
            </w:pPr>
          </w:p>
        </w:tc>
      </w:tr>
      <w:tr w:rsidR="002A1B1F" w14:paraId="6B3ED811"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97ADEF" w14:textId="77777777" w:rsidR="002A1B1F" w:rsidRDefault="00F25AA1">
            <w:pPr>
              <w:ind w:left="-100"/>
              <w:rPr>
                <w:sz w:val="20"/>
                <w:szCs w:val="20"/>
              </w:rPr>
            </w:pPr>
            <w:r>
              <w:rPr>
                <w:sz w:val="20"/>
                <w:szCs w:val="20"/>
              </w:rPr>
              <w:t>Law No. 72/2020/QH14</w:t>
            </w:r>
          </w:p>
        </w:tc>
        <w:tc>
          <w:tcPr>
            <w:tcW w:w="4039" w:type="dxa"/>
            <w:tcBorders>
              <w:bottom w:val="single" w:sz="8" w:space="0" w:color="000000"/>
              <w:right w:val="single" w:sz="8" w:space="0" w:color="000000"/>
            </w:tcBorders>
            <w:tcMar>
              <w:top w:w="100" w:type="dxa"/>
              <w:left w:w="100" w:type="dxa"/>
              <w:bottom w:w="100" w:type="dxa"/>
              <w:right w:w="100" w:type="dxa"/>
            </w:tcMar>
          </w:tcPr>
          <w:p w14:paraId="67F885E9" w14:textId="0E626460" w:rsidR="002A1B1F" w:rsidRDefault="00E44F7D" w:rsidP="00E44F7D">
            <w:pPr>
              <w:ind w:left="-100"/>
              <w:rPr>
                <w:sz w:val="20"/>
                <w:szCs w:val="20"/>
              </w:rPr>
            </w:pPr>
            <w:r>
              <w:rPr>
                <w:sz w:val="20"/>
                <w:szCs w:val="20"/>
              </w:rPr>
              <w:t>Law on Environmental Protection</w:t>
            </w:r>
          </w:p>
        </w:tc>
        <w:tc>
          <w:tcPr>
            <w:tcW w:w="2269" w:type="dxa"/>
            <w:tcBorders>
              <w:bottom w:val="single" w:sz="8" w:space="0" w:color="000000"/>
              <w:right w:val="single" w:sz="8" w:space="0" w:color="000000"/>
            </w:tcBorders>
            <w:tcMar>
              <w:top w:w="100" w:type="dxa"/>
              <w:left w:w="100" w:type="dxa"/>
              <w:bottom w:w="100" w:type="dxa"/>
              <w:right w:w="100" w:type="dxa"/>
            </w:tcMar>
          </w:tcPr>
          <w:p w14:paraId="44361E8D" w14:textId="77777777" w:rsidR="002A1B1F" w:rsidRDefault="00F25AA1">
            <w:pPr>
              <w:ind w:left="-100"/>
              <w:rPr>
                <w:sz w:val="20"/>
                <w:szCs w:val="20"/>
              </w:rPr>
            </w:pPr>
            <w:r>
              <w:rPr>
                <w:sz w:val="20"/>
                <w:szCs w:val="20"/>
              </w:rPr>
              <w:t>17 November 2020</w:t>
            </w:r>
          </w:p>
        </w:tc>
      </w:tr>
      <w:tr w:rsidR="002A1B1F" w14:paraId="665F5C43"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40400" w14:textId="77777777" w:rsidR="002A1B1F" w:rsidRDefault="00F25AA1">
            <w:pPr>
              <w:ind w:left="-100"/>
              <w:rPr>
                <w:sz w:val="20"/>
                <w:szCs w:val="20"/>
              </w:rPr>
            </w:pPr>
            <w:r>
              <w:rPr>
                <w:sz w:val="20"/>
                <w:szCs w:val="20"/>
              </w:rPr>
              <w:t>Decree No.08/2022/ND-CP</w:t>
            </w:r>
          </w:p>
        </w:tc>
        <w:tc>
          <w:tcPr>
            <w:tcW w:w="4039" w:type="dxa"/>
            <w:tcBorders>
              <w:bottom w:val="single" w:sz="8" w:space="0" w:color="000000"/>
              <w:right w:val="single" w:sz="8" w:space="0" w:color="000000"/>
            </w:tcBorders>
            <w:tcMar>
              <w:top w:w="100" w:type="dxa"/>
              <w:left w:w="100" w:type="dxa"/>
              <w:bottom w:w="100" w:type="dxa"/>
              <w:right w:w="100" w:type="dxa"/>
            </w:tcMar>
          </w:tcPr>
          <w:p w14:paraId="004A6FB6" w14:textId="117F9D49" w:rsidR="002A1B1F" w:rsidRDefault="00F25AA1">
            <w:pPr>
              <w:ind w:left="-100"/>
              <w:rPr>
                <w:sz w:val="20"/>
                <w:szCs w:val="20"/>
              </w:rPr>
            </w:pPr>
            <w:r>
              <w:rPr>
                <w:sz w:val="20"/>
                <w:szCs w:val="20"/>
              </w:rPr>
              <w:t>Detailed regulations on a number of articles of the law on environmental protection 2020</w:t>
            </w:r>
            <w:r w:rsidR="0029654F">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42AC4852" w14:textId="77777777" w:rsidR="002A1B1F" w:rsidRDefault="00F25AA1">
            <w:pPr>
              <w:ind w:left="-100"/>
              <w:rPr>
                <w:sz w:val="20"/>
                <w:szCs w:val="20"/>
              </w:rPr>
            </w:pPr>
            <w:r>
              <w:rPr>
                <w:sz w:val="20"/>
                <w:szCs w:val="20"/>
              </w:rPr>
              <w:t>10 January 2022</w:t>
            </w:r>
          </w:p>
        </w:tc>
      </w:tr>
      <w:tr w:rsidR="002A1B1F" w14:paraId="20E89EDC"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362D5" w14:textId="77777777" w:rsidR="002A1B1F" w:rsidRDefault="00F25AA1">
            <w:pPr>
              <w:ind w:left="-100"/>
              <w:rPr>
                <w:sz w:val="20"/>
                <w:szCs w:val="20"/>
              </w:rPr>
            </w:pPr>
            <w:r>
              <w:rPr>
                <w:sz w:val="20"/>
                <w:szCs w:val="20"/>
              </w:rPr>
              <w:t>Draft decision issued by prime minister/2021/2022</w:t>
            </w:r>
          </w:p>
        </w:tc>
        <w:tc>
          <w:tcPr>
            <w:tcW w:w="4039" w:type="dxa"/>
            <w:tcBorders>
              <w:bottom w:val="single" w:sz="8" w:space="0" w:color="000000"/>
              <w:right w:val="single" w:sz="8" w:space="0" w:color="000000"/>
            </w:tcBorders>
            <w:tcMar>
              <w:top w:w="100" w:type="dxa"/>
              <w:left w:w="100" w:type="dxa"/>
              <w:bottom w:w="100" w:type="dxa"/>
              <w:right w:w="100" w:type="dxa"/>
            </w:tcMar>
          </w:tcPr>
          <w:p w14:paraId="46D3862E" w14:textId="77777777" w:rsidR="002A1B1F" w:rsidRDefault="00F25AA1">
            <w:pPr>
              <w:ind w:left="-100"/>
              <w:rPr>
                <w:sz w:val="20"/>
                <w:szCs w:val="20"/>
              </w:rPr>
            </w:pPr>
            <w:r>
              <w:rPr>
                <w:sz w:val="20"/>
                <w:szCs w:val="20"/>
              </w:rPr>
              <w:t>National environmental protection strategy to 2030, vision to 2050</w:t>
            </w:r>
          </w:p>
        </w:tc>
        <w:tc>
          <w:tcPr>
            <w:tcW w:w="2269" w:type="dxa"/>
            <w:tcBorders>
              <w:bottom w:val="single" w:sz="8" w:space="0" w:color="000000"/>
              <w:right w:val="single" w:sz="8" w:space="0" w:color="000000"/>
            </w:tcBorders>
            <w:tcMar>
              <w:top w:w="100" w:type="dxa"/>
              <w:left w:w="100" w:type="dxa"/>
              <w:bottom w:w="100" w:type="dxa"/>
              <w:right w:w="100" w:type="dxa"/>
            </w:tcMar>
          </w:tcPr>
          <w:p w14:paraId="3BCF75D7" w14:textId="77777777" w:rsidR="002A1B1F" w:rsidRDefault="00F25AA1">
            <w:pPr>
              <w:ind w:left="-100"/>
              <w:rPr>
                <w:sz w:val="20"/>
                <w:szCs w:val="20"/>
              </w:rPr>
            </w:pPr>
            <w:r>
              <w:rPr>
                <w:sz w:val="20"/>
                <w:szCs w:val="20"/>
              </w:rPr>
              <w:t>December 2021/or January 2022</w:t>
            </w:r>
          </w:p>
        </w:tc>
      </w:tr>
      <w:tr w:rsidR="002A1B1F" w14:paraId="3B365B7F" w14:textId="77777777" w:rsidTr="00E9499C">
        <w:trPr>
          <w:trHeight w:val="440"/>
        </w:trPr>
        <w:tc>
          <w:tcPr>
            <w:tcW w:w="9360" w:type="dxa"/>
            <w:gridSpan w:val="3"/>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7232B07" w14:textId="77777777" w:rsidR="002A1B1F" w:rsidRDefault="00F25AA1" w:rsidP="00E9499C">
            <w:pPr>
              <w:ind w:left="-100"/>
              <w:jc w:val="center"/>
              <w:rPr>
                <w:sz w:val="20"/>
                <w:szCs w:val="20"/>
              </w:rPr>
            </w:pPr>
            <w:r>
              <w:rPr>
                <w:b/>
                <w:sz w:val="20"/>
                <w:szCs w:val="20"/>
              </w:rPr>
              <w:t>Biodiversity</w:t>
            </w:r>
          </w:p>
        </w:tc>
      </w:tr>
      <w:tr w:rsidR="002A1B1F" w14:paraId="7B8B5A6F" w14:textId="77777777" w:rsidTr="00053BC1">
        <w:trPr>
          <w:trHeight w:val="44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60FA91" w14:textId="77777777" w:rsidR="002A1B1F" w:rsidRDefault="00F25AA1">
            <w:pPr>
              <w:ind w:left="-100"/>
              <w:rPr>
                <w:sz w:val="20"/>
                <w:szCs w:val="20"/>
              </w:rPr>
            </w:pPr>
            <w:r>
              <w:rPr>
                <w:sz w:val="20"/>
                <w:szCs w:val="20"/>
              </w:rPr>
              <w:t xml:space="preserve">Law No. 20/2008/QH12 </w:t>
            </w:r>
          </w:p>
        </w:tc>
        <w:tc>
          <w:tcPr>
            <w:tcW w:w="4039" w:type="dxa"/>
            <w:tcBorders>
              <w:bottom w:val="single" w:sz="8" w:space="0" w:color="000000"/>
              <w:right w:val="single" w:sz="8" w:space="0" w:color="000000"/>
            </w:tcBorders>
            <w:tcMar>
              <w:top w:w="100" w:type="dxa"/>
              <w:left w:w="100" w:type="dxa"/>
              <w:bottom w:w="100" w:type="dxa"/>
              <w:right w:w="100" w:type="dxa"/>
            </w:tcMar>
          </w:tcPr>
          <w:p w14:paraId="367967F0" w14:textId="77777777" w:rsidR="002A1B1F" w:rsidRDefault="00F25AA1">
            <w:pPr>
              <w:ind w:left="-100"/>
              <w:rPr>
                <w:sz w:val="20"/>
                <w:szCs w:val="20"/>
              </w:rPr>
            </w:pPr>
            <w:r>
              <w:rPr>
                <w:sz w:val="20"/>
                <w:szCs w:val="20"/>
              </w:rPr>
              <w:t xml:space="preserve">Law on Biodiversity </w:t>
            </w:r>
          </w:p>
        </w:tc>
        <w:tc>
          <w:tcPr>
            <w:tcW w:w="2269" w:type="dxa"/>
            <w:tcBorders>
              <w:bottom w:val="single" w:sz="8" w:space="0" w:color="000000"/>
              <w:right w:val="single" w:sz="8" w:space="0" w:color="000000"/>
            </w:tcBorders>
            <w:tcMar>
              <w:top w:w="100" w:type="dxa"/>
              <w:left w:w="100" w:type="dxa"/>
              <w:bottom w:w="100" w:type="dxa"/>
              <w:right w:w="100" w:type="dxa"/>
            </w:tcMar>
          </w:tcPr>
          <w:p w14:paraId="6A95452A" w14:textId="77777777" w:rsidR="002A1B1F" w:rsidRDefault="00F25AA1">
            <w:pPr>
              <w:ind w:left="-100"/>
              <w:rPr>
                <w:sz w:val="20"/>
                <w:szCs w:val="20"/>
              </w:rPr>
            </w:pPr>
            <w:r>
              <w:rPr>
                <w:sz w:val="20"/>
                <w:szCs w:val="20"/>
              </w:rPr>
              <w:t>13 November 2008</w:t>
            </w:r>
          </w:p>
        </w:tc>
      </w:tr>
      <w:tr w:rsidR="002A1B1F" w14:paraId="245DF7F7"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195008" w14:textId="77777777" w:rsidR="002A1B1F" w:rsidRDefault="00F25AA1">
            <w:pPr>
              <w:ind w:left="-100"/>
              <w:rPr>
                <w:sz w:val="20"/>
                <w:szCs w:val="20"/>
              </w:rPr>
            </w:pPr>
            <w:r>
              <w:rPr>
                <w:sz w:val="20"/>
                <w:szCs w:val="20"/>
              </w:rPr>
              <w:t>Decree No. 65/2010/ND-CP</w:t>
            </w:r>
          </w:p>
        </w:tc>
        <w:tc>
          <w:tcPr>
            <w:tcW w:w="4039" w:type="dxa"/>
            <w:tcBorders>
              <w:bottom w:val="single" w:sz="8" w:space="0" w:color="000000"/>
              <w:right w:val="single" w:sz="8" w:space="0" w:color="000000"/>
            </w:tcBorders>
            <w:tcMar>
              <w:top w:w="100" w:type="dxa"/>
              <w:left w:w="100" w:type="dxa"/>
              <w:bottom w:w="100" w:type="dxa"/>
              <w:right w:w="100" w:type="dxa"/>
            </w:tcMar>
          </w:tcPr>
          <w:p w14:paraId="6220188C" w14:textId="67C1A893" w:rsidR="002A1B1F" w:rsidRDefault="00F25AA1">
            <w:pPr>
              <w:ind w:left="-100"/>
              <w:rPr>
                <w:sz w:val="20"/>
                <w:szCs w:val="20"/>
              </w:rPr>
            </w:pPr>
            <w:r>
              <w:rPr>
                <w:sz w:val="20"/>
                <w:szCs w:val="20"/>
              </w:rPr>
              <w:t>Detailed provision and instructions for implementation of some articles of biodiversity law</w:t>
            </w:r>
            <w:r w:rsidR="00A40D2A">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045AA44E" w14:textId="77777777" w:rsidR="002A1B1F" w:rsidRDefault="00F25AA1">
            <w:pPr>
              <w:ind w:left="-100"/>
              <w:rPr>
                <w:sz w:val="20"/>
                <w:szCs w:val="20"/>
              </w:rPr>
            </w:pPr>
            <w:r>
              <w:rPr>
                <w:sz w:val="20"/>
                <w:szCs w:val="20"/>
              </w:rPr>
              <w:t>11 June 2010</w:t>
            </w:r>
          </w:p>
        </w:tc>
      </w:tr>
      <w:tr w:rsidR="002A1B1F" w14:paraId="0F01FE40"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FE77FA" w14:textId="77777777" w:rsidR="002A1B1F" w:rsidRDefault="00F25AA1">
            <w:pPr>
              <w:ind w:left="-100"/>
              <w:rPr>
                <w:sz w:val="20"/>
                <w:szCs w:val="20"/>
              </w:rPr>
            </w:pPr>
            <w:r>
              <w:rPr>
                <w:sz w:val="20"/>
                <w:szCs w:val="20"/>
              </w:rPr>
              <w:t xml:space="preserve">Decree No. 160/2013/ND-CP </w:t>
            </w:r>
          </w:p>
        </w:tc>
        <w:tc>
          <w:tcPr>
            <w:tcW w:w="4039" w:type="dxa"/>
            <w:tcBorders>
              <w:bottom w:val="single" w:sz="8" w:space="0" w:color="000000"/>
              <w:right w:val="single" w:sz="8" w:space="0" w:color="000000"/>
            </w:tcBorders>
            <w:tcMar>
              <w:top w:w="100" w:type="dxa"/>
              <w:left w:w="100" w:type="dxa"/>
              <w:bottom w:w="100" w:type="dxa"/>
              <w:right w:w="100" w:type="dxa"/>
            </w:tcMar>
          </w:tcPr>
          <w:p w14:paraId="144D82F8" w14:textId="425B8130" w:rsidR="002A1B1F" w:rsidRDefault="00F25AA1">
            <w:pPr>
              <w:ind w:left="-100"/>
              <w:rPr>
                <w:sz w:val="20"/>
                <w:szCs w:val="20"/>
              </w:rPr>
            </w:pPr>
            <w:r>
              <w:rPr>
                <w:sz w:val="20"/>
                <w:szCs w:val="20"/>
              </w:rPr>
              <w:t xml:space="preserve">Provides criteria for species identification and </w:t>
            </w:r>
            <w:r w:rsidR="0029654F">
              <w:rPr>
                <w:sz w:val="20"/>
                <w:szCs w:val="20"/>
              </w:rPr>
              <w:t xml:space="preserve">the </w:t>
            </w:r>
            <w:r>
              <w:rPr>
                <w:sz w:val="20"/>
                <w:szCs w:val="20"/>
              </w:rPr>
              <w:t xml:space="preserve">species management regime on the list of endangered, precious and rare species prioritized for protection. </w:t>
            </w:r>
          </w:p>
        </w:tc>
        <w:tc>
          <w:tcPr>
            <w:tcW w:w="2269" w:type="dxa"/>
            <w:tcBorders>
              <w:bottom w:val="single" w:sz="8" w:space="0" w:color="000000"/>
              <w:right w:val="single" w:sz="8" w:space="0" w:color="000000"/>
            </w:tcBorders>
            <w:tcMar>
              <w:top w:w="100" w:type="dxa"/>
              <w:left w:w="100" w:type="dxa"/>
              <w:bottom w:w="100" w:type="dxa"/>
              <w:right w:w="100" w:type="dxa"/>
            </w:tcMar>
          </w:tcPr>
          <w:p w14:paraId="7CA63311" w14:textId="1BAE908D" w:rsidR="002A1B1F" w:rsidRPr="00987272" w:rsidRDefault="00987272">
            <w:pPr>
              <w:ind w:left="-100"/>
              <w:rPr>
                <w:color w:val="000000" w:themeColor="text1"/>
                <w:sz w:val="20"/>
                <w:szCs w:val="20"/>
              </w:rPr>
            </w:pPr>
            <w:r w:rsidRPr="00987272">
              <w:rPr>
                <w:color w:val="000000" w:themeColor="text1"/>
                <w:sz w:val="20"/>
                <w:szCs w:val="20"/>
              </w:rPr>
              <w:t>12 November 2013</w:t>
            </w:r>
          </w:p>
        </w:tc>
      </w:tr>
      <w:tr w:rsidR="002A1B1F" w14:paraId="21913A0A"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83A674" w14:textId="77777777" w:rsidR="002A1B1F" w:rsidRDefault="00F25AA1">
            <w:pPr>
              <w:ind w:left="-100"/>
              <w:rPr>
                <w:sz w:val="20"/>
                <w:szCs w:val="20"/>
              </w:rPr>
            </w:pPr>
            <w:r>
              <w:rPr>
                <w:sz w:val="20"/>
                <w:szCs w:val="20"/>
              </w:rPr>
              <w:t xml:space="preserve">Decree No. 64/2019/ND-CP </w:t>
            </w:r>
          </w:p>
        </w:tc>
        <w:tc>
          <w:tcPr>
            <w:tcW w:w="4039" w:type="dxa"/>
            <w:tcBorders>
              <w:bottom w:val="single" w:sz="8" w:space="0" w:color="000000"/>
              <w:right w:val="single" w:sz="8" w:space="0" w:color="000000"/>
            </w:tcBorders>
            <w:tcMar>
              <w:top w:w="100" w:type="dxa"/>
              <w:left w:w="100" w:type="dxa"/>
              <w:bottom w:w="100" w:type="dxa"/>
              <w:right w:w="100" w:type="dxa"/>
            </w:tcMar>
          </w:tcPr>
          <w:p w14:paraId="07959BBE" w14:textId="77777777" w:rsidR="002A1B1F" w:rsidRDefault="00F25AA1">
            <w:pPr>
              <w:ind w:left="-100"/>
              <w:rPr>
                <w:sz w:val="20"/>
                <w:szCs w:val="20"/>
              </w:rPr>
            </w:pPr>
            <w:r>
              <w:rPr>
                <w:sz w:val="20"/>
                <w:szCs w:val="20"/>
              </w:rPr>
              <w:t>Provides an updated the list of Decree No. 160 with a total of 122 species.</w:t>
            </w:r>
          </w:p>
        </w:tc>
        <w:tc>
          <w:tcPr>
            <w:tcW w:w="2269" w:type="dxa"/>
            <w:tcBorders>
              <w:bottom w:val="single" w:sz="8" w:space="0" w:color="000000"/>
              <w:right w:val="single" w:sz="8" w:space="0" w:color="000000"/>
            </w:tcBorders>
            <w:tcMar>
              <w:top w:w="100" w:type="dxa"/>
              <w:left w:w="100" w:type="dxa"/>
              <w:bottom w:w="100" w:type="dxa"/>
              <w:right w:w="100" w:type="dxa"/>
            </w:tcMar>
          </w:tcPr>
          <w:p w14:paraId="11847535" w14:textId="54D784D8" w:rsidR="002A1B1F" w:rsidRPr="00987272" w:rsidRDefault="00987272">
            <w:pPr>
              <w:ind w:left="-100"/>
              <w:rPr>
                <w:color w:val="000000" w:themeColor="text1"/>
                <w:sz w:val="20"/>
                <w:szCs w:val="20"/>
              </w:rPr>
            </w:pPr>
            <w:r w:rsidRPr="00987272">
              <w:rPr>
                <w:color w:val="000000" w:themeColor="text1"/>
                <w:sz w:val="20"/>
                <w:szCs w:val="20"/>
              </w:rPr>
              <w:t>5 September 2019</w:t>
            </w:r>
          </w:p>
        </w:tc>
      </w:tr>
      <w:tr w:rsidR="002A1B1F" w14:paraId="0F26565E"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6C458F" w14:textId="77777777" w:rsidR="002A1B1F" w:rsidRDefault="00F25AA1">
            <w:pPr>
              <w:ind w:left="-100"/>
              <w:rPr>
                <w:sz w:val="20"/>
                <w:szCs w:val="20"/>
              </w:rPr>
            </w:pPr>
            <w:r>
              <w:rPr>
                <w:sz w:val="20"/>
                <w:szCs w:val="20"/>
              </w:rPr>
              <w:lastRenderedPageBreak/>
              <w:t>Decree No. 66/2019/NĐ-CP</w:t>
            </w:r>
          </w:p>
        </w:tc>
        <w:tc>
          <w:tcPr>
            <w:tcW w:w="4039" w:type="dxa"/>
            <w:tcBorders>
              <w:bottom w:val="single" w:sz="8" w:space="0" w:color="000000"/>
              <w:right w:val="single" w:sz="8" w:space="0" w:color="000000"/>
            </w:tcBorders>
            <w:tcMar>
              <w:top w:w="100" w:type="dxa"/>
              <w:left w:w="100" w:type="dxa"/>
              <w:bottom w:w="100" w:type="dxa"/>
              <w:right w:w="100" w:type="dxa"/>
            </w:tcMar>
          </w:tcPr>
          <w:p w14:paraId="63B55411" w14:textId="77777777" w:rsidR="002A1B1F" w:rsidRDefault="00F25AA1">
            <w:pPr>
              <w:ind w:left="-100"/>
              <w:rPr>
                <w:sz w:val="20"/>
                <w:szCs w:val="20"/>
              </w:rPr>
            </w:pPr>
            <w:r>
              <w:rPr>
                <w:sz w:val="20"/>
                <w:szCs w:val="20"/>
              </w:rPr>
              <w:t>Conservation and sustainable use of wetlands.</w:t>
            </w:r>
          </w:p>
        </w:tc>
        <w:tc>
          <w:tcPr>
            <w:tcW w:w="2269" w:type="dxa"/>
            <w:tcBorders>
              <w:bottom w:val="single" w:sz="8" w:space="0" w:color="000000"/>
              <w:right w:val="single" w:sz="8" w:space="0" w:color="000000"/>
            </w:tcBorders>
            <w:tcMar>
              <w:top w:w="100" w:type="dxa"/>
              <w:left w:w="100" w:type="dxa"/>
              <w:bottom w:w="100" w:type="dxa"/>
              <w:right w:w="100" w:type="dxa"/>
            </w:tcMar>
          </w:tcPr>
          <w:p w14:paraId="3E66F734" w14:textId="77777777" w:rsidR="002A1B1F" w:rsidRDefault="00F25AA1">
            <w:pPr>
              <w:ind w:left="-100"/>
              <w:rPr>
                <w:sz w:val="20"/>
                <w:szCs w:val="20"/>
              </w:rPr>
            </w:pPr>
            <w:r>
              <w:rPr>
                <w:sz w:val="20"/>
                <w:szCs w:val="20"/>
              </w:rPr>
              <w:t>29 July 2019</w:t>
            </w:r>
          </w:p>
        </w:tc>
      </w:tr>
      <w:tr w:rsidR="002A1B1F" w14:paraId="0F838A3F"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CC0AC5" w14:textId="77777777" w:rsidR="002A1B1F" w:rsidRDefault="00F25AA1">
            <w:pPr>
              <w:ind w:left="-100"/>
              <w:rPr>
                <w:sz w:val="20"/>
                <w:szCs w:val="20"/>
              </w:rPr>
            </w:pPr>
            <w:r>
              <w:rPr>
                <w:sz w:val="20"/>
                <w:szCs w:val="20"/>
              </w:rPr>
              <w:t>Decision No. 1250/2013/QD-</w:t>
            </w:r>
            <w:proofErr w:type="spellStart"/>
            <w:r>
              <w:rPr>
                <w:sz w:val="20"/>
                <w:szCs w:val="20"/>
              </w:rPr>
              <w:t>TTg</w:t>
            </w:r>
            <w:proofErr w:type="spellEnd"/>
          </w:p>
        </w:tc>
        <w:tc>
          <w:tcPr>
            <w:tcW w:w="4039" w:type="dxa"/>
            <w:tcBorders>
              <w:bottom w:val="single" w:sz="8" w:space="0" w:color="000000"/>
              <w:right w:val="single" w:sz="8" w:space="0" w:color="000000"/>
            </w:tcBorders>
            <w:tcMar>
              <w:top w:w="100" w:type="dxa"/>
              <w:left w:w="100" w:type="dxa"/>
              <w:bottom w:w="100" w:type="dxa"/>
              <w:right w:w="100" w:type="dxa"/>
            </w:tcMar>
          </w:tcPr>
          <w:p w14:paraId="4AC6115D" w14:textId="4F481DCC" w:rsidR="002A1B1F" w:rsidRDefault="00F25AA1">
            <w:pPr>
              <w:ind w:left="-100"/>
              <w:rPr>
                <w:sz w:val="20"/>
                <w:szCs w:val="20"/>
              </w:rPr>
            </w:pPr>
            <w:r>
              <w:rPr>
                <w:sz w:val="20"/>
                <w:szCs w:val="20"/>
              </w:rPr>
              <w:t>Approving the national strategy for biodiversity to 2020, vision to 2030</w:t>
            </w:r>
            <w:r w:rsidR="0029654F">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2B9508E9" w14:textId="77777777" w:rsidR="002A1B1F" w:rsidRDefault="00F25AA1">
            <w:pPr>
              <w:ind w:left="-100"/>
              <w:rPr>
                <w:sz w:val="20"/>
                <w:szCs w:val="20"/>
              </w:rPr>
            </w:pPr>
            <w:r>
              <w:rPr>
                <w:sz w:val="20"/>
                <w:szCs w:val="20"/>
              </w:rPr>
              <w:t xml:space="preserve">31 July 2013  </w:t>
            </w:r>
          </w:p>
        </w:tc>
      </w:tr>
      <w:tr w:rsidR="002A1B1F" w14:paraId="5D998C60" w14:textId="77777777" w:rsidTr="00053BC1">
        <w:trPr>
          <w:trHeight w:val="86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5B3DD2" w14:textId="77777777" w:rsidR="002A1B1F" w:rsidRDefault="00F25AA1">
            <w:pPr>
              <w:ind w:left="-100"/>
              <w:rPr>
                <w:sz w:val="20"/>
                <w:szCs w:val="20"/>
              </w:rPr>
            </w:pPr>
            <w:r>
              <w:rPr>
                <w:sz w:val="20"/>
                <w:szCs w:val="20"/>
              </w:rPr>
              <w:t>Decision 1975/2021/QD-</w:t>
            </w:r>
            <w:proofErr w:type="spellStart"/>
            <w:r>
              <w:rPr>
                <w:sz w:val="20"/>
                <w:szCs w:val="20"/>
              </w:rPr>
              <w:t>TTg</w:t>
            </w:r>
            <w:proofErr w:type="spellEnd"/>
            <w:r>
              <w:rPr>
                <w:sz w:val="20"/>
                <w:szCs w:val="20"/>
              </w:rPr>
              <w:t xml:space="preserve"> </w:t>
            </w:r>
          </w:p>
        </w:tc>
        <w:tc>
          <w:tcPr>
            <w:tcW w:w="4039" w:type="dxa"/>
            <w:tcBorders>
              <w:bottom w:val="single" w:sz="8" w:space="0" w:color="000000"/>
              <w:right w:val="single" w:sz="8" w:space="0" w:color="000000"/>
            </w:tcBorders>
            <w:tcMar>
              <w:top w:w="100" w:type="dxa"/>
              <w:left w:w="100" w:type="dxa"/>
              <w:bottom w:w="100" w:type="dxa"/>
              <w:right w:w="100" w:type="dxa"/>
            </w:tcMar>
          </w:tcPr>
          <w:p w14:paraId="7B5F7E32" w14:textId="4AAA2CF7" w:rsidR="002A1B1F" w:rsidRDefault="00F25AA1">
            <w:pPr>
              <w:spacing w:line="256" w:lineRule="auto"/>
              <w:ind w:left="-100"/>
              <w:rPr>
                <w:sz w:val="20"/>
                <w:szCs w:val="20"/>
              </w:rPr>
            </w:pPr>
            <w:r>
              <w:rPr>
                <w:sz w:val="20"/>
                <w:szCs w:val="20"/>
              </w:rPr>
              <w:t>Approving national action plan on the conservation and sustainable use of wetlands for 2021 – 2030</w:t>
            </w:r>
            <w:r w:rsidR="00E96CF1">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19794D5C" w14:textId="77777777" w:rsidR="002A1B1F" w:rsidRDefault="00F25AA1">
            <w:pPr>
              <w:ind w:left="-100"/>
              <w:rPr>
                <w:sz w:val="20"/>
                <w:szCs w:val="20"/>
              </w:rPr>
            </w:pPr>
            <w:r>
              <w:rPr>
                <w:sz w:val="20"/>
                <w:szCs w:val="20"/>
              </w:rPr>
              <w:t>24 November 2021</w:t>
            </w:r>
          </w:p>
        </w:tc>
      </w:tr>
      <w:tr w:rsidR="002A1B1F" w14:paraId="172D6ADF" w14:textId="77777777" w:rsidTr="00053BC1">
        <w:trPr>
          <w:trHeight w:val="63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AB236D" w14:textId="77777777" w:rsidR="002A1B1F" w:rsidRDefault="00F25AA1">
            <w:pPr>
              <w:ind w:left="-100"/>
              <w:rPr>
                <w:sz w:val="20"/>
                <w:szCs w:val="20"/>
              </w:rPr>
            </w:pPr>
            <w:r>
              <w:rPr>
                <w:sz w:val="20"/>
                <w:szCs w:val="20"/>
              </w:rPr>
              <w:t>Decision No. 149/2022/</w:t>
            </w:r>
            <w:proofErr w:type="spellStart"/>
            <w:r>
              <w:rPr>
                <w:sz w:val="20"/>
                <w:szCs w:val="20"/>
              </w:rPr>
              <w:t>TTg</w:t>
            </w:r>
            <w:proofErr w:type="spellEnd"/>
          </w:p>
        </w:tc>
        <w:tc>
          <w:tcPr>
            <w:tcW w:w="4039" w:type="dxa"/>
            <w:tcBorders>
              <w:bottom w:val="single" w:sz="8" w:space="0" w:color="000000"/>
              <w:right w:val="single" w:sz="8" w:space="0" w:color="000000"/>
            </w:tcBorders>
            <w:tcMar>
              <w:top w:w="100" w:type="dxa"/>
              <w:left w:w="100" w:type="dxa"/>
              <w:bottom w:w="100" w:type="dxa"/>
              <w:right w:w="100" w:type="dxa"/>
            </w:tcMar>
          </w:tcPr>
          <w:p w14:paraId="4E7B03A8" w14:textId="77777777" w:rsidR="002A1B1F" w:rsidRDefault="00F25AA1">
            <w:pPr>
              <w:spacing w:line="256" w:lineRule="auto"/>
              <w:ind w:left="-100"/>
              <w:rPr>
                <w:sz w:val="20"/>
                <w:szCs w:val="20"/>
              </w:rPr>
            </w:pPr>
            <w:r>
              <w:rPr>
                <w:sz w:val="20"/>
                <w:szCs w:val="20"/>
              </w:rPr>
              <w:t>National Strategy on Biodiversity to 2030,</w:t>
            </w:r>
          </w:p>
          <w:p w14:paraId="604835EC" w14:textId="1CABEEF5" w:rsidR="002A1B1F" w:rsidRDefault="00F25AA1">
            <w:pPr>
              <w:spacing w:line="256" w:lineRule="auto"/>
              <w:ind w:left="-100"/>
              <w:rPr>
                <w:sz w:val="20"/>
                <w:szCs w:val="20"/>
              </w:rPr>
            </w:pPr>
            <w:r>
              <w:rPr>
                <w:sz w:val="20"/>
                <w:szCs w:val="20"/>
              </w:rPr>
              <w:t>vision to 2050</w:t>
            </w:r>
          </w:p>
        </w:tc>
        <w:tc>
          <w:tcPr>
            <w:tcW w:w="2269" w:type="dxa"/>
            <w:tcBorders>
              <w:bottom w:val="single" w:sz="8" w:space="0" w:color="000000"/>
              <w:right w:val="single" w:sz="8" w:space="0" w:color="000000"/>
            </w:tcBorders>
            <w:tcMar>
              <w:top w:w="100" w:type="dxa"/>
              <w:left w:w="100" w:type="dxa"/>
              <w:bottom w:w="100" w:type="dxa"/>
              <w:right w:w="100" w:type="dxa"/>
            </w:tcMar>
          </w:tcPr>
          <w:p w14:paraId="4D497C2B" w14:textId="77777777" w:rsidR="002A1B1F" w:rsidRDefault="00F25AA1">
            <w:pPr>
              <w:ind w:left="-100"/>
              <w:rPr>
                <w:sz w:val="20"/>
                <w:szCs w:val="20"/>
              </w:rPr>
            </w:pPr>
            <w:r>
              <w:rPr>
                <w:sz w:val="20"/>
                <w:szCs w:val="20"/>
              </w:rPr>
              <w:t>28 January 2022</w:t>
            </w:r>
          </w:p>
        </w:tc>
      </w:tr>
      <w:tr w:rsidR="002A1B1F" w14:paraId="22477835" w14:textId="77777777" w:rsidTr="00E9499C">
        <w:trPr>
          <w:trHeight w:val="232"/>
        </w:trPr>
        <w:tc>
          <w:tcPr>
            <w:tcW w:w="9360" w:type="dxa"/>
            <w:gridSpan w:val="3"/>
            <w:tcBorders>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699A0B" w14:textId="77777777" w:rsidR="002A1B1F" w:rsidRDefault="00F25AA1" w:rsidP="00E9499C">
            <w:pPr>
              <w:ind w:left="-100"/>
              <w:jc w:val="center"/>
              <w:rPr>
                <w:sz w:val="20"/>
                <w:szCs w:val="20"/>
              </w:rPr>
            </w:pPr>
            <w:r>
              <w:rPr>
                <w:b/>
                <w:sz w:val="20"/>
                <w:szCs w:val="20"/>
              </w:rPr>
              <w:t>Forestry</w:t>
            </w:r>
          </w:p>
        </w:tc>
      </w:tr>
      <w:tr w:rsidR="002A1B1F" w14:paraId="449CDAC6" w14:textId="77777777" w:rsidTr="00053BC1">
        <w:trPr>
          <w:trHeight w:val="47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DB456C" w14:textId="77777777" w:rsidR="002A1B1F" w:rsidRDefault="00F25AA1">
            <w:pPr>
              <w:ind w:left="-100"/>
              <w:rPr>
                <w:sz w:val="20"/>
                <w:szCs w:val="20"/>
              </w:rPr>
            </w:pPr>
            <w:r>
              <w:rPr>
                <w:sz w:val="20"/>
                <w:szCs w:val="20"/>
              </w:rPr>
              <w:t>Law No.16/2017/QH14</w:t>
            </w:r>
          </w:p>
        </w:tc>
        <w:tc>
          <w:tcPr>
            <w:tcW w:w="4039" w:type="dxa"/>
            <w:tcBorders>
              <w:bottom w:val="single" w:sz="8" w:space="0" w:color="000000"/>
              <w:right w:val="single" w:sz="8" w:space="0" w:color="000000"/>
            </w:tcBorders>
            <w:tcMar>
              <w:top w:w="100" w:type="dxa"/>
              <w:left w:w="100" w:type="dxa"/>
              <w:bottom w:w="100" w:type="dxa"/>
              <w:right w:w="100" w:type="dxa"/>
            </w:tcMar>
          </w:tcPr>
          <w:p w14:paraId="3903149B" w14:textId="77777777" w:rsidR="002A1B1F" w:rsidRDefault="00F25AA1">
            <w:pPr>
              <w:ind w:left="-100"/>
              <w:rPr>
                <w:sz w:val="20"/>
                <w:szCs w:val="20"/>
              </w:rPr>
            </w:pPr>
            <w:r>
              <w:rPr>
                <w:sz w:val="20"/>
                <w:szCs w:val="20"/>
              </w:rPr>
              <w:t xml:space="preserve">Forestry law </w:t>
            </w:r>
          </w:p>
        </w:tc>
        <w:tc>
          <w:tcPr>
            <w:tcW w:w="2269" w:type="dxa"/>
            <w:tcBorders>
              <w:bottom w:val="single" w:sz="8" w:space="0" w:color="000000"/>
              <w:right w:val="single" w:sz="8" w:space="0" w:color="000000"/>
            </w:tcBorders>
            <w:tcMar>
              <w:top w:w="100" w:type="dxa"/>
              <w:left w:w="100" w:type="dxa"/>
              <w:bottom w:w="100" w:type="dxa"/>
              <w:right w:w="100" w:type="dxa"/>
            </w:tcMar>
          </w:tcPr>
          <w:p w14:paraId="463A4604" w14:textId="77777777" w:rsidR="002A1B1F" w:rsidRDefault="00F25AA1">
            <w:pPr>
              <w:ind w:left="-100"/>
              <w:rPr>
                <w:sz w:val="20"/>
                <w:szCs w:val="20"/>
              </w:rPr>
            </w:pPr>
            <w:r>
              <w:rPr>
                <w:sz w:val="20"/>
                <w:szCs w:val="20"/>
              </w:rPr>
              <w:t>15 November 2017</w:t>
            </w:r>
          </w:p>
        </w:tc>
      </w:tr>
      <w:tr w:rsidR="002A1B1F" w14:paraId="594438D3"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81B72B" w14:textId="77777777" w:rsidR="002A1B1F" w:rsidRDefault="00F25AA1">
            <w:pPr>
              <w:ind w:left="-100"/>
              <w:rPr>
                <w:sz w:val="20"/>
                <w:szCs w:val="20"/>
              </w:rPr>
            </w:pPr>
            <w:r>
              <w:rPr>
                <w:sz w:val="20"/>
                <w:szCs w:val="20"/>
              </w:rPr>
              <w:t xml:space="preserve">Decree No. 156/2018/ND-CP </w:t>
            </w:r>
          </w:p>
        </w:tc>
        <w:tc>
          <w:tcPr>
            <w:tcW w:w="4039" w:type="dxa"/>
            <w:tcBorders>
              <w:bottom w:val="single" w:sz="8" w:space="0" w:color="000000"/>
              <w:right w:val="single" w:sz="8" w:space="0" w:color="000000"/>
            </w:tcBorders>
            <w:tcMar>
              <w:top w:w="100" w:type="dxa"/>
              <w:left w:w="100" w:type="dxa"/>
              <w:bottom w:w="100" w:type="dxa"/>
              <w:right w:w="100" w:type="dxa"/>
            </w:tcMar>
          </w:tcPr>
          <w:p w14:paraId="1B5CD347" w14:textId="77777777" w:rsidR="002A1B1F" w:rsidRDefault="00F25AA1">
            <w:pPr>
              <w:ind w:left="-100"/>
              <w:rPr>
                <w:sz w:val="20"/>
                <w:szCs w:val="20"/>
              </w:rPr>
            </w:pPr>
            <w:r>
              <w:rPr>
                <w:sz w:val="20"/>
                <w:szCs w:val="20"/>
              </w:rPr>
              <w:t xml:space="preserve">Detailing the implementation of a number of articles on the Forestry Law. </w:t>
            </w:r>
          </w:p>
        </w:tc>
        <w:tc>
          <w:tcPr>
            <w:tcW w:w="2269" w:type="dxa"/>
            <w:tcBorders>
              <w:bottom w:val="single" w:sz="8" w:space="0" w:color="000000"/>
              <w:right w:val="single" w:sz="8" w:space="0" w:color="000000"/>
            </w:tcBorders>
            <w:tcMar>
              <w:top w:w="100" w:type="dxa"/>
              <w:left w:w="100" w:type="dxa"/>
              <w:bottom w:w="100" w:type="dxa"/>
              <w:right w:w="100" w:type="dxa"/>
            </w:tcMar>
          </w:tcPr>
          <w:p w14:paraId="5321F86C" w14:textId="77777777" w:rsidR="002A1B1F" w:rsidRDefault="00F25AA1">
            <w:pPr>
              <w:ind w:left="-100"/>
              <w:rPr>
                <w:sz w:val="20"/>
                <w:szCs w:val="20"/>
              </w:rPr>
            </w:pPr>
            <w:r>
              <w:rPr>
                <w:sz w:val="20"/>
                <w:szCs w:val="20"/>
              </w:rPr>
              <w:t>16 November 2018</w:t>
            </w:r>
          </w:p>
        </w:tc>
      </w:tr>
      <w:tr w:rsidR="002A1B1F" w14:paraId="134CA42F"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44DE94" w14:textId="77777777" w:rsidR="002A1B1F" w:rsidRDefault="00F25AA1">
            <w:pPr>
              <w:ind w:left="-100"/>
              <w:rPr>
                <w:sz w:val="20"/>
                <w:szCs w:val="20"/>
              </w:rPr>
            </w:pPr>
            <w:r>
              <w:rPr>
                <w:sz w:val="20"/>
                <w:szCs w:val="20"/>
              </w:rPr>
              <w:t>Decision No. 523/2021/QD-</w:t>
            </w:r>
            <w:proofErr w:type="spellStart"/>
            <w:r>
              <w:rPr>
                <w:sz w:val="20"/>
                <w:szCs w:val="20"/>
              </w:rPr>
              <w:t>TTg</w:t>
            </w:r>
            <w:proofErr w:type="spellEnd"/>
            <w:r>
              <w:rPr>
                <w:sz w:val="20"/>
                <w:szCs w:val="20"/>
              </w:rPr>
              <w:t xml:space="preserve"> </w:t>
            </w:r>
          </w:p>
        </w:tc>
        <w:tc>
          <w:tcPr>
            <w:tcW w:w="4039" w:type="dxa"/>
            <w:tcBorders>
              <w:bottom w:val="single" w:sz="8" w:space="0" w:color="000000"/>
              <w:right w:val="single" w:sz="8" w:space="0" w:color="000000"/>
            </w:tcBorders>
            <w:tcMar>
              <w:top w:w="100" w:type="dxa"/>
              <w:left w:w="100" w:type="dxa"/>
              <w:bottom w:w="100" w:type="dxa"/>
              <w:right w:w="100" w:type="dxa"/>
            </w:tcMar>
          </w:tcPr>
          <w:p w14:paraId="521BAB22" w14:textId="77777777" w:rsidR="002A1B1F" w:rsidRDefault="00F25AA1">
            <w:pPr>
              <w:ind w:left="-100"/>
              <w:rPr>
                <w:sz w:val="20"/>
                <w:szCs w:val="20"/>
              </w:rPr>
            </w:pPr>
            <w:r>
              <w:rPr>
                <w:sz w:val="20"/>
                <w:szCs w:val="20"/>
              </w:rPr>
              <w:t>Approving the Vietnam forestry development strategy for the period of 2021 - 2030, with a vision to 2050.</w:t>
            </w:r>
          </w:p>
        </w:tc>
        <w:tc>
          <w:tcPr>
            <w:tcW w:w="2269" w:type="dxa"/>
            <w:tcBorders>
              <w:bottom w:val="single" w:sz="8" w:space="0" w:color="000000"/>
              <w:right w:val="single" w:sz="8" w:space="0" w:color="000000"/>
            </w:tcBorders>
            <w:tcMar>
              <w:top w:w="100" w:type="dxa"/>
              <w:left w:w="100" w:type="dxa"/>
              <w:bottom w:w="100" w:type="dxa"/>
              <w:right w:w="100" w:type="dxa"/>
            </w:tcMar>
          </w:tcPr>
          <w:p w14:paraId="0A810940" w14:textId="77777777" w:rsidR="002A1B1F" w:rsidRDefault="00F25AA1">
            <w:pPr>
              <w:ind w:left="-100"/>
              <w:rPr>
                <w:sz w:val="20"/>
                <w:szCs w:val="20"/>
              </w:rPr>
            </w:pPr>
            <w:r>
              <w:rPr>
                <w:sz w:val="20"/>
                <w:szCs w:val="20"/>
              </w:rPr>
              <w:t>01 April 2021</w:t>
            </w:r>
          </w:p>
        </w:tc>
      </w:tr>
      <w:tr w:rsidR="002A1B1F" w14:paraId="79EAA410" w14:textId="77777777" w:rsidTr="00295735">
        <w:trPr>
          <w:trHeight w:val="311"/>
        </w:trPr>
        <w:tc>
          <w:tcPr>
            <w:tcW w:w="9360" w:type="dxa"/>
            <w:gridSpan w:val="3"/>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E4360EF" w14:textId="77777777" w:rsidR="002A1B1F" w:rsidRDefault="00F25AA1" w:rsidP="00295735">
            <w:pPr>
              <w:ind w:left="-100"/>
              <w:jc w:val="center"/>
              <w:rPr>
                <w:sz w:val="20"/>
                <w:szCs w:val="20"/>
              </w:rPr>
            </w:pPr>
            <w:r>
              <w:rPr>
                <w:b/>
                <w:sz w:val="20"/>
                <w:szCs w:val="20"/>
              </w:rPr>
              <w:t>Fishery</w:t>
            </w:r>
          </w:p>
        </w:tc>
      </w:tr>
      <w:tr w:rsidR="002A1B1F" w14:paraId="5CB625DF" w14:textId="77777777" w:rsidTr="00053BC1">
        <w:trPr>
          <w:trHeight w:val="56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A4E1BD" w14:textId="77777777" w:rsidR="002A1B1F" w:rsidRDefault="00F25AA1">
            <w:pPr>
              <w:ind w:left="-100"/>
              <w:rPr>
                <w:sz w:val="20"/>
                <w:szCs w:val="20"/>
              </w:rPr>
            </w:pPr>
            <w:r>
              <w:rPr>
                <w:sz w:val="20"/>
                <w:szCs w:val="20"/>
              </w:rPr>
              <w:t xml:space="preserve">Law No.18/2017/QH14 </w:t>
            </w:r>
          </w:p>
        </w:tc>
        <w:tc>
          <w:tcPr>
            <w:tcW w:w="4039" w:type="dxa"/>
            <w:tcBorders>
              <w:bottom w:val="single" w:sz="8" w:space="0" w:color="000000"/>
              <w:right w:val="single" w:sz="8" w:space="0" w:color="000000"/>
            </w:tcBorders>
            <w:tcMar>
              <w:top w:w="100" w:type="dxa"/>
              <w:left w:w="100" w:type="dxa"/>
              <w:bottom w:w="100" w:type="dxa"/>
              <w:right w:w="100" w:type="dxa"/>
            </w:tcMar>
          </w:tcPr>
          <w:p w14:paraId="0574E71B" w14:textId="72BB5C5E" w:rsidR="002A1B1F" w:rsidRDefault="00F25AA1">
            <w:pPr>
              <w:ind w:left="-100"/>
              <w:rPr>
                <w:sz w:val="20"/>
                <w:szCs w:val="20"/>
              </w:rPr>
            </w:pPr>
            <w:r>
              <w:rPr>
                <w:sz w:val="20"/>
                <w:szCs w:val="20"/>
              </w:rPr>
              <w:t xml:space="preserve">Fisheries </w:t>
            </w:r>
            <w:r w:rsidR="00E44F7D">
              <w:rPr>
                <w:sz w:val="20"/>
                <w:szCs w:val="20"/>
              </w:rPr>
              <w:t>L</w:t>
            </w:r>
            <w:r>
              <w:rPr>
                <w:sz w:val="20"/>
                <w:szCs w:val="20"/>
              </w:rPr>
              <w:t xml:space="preserve">aw </w:t>
            </w:r>
          </w:p>
        </w:tc>
        <w:tc>
          <w:tcPr>
            <w:tcW w:w="2269" w:type="dxa"/>
            <w:tcBorders>
              <w:bottom w:val="single" w:sz="8" w:space="0" w:color="000000"/>
              <w:right w:val="single" w:sz="8" w:space="0" w:color="000000"/>
            </w:tcBorders>
            <w:tcMar>
              <w:top w:w="100" w:type="dxa"/>
              <w:left w:w="100" w:type="dxa"/>
              <w:bottom w:w="100" w:type="dxa"/>
              <w:right w:w="100" w:type="dxa"/>
            </w:tcMar>
          </w:tcPr>
          <w:p w14:paraId="70D2A94F" w14:textId="77777777" w:rsidR="002A1B1F" w:rsidRDefault="00F25AA1">
            <w:pPr>
              <w:ind w:left="-100"/>
              <w:rPr>
                <w:sz w:val="20"/>
                <w:szCs w:val="20"/>
              </w:rPr>
            </w:pPr>
            <w:r>
              <w:rPr>
                <w:sz w:val="20"/>
                <w:szCs w:val="20"/>
              </w:rPr>
              <w:t>21 November 2017</w:t>
            </w:r>
          </w:p>
        </w:tc>
      </w:tr>
      <w:tr w:rsidR="002A1B1F" w14:paraId="222A2102"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D7C4B0" w14:textId="77777777" w:rsidR="002A1B1F" w:rsidRDefault="00F25AA1">
            <w:pPr>
              <w:ind w:left="-100"/>
              <w:rPr>
                <w:sz w:val="20"/>
                <w:szCs w:val="20"/>
              </w:rPr>
            </w:pPr>
            <w:r>
              <w:rPr>
                <w:sz w:val="20"/>
                <w:szCs w:val="20"/>
              </w:rPr>
              <w:t>Decree No. 26/2019/ND-CP</w:t>
            </w:r>
          </w:p>
        </w:tc>
        <w:tc>
          <w:tcPr>
            <w:tcW w:w="4039" w:type="dxa"/>
            <w:tcBorders>
              <w:bottom w:val="single" w:sz="8" w:space="0" w:color="000000"/>
              <w:right w:val="single" w:sz="8" w:space="0" w:color="000000"/>
            </w:tcBorders>
            <w:tcMar>
              <w:top w:w="100" w:type="dxa"/>
              <w:left w:w="100" w:type="dxa"/>
              <w:bottom w:w="100" w:type="dxa"/>
              <w:right w:w="100" w:type="dxa"/>
            </w:tcMar>
          </w:tcPr>
          <w:p w14:paraId="3AA16443" w14:textId="7899AE0B" w:rsidR="002A1B1F" w:rsidRDefault="00F25AA1">
            <w:pPr>
              <w:ind w:left="-100"/>
              <w:rPr>
                <w:sz w:val="20"/>
                <w:szCs w:val="20"/>
              </w:rPr>
            </w:pPr>
            <w:r>
              <w:rPr>
                <w:sz w:val="20"/>
                <w:szCs w:val="20"/>
              </w:rPr>
              <w:t>Details some articles and measures for implementation of fisheries law</w:t>
            </w:r>
            <w:r w:rsidR="00E96CF1">
              <w:rPr>
                <w:sz w:val="20"/>
                <w:szCs w:val="20"/>
              </w:rPr>
              <w:t>.</w:t>
            </w:r>
          </w:p>
        </w:tc>
        <w:tc>
          <w:tcPr>
            <w:tcW w:w="2269" w:type="dxa"/>
            <w:tcBorders>
              <w:bottom w:val="single" w:sz="8" w:space="0" w:color="000000"/>
              <w:right w:val="single" w:sz="8" w:space="0" w:color="000000"/>
            </w:tcBorders>
            <w:tcMar>
              <w:top w:w="100" w:type="dxa"/>
              <w:left w:w="100" w:type="dxa"/>
              <w:bottom w:w="100" w:type="dxa"/>
              <w:right w:w="100" w:type="dxa"/>
            </w:tcMar>
          </w:tcPr>
          <w:p w14:paraId="5C902D63" w14:textId="77777777" w:rsidR="002A1B1F" w:rsidRDefault="00F25AA1">
            <w:pPr>
              <w:ind w:left="-100"/>
              <w:rPr>
                <w:sz w:val="20"/>
                <w:szCs w:val="20"/>
              </w:rPr>
            </w:pPr>
            <w:r>
              <w:rPr>
                <w:sz w:val="20"/>
                <w:szCs w:val="20"/>
              </w:rPr>
              <w:t>08 March 2019</w:t>
            </w:r>
          </w:p>
        </w:tc>
      </w:tr>
      <w:tr w:rsidR="002A1B1F" w14:paraId="1BE01D24"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410EBC" w14:textId="77777777" w:rsidR="002A1B1F" w:rsidRDefault="00F25AA1">
            <w:pPr>
              <w:ind w:left="-100"/>
              <w:rPr>
                <w:sz w:val="20"/>
                <w:szCs w:val="20"/>
              </w:rPr>
            </w:pPr>
            <w:r>
              <w:rPr>
                <w:sz w:val="20"/>
                <w:szCs w:val="20"/>
              </w:rPr>
              <w:t>Decision No.339/QD-</w:t>
            </w:r>
            <w:proofErr w:type="spellStart"/>
            <w:r>
              <w:rPr>
                <w:sz w:val="20"/>
                <w:szCs w:val="20"/>
              </w:rPr>
              <w:t>TTg</w:t>
            </w:r>
            <w:proofErr w:type="spellEnd"/>
          </w:p>
        </w:tc>
        <w:tc>
          <w:tcPr>
            <w:tcW w:w="4039" w:type="dxa"/>
            <w:tcBorders>
              <w:bottom w:val="single" w:sz="8" w:space="0" w:color="000000"/>
              <w:right w:val="single" w:sz="8" w:space="0" w:color="000000"/>
            </w:tcBorders>
            <w:tcMar>
              <w:top w:w="100" w:type="dxa"/>
              <w:left w:w="100" w:type="dxa"/>
              <w:bottom w:w="100" w:type="dxa"/>
              <w:right w:w="100" w:type="dxa"/>
            </w:tcMar>
          </w:tcPr>
          <w:p w14:paraId="6BDF274C" w14:textId="77777777" w:rsidR="002A1B1F" w:rsidRDefault="00F25AA1">
            <w:pPr>
              <w:ind w:left="-100"/>
              <w:rPr>
                <w:sz w:val="20"/>
                <w:szCs w:val="20"/>
              </w:rPr>
            </w:pPr>
            <w:r>
              <w:rPr>
                <w:sz w:val="20"/>
                <w:szCs w:val="20"/>
              </w:rPr>
              <w:t>Approving the strategy for development of Vietnam fisheries to 2030, vision to 2045.</w:t>
            </w:r>
          </w:p>
        </w:tc>
        <w:tc>
          <w:tcPr>
            <w:tcW w:w="2269" w:type="dxa"/>
            <w:tcBorders>
              <w:bottom w:val="single" w:sz="8" w:space="0" w:color="000000"/>
              <w:right w:val="single" w:sz="8" w:space="0" w:color="000000"/>
            </w:tcBorders>
            <w:tcMar>
              <w:top w:w="100" w:type="dxa"/>
              <w:left w:w="100" w:type="dxa"/>
              <w:bottom w:w="100" w:type="dxa"/>
              <w:right w:w="100" w:type="dxa"/>
            </w:tcMar>
          </w:tcPr>
          <w:p w14:paraId="6AF3891D" w14:textId="77777777" w:rsidR="002A1B1F" w:rsidRDefault="00F25AA1">
            <w:pPr>
              <w:ind w:left="-100"/>
              <w:rPr>
                <w:sz w:val="20"/>
                <w:szCs w:val="20"/>
              </w:rPr>
            </w:pPr>
            <w:r>
              <w:rPr>
                <w:sz w:val="20"/>
                <w:szCs w:val="20"/>
              </w:rPr>
              <w:t>11 March 2021</w:t>
            </w:r>
          </w:p>
        </w:tc>
      </w:tr>
      <w:tr w:rsidR="002A1B1F" w14:paraId="1D930004" w14:textId="77777777" w:rsidTr="00295735">
        <w:trPr>
          <w:trHeight w:val="339"/>
        </w:trPr>
        <w:tc>
          <w:tcPr>
            <w:tcW w:w="9360" w:type="dxa"/>
            <w:gridSpan w:val="3"/>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FCAAE70" w14:textId="77777777" w:rsidR="002A1B1F" w:rsidRDefault="00F25AA1" w:rsidP="00295735">
            <w:pPr>
              <w:ind w:left="-100"/>
              <w:jc w:val="center"/>
              <w:rPr>
                <w:sz w:val="20"/>
                <w:szCs w:val="20"/>
              </w:rPr>
            </w:pPr>
            <w:r>
              <w:rPr>
                <w:b/>
                <w:sz w:val="20"/>
                <w:szCs w:val="20"/>
              </w:rPr>
              <w:t>Species conservation</w:t>
            </w:r>
          </w:p>
        </w:tc>
      </w:tr>
      <w:tr w:rsidR="002A1B1F" w14:paraId="026961C8" w14:textId="77777777" w:rsidTr="00987272">
        <w:trPr>
          <w:trHeight w:val="772"/>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460B6" w14:textId="77777777" w:rsidR="002A1B1F" w:rsidRDefault="00F25AA1">
            <w:pPr>
              <w:ind w:left="-100"/>
              <w:rPr>
                <w:sz w:val="20"/>
                <w:szCs w:val="20"/>
              </w:rPr>
            </w:pPr>
            <w:r>
              <w:rPr>
                <w:sz w:val="20"/>
                <w:szCs w:val="20"/>
              </w:rPr>
              <w:t xml:space="preserve">Decree No. 160/2013/ND-CP </w:t>
            </w:r>
          </w:p>
        </w:tc>
        <w:tc>
          <w:tcPr>
            <w:tcW w:w="4039" w:type="dxa"/>
            <w:tcBorders>
              <w:bottom w:val="single" w:sz="8" w:space="0" w:color="000000"/>
              <w:right w:val="single" w:sz="8" w:space="0" w:color="000000"/>
            </w:tcBorders>
            <w:tcMar>
              <w:top w:w="100" w:type="dxa"/>
              <w:left w:w="100" w:type="dxa"/>
              <w:bottom w:w="100" w:type="dxa"/>
              <w:right w:w="100" w:type="dxa"/>
            </w:tcMar>
          </w:tcPr>
          <w:p w14:paraId="2AAEF5FE" w14:textId="77777777" w:rsidR="002A1B1F" w:rsidRDefault="00F25AA1">
            <w:pPr>
              <w:ind w:left="-100"/>
              <w:rPr>
                <w:sz w:val="20"/>
                <w:szCs w:val="20"/>
              </w:rPr>
            </w:pPr>
            <w:r>
              <w:rPr>
                <w:sz w:val="20"/>
                <w:szCs w:val="20"/>
              </w:rPr>
              <w:t xml:space="preserve">Criteria to determine species and the regime of managing species under lists of endangered, precious and rare species prioritized protection. </w:t>
            </w:r>
          </w:p>
        </w:tc>
        <w:tc>
          <w:tcPr>
            <w:tcW w:w="2269" w:type="dxa"/>
            <w:tcBorders>
              <w:bottom w:val="single" w:sz="8" w:space="0" w:color="000000"/>
              <w:right w:val="single" w:sz="8" w:space="0" w:color="000000"/>
            </w:tcBorders>
            <w:tcMar>
              <w:top w:w="100" w:type="dxa"/>
              <w:left w:w="100" w:type="dxa"/>
              <w:bottom w:w="100" w:type="dxa"/>
              <w:right w:w="100" w:type="dxa"/>
            </w:tcMar>
          </w:tcPr>
          <w:p w14:paraId="151FDCE1" w14:textId="77777777" w:rsidR="002A1B1F" w:rsidRDefault="00F25AA1">
            <w:pPr>
              <w:ind w:left="-100"/>
              <w:rPr>
                <w:sz w:val="20"/>
                <w:szCs w:val="20"/>
              </w:rPr>
            </w:pPr>
            <w:r>
              <w:rPr>
                <w:sz w:val="20"/>
                <w:szCs w:val="20"/>
              </w:rPr>
              <w:t>12 November 2013</w:t>
            </w:r>
          </w:p>
        </w:tc>
      </w:tr>
      <w:tr w:rsidR="002A1B1F" w14:paraId="4ED4BAED" w14:textId="77777777" w:rsidTr="00053BC1">
        <w:trPr>
          <w:trHeight w:val="137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D8F86B" w14:textId="77777777" w:rsidR="002A1B1F" w:rsidRDefault="00F25AA1">
            <w:pPr>
              <w:ind w:left="-100"/>
              <w:rPr>
                <w:sz w:val="20"/>
                <w:szCs w:val="20"/>
              </w:rPr>
            </w:pPr>
            <w:r>
              <w:rPr>
                <w:sz w:val="20"/>
                <w:szCs w:val="20"/>
              </w:rPr>
              <w:lastRenderedPageBreak/>
              <w:t xml:space="preserve">Decree No. 06/2019/ND-CP </w:t>
            </w:r>
          </w:p>
        </w:tc>
        <w:tc>
          <w:tcPr>
            <w:tcW w:w="4039" w:type="dxa"/>
            <w:tcBorders>
              <w:bottom w:val="single" w:sz="8" w:space="0" w:color="000000"/>
              <w:right w:val="single" w:sz="8" w:space="0" w:color="000000"/>
            </w:tcBorders>
            <w:tcMar>
              <w:top w:w="100" w:type="dxa"/>
              <w:left w:w="100" w:type="dxa"/>
              <w:bottom w:w="100" w:type="dxa"/>
              <w:right w:w="100" w:type="dxa"/>
            </w:tcMar>
          </w:tcPr>
          <w:p w14:paraId="61BEF4A4" w14:textId="77777777" w:rsidR="002A1B1F" w:rsidRDefault="00F25AA1">
            <w:pPr>
              <w:ind w:left="-100"/>
              <w:rPr>
                <w:sz w:val="20"/>
                <w:szCs w:val="20"/>
              </w:rPr>
            </w:pPr>
            <w:r>
              <w:rPr>
                <w:sz w:val="20"/>
                <w:szCs w:val="20"/>
              </w:rPr>
              <w:t xml:space="preserve">The management of endangered, precious and rare wild fauna and flora, and the implementation of the Convention on International Trade in Endangered species of Wild Fauna and Flora. </w:t>
            </w:r>
          </w:p>
        </w:tc>
        <w:tc>
          <w:tcPr>
            <w:tcW w:w="2269" w:type="dxa"/>
            <w:tcBorders>
              <w:bottom w:val="single" w:sz="8" w:space="0" w:color="000000"/>
              <w:right w:val="single" w:sz="8" w:space="0" w:color="000000"/>
            </w:tcBorders>
            <w:tcMar>
              <w:top w:w="100" w:type="dxa"/>
              <w:left w:w="100" w:type="dxa"/>
              <w:bottom w:w="100" w:type="dxa"/>
              <w:right w:w="100" w:type="dxa"/>
            </w:tcMar>
          </w:tcPr>
          <w:p w14:paraId="75BC2B44" w14:textId="77777777" w:rsidR="002A1B1F" w:rsidRDefault="00F25AA1">
            <w:pPr>
              <w:ind w:left="-100"/>
              <w:rPr>
                <w:sz w:val="20"/>
                <w:szCs w:val="20"/>
              </w:rPr>
            </w:pPr>
            <w:r>
              <w:rPr>
                <w:sz w:val="20"/>
                <w:szCs w:val="20"/>
              </w:rPr>
              <w:t>22 January 2019</w:t>
            </w:r>
          </w:p>
        </w:tc>
      </w:tr>
      <w:tr w:rsidR="002A1B1F" w14:paraId="101923FE"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13ED3D" w14:textId="77777777" w:rsidR="002A1B1F" w:rsidRDefault="00F25AA1">
            <w:pPr>
              <w:ind w:left="-100"/>
              <w:rPr>
                <w:sz w:val="20"/>
                <w:szCs w:val="20"/>
              </w:rPr>
            </w:pPr>
            <w:r>
              <w:rPr>
                <w:sz w:val="20"/>
                <w:szCs w:val="20"/>
              </w:rPr>
              <w:t xml:space="preserve">Decree No. 64/2019/ND-CP </w:t>
            </w:r>
          </w:p>
        </w:tc>
        <w:tc>
          <w:tcPr>
            <w:tcW w:w="4039" w:type="dxa"/>
            <w:tcBorders>
              <w:bottom w:val="single" w:sz="8" w:space="0" w:color="000000"/>
              <w:right w:val="single" w:sz="8" w:space="0" w:color="000000"/>
            </w:tcBorders>
            <w:tcMar>
              <w:top w:w="100" w:type="dxa"/>
              <w:left w:w="100" w:type="dxa"/>
              <w:bottom w:w="100" w:type="dxa"/>
              <w:right w:w="100" w:type="dxa"/>
            </w:tcMar>
          </w:tcPr>
          <w:p w14:paraId="61812083" w14:textId="77777777" w:rsidR="002A1B1F" w:rsidRDefault="00F25AA1">
            <w:pPr>
              <w:ind w:left="-100"/>
              <w:rPr>
                <w:sz w:val="20"/>
                <w:szCs w:val="20"/>
              </w:rPr>
            </w:pPr>
            <w:r>
              <w:rPr>
                <w:sz w:val="20"/>
                <w:szCs w:val="20"/>
              </w:rPr>
              <w:t xml:space="preserve">Updates species list include in Decree 160/2013/ND-CP. </w:t>
            </w:r>
          </w:p>
        </w:tc>
        <w:tc>
          <w:tcPr>
            <w:tcW w:w="2269" w:type="dxa"/>
            <w:tcBorders>
              <w:bottom w:val="single" w:sz="8" w:space="0" w:color="000000"/>
              <w:right w:val="single" w:sz="8" w:space="0" w:color="000000"/>
            </w:tcBorders>
            <w:tcMar>
              <w:top w:w="100" w:type="dxa"/>
              <w:left w:w="100" w:type="dxa"/>
              <w:bottom w:w="100" w:type="dxa"/>
              <w:right w:w="100" w:type="dxa"/>
            </w:tcMar>
          </w:tcPr>
          <w:p w14:paraId="31C93C40" w14:textId="77777777" w:rsidR="002A1B1F" w:rsidRDefault="00F25AA1">
            <w:pPr>
              <w:ind w:left="-100"/>
              <w:rPr>
                <w:sz w:val="20"/>
                <w:szCs w:val="20"/>
              </w:rPr>
            </w:pPr>
            <w:r>
              <w:rPr>
                <w:sz w:val="20"/>
                <w:szCs w:val="20"/>
              </w:rPr>
              <w:t>16 July 2019</w:t>
            </w:r>
          </w:p>
        </w:tc>
      </w:tr>
      <w:tr w:rsidR="002A1B1F" w14:paraId="16699ADD"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86785A" w14:textId="77777777" w:rsidR="002A1B1F" w:rsidRDefault="00F25AA1">
            <w:pPr>
              <w:ind w:left="-100"/>
              <w:rPr>
                <w:sz w:val="20"/>
                <w:szCs w:val="20"/>
              </w:rPr>
            </w:pPr>
            <w:r>
              <w:rPr>
                <w:sz w:val="20"/>
                <w:szCs w:val="20"/>
              </w:rPr>
              <w:t>Decree No. 84/2021/ND-CP</w:t>
            </w:r>
          </w:p>
        </w:tc>
        <w:tc>
          <w:tcPr>
            <w:tcW w:w="4039" w:type="dxa"/>
            <w:tcBorders>
              <w:bottom w:val="single" w:sz="8" w:space="0" w:color="000000"/>
              <w:right w:val="single" w:sz="8" w:space="0" w:color="000000"/>
            </w:tcBorders>
            <w:tcMar>
              <w:top w:w="100" w:type="dxa"/>
              <w:left w:w="100" w:type="dxa"/>
              <w:bottom w:w="100" w:type="dxa"/>
              <w:right w:w="100" w:type="dxa"/>
            </w:tcMar>
          </w:tcPr>
          <w:p w14:paraId="54C3ED8F" w14:textId="77777777" w:rsidR="002A1B1F" w:rsidRDefault="00F25AA1">
            <w:pPr>
              <w:ind w:left="-100"/>
              <w:rPr>
                <w:sz w:val="20"/>
                <w:szCs w:val="20"/>
              </w:rPr>
            </w:pPr>
            <w:r>
              <w:rPr>
                <w:sz w:val="20"/>
                <w:szCs w:val="20"/>
              </w:rPr>
              <w:t xml:space="preserve">Amending and supplementing a number of articles of Decree No. 06/2019/ND-CP dated 22 January 2019 </w:t>
            </w:r>
          </w:p>
        </w:tc>
        <w:tc>
          <w:tcPr>
            <w:tcW w:w="2269" w:type="dxa"/>
            <w:tcBorders>
              <w:bottom w:val="single" w:sz="8" w:space="0" w:color="000000"/>
              <w:right w:val="single" w:sz="8" w:space="0" w:color="000000"/>
            </w:tcBorders>
            <w:tcMar>
              <w:top w:w="100" w:type="dxa"/>
              <w:left w:w="100" w:type="dxa"/>
              <w:bottom w:w="100" w:type="dxa"/>
              <w:right w:w="100" w:type="dxa"/>
            </w:tcMar>
          </w:tcPr>
          <w:p w14:paraId="7B7D711F" w14:textId="77777777" w:rsidR="002A1B1F" w:rsidRDefault="00F25AA1">
            <w:pPr>
              <w:ind w:left="-100"/>
              <w:rPr>
                <w:sz w:val="20"/>
                <w:szCs w:val="20"/>
              </w:rPr>
            </w:pPr>
            <w:r>
              <w:rPr>
                <w:sz w:val="20"/>
                <w:szCs w:val="20"/>
              </w:rPr>
              <w:t>22 September 2021</w:t>
            </w:r>
          </w:p>
        </w:tc>
      </w:tr>
      <w:tr w:rsidR="002A1B1F" w14:paraId="40B83BC0" w14:textId="77777777" w:rsidTr="00295735">
        <w:trPr>
          <w:trHeight w:val="220"/>
        </w:trPr>
        <w:tc>
          <w:tcPr>
            <w:tcW w:w="9360" w:type="dxa"/>
            <w:gridSpan w:val="3"/>
            <w:tcBorders>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C66D9A3" w14:textId="77777777" w:rsidR="002A1B1F" w:rsidRDefault="00F25AA1" w:rsidP="00295735">
            <w:pPr>
              <w:ind w:left="-100"/>
              <w:jc w:val="center"/>
              <w:rPr>
                <w:sz w:val="20"/>
                <w:szCs w:val="20"/>
              </w:rPr>
            </w:pPr>
            <w:r>
              <w:rPr>
                <w:b/>
                <w:sz w:val="20"/>
                <w:szCs w:val="20"/>
              </w:rPr>
              <w:t>Benefit sharing</w:t>
            </w:r>
          </w:p>
        </w:tc>
      </w:tr>
      <w:tr w:rsidR="002A1B1F" w14:paraId="5D0F156F" w14:textId="77777777" w:rsidTr="00053BC1">
        <w:trPr>
          <w:trHeight w:val="680"/>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D90033" w14:textId="77777777" w:rsidR="002A1B1F" w:rsidRDefault="00F25AA1">
            <w:pPr>
              <w:ind w:left="-100"/>
              <w:rPr>
                <w:sz w:val="20"/>
                <w:szCs w:val="20"/>
              </w:rPr>
            </w:pPr>
            <w:r>
              <w:rPr>
                <w:sz w:val="20"/>
                <w:szCs w:val="20"/>
              </w:rPr>
              <w:t xml:space="preserve">Decree No.99/2010/ND-CP </w:t>
            </w:r>
          </w:p>
        </w:tc>
        <w:tc>
          <w:tcPr>
            <w:tcW w:w="4039" w:type="dxa"/>
            <w:tcBorders>
              <w:bottom w:val="single" w:sz="8" w:space="0" w:color="000000"/>
              <w:right w:val="single" w:sz="8" w:space="0" w:color="000000"/>
            </w:tcBorders>
            <w:tcMar>
              <w:top w:w="100" w:type="dxa"/>
              <w:left w:w="100" w:type="dxa"/>
              <w:bottom w:w="100" w:type="dxa"/>
              <w:right w:w="100" w:type="dxa"/>
            </w:tcMar>
          </w:tcPr>
          <w:p w14:paraId="7DE9A15B" w14:textId="77777777" w:rsidR="002A1B1F" w:rsidRDefault="00F25AA1">
            <w:pPr>
              <w:ind w:left="-100"/>
              <w:rPr>
                <w:sz w:val="20"/>
                <w:szCs w:val="20"/>
              </w:rPr>
            </w:pPr>
            <w:r>
              <w:rPr>
                <w:sz w:val="20"/>
                <w:szCs w:val="20"/>
              </w:rPr>
              <w:t>Policy on payment for forest environmental services (PFES).</w:t>
            </w:r>
          </w:p>
        </w:tc>
        <w:tc>
          <w:tcPr>
            <w:tcW w:w="2269" w:type="dxa"/>
            <w:tcBorders>
              <w:bottom w:val="single" w:sz="8" w:space="0" w:color="000000"/>
              <w:right w:val="single" w:sz="8" w:space="0" w:color="000000"/>
            </w:tcBorders>
            <w:tcMar>
              <w:top w:w="100" w:type="dxa"/>
              <w:left w:w="100" w:type="dxa"/>
              <w:bottom w:w="100" w:type="dxa"/>
              <w:right w:w="100" w:type="dxa"/>
            </w:tcMar>
          </w:tcPr>
          <w:p w14:paraId="06E01194" w14:textId="77777777" w:rsidR="002A1B1F" w:rsidRDefault="00F25AA1">
            <w:pPr>
              <w:ind w:left="-100"/>
              <w:rPr>
                <w:sz w:val="20"/>
                <w:szCs w:val="20"/>
              </w:rPr>
            </w:pPr>
            <w:r>
              <w:rPr>
                <w:sz w:val="20"/>
                <w:szCs w:val="20"/>
              </w:rPr>
              <w:t>24 September 2010</w:t>
            </w:r>
          </w:p>
        </w:tc>
      </w:tr>
      <w:tr w:rsidR="002A1B1F" w14:paraId="5B6AA4BD" w14:textId="77777777" w:rsidTr="00053BC1">
        <w:trPr>
          <w:trHeight w:val="905"/>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625C8" w14:textId="77777777" w:rsidR="002A1B1F" w:rsidRDefault="00F25AA1">
            <w:pPr>
              <w:ind w:left="-100"/>
              <w:rPr>
                <w:sz w:val="20"/>
                <w:szCs w:val="20"/>
              </w:rPr>
            </w:pPr>
            <w:r>
              <w:rPr>
                <w:sz w:val="20"/>
                <w:szCs w:val="20"/>
              </w:rPr>
              <w:t>Decision No. 126/2012/QD-</w:t>
            </w:r>
            <w:proofErr w:type="spellStart"/>
            <w:r>
              <w:rPr>
                <w:sz w:val="20"/>
                <w:szCs w:val="20"/>
              </w:rPr>
              <w:t>TTg</w:t>
            </w:r>
            <w:proofErr w:type="spellEnd"/>
            <w:r>
              <w:rPr>
                <w:sz w:val="20"/>
                <w:szCs w:val="20"/>
              </w:rPr>
              <w:t xml:space="preserve"> </w:t>
            </w:r>
          </w:p>
        </w:tc>
        <w:tc>
          <w:tcPr>
            <w:tcW w:w="4039" w:type="dxa"/>
            <w:tcBorders>
              <w:bottom w:val="single" w:sz="8" w:space="0" w:color="000000"/>
              <w:right w:val="single" w:sz="8" w:space="0" w:color="000000"/>
            </w:tcBorders>
            <w:tcMar>
              <w:top w:w="100" w:type="dxa"/>
              <w:left w:w="100" w:type="dxa"/>
              <w:bottom w:w="100" w:type="dxa"/>
              <w:right w:w="100" w:type="dxa"/>
            </w:tcMar>
          </w:tcPr>
          <w:p w14:paraId="34D4370F" w14:textId="77777777" w:rsidR="002A1B1F" w:rsidRDefault="00F25AA1">
            <w:pPr>
              <w:ind w:left="-100"/>
              <w:rPr>
                <w:sz w:val="20"/>
                <w:szCs w:val="20"/>
              </w:rPr>
            </w:pPr>
            <w:r>
              <w:rPr>
                <w:sz w:val="20"/>
                <w:szCs w:val="20"/>
              </w:rPr>
              <w:t>Pilot policy on benefit sharing mechanism (BSM) in management, protection and development of special-use forests (SUFs)</w:t>
            </w:r>
          </w:p>
        </w:tc>
        <w:tc>
          <w:tcPr>
            <w:tcW w:w="2269" w:type="dxa"/>
            <w:tcBorders>
              <w:bottom w:val="single" w:sz="8" w:space="0" w:color="000000"/>
              <w:right w:val="single" w:sz="8" w:space="0" w:color="000000"/>
            </w:tcBorders>
            <w:tcMar>
              <w:top w:w="100" w:type="dxa"/>
              <w:left w:w="100" w:type="dxa"/>
              <w:bottom w:w="100" w:type="dxa"/>
              <w:right w:w="100" w:type="dxa"/>
            </w:tcMar>
          </w:tcPr>
          <w:p w14:paraId="4C510647" w14:textId="77777777" w:rsidR="002A1B1F" w:rsidRDefault="00F25AA1">
            <w:pPr>
              <w:ind w:left="-100"/>
              <w:rPr>
                <w:sz w:val="20"/>
                <w:szCs w:val="20"/>
              </w:rPr>
            </w:pPr>
            <w:r>
              <w:rPr>
                <w:sz w:val="20"/>
                <w:szCs w:val="20"/>
              </w:rPr>
              <w:t>02 February 2012</w:t>
            </w:r>
          </w:p>
        </w:tc>
      </w:tr>
      <w:tr w:rsidR="002A1B1F" w14:paraId="40EB3602" w14:textId="77777777" w:rsidTr="00E44F7D">
        <w:trPr>
          <w:trHeight w:val="1019"/>
        </w:trPr>
        <w:tc>
          <w:tcPr>
            <w:tcW w:w="305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3EC36C" w14:textId="77777777" w:rsidR="002A1B1F" w:rsidRDefault="00F25AA1">
            <w:pPr>
              <w:ind w:left="-100"/>
              <w:rPr>
                <w:sz w:val="20"/>
                <w:szCs w:val="20"/>
              </w:rPr>
            </w:pPr>
            <w:r>
              <w:rPr>
                <w:sz w:val="20"/>
                <w:szCs w:val="20"/>
              </w:rPr>
              <w:t>Decree No.147/2016/ND-CP</w:t>
            </w:r>
          </w:p>
        </w:tc>
        <w:tc>
          <w:tcPr>
            <w:tcW w:w="4039" w:type="dxa"/>
            <w:tcBorders>
              <w:bottom w:val="single" w:sz="8" w:space="0" w:color="000000"/>
              <w:right w:val="single" w:sz="8" w:space="0" w:color="000000"/>
            </w:tcBorders>
            <w:tcMar>
              <w:top w:w="100" w:type="dxa"/>
              <w:left w:w="100" w:type="dxa"/>
              <w:bottom w:w="100" w:type="dxa"/>
              <w:right w:w="100" w:type="dxa"/>
            </w:tcMar>
          </w:tcPr>
          <w:p w14:paraId="73DBDB20" w14:textId="77777777" w:rsidR="002A1B1F" w:rsidRDefault="00F25AA1">
            <w:pPr>
              <w:ind w:left="-100"/>
              <w:rPr>
                <w:sz w:val="20"/>
                <w:szCs w:val="20"/>
              </w:rPr>
            </w:pPr>
            <w:r>
              <w:rPr>
                <w:sz w:val="20"/>
                <w:szCs w:val="20"/>
              </w:rPr>
              <w:t>Amendments and supplements to some Articles of Decree No. 99/2010/ND-CP dated 24 September 2010 of the on policy on payment for forest environmental services (PFES).</w:t>
            </w:r>
          </w:p>
        </w:tc>
        <w:tc>
          <w:tcPr>
            <w:tcW w:w="2269" w:type="dxa"/>
            <w:tcBorders>
              <w:bottom w:val="single" w:sz="8" w:space="0" w:color="000000"/>
              <w:right w:val="single" w:sz="8" w:space="0" w:color="000000"/>
            </w:tcBorders>
            <w:tcMar>
              <w:top w:w="100" w:type="dxa"/>
              <w:left w:w="100" w:type="dxa"/>
              <w:bottom w:w="100" w:type="dxa"/>
              <w:right w:w="100" w:type="dxa"/>
            </w:tcMar>
          </w:tcPr>
          <w:p w14:paraId="5472531C" w14:textId="38CABD93" w:rsidR="002A1B1F" w:rsidRDefault="00F25AA1">
            <w:pPr>
              <w:ind w:left="-100"/>
              <w:rPr>
                <w:sz w:val="20"/>
                <w:szCs w:val="20"/>
              </w:rPr>
            </w:pPr>
            <w:r>
              <w:rPr>
                <w:sz w:val="20"/>
                <w:szCs w:val="20"/>
              </w:rPr>
              <w:t>02 November 2016</w:t>
            </w:r>
          </w:p>
        </w:tc>
      </w:tr>
    </w:tbl>
    <w:p w14:paraId="7A230949" w14:textId="2D282923" w:rsidR="00053BC1" w:rsidRDefault="00053BC1" w:rsidP="00053BC1">
      <w:pPr>
        <w:rPr>
          <w:rFonts w:ascii="Calibri" w:hAnsi="Calibri" w:cs="Calibri"/>
        </w:rPr>
      </w:pPr>
      <w:bookmarkStart w:id="157" w:name="_3i6p2f5llvb9" w:colFirst="0" w:colLast="0"/>
      <w:bookmarkEnd w:id="157"/>
    </w:p>
    <w:p w14:paraId="78BEE1AD" w14:textId="20963468" w:rsidR="00053BC1" w:rsidRDefault="008B5494" w:rsidP="00053BC1">
      <w:pPr>
        <w:pStyle w:val="Heading3"/>
      </w:pPr>
      <w:bookmarkStart w:id="158" w:name="_Toc104218388"/>
      <w:r>
        <w:t>5</w:t>
      </w:r>
      <w:r w:rsidR="00053BC1">
        <w:t>.</w:t>
      </w:r>
      <w:r w:rsidR="0091120C">
        <w:t>1</w:t>
      </w:r>
      <w:r w:rsidR="00053BC1">
        <w:t>.</w:t>
      </w:r>
      <w:r w:rsidR="0091120C">
        <w:t>4</w:t>
      </w:r>
      <w:r w:rsidR="00053BC1">
        <w:t xml:space="preserve"> Relevant </w:t>
      </w:r>
      <w:r>
        <w:t xml:space="preserve">National </w:t>
      </w:r>
      <w:r w:rsidR="00053BC1">
        <w:t>Environmental Regulation</w:t>
      </w:r>
      <w:bookmarkEnd w:id="158"/>
    </w:p>
    <w:p w14:paraId="214D0F58" w14:textId="1BF8C2C9" w:rsidR="00E44F7D" w:rsidRPr="00457205" w:rsidRDefault="00E44F7D" w:rsidP="001B4D42">
      <w:pPr>
        <w:pStyle w:val="Heading4"/>
        <w:rPr>
          <w:rFonts w:asciiTheme="majorHAnsi" w:hAnsiTheme="majorHAnsi" w:cstheme="majorHAnsi"/>
          <w:sz w:val="22"/>
          <w:szCs w:val="22"/>
        </w:rPr>
      </w:pPr>
      <w:r w:rsidRPr="00457205">
        <w:rPr>
          <w:rFonts w:asciiTheme="majorHAnsi" w:hAnsiTheme="majorHAnsi" w:cstheme="majorHAnsi"/>
          <w:sz w:val="22"/>
          <w:szCs w:val="22"/>
        </w:rPr>
        <w:t>Constitution</w:t>
      </w:r>
    </w:p>
    <w:p w14:paraId="13071E38" w14:textId="67B85ABE" w:rsidR="00E44F7D" w:rsidRPr="00457205" w:rsidRDefault="00553FDE" w:rsidP="00B000AB">
      <w:pPr>
        <w:ind w:firstLine="720"/>
        <w:rPr>
          <w:rFonts w:asciiTheme="majorHAnsi" w:hAnsiTheme="majorHAnsi" w:cstheme="majorHAnsi"/>
          <w:sz w:val="22"/>
        </w:rPr>
      </w:pPr>
      <w:r w:rsidRPr="00457205">
        <w:rPr>
          <w:rFonts w:asciiTheme="majorHAnsi" w:hAnsiTheme="majorHAnsi" w:cstheme="majorHAnsi"/>
          <w:sz w:val="22"/>
        </w:rPr>
        <w:t>The Constitution makes various provisions in respect of the Environment. Article 43 confers on all people of Vietnam the right to live in a clean environment and imposes upon them the obligation to protect the environment</w:t>
      </w:r>
      <w:r w:rsidRPr="00457205">
        <w:rPr>
          <w:rStyle w:val="FootnoteReference"/>
          <w:rFonts w:asciiTheme="majorHAnsi" w:hAnsiTheme="majorHAnsi" w:cstheme="majorHAnsi"/>
          <w:sz w:val="22"/>
        </w:rPr>
        <w:footnoteReference w:id="16"/>
      </w:r>
      <w:r w:rsidRPr="00457205">
        <w:rPr>
          <w:rFonts w:asciiTheme="majorHAnsi" w:hAnsiTheme="majorHAnsi" w:cstheme="majorHAnsi"/>
          <w:sz w:val="22"/>
        </w:rPr>
        <w:t>. Article 63(2) provides that the State shall encourage all activities for environmental protection</w:t>
      </w:r>
      <w:r w:rsidRPr="00457205">
        <w:rPr>
          <w:rStyle w:val="FootnoteReference"/>
          <w:rFonts w:asciiTheme="majorHAnsi" w:hAnsiTheme="majorHAnsi" w:cstheme="majorHAnsi"/>
          <w:sz w:val="22"/>
        </w:rPr>
        <w:footnoteReference w:id="17"/>
      </w:r>
      <w:r w:rsidRPr="00457205">
        <w:rPr>
          <w:rFonts w:asciiTheme="majorHAnsi" w:hAnsiTheme="majorHAnsi" w:cstheme="majorHAnsi"/>
          <w:sz w:val="22"/>
        </w:rPr>
        <w:t>. Article 63(3) further provides that organizations and individuals that cause environmental pollution, natural resource exhaustion or biodiversity depletion shall be strictly punished and shall rectify and compensate for damage</w:t>
      </w:r>
      <w:r w:rsidRPr="00457205">
        <w:rPr>
          <w:rStyle w:val="FootnoteReference"/>
          <w:rFonts w:asciiTheme="majorHAnsi" w:hAnsiTheme="majorHAnsi" w:cstheme="majorHAnsi"/>
          <w:sz w:val="22"/>
        </w:rPr>
        <w:footnoteReference w:id="18"/>
      </w:r>
      <w:r w:rsidRPr="00457205">
        <w:rPr>
          <w:rFonts w:asciiTheme="majorHAnsi" w:hAnsiTheme="majorHAnsi" w:cstheme="majorHAnsi"/>
          <w:sz w:val="22"/>
        </w:rPr>
        <w:t>.</w:t>
      </w:r>
    </w:p>
    <w:p w14:paraId="25E83F61" w14:textId="74C0F69E" w:rsidR="00E44F7D" w:rsidRPr="00457205" w:rsidRDefault="00E44F7D" w:rsidP="00E44F7D">
      <w:pPr>
        <w:pStyle w:val="Heading4"/>
        <w:rPr>
          <w:rFonts w:asciiTheme="majorHAnsi" w:hAnsiTheme="majorHAnsi" w:cstheme="majorHAnsi"/>
          <w:sz w:val="22"/>
          <w:szCs w:val="22"/>
        </w:rPr>
      </w:pPr>
      <w:r w:rsidRPr="00457205">
        <w:rPr>
          <w:rFonts w:asciiTheme="majorHAnsi" w:hAnsiTheme="majorHAnsi" w:cstheme="majorHAnsi"/>
          <w:sz w:val="22"/>
          <w:szCs w:val="22"/>
        </w:rPr>
        <w:lastRenderedPageBreak/>
        <w:t>Law on Environmental Protection</w:t>
      </w:r>
    </w:p>
    <w:p w14:paraId="76370DFC" w14:textId="134A5516" w:rsidR="001B4D42" w:rsidRPr="00457205" w:rsidRDefault="00E44F7D" w:rsidP="001B4D42">
      <w:pPr>
        <w:ind w:firstLine="360"/>
        <w:rPr>
          <w:rFonts w:asciiTheme="majorHAnsi" w:hAnsiTheme="majorHAnsi" w:cstheme="majorHAnsi"/>
          <w:sz w:val="22"/>
        </w:rPr>
      </w:pPr>
      <w:r w:rsidRPr="00457205">
        <w:rPr>
          <w:rFonts w:asciiTheme="majorHAnsi" w:hAnsiTheme="majorHAnsi" w:cstheme="majorHAnsi"/>
          <w:sz w:val="22"/>
        </w:rPr>
        <w:t>Law on Environmental Protection</w:t>
      </w:r>
      <w:r w:rsidR="004926E6" w:rsidRPr="00457205">
        <w:rPr>
          <w:rFonts w:asciiTheme="majorHAnsi" w:hAnsiTheme="majorHAnsi" w:cstheme="majorHAnsi"/>
          <w:sz w:val="22"/>
        </w:rPr>
        <w:t xml:space="preserve"> (2020)</w:t>
      </w:r>
      <w:r w:rsidRPr="00457205">
        <w:rPr>
          <w:rStyle w:val="FootnoteReference"/>
          <w:rFonts w:asciiTheme="majorHAnsi" w:hAnsiTheme="majorHAnsi" w:cstheme="majorHAnsi"/>
          <w:sz w:val="22"/>
        </w:rPr>
        <w:footnoteReference w:id="19"/>
      </w:r>
      <w:r w:rsidRPr="00457205">
        <w:rPr>
          <w:rFonts w:asciiTheme="majorHAnsi" w:hAnsiTheme="majorHAnsi" w:cstheme="majorHAnsi"/>
          <w:sz w:val="22"/>
        </w:rPr>
        <w:t xml:space="preserve"> defines the state's policies on environmental protection, in which</w:t>
      </w:r>
      <w:r w:rsidR="003C0941" w:rsidRPr="00457205">
        <w:rPr>
          <w:rFonts w:asciiTheme="majorHAnsi" w:hAnsiTheme="majorHAnsi" w:cstheme="majorHAnsi"/>
          <w:sz w:val="22"/>
        </w:rPr>
        <w:t xml:space="preserve"> the following are prioritized</w:t>
      </w:r>
      <w:r w:rsidRPr="00457205">
        <w:rPr>
          <w:rFonts w:asciiTheme="majorHAnsi" w:hAnsiTheme="majorHAnsi" w:cstheme="majorHAnsi"/>
          <w:sz w:val="22"/>
        </w:rPr>
        <w:t xml:space="preserve">: </w:t>
      </w:r>
      <w:r w:rsidR="00A41F68" w:rsidRPr="00457205">
        <w:rPr>
          <w:rFonts w:asciiTheme="majorHAnsi" w:hAnsiTheme="majorHAnsi" w:cstheme="majorHAnsi"/>
          <w:sz w:val="22"/>
        </w:rPr>
        <w:t>(</w:t>
      </w:r>
      <w:proofErr w:type="spellStart"/>
      <w:r w:rsidR="00A41F68" w:rsidRPr="00457205">
        <w:rPr>
          <w:rFonts w:asciiTheme="majorHAnsi" w:hAnsiTheme="majorHAnsi" w:cstheme="majorHAnsi"/>
          <w:sz w:val="22"/>
        </w:rPr>
        <w:t>i</w:t>
      </w:r>
      <w:proofErr w:type="spellEnd"/>
      <w:r w:rsidR="00A41F68" w:rsidRPr="00457205">
        <w:rPr>
          <w:rFonts w:asciiTheme="majorHAnsi" w:hAnsiTheme="majorHAnsi" w:cstheme="majorHAnsi"/>
          <w:sz w:val="22"/>
        </w:rPr>
        <w:t xml:space="preserve">) </w:t>
      </w:r>
      <w:r w:rsidR="003C0941" w:rsidRPr="00457205">
        <w:rPr>
          <w:rFonts w:asciiTheme="majorHAnsi" w:hAnsiTheme="majorHAnsi" w:cstheme="majorHAnsi"/>
          <w:sz w:val="22"/>
        </w:rPr>
        <w:t>f</w:t>
      </w:r>
      <w:r w:rsidRPr="00457205">
        <w:rPr>
          <w:rFonts w:asciiTheme="majorHAnsi" w:hAnsiTheme="majorHAnsi" w:cstheme="majorHAnsi"/>
          <w:sz w:val="22"/>
        </w:rPr>
        <w:t xml:space="preserve">ocusing on biodiversity conservation, environmental protection of natural heritage; </w:t>
      </w:r>
      <w:r w:rsidR="00A41F68" w:rsidRPr="00457205">
        <w:rPr>
          <w:rFonts w:asciiTheme="majorHAnsi" w:hAnsiTheme="majorHAnsi" w:cstheme="majorHAnsi"/>
          <w:sz w:val="22"/>
        </w:rPr>
        <w:t xml:space="preserve">(ii) </w:t>
      </w:r>
      <w:r w:rsidR="003C0941" w:rsidRPr="00457205">
        <w:rPr>
          <w:rFonts w:asciiTheme="majorHAnsi" w:hAnsiTheme="majorHAnsi" w:cstheme="majorHAnsi"/>
          <w:sz w:val="22"/>
        </w:rPr>
        <w:t>promoting</w:t>
      </w:r>
      <w:r w:rsidRPr="00457205">
        <w:rPr>
          <w:rFonts w:asciiTheme="majorHAnsi" w:hAnsiTheme="majorHAnsi" w:cstheme="majorHAnsi"/>
          <w:sz w:val="22"/>
        </w:rPr>
        <w:t xml:space="preserve"> rational and economic use </w:t>
      </w:r>
      <w:r w:rsidR="003C0941" w:rsidRPr="00457205">
        <w:rPr>
          <w:rFonts w:asciiTheme="majorHAnsi" w:hAnsiTheme="majorHAnsi" w:cstheme="majorHAnsi"/>
          <w:sz w:val="22"/>
        </w:rPr>
        <w:t xml:space="preserve">of </w:t>
      </w:r>
      <w:r w:rsidRPr="00457205">
        <w:rPr>
          <w:rFonts w:asciiTheme="majorHAnsi" w:hAnsiTheme="majorHAnsi" w:cstheme="majorHAnsi"/>
          <w:sz w:val="22"/>
        </w:rPr>
        <w:t xml:space="preserve">natural resources; </w:t>
      </w:r>
      <w:r w:rsidR="00A41F68" w:rsidRPr="00457205">
        <w:rPr>
          <w:rFonts w:asciiTheme="majorHAnsi" w:hAnsiTheme="majorHAnsi" w:cstheme="majorHAnsi"/>
          <w:sz w:val="22"/>
        </w:rPr>
        <w:t xml:space="preserve">(iii) </w:t>
      </w:r>
      <w:r w:rsidRPr="00457205">
        <w:rPr>
          <w:rFonts w:asciiTheme="majorHAnsi" w:hAnsiTheme="majorHAnsi" w:cstheme="majorHAnsi"/>
          <w:sz w:val="22"/>
        </w:rPr>
        <w:t>develop</w:t>
      </w:r>
      <w:r w:rsidR="003C0941" w:rsidRPr="00457205">
        <w:rPr>
          <w:rFonts w:asciiTheme="majorHAnsi" w:hAnsiTheme="majorHAnsi" w:cstheme="majorHAnsi"/>
          <w:sz w:val="22"/>
        </w:rPr>
        <w:t>ing</w:t>
      </w:r>
      <w:r w:rsidRPr="00457205">
        <w:rPr>
          <w:rFonts w:asciiTheme="majorHAnsi" w:hAnsiTheme="majorHAnsi" w:cstheme="majorHAnsi"/>
          <w:sz w:val="22"/>
        </w:rPr>
        <w:t xml:space="preserve"> clean and renewable energy; </w:t>
      </w:r>
      <w:r w:rsidR="00A41F68" w:rsidRPr="00457205">
        <w:rPr>
          <w:rFonts w:asciiTheme="majorHAnsi" w:hAnsiTheme="majorHAnsi" w:cstheme="majorHAnsi"/>
          <w:sz w:val="22"/>
        </w:rPr>
        <w:t xml:space="preserve">(iv) </w:t>
      </w:r>
      <w:r w:rsidRPr="00457205">
        <w:rPr>
          <w:rFonts w:asciiTheme="majorHAnsi" w:hAnsiTheme="majorHAnsi" w:cstheme="majorHAnsi"/>
          <w:sz w:val="22"/>
        </w:rPr>
        <w:t>develop</w:t>
      </w:r>
      <w:r w:rsidR="003C0941" w:rsidRPr="00457205">
        <w:rPr>
          <w:rFonts w:asciiTheme="majorHAnsi" w:hAnsiTheme="majorHAnsi" w:cstheme="majorHAnsi"/>
          <w:sz w:val="22"/>
        </w:rPr>
        <w:t>ing</w:t>
      </w:r>
      <w:r w:rsidRPr="00457205">
        <w:rPr>
          <w:rFonts w:asciiTheme="majorHAnsi" w:hAnsiTheme="majorHAnsi" w:cstheme="majorHAnsi"/>
          <w:sz w:val="22"/>
        </w:rPr>
        <w:t xml:space="preserve"> technical infrastructure for environmental protection;</w:t>
      </w:r>
      <w:r w:rsidR="003C0941" w:rsidRPr="00457205">
        <w:rPr>
          <w:rFonts w:asciiTheme="majorHAnsi" w:hAnsiTheme="majorHAnsi" w:cstheme="majorHAnsi"/>
          <w:sz w:val="22"/>
        </w:rPr>
        <w:t xml:space="preserve"> and</w:t>
      </w:r>
      <w:r w:rsidRPr="00457205">
        <w:rPr>
          <w:rFonts w:asciiTheme="majorHAnsi" w:hAnsiTheme="majorHAnsi" w:cstheme="majorHAnsi"/>
          <w:sz w:val="22"/>
        </w:rPr>
        <w:t xml:space="preserve"> </w:t>
      </w:r>
      <w:r w:rsidR="00A41F68" w:rsidRPr="00457205">
        <w:rPr>
          <w:rFonts w:asciiTheme="majorHAnsi" w:hAnsiTheme="majorHAnsi" w:cstheme="majorHAnsi"/>
          <w:sz w:val="22"/>
        </w:rPr>
        <w:t xml:space="preserve">(v) </w:t>
      </w:r>
      <w:r w:rsidR="003C0941" w:rsidRPr="00457205">
        <w:rPr>
          <w:rFonts w:asciiTheme="majorHAnsi" w:hAnsiTheme="majorHAnsi" w:cstheme="majorHAnsi"/>
          <w:sz w:val="22"/>
        </w:rPr>
        <w:t>i</w:t>
      </w:r>
      <w:r w:rsidRPr="00457205">
        <w:rPr>
          <w:rFonts w:asciiTheme="majorHAnsi" w:hAnsiTheme="majorHAnsi" w:cstheme="majorHAnsi"/>
          <w:sz w:val="22"/>
        </w:rPr>
        <w:t xml:space="preserve">ntegrating and promoting the circular economy and green economic models in the formulation and implementation of socio-economic development strategies, master plans, programs, schemes and projects. </w:t>
      </w:r>
    </w:p>
    <w:p w14:paraId="7D2D9729" w14:textId="52D67286" w:rsidR="004926E6" w:rsidRPr="00457205" w:rsidRDefault="004926E6" w:rsidP="004926E6">
      <w:pPr>
        <w:ind w:firstLine="360"/>
        <w:rPr>
          <w:rFonts w:asciiTheme="majorHAnsi" w:hAnsiTheme="majorHAnsi" w:cstheme="majorHAnsi"/>
          <w:sz w:val="22"/>
        </w:rPr>
      </w:pPr>
      <w:r w:rsidRPr="00457205">
        <w:rPr>
          <w:rFonts w:asciiTheme="majorHAnsi" w:hAnsiTheme="majorHAnsi" w:cstheme="majorHAnsi"/>
          <w:sz w:val="22"/>
        </w:rPr>
        <w:t>The 2020 Law brings about a variety of changes to the Environmental regulatory framework in Vietnam. This law determines the regulatory requirements applicable to businesses and projects based on three criteria: (</w:t>
      </w:r>
      <w:proofErr w:type="spellStart"/>
      <w:r w:rsidRPr="00457205">
        <w:rPr>
          <w:rFonts w:asciiTheme="majorHAnsi" w:hAnsiTheme="majorHAnsi" w:cstheme="majorHAnsi"/>
          <w:sz w:val="22"/>
        </w:rPr>
        <w:t>i</w:t>
      </w:r>
      <w:proofErr w:type="spellEnd"/>
      <w:r w:rsidRPr="00457205">
        <w:rPr>
          <w:rFonts w:asciiTheme="majorHAnsi" w:hAnsiTheme="majorHAnsi" w:cstheme="majorHAnsi"/>
          <w:sz w:val="22"/>
        </w:rPr>
        <w:t>) size and production capacity; (ii) demand for land and sea area as well as the extent of resource usage; and (iii) environmental sensitiveness. Based on these criteria, projects will be allocated a ranking as Class I, Class II, Class III and Class IV with Class I connoting the highest environmental risk. Projects under Classes I and II are required to produce an Environmental Impact Assessment Report (EIAR).</w:t>
      </w:r>
    </w:p>
    <w:p w14:paraId="590D07F7" w14:textId="1C81008E" w:rsidR="004926E6" w:rsidRPr="00457205" w:rsidRDefault="004926E6" w:rsidP="004926E6">
      <w:pPr>
        <w:rPr>
          <w:rFonts w:asciiTheme="majorHAnsi" w:hAnsiTheme="majorHAnsi" w:cstheme="majorHAnsi"/>
          <w:sz w:val="22"/>
        </w:rPr>
      </w:pPr>
      <w:r w:rsidRPr="00457205">
        <w:rPr>
          <w:rFonts w:asciiTheme="majorHAnsi" w:hAnsiTheme="majorHAnsi" w:cstheme="majorHAnsi"/>
          <w:sz w:val="22"/>
        </w:rPr>
        <w:tab/>
        <w:t xml:space="preserve">The 2020 Law also introduces the concept of the Environmental Impact Preliminary Assessment (EIPA). The EIPA applies to Class I </w:t>
      </w:r>
      <w:r w:rsidR="00A41F68" w:rsidRPr="00457205">
        <w:rPr>
          <w:rFonts w:asciiTheme="majorHAnsi" w:hAnsiTheme="majorHAnsi" w:cstheme="majorHAnsi"/>
          <w:sz w:val="22"/>
        </w:rPr>
        <w:t xml:space="preserve">projects </w:t>
      </w:r>
      <w:r w:rsidRPr="00457205">
        <w:rPr>
          <w:rFonts w:asciiTheme="majorHAnsi" w:hAnsiTheme="majorHAnsi" w:cstheme="majorHAnsi"/>
          <w:sz w:val="22"/>
        </w:rPr>
        <w:t>(and types 4, 5, 6, and 7 of Group II</w:t>
      </w:r>
      <w:r w:rsidR="003C0941" w:rsidRPr="00457205">
        <w:rPr>
          <w:rFonts w:asciiTheme="majorHAnsi" w:hAnsiTheme="majorHAnsi" w:cstheme="majorHAnsi"/>
          <w:sz w:val="22"/>
        </w:rPr>
        <w:t xml:space="preserve"> – see table below</w:t>
      </w:r>
      <w:r w:rsidRPr="00457205">
        <w:rPr>
          <w:rFonts w:asciiTheme="majorHAnsi" w:hAnsiTheme="majorHAnsi" w:cstheme="majorHAnsi"/>
          <w:sz w:val="22"/>
        </w:rPr>
        <w:t>) and is to be conducted during the pre-feasibility stage of the project. The table below provides an overview of the classification system and the requisite impact assessment requirements under the 2020 Law.</w:t>
      </w:r>
    </w:p>
    <w:p w14:paraId="20F50685" w14:textId="7307CEAA" w:rsidR="004926E6" w:rsidRDefault="004926E6" w:rsidP="004926E6">
      <w:pPr>
        <w:rPr>
          <w:rFonts w:cs="Times New Roman"/>
          <w:szCs w:val="24"/>
        </w:rPr>
      </w:pPr>
    </w:p>
    <w:p w14:paraId="0D90525C" w14:textId="0090D414" w:rsidR="004926E6" w:rsidRDefault="004926E6" w:rsidP="004926E6">
      <w:pPr>
        <w:rPr>
          <w:rFonts w:cs="Times New Roman"/>
          <w:b/>
          <w:bCs/>
          <w:szCs w:val="24"/>
        </w:rPr>
      </w:pPr>
      <w:r>
        <w:rPr>
          <w:rFonts w:cs="Times New Roman"/>
          <w:b/>
          <w:bCs/>
          <w:szCs w:val="24"/>
        </w:rPr>
        <w:t>Table</w:t>
      </w:r>
      <w:r w:rsidR="00AB19A7">
        <w:rPr>
          <w:rFonts w:cs="Times New Roman"/>
          <w:b/>
          <w:bCs/>
          <w:szCs w:val="24"/>
        </w:rPr>
        <w:t xml:space="preserve"> 3</w:t>
      </w:r>
      <w:r>
        <w:rPr>
          <w:rFonts w:cs="Times New Roman"/>
          <w:b/>
          <w:bCs/>
          <w:szCs w:val="24"/>
        </w:rPr>
        <w:t>: Summary of Environmental Impact Assessment Classes</w:t>
      </w:r>
      <w:r w:rsidR="00F916D8">
        <w:rPr>
          <w:rFonts w:cs="Times New Roman"/>
          <w:b/>
          <w:bCs/>
          <w:szCs w:val="24"/>
        </w:rPr>
        <w:t xml:space="preserve"> </w:t>
      </w:r>
      <w:r w:rsidR="00841E77">
        <w:rPr>
          <w:rFonts w:cs="Times New Roman"/>
          <w:b/>
          <w:bCs/>
          <w:szCs w:val="24"/>
        </w:rPr>
        <w:t>Under the 2020 Law</w:t>
      </w:r>
    </w:p>
    <w:tbl>
      <w:tblPr>
        <w:tblStyle w:val="TableGrid"/>
        <w:tblW w:w="0" w:type="auto"/>
        <w:tblLook w:val="04A0" w:firstRow="1" w:lastRow="0" w:firstColumn="1" w:lastColumn="0" w:noHBand="0" w:noVBand="1"/>
      </w:tblPr>
      <w:tblGrid>
        <w:gridCol w:w="867"/>
        <w:gridCol w:w="518"/>
        <w:gridCol w:w="1083"/>
        <w:gridCol w:w="711"/>
        <w:gridCol w:w="874"/>
        <w:gridCol w:w="951"/>
        <w:gridCol w:w="1083"/>
        <w:gridCol w:w="928"/>
        <w:gridCol w:w="665"/>
        <w:gridCol w:w="665"/>
        <w:gridCol w:w="1005"/>
      </w:tblGrid>
      <w:tr w:rsidR="00213C39" w:rsidRPr="002F3598" w14:paraId="4B32B52D" w14:textId="7CB3B2D1" w:rsidTr="00102720">
        <w:trPr>
          <w:tblHeader/>
        </w:trPr>
        <w:tc>
          <w:tcPr>
            <w:tcW w:w="877" w:type="dxa"/>
            <w:vMerge w:val="restart"/>
            <w:shd w:val="clear" w:color="auto" w:fill="BFBFBF" w:themeFill="background1" w:themeFillShade="BF"/>
          </w:tcPr>
          <w:p w14:paraId="5B02787A" w14:textId="321D250F" w:rsidR="002F3598" w:rsidRPr="002F3598" w:rsidRDefault="002F3598" w:rsidP="004926E6">
            <w:pPr>
              <w:rPr>
                <w:rFonts w:cs="Times New Roman"/>
                <w:b/>
                <w:bCs/>
                <w:sz w:val="16"/>
                <w:szCs w:val="16"/>
              </w:rPr>
            </w:pPr>
            <w:r w:rsidRPr="002F3598">
              <w:rPr>
                <w:rFonts w:cs="Times New Roman"/>
                <w:b/>
                <w:bCs/>
                <w:sz w:val="16"/>
                <w:szCs w:val="16"/>
              </w:rPr>
              <w:t>Class/Risk of Adverse Impact</w:t>
            </w:r>
          </w:p>
        </w:tc>
        <w:tc>
          <w:tcPr>
            <w:tcW w:w="523" w:type="dxa"/>
            <w:vMerge w:val="restart"/>
            <w:shd w:val="clear" w:color="auto" w:fill="BFBFBF" w:themeFill="background1" w:themeFillShade="BF"/>
          </w:tcPr>
          <w:p w14:paraId="08D4CAA6" w14:textId="36568D71" w:rsidR="002F3598" w:rsidRPr="002F3598" w:rsidRDefault="002F3598" w:rsidP="004926E6">
            <w:pPr>
              <w:rPr>
                <w:rFonts w:cs="Times New Roman"/>
                <w:b/>
                <w:bCs/>
                <w:sz w:val="16"/>
                <w:szCs w:val="16"/>
              </w:rPr>
            </w:pPr>
            <w:r w:rsidRPr="002F3598">
              <w:rPr>
                <w:rFonts w:cs="Times New Roman"/>
                <w:b/>
                <w:bCs/>
                <w:sz w:val="16"/>
                <w:szCs w:val="16"/>
              </w:rPr>
              <w:t>Type</w:t>
            </w:r>
          </w:p>
        </w:tc>
        <w:tc>
          <w:tcPr>
            <w:tcW w:w="5588" w:type="dxa"/>
            <w:gridSpan w:val="6"/>
            <w:shd w:val="clear" w:color="auto" w:fill="BFBFBF" w:themeFill="background1" w:themeFillShade="BF"/>
          </w:tcPr>
          <w:p w14:paraId="08FCA83C" w14:textId="7CFA45FB" w:rsidR="002F3598" w:rsidRPr="002F3598" w:rsidRDefault="002F3598" w:rsidP="004926E6">
            <w:pPr>
              <w:rPr>
                <w:rFonts w:cs="Times New Roman"/>
                <w:b/>
                <w:bCs/>
                <w:sz w:val="16"/>
                <w:szCs w:val="16"/>
              </w:rPr>
            </w:pPr>
            <w:r w:rsidRPr="002F3598">
              <w:rPr>
                <w:rFonts w:cs="Times New Roman"/>
                <w:b/>
                <w:bCs/>
                <w:sz w:val="16"/>
                <w:szCs w:val="16"/>
              </w:rPr>
              <w:t>Criteria on Environment for Classification of Investment Projects</w:t>
            </w:r>
          </w:p>
        </w:tc>
        <w:tc>
          <w:tcPr>
            <w:tcW w:w="672" w:type="dxa"/>
            <w:vMerge w:val="restart"/>
            <w:shd w:val="clear" w:color="auto" w:fill="BFBFBF" w:themeFill="background1" w:themeFillShade="BF"/>
          </w:tcPr>
          <w:p w14:paraId="5FCEB4ED" w14:textId="6BE52BFA" w:rsidR="002F3598" w:rsidRPr="002F3598" w:rsidRDefault="002F3598" w:rsidP="004926E6">
            <w:pPr>
              <w:rPr>
                <w:rFonts w:cs="Times New Roman"/>
                <w:b/>
                <w:bCs/>
                <w:sz w:val="16"/>
                <w:szCs w:val="16"/>
              </w:rPr>
            </w:pPr>
            <w:r w:rsidRPr="002F3598">
              <w:rPr>
                <w:rFonts w:cs="Times New Roman"/>
                <w:b/>
                <w:bCs/>
                <w:sz w:val="16"/>
                <w:szCs w:val="16"/>
              </w:rPr>
              <w:t>Subject to EIPA</w:t>
            </w:r>
          </w:p>
        </w:tc>
        <w:tc>
          <w:tcPr>
            <w:tcW w:w="672" w:type="dxa"/>
            <w:vMerge w:val="restart"/>
            <w:shd w:val="clear" w:color="auto" w:fill="BFBFBF" w:themeFill="background1" w:themeFillShade="BF"/>
          </w:tcPr>
          <w:p w14:paraId="17FFCB9B" w14:textId="3C939728" w:rsidR="002F3598" w:rsidRPr="002F3598" w:rsidRDefault="002F3598" w:rsidP="004926E6">
            <w:pPr>
              <w:rPr>
                <w:rFonts w:cs="Times New Roman"/>
                <w:b/>
                <w:bCs/>
                <w:sz w:val="16"/>
                <w:szCs w:val="16"/>
              </w:rPr>
            </w:pPr>
            <w:r w:rsidRPr="002F3598">
              <w:rPr>
                <w:rFonts w:cs="Times New Roman"/>
                <w:b/>
                <w:bCs/>
                <w:sz w:val="16"/>
                <w:szCs w:val="16"/>
              </w:rPr>
              <w:t>Subject to EIA</w:t>
            </w:r>
          </w:p>
        </w:tc>
        <w:tc>
          <w:tcPr>
            <w:tcW w:w="1018" w:type="dxa"/>
            <w:vMerge w:val="restart"/>
            <w:shd w:val="clear" w:color="auto" w:fill="BFBFBF" w:themeFill="background1" w:themeFillShade="BF"/>
          </w:tcPr>
          <w:p w14:paraId="14DFF2C4" w14:textId="3F2997DC" w:rsidR="002F3598" w:rsidRPr="002F3598" w:rsidRDefault="002F3598" w:rsidP="004926E6">
            <w:pPr>
              <w:rPr>
                <w:rFonts w:cs="Times New Roman"/>
                <w:b/>
                <w:bCs/>
                <w:sz w:val="16"/>
                <w:szCs w:val="16"/>
              </w:rPr>
            </w:pPr>
            <w:r w:rsidRPr="002F3598">
              <w:rPr>
                <w:rFonts w:cs="Times New Roman"/>
                <w:b/>
                <w:bCs/>
                <w:sz w:val="16"/>
                <w:szCs w:val="16"/>
              </w:rPr>
              <w:t>Subject to Environment Permit</w:t>
            </w:r>
          </w:p>
        </w:tc>
      </w:tr>
      <w:tr w:rsidR="00102720" w:rsidRPr="002F3598" w14:paraId="6C2EF102" w14:textId="6E70FFF9" w:rsidTr="00F916D8">
        <w:tc>
          <w:tcPr>
            <w:tcW w:w="877" w:type="dxa"/>
            <w:vMerge/>
          </w:tcPr>
          <w:p w14:paraId="735D5E34" w14:textId="77777777" w:rsidR="002F3598" w:rsidRPr="002F3598" w:rsidRDefault="002F3598" w:rsidP="004926E6">
            <w:pPr>
              <w:rPr>
                <w:rFonts w:cs="Times New Roman"/>
                <w:b/>
                <w:bCs/>
                <w:sz w:val="16"/>
                <w:szCs w:val="16"/>
              </w:rPr>
            </w:pPr>
          </w:p>
        </w:tc>
        <w:tc>
          <w:tcPr>
            <w:tcW w:w="523" w:type="dxa"/>
            <w:vMerge/>
          </w:tcPr>
          <w:p w14:paraId="5FF3EF71" w14:textId="77777777" w:rsidR="002F3598" w:rsidRPr="002F3598" w:rsidRDefault="002F3598" w:rsidP="004926E6">
            <w:pPr>
              <w:rPr>
                <w:rFonts w:cs="Times New Roman"/>
                <w:b/>
                <w:bCs/>
                <w:sz w:val="16"/>
                <w:szCs w:val="16"/>
              </w:rPr>
            </w:pPr>
          </w:p>
        </w:tc>
        <w:tc>
          <w:tcPr>
            <w:tcW w:w="1096" w:type="dxa"/>
            <w:shd w:val="clear" w:color="auto" w:fill="BFBFBF" w:themeFill="background1" w:themeFillShade="BF"/>
          </w:tcPr>
          <w:p w14:paraId="2C35BA50" w14:textId="12427367" w:rsidR="002F3598" w:rsidRPr="002F3598" w:rsidRDefault="002F3598" w:rsidP="004926E6">
            <w:pPr>
              <w:rPr>
                <w:rFonts w:cs="Times New Roman"/>
                <w:b/>
                <w:bCs/>
                <w:sz w:val="16"/>
                <w:szCs w:val="16"/>
              </w:rPr>
            </w:pPr>
            <w:r w:rsidRPr="002F3598">
              <w:rPr>
                <w:rFonts w:cs="Times New Roman"/>
                <w:b/>
                <w:bCs/>
                <w:sz w:val="16"/>
                <w:szCs w:val="16"/>
              </w:rPr>
              <w:t>Production, business or services with a risk of causing environmental pollution</w:t>
            </w:r>
          </w:p>
        </w:tc>
        <w:tc>
          <w:tcPr>
            <w:tcW w:w="719" w:type="dxa"/>
            <w:shd w:val="clear" w:color="auto" w:fill="BFBFBF" w:themeFill="background1" w:themeFillShade="BF"/>
          </w:tcPr>
          <w:p w14:paraId="243956FF" w14:textId="1BC81392" w:rsidR="002F3598" w:rsidRPr="002F3598" w:rsidRDefault="002F3598" w:rsidP="004926E6">
            <w:pPr>
              <w:rPr>
                <w:rFonts w:cs="Times New Roman"/>
                <w:b/>
                <w:bCs/>
                <w:sz w:val="16"/>
                <w:szCs w:val="16"/>
              </w:rPr>
            </w:pPr>
            <w:r w:rsidRPr="002F3598">
              <w:rPr>
                <w:rFonts w:cs="Times New Roman"/>
                <w:b/>
                <w:bCs/>
                <w:sz w:val="16"/>
                <w:szCs w:val="16"/>
              </w:rPr>
              <w:t>Scale and capacity</w:t>
            </w:r>
          </w:p>
        </w:tc>
        <w:tc>
          <w:tcPr>
            <w:tcW w:w="884" w:type="dxa"/>
            <w:shd w:val="clear" w:color="auto" w:fill="BFBFBF" w:themeFill="background1" w:themeFillShade="BF"/>
          </w:tcPr>
          <w:p w14:paraId="46CB3680" w14:textId="52B68A40" w:rsidR="002F3598" w:rsidRPr="002F3598" w:rsidRDefault="002F3598" w:rsidP="004926E6">
            <w:pPr>
              <w:rPr>
                <w:rFonts w:cs="Times New Roman"/>
                <w:b/>
                <w:bCs/>
                <w:sz w:val="16"/>
                <w:szCs w:val="16"/>
              </w:rPr>
            </w:pPr>
            <w:r w:rsidRPr="002F3598">
              <w:rPr>
                <w:rFonts w:cs="Times New Roman"/>
                <w:b/>
                <w:bCs/>
                <w:sz w:val="16"/>
                <w:szCs w:val="16"/>
              </w:rPr>
              <w:t>Use of land, water surface and sea</w:t>
            </w:r>
          </w:p>
        </w:tc>
        <w:tc>
          <w:tcPr>
            <w:tcW w:w="963" w:type="dxa"/>
            <w:shd w:val="clear" w:color="auto" w:fill="BFBFBF" w:themeFill="background1" w:themeFillShade="BF"/>
          </w:tcPr>
          <w:p w14:paraId="7CF6995F" w14:textId="2E63A719" w:rsidR="002F3598" w:rsidRPr="002F3598" w:rsidRDefault="002F3598" w:rsidP="004926E6">
            <w:pPr>
              <w:rPr>
                <w:rFonts w:cs="Times New Roman"/>
                <w:b/>
                <w:bCs/>
                <w:sz w:val="16"/>
                <w:szCs w:val="16"/>
              </w:rPr>
            </w:pPr>
            <w:r w:rsidRPr="002F3598">
              <w:rPr>
                <w:rFonts w:cs="Times New Roman"/>
                <w:b/>
                <w:bCs/>
                <w:sz w:val="16"/>
                <w:szCs w:val="16"/>
              </w:rPr>
              <w:t>Exploitation of natural resources</w:t>
            </w:r>
          </w:p>
        </w:tc>
        <w:tc>
          <w:tcPr>
            <w:tcW w:w="1096" w:type="dxa"/>
            <w:shd w:val="clear" w:color="auto" w:fill="BFBFBF" w:themeFill="background1" w:themeFillShade="BF"/>
          </w:tcPr>
          <w:p w14:paraId="1B66DFA7" w14:textId="0616EDD0" w:rsidR="002F3598" w:rsidRPr="002F3598" w:rsidRDefault="002F3598" w:rsidP="004926E6">
            <w:pPr>
              <w:rPr>
                <w:rFonts w:cs="Times New Roman"/>
                <w:b/>
                <w:bCs/>
                <w:sz w:val="16"/>
                <w:szCs w:val="16"/>
              </w:rPr>
            </w:pPr>
            <w:r w:rsidRPr="002F3598">
              <w:rPr>
                <w:rFonts w:cs="Times New Roman"/>
                <w:b/>
                <w:bCs/>
                <w:sz w:val="16"/>
                <w:szCs w:val="16"/>
              </w:rPr>
              <w:t>Sensitive environmental factors</w:t>
            </w:r>
          </w:p>
        </w:tc>
        <w:tc>
          <w:tcPr>
            <w:tcW w:w="830" w:type="dxa"/>
            <w:shd w:val="clear" w:color="auto" w:fill="BFBFBF" w:themeFill="background1" w:themeFillShade="BF"/>
          </w:tcPr>
          <w:p w14:paraId="549ED32C" w14:textId="5FADBCB3" w:rsidR="002F3598" w:rsidRPr="002F3598" w:rsidRDefault="002F3598" w:rsidP="004926E6">
            <w:pPr>
              <w:rPr>
                <w:rFonts w:cs="Times New Roman"/>
                <w:b/>
                <w:bCs/>
                <w:sz w:val="16"/>
                <w:szCs w:val="16"/>
              </w:rPr>
            </w:pPr>
            <w:r w:rsidRPr="002F3598">
              <w:rPr>
                <w:rFonts w:cs="Times New Roman"/>
                <w:b/>
                <w:bCs/>
                <w:sz w:val="16"/>
                <w:szCs w:val="16"/>
              </w:rPr>
              <w:t>Other</w:t>
            </w:r>
          </w:p>
        </w:tc>
        <w:tc>
          <w:tcPr>
            <w:tcW w:w="672" w:type="dxa"/>
            <w:vMerge/>
          </w:tcPr>
          <w:p w14:paraId="6C182017" w14:textId="77777777" w:rsidR="002F3598" w:rsidRPr="002F3598" w:rsidRDefault="002F3598" w:rsidP="004926E6">
            <w:pPr>
              <w:rPr>
                <w:rFonts w:cs="Times New Roman"/>
                <w:b/>
                <w:bCs/>
                <w:sz w:val="16"/>
                <w:szCs w:val="16"/>
              </w:rPr>
            </w:pPr>
          </w:p>
        </w:tc>
        <w:tc>
          <w:tcPr>
            <w:tcW w:w="672" w:type="dxa"/>
            <w:vMerge/>
          </w:tcPr>
          <w:p w14:paraId="7493FBC7" w14:textId="77777777" w:rsidR="002F3598" w:rsidRPr="002F3598" w:rsidRDefault="002F3598" w:rsidP="004926E6">
            <w:pPr>
              <w:rPr>
                <w:rFonts w:cs="Times New Roman"/>
                <w:b/>
                <w:bCs/>
                <w:sz w:val="16"/>
                <w:szCs w:val="16"/>
              </w:rPr>
            </w:pPr>
          </w:p>
        </w:tc>
        <w:tc>
          <w:tcPr>
            <w:tcW w:w="1018" w:type="dxa"/>
            <w:vMerge/>
          </w:tcPr>
          <w:p w14:paraId="0018EB32" w14:textId="77777777" w:rsidR="002F3598" w:rsidRPr="002F3598" w:rsidRDefault="002F3598" w:rsidP="004926E6">
            <w:pPr>
              <w:rPr>
                <w:rFonts w:cs="Times New Roman"/>
                <w:b/>
                <w:bCs/>
                <w:sz w:val="16"/>
                <w:szCs w:val="16"/>
              </w:rPr>
            </w:pPr>
          </w:p>
        </w:tc>
      </w:tr>
      <w:tr w:rsidR="00F916D8" w:rsidRPr="002F3598" w14:paraId="172C46C0" w14:textId="57039AD4" w:rsidTr="00F916D8">
        <w:tc>
          <w:tcPr>
            <w:tcW w:w="877" w:type="dxa"/>
            <w:vMerge w:val="restart"/>
            <w:shd w:val="clear" w:color="auto" w:fill="FF0000"/>
          </w:tcPr>
          <w:p w14:paraId="5FE0D355" w14:textId="6FDACEED" w:rsidR="00213C39" w:rsidRPr="002F3598" w:rsidRDefault="00213C39" w:rsidP="00213C39">
            <w:pPr>
              <w:rPr>
                <w:rFonts w:cs="Times New Roman"/>
                <w:b/>
                <w:bCs/>
                <w:sz w:val="16"/>
                <w:szCs w:val="16"/>
              </w:rPr>
            </w:pPr>
            <w:r>
              <w:rPr>
                <w:rFonts w:cs="Times New Roman"/>
                <w:b/>
                <w:bCs/>
                <w:sz w:val="16"/>
                <w:szCs w:val="16"/>
              </w:rPr>
              <w:t>Class 1/High</w:t>
            </w:r>
          </w:p>
        </w:tc>
        <w:tc>
          <w:tcPr>
            <w:tcW w:w="523" w:type="dxa"/>
          </w:tcPr>
          <w:p w14:paraId="4F185C96" w14:textId="38413DAE" w:rsidR="00213C39" w:rsidRPr="00213C39" w:rsidRDefault="00213C39" w:rsidP="00213C39">
            <w:pPr>
              <w:rPr>
                <w:rFonts w:cs="Times New Roman"/>
                <w:sz w:val="16"/>
                <w:szCs w:val="16"/>
              </w:rPr>
            </w:pPr>
            <w:r w:rsidRPr="00213C39">
              <w:rPr>
                <w:rFonts w:cs="Times New Roman"/>
                <w:sz w:val="16"/>
                <w:szCs w:val="16"/>
              </w:rPr>
              <w:t>1</w:t>
            </w:r>
          </w:p>
        </w:tc>
        <w:tc>
          <w:tcPr>
            <w:tcW w:w="1096" w:type="dxa"/>
          </w:tcPr>
          <w:p w14:paraId="74A4D83B" w14:textId="461D678C" w:rsidR="00213C39" w:rsidRPr="00213C39" w:rsidRDefault="00213C39" w:rsidP="00213C39">
            <w:pPr>
              <w:rPr>
                <w:rFonts w:cs="Times New Roman"/>
                <w:sz w:val="16"/>
                <w:szCs w:val="16"/>
              </w:rPr>
            </w:pPr>
            <w:r w:rsidRPr="00213C39">
              <w:rPr>
                <w:rFonts w:cs="Times New Roman"/>
                <w:sz w:val="16"/>
                <w:szCs w:val="16"/>
              </w:rPr>
              <w:t>Yes</w:t>
            </w:r>
          </w:p>
        </w:tc>
        <w:tc>
          <w:tcPr>
            <w:tcW w:w="719" w:type="dxa"/>
          </w:tcPr>
          <w:p w14:paraId="7308454B" w14:textId="279B34F3" w:rsidR="00213C39" w:rsidRPr="00213C39" w:rsidRDefault="00213C39" w:rsidP="00213C39">
            <w:pPr>
              <w:rPr>
                <w:rFonts w:cs="Times New Roman"/>
                <w:sz w:val="16"/>
                <w:szCs w:val="16"/>
              </w:rPr>
            </w:pPr>
            <w:r w:rsidRPr="00213C39">
              <w:rPr>
                <w:rFonts w:cs="Times New Roman"/>
                <w:sz w:val="16"/>
                <w:szCs w:val="16"/>
              </w:rPr>
              <w:t>Large</w:t>
            </w:r>
          </w:p>
        </w:tc>
        <w:tc>
          <w:tcPr>
            <w:tcW w:w="884" w:type="dxa"/>
          </w:tcPr>
          <w:p w14:paraId="1F5743D0" w14:textId="49F51351"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71D135E3" w14:textId="1E632C86"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020D2F91" w14:textId="681CA1AA" w:rsidR="00213C39" w:rsidRPr="00213C39" w:rsidRDefault="00213C39" w:rsidP="00213C39">
            <w:pPr>
              <w:rPr>
                <w:rFonts w:cs="Times New Roman"/>
                <w:sz w:val="16"/>
                <w:szCs w:val="16"/>
              </w:rPr>
            </w:pPr>
            <w:r w:rsidRPr="00213C39">
              <w:rPr>
                <w:rFonts w:cs="Times New Roman"/>
                <w:sz w:val="16"/>
                <w:szCs w:val="16"/>
              </w:rPr>
              <w:t>N/A</w:t>
            </w:r>
          </w:p>
        </w:tc>
        <w:tc>
          <w:tcPr>
            <w:tcW w:w="830" w:type="dxa"/>
          </w:tcPr>
          <w:p w14:paraId="4EE688F2" w14:textId="48EF71F6"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7D207964" w14:textId="303E1AEE"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61DDDB20" w14:textId="099CAA94"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4057A3AA" w14:textId="1735A0BF"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45684EF7" w14:textId="7D2E8067" w:rsidTr="00F916D8">
        <w:tc>
          <w:tcPr>
            <w:tcW w:w="877" w:type="dxa"/>
            <w:vMerge/>
            <w:shd w:val="clear" w:color="auto" w:fill="FF0000"/>
          </w:tcPr>
          <w:p w14:paraId="18A2EB59" w14:textId="77777777" w:rsidR="00213C39" w:rsidRPr="002F3598" w:rsidRDefault="00213C39" w:rsidP="00213C39">
            <w:pPr>
              <w:rPr>
                <w:rFonts w:cs="Times New Roman"/>
                <w:b/>
                <w:bCs/>
                <w:sz w:val="16"/>
                <w:szCs w:val="16"/>
              </w:rPr>
            </w:pPr>
          </w:p>
        </w:tc>
        <w:tc>
          <w:tcPr>
            <w:tcW w:w="523" w:type="dxa"/>
          </w:tcPr>
          <w:p w14:paraId="3D2B86A1" w14:textId="39E7FF1F" w:rsidR="00213C39" w:rsidRPr="00213C39" w:rsidRDefault="00213C39" w:rsidP="00213C39">
            <w:pPr>
              <w:rPr>
                <w:rFonts w:cs="Times New Roman"/>
                <w:sz w:val="16"/>
                <w:szCs w:val="16"/>
              </w:rPr>
            </w:pPr>
            <w:r w:rsidRPr="00213C39">
              <w:rPr>
                <w:rFonts w:cs="Times New Roman"/>
                <w:sz w:val="16"/>
                <w:szCs w:val="16"/>
              </w:rPr>
              <w:t>2</w:t>
            </w:r>
          </w:p>
        </w:tc>
        <w:tc>
          <w:tcPr>
            <w:tcW w:w="1096" w:type="dxa"/>
          </w:tcPr>
          <w:p w14:paraId="49D8AB66" w14:textId="2D39A993" w:rsidR="00213C39" w:rsidRPr="00213C39" w:rsidRDefault="00213C39" w:rsidP="00213C39">
            <w:pPr>
              <w:rPr>
                <w:rFonts w:cs="Times New Roman"/>
                <w:sz w:val="16"/>
                <w:szCs w:val="16"/>
              </w:rPr>
            </w:pPr>
            <w:r w:rsidRPr="00213C39">
              <w:rPr>
                <w:rFonts w:cs="Times New Roman"/>
                <w:sz w:val="16"/>
                <w:szCs w:val="16"/>
              </w:rPr>
              <w:t>Yes</w:t>
            </w:r>
          </w:p>
        </w:tc>
        <w:tc>
          <w:tcPr>
            <w:tcW w:w="719" w:type="dxa"/>
          </w:tcPr>
          <w:p w14:paraId="18344AE3" w14:textId="6D050D8A" w:rsidR="00213C39" w:rsidRPr="00213C39" w:rsidRDefault="00213C39" w:rsidP="00213C39">
            <w:pPr>
              <w:rPr>
                <w:rFonts w:cs="Times New Roman"/>
                <w:sz w:val="16"/>
                <w:szCs w:val="16"/>
              </w:rPr>
            </w:pPr>
            <w:r w:rsidRPr="00213C39">
              <w:rPr>
                <w:rFonts w:cs="Times New Roman"/>
                <w:sz w:val="16"/>
                <w:szCs w:val="16"/>
              </w:rPr>
              <w:t>Medium</w:t>
            </w:r>
          </w:p>
        </w:tc>
        <w:tc>
          <w:tcPr>
            <w:tcW w:w="884" w:type="dxa"/>
          </w:tcPr>
          <w:p w14:paraId="2929B059" w14:textId="58F4B64D"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3F5EFD8E" w14:textId="5DAFC820"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3A320568" w14:textId="18A77875" w:rsidR="00213C39" w:rsidRPr="00213C39" w:rsidRDefault="00213C39" w:rsidP="00213C39">
            <w:pPr>
              <w:rPr>
                <w:rFonts w:cs="Times New Roman"/>
                <w:sz w:val="16"/>
                <w:szCs w:val="16"/>
              </w:rPr>
            </w:pPr>
            <w:r w:rsidRPr="00213C39">
              <w:rPr>
                <w:rFonts w:cs="Times New Roman"/>
                <w:sz w:val="16"/>
                <w:szCs w:val="16"/>
              </w:rPr>
              <w:t>Yes</w:t>
            </w:r>
          </w:p>
        </w:tc>
        <w:tc>
          <w:tcPr>
            <w:tcW w:w="830" w:type="dxa"/>
          </w:tcPr>
          <w:p w14:paraId="2C0631F0" w14:textId="24F3C2DC"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04B67EC9" w14:textId="1F1B3F1A"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682A9A24" w14:textId="29256740"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7C00F2D7" w14:textId="7F647F26"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69D4F547" w14:textId="4B711306" w:rsidTr="00F916D8">
        <w:tc>
          <w:tcPr>
            <w:tcW w:w="877" w:type="dxa"/>
            <w:vMerge/>
            <w:shd w:val="clear" w:color="auto" w:fill="FF0000"/>
          </w:tcPr>
          <w:p w14:paraId="4DAA252F" w14:textId="77777777" w:rsidR="00213C39" w:rsidRPr="002F3598" w:rsidRDefault="00213C39" w:rsidP="00213C39">
            <w:pPr>
              <w:rPr>
                <w:rFonts w:cs="Times New Roman"/>
                <w:b/>
                <w:bCs/>
                <w:sz w:val="16"/>
                <w:szCs w:val="16"/>
              </w:rPr>
            </w:pPr>
          </w:p>
        </w:tc>
        <w:tc>
          <w:tcPr>
            <w:tcW w:w="523" w:type="dxa"/>
          </w:tcPr>
          <w:p w14:paraId="1361528B" w14:textId="143329F9" w:rsidR="00213C39" w:rsidRPr="00213C39" w:rsidRDefault="00213C39" w:rsidP="00213C39">
            <w:pPr>
              <w:rPr>
                <w:rFonts w:cs="Times New Roman"/>
                <w:sz w:val="16"/>
                <w:szCs w:val="16"/>
              </w:rPr>
            </w:pPr>
            <w:r w:rsidRPr="00213C39">
              <w:rPr>
                <w:rFonts w:cs="Times New Roman"/>
                <w:sz w:val="16"/>
                <w:szCs w:val="16"/>
              </w:rPr>
              <w:t>3</w:t>
            </w:r>
          </w:p>
        </w:tc>
        <w:tc>
          <w:tcPr>
            <w:tcW w:w="1096" w:type="dxa"/>
          </w:tcPr>
          <w:p w14:paraId="17A86981" w14:textId="4B3BD7D9" w:rsidR="00213C39" w:rsidRPr="00213C39" w:rsidRDefault="00213C39" w:rsidP="00213C39">
            <w:pPr>
              <w:rPr>
                <w:rFonts w:cs="Times New Roman"/>
                <w:sz w:val="16"/>
                <w:szCs w:val="16"/>
              </w:rPr>
            </w:pPr>
            <w:r w:rsidRPr="00213C39">
              <w:rPr>
                <w:rFonts w:cs="Times New Roman"/>
                <w:sz w:val="16"/>
                <w:szCs w:val="16"/>
              </w:rPr>
              <w:t>No</w:t>
            </w:r>
          </w:p>
        </w:tc>
        <w:tc>
          <w:tcPr>
            <w:tcW w:w="719" w:type="dxa"/>
          </w:tcPr>
          <w:p w14:paraId="32E42686" w14:textId="3865BF4B" w:rsidR="00213C39" w:rsidRPr="00213C39" w:rsidRDefault="00213C39" w:rsidP="00213C39">
            <w:pPr>
              <w:rPr>
                <w:rFonts w:cs="Times New Roman"/>
                <w:sz w:val="16"/>
                <w:szCs w:val="16"/>
              </w:rPr>
            </w:pPr>
            <w:r w:rsidRPr="00213C39">
              <w:rPr>
                <w:rFonts w:cs="Times New Roman"/>
                <w:sz w:val="16"/>
                <w:szCs w:val="16"/>
              </w:rPr>
              <w:t>Large</w:t>
            </w:r>
          </w:p>
        </w:tc>
        <w:tc>
          <w:tcPr>
            <w:tcW w:w="884" w:type="dxa"/>
          </w:tcPr>
          <w:p w14:paraId="75A6A00B" w14:textId="3F028F26"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1456BD23" w14:textId="3B9D5D59"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5EA293FF" w14:textId="5AA0BF2C" w:rsidR="00213C39" w:rsidRPr="00213C39" w:rsidRDefault="00213C39" w:rsidP="00213C39">
            <w:pPr>
              <w:rPr>
                <w:rFonts w:cs="Times New Roman"/>
                <w:sz w:val="16"/>
                <w:szCs w:val="16"/>
              </w:rPr>
            </w:pPr>
            <w:r w:rsidRPr="00213C39">
              <w:rPr>
                <w:rFonts w:cs="Times New Roman"/>
                <w:sz w:val="16"/>
                <w:szCs w:val="16"/>
              </w:rPr>
              <w:t>Yes</w:t>
            </w:r>
          </w:p>
        </w:tc>
        <w:tc>
          <w:tcPr>
            <w:tcW w:w="830" w:type="dxa"/>
          </w:tcPr>
          <w:p w14:paraId="1E1484E4" w14:textId="36873941"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143ADDD9" w14:textId="61EE6A1D"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315D7818" w14:textId="148D344F"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4BF39CD4" w14:textId="4D6EC4BF"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1FF2F87D" w14:textId="5BD44E13" w:rsidTr="00F916D8">
        <w:tc>
          <w:tcPr>
            <w:tcW w:w="877" w:type="dxa"/>
            <w:vMerge/>
            <w:shd w:val="clear" w:color="auto" w:fill="FF0000"/>
          </w:tcPr>
          <w:p w14:paraId="29D2865A" w14:textId="77777777" w:rsidR="00213C39" w:rsidRPr="002F3598" w:rsidRDefault="00213C39" w:rsidP="00213C39">
            <w:pPr>
              <w:rPr>
                <w:rFonts w:cs="Times New Roman"/>
                <w:b/>
                <w:bCs/>
                <w:sz w:val="16"/>
                <w:szCs w:val="16"/>
              </w:rPr>
            </w:pPr>
          </w:p>
        </w:tc>
        <w:tc>
          <w:tcPr>
            <w:tcW w:w="523" w:type="dxa"/>
          </w:tcPr>
          <w:p w14:paraId="0C78F135" w14:textId="09DDE38B" w:rsidR="00213C39" w:rsidRPr="00213C39" w:rsidRDefault="00213C39" w:rsidP="00213C39">
            <w:pPr>
              <w:rPr>
                <w:rFonts w:cs="Times New Roman"/>
                <w:sz w:val="16"/>
                <w:szCs w:val="16"/>
              </w:rPr>
            </w:pPr>
            <w:r w:rsidRPr="00213C39">
              <w:rPr>
                <w:rFonts w:cs="Times New Roman"/>
                <w:sz w:val="16"/>
                <w:szCs w:val="16"/>
              </w:rPr>
              <w:t>4</w:t>
            </w:r>
          </w:p>
        </w:tc>
        <w:tc>
          <w:tcPr>
            <w:tcW w:w="1096" w:type="dxa"/>
          </w:tcPr>
          <w:p w14:paraId="16CA2ECF" w14:textId="79FB62C8" w:rsidR="00213C39" w:rsidRPr="00213C39" w:rsidRDefault="00213C39" w:rsidP="00213C39">
            <w:pPr>
              <w:rPr>
                <w:rFonts w:cs="Times New Roman"/>
                <w:sz w:val="16"/>
                <w:szCs w:val="16"/>
              </w:rPr>
            </w:pPr>
            <w:r w:rsidRPr="00213C39">
              <w:rPr>
                <w:rFonts w:cs="Times New Roman"/>
                <w:sz w:val="16"/>
                <w:szCs w:val="16"/>
              </w:rPr>
              <w:t>N/A</w:t>
            </w:r>
          </w:p>
        </w:tc>
        <w:tc>
          <w:tcPr>
            <w:tcW w:w="719" w:type="dxa"/>
          </w:tcPr>
          <w:p w14:paraId="657289A6" w14:textId="142F58BC" w:rsidR="00213C39" w:rsidRPr="00213C39" w:rsidRDefault="00213C39" w:rsidP="00213C39">
            <w:pPr>
              <w:rPr>
                <w:rFonts w:cs="Times New Roman"/>
                <w:sz w:val="16"/>
                <w:szCs w:val="16"/>
              </w:rPr>
            </w:pPr>
            <w:r w:rsidRPr="00213C39">
              <w:rPr>
                <w:rFonts w:cs="Times New Roman"/>
                <w:sz w:val="16"/>
                <w:szCs w:val="16"/>
              </w:rPr>
              <w:t>Large or medium</w:t>
            </w:r>
          </w:p>
        </w:tc>
        <w:tc>
          <w:tcPr>
            <w:tcW w:w="884" w:type="dxa"/>
          </w:tcPr>
          <w:p w14:paraId="761785F6" w14:textId="102408C2" w:rsidR="00213C39" w:rsidRPr="00213C39" w:rsidRDefault="00213C39" w:rsidP="00213C39">
            <w:pPr>
              <w:rPr>
                <w:rFonts w:cs="Times New Roman"/>
                <w:sz w:val="16"/>
                <w:szCs w:val="16"/>
              </w:rPr>
            </w:pPr>
            <w:r w:rsidRPr="00213C39">
              <w:rPr>
                <w:rFonts w:cs="Times New Roman"/>
                <w:sz w:val="16"/>
                <w:szCs w:val="16"/>
              </w:rPr>
              <w:t>Yes</w:t>
            </w:r>
          </w:p>
        </w:tc>
        <w:tc>
          <w:tcPr>
            <w:tcW w:w="963" w:type="dxa"/>
          </w:tcPr>
          <w:p w14:paraId="7F7B1457" w14:textId="1F13047D"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2FC8560D" w14:textId="0AE9E1EB" w:rsidR="00213C39" w:rsidRPr="00213C39" w:rsidRDefault="00213C39" w:rsidP="00213C39">
            <w:pPr>
              <w:rPr>
                <w:rFonts w:cs="Times New Roman"/>
                <w:sz w:val="16"/>
                <w:szCs w:val="16"/>
              </w:rPr>
            </w:pPr>
            <w:r w:rsidRPr="00213C39">
              <w:rPr>
                <w:rFonts w:cs="Times New Roman"/>
                <w:sz w:val="16"/>
                <w:szCs w:val="16"/>
              </w:rPr>
              <w:t>Yes</w:t>
            </w:r>
          </w:p>
        </w:tc>
        <w:tc>
          <w:tcPr>
            <w:tcW w:w="830" w:type="dxa"/>
          </w:tcPr>
          <w:p w14:paraId="339A01B9" w14:textId="7CAC4974"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3640D73F" w14:textId="02E3E93D"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708E58D6" w14:textId="14D16A1E"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7AC41FAB" w14:textId="2D7EBB9D"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15BA886B" w14:textId="50FFCB1F" w:rsidTr="00F916D8">
        <w:tc>
          <w:tcPr>
            <w:tcW w:w="877" w:type="dxa"/>
            <w:vMerge/>
            <w:shd w:val="clear" w:color="auto" w:fill="FF0000"/>
          </w:tcPr>
          <w:p w14:paraId="473398DE" w14:textId="77777777" w:rsidR="00213C39" w:rsidRPr="002F3598" w:rsidRDefault="00213C39" w:rsidP="00213C39">
            <w:pPr>
              <w:rPr>
                <w:rFonts w:cs="Times New Roman"/>
                <w:b/>
                <w:bCs/>
                <w:sz w:val="16"/>
                <w:szCs w:val="16"/>
              </w:rPr>
            </w:pPr>
          </w:p>
        </w:tc>
        <w:tc>
          <w:tcPr>
            <w:tcW w:w="523" w:type="dxa"/>
          </w:tcPr>
          <w:p w14:paraId="217C651A" w14:textId="206EF3CF" w:rsidR="00213C39" w:rsidRPr="00213C39" w:rsidRDefault="00213C39" w:rsidP="00213C39">
            <w:pPr>
              <w:rPr>
                <w:rFonts w:cs="Times New Roman"/>
                <w:sz w:val="16"/>
                <w:szCs w:val="16"/>
              </w:rPr>
            </w:pPr>
            <w:r w:rsidRPr="00213C39">
              <w:rPr>
                <w:rFonts w:cs="Times New Roman"/>
                <w:sz w:val="16"/>
                <w:szCs w:val="16"/>
              </w:rPr>
              <w:t>5</w:t>
            </w:r>
          </w:p>
        </w:tc>
        <w:tc>
          <w:tcPr>
            <w:tcW w:w="1096" w:type="dxa"/>
          </w:tcPr>
          <w:p w14:paraId="3C3F51DD" w14:textId="7D28332F" w:rsidR="00213C39" w:rsidRPr="00213C39" w:rsidRDefault="00213C39" w:rsidP="00213C39">
            <w:pPr>
              <w:rPr>
                <w:rFonts w:cs="Times New Roman"/>
                <w:sz w:val="16"/>
                <w:szCs w:val="16"/>
              </w:rPr>
            </w:pPr>
            <w:r w:rsidRPr="00213C39">
              <w:rPr>
                <w:rFonts w:cs="Times New Roman"/>
                <w:sz w:val="16"/>
                <w:szCs w:val="16"/>
              </w:rPr>
              <w:t>N/A</w:t>
            </w:r>
          </w:p>
        </w:tc>
        <w:tc>
          <w:tcPr>
            <w:tcW w:w="719" w:type="dxa"/>
          </w:tcPr>
          <w:p w14:paraId="643466B2" w14:textId="4904FA03" w:rsidR="00213C39" w:rsidRPr="00213C39" w:rsidRDefault="00213C39" w:rsidP="00213C39">
            <w:pPr>
              <w:rPr>
                <w:rFonts w:cs="Times New Roman"/>
                <w:sz w:val="16"/>
                <w:szCs w:val="16"/>
              </w:rPr>
            </w:pPr>
            <w:r w:rsidRPr="00213C39">
              <w:rPr>
                <w:rFonts w:cs="Times New Roman"/>
                <w:sz w:val="16"/>
                <w:szCs w:val="16"/>
              </w:rPr>
              <w:t>Large or medium</w:t>
            </w:r>
          </w:p>
        </w:tc>
        <w:tc>
          <w:tcPr>
            <w:tcW w:w="884" w:type="dxa"/>
          </w:tcPr>
          <w:p w14:paraId="4954AB95" w14:textId="5170B931"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504742B4" w14:textId="071B3160" w:rsidR="00213C39" w:rsidRPr="00213C39" w:rsidRDefault="00213C39" w:rsidP="00213C39">
            <w:pPr>
              <w:rPr>
                <w:rFonts w:cs="Times New Roman"/>
                <w:sz w:val="16"/>
                <w:szCs w:val="16"/>
              </w:rPr>
            </w:pPr>
            <w:r w:rsidRPr="00213C39">
              <w:rPr>
                <w:rFonts w:cs="Times New Roman"/>
                <w:sz w:val="16"/>
                <w:szCs w:val="16"/>
              </w:rPr>
              <w:t>Yes (mineral or water resources)</w:t>
            </w:r>
          </w:p>
        </w:tc>
        <w:tc>
          <w:tcPr>
            <w:tcW w:w="1096" w:type="dxa"/>
          </w:tcPr>
          <w:p w14:paraId="58D6C97B" w14:textId="06457C17" w:rsidR="00213C39" w:rsidRPr="00213C39" w:rsidRDefault="00213C39" w:rsidP="00213C39">
            <w:pPr>
              <w:rPr>
                <w:rFonts w:cs="Times New Roman"/>
                <w:sz w:val="16"/>
                <w:szCs w:val="16"/>
              </w:rPr>
            </w:pPr>
            <w:r w:rsidRPr="00213C39">
              <w:rPr>
                <w:rFonts w:cs="Times New Roman"/>
                <w:sz w:val="16"/>
                <w:szCs w:val="16"/>
              </w:rPr>
              <w:t>Yes</w:t>
            </w:r>
          </w:p>
        </w:tc>
        <w:tc>
          <w:tcPr>
            <w:tcW w:w="830" w:type="dxa"/>
          </w:tcPr>
          <w:p w14:paraId="42FC6892" w14:textId="788AD4FB"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684490AA" w14:textId="206BF8D6"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296EAB9E" w14:textId="642B9DBA"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0020429A" w14:textId="71F042E9"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65AF7012" w14:textId="70A7B55B" w:rsidTr="00F916D8">
        <w:tc>
          <w:tcPr>
            <w:tcW w:w="877" w:type="dxa"/>
            <w:vMerge/>
            <w:shd w:val="clear" w:color="auto" w:fill="FF0000"/>
          </w:tcPr>
          <w:p w14:paraId="3010374E" w14:textId="77777777" w:rsidR="00213C39" w:rsidRPr="002F3598" w:rsidRDefault="00213C39" w:rsidP="00213C39">
            <w:pPr>
              <w:rPr>
                <w:rFonts w:cs="Times New Roman"/>
                <w:b/>
                <w:bCs/>
                <w:sz w:val="16"/>
                <w:szCs w:val="16"/>
              </w:rPr>
            </w:pPr>
          </w:p>
        </w:tc>
        <w:tc>
          <w:tcPr>
            <w:tcW w:w="523" w:type="dxa"/>
          </w:tcPr>
          <w:p w14:paraId="79267B48" w14:textId="5B8C1B66" w:rsidR="00213C39" w:rsidRPr="00213C39" w:rsidRDefault="00213C39" w:rsidP="00213C39">
            <w:pPr>
              <w:rPr>
                <w:rFonts w:cs="Times New Roman"/>
                <w:sz w:val="16"/>
                <w:szCs w:val="16"/>
              </w:rPr>
            </w:pPr>
            <w:r w:rsidRPr="00213C39">
              <w:rPr>
                <w:rFonts w:cs="Times New Roman"/>
                <w:sz w:val="16"/>
                <w:szCs w:val="16"/>
              </w:rPr>
              <w:t>6</w:t>
            </w:r>
          </w:p>
        </w:tc>
        <w:tc>
          <w:tcPr>
            <w:tcW w:w="1096" w:type="dxa"/>
          </w:tcPr>
          <w:p w14:paraId="54547217" w14:textId="2A66670D" w:rsidR="00213C39" w:rsidRPr="00213C39" w:rsidRDefault="00213C39" w:rsidP="00213C39">
            <w:pPr>
              <w:rPr>
                <w:rFonts w:cs="Times New Roman"/>
                <w:sz w:val="16"/>
                <w:szCs w:val="16"/>
              </w:rPr>
            </w:pPr>
            <w:r w:rsidRPr="00213C39">
              <w:rPr>
                <w:rFonts w:cs="Times New Roman"/>
                <w:sz w:val="16"/>
                <w:szCs w:val="16"/>
              </w:rPr>
              <w:t>N/A</w:t>
            </w:r>
          </w:p>
        </w:tc>
        <w:tc>
          <w:tcPr>
            <w:tcW w:w="719" w:type="dxa"/>
          </w:tcPr>
          <w:p w14:paraId="46A9BCCA" w14:textId="4625654A" w:rsidR="00213C39" w:rsidRPr="00213C39" w:rsidRDefault="00213C39" w:rsidP="00213C39">
            <w:pPr>
              <w:rPr>
                <w:rFonts w:cs="Times New Roman"/>
                <w:sz w:val="16"/>
                <w:szCs w:val="16"/>
              </w:rPr>
            </w:pPr>
            <w:r w:rsidRPr="00213C39">
              <w:rPr>
                <w:rFonts w:cs="Times New Roman"/>
                <w:sz w:val="16"/>
                <w:szCs w:val="16"/>
              </w:rPr>
              <w:t>Large or medium</w:t>
            </w:r>
          </w:p>
        </w:tc>
        <w:tc>
          <w:tcPr>
            <w:tcW w:w="884" w:type="dxa"/>
          </w:tcPr>
          <w:p w14:paraId="78BC6274" w14:textId="341A3FDB" w:rsidR="00213C39" w:rsidRPr="00213C39" w:rsidRDefault="00213C39" w:rsidP="00213C39">
            <w:pPr>
              <w:rPr>
                <w:rFonts w:cs="Times New Roman"/>
                <w:sz w:val="16"/>
                <w:szCs w:val="16"/>
              </w:rPr>
            </w:pPr>
            <w:r w:rsidRPr="00213C39">
              <w:rPr>
                <w:rFonts w:cs="Times New Roman"/>
                <w:sz w:val="16"/>
                <w:szCs w:val="16"/>
              </w:rPr>
              <w:t>Yes</w:t>
            </w:r>
          </w:p>
        </w:tc>
        <w:tc>
          <w:tcPr>
            <w:tcW w:w="963" w:type="dxa"/>
          </w:tcPr>
          <w:p w14:paraId="6E19EA82" w14:textId="3941F123"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73466C7E" w14:textId="550BBD36" w:rsidR="00213C39" w:rsidRPr="00213C39" w:rsidRDefault="00213C39" w:rsidP="00213C39">
            <w:pPr>
              <w:rPr>
                <w:rFonts w:cs="Times New Roman"/>
                <w:sz w:val="16"/>
                <w:szCs w:val="16"/>
              </w:rPr>
            </w:pPr>
            <w:r w:rsidRPr="00213C39">
              <w:rPr>
                <w:rFonts w:cs="Times New Roman"/>
                <w:sz w:val="16"/>
                <w:szCs w:val="16"/>
              </w:rPr>
              <w:t>Yes</w:t>
            </w:r>
          </w:p>
        </w:tc>
        <w:tc>
          <w:tcPr>
            <w:tcW w:w="830" w:type="dxa"/>
          </w:tcPr>
          <w:p w14:paraId="6FBD13EF" w14:textId="0119AC7B"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43B2A2E6" w14:textId="3AB34EDC"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37201AC3" w14:textId="392800DB"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6CE552BA" w14:textId="2943CC6C"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54481D35" w14:textId="77777777" w:rsidTr="00F916D8">
        <w:tc>
          <w:tcPr>
            <w:tcW w:w="877" w:type="dxa"/>
            <w:vMerge/>
            <w:shd w:val="clear" w:color="auto" w:fill="FF0000"/>
          </w:tcPr>
          <w:p w14:paraId="442C1D56" w14:textId="77777777" w:rsidR="00213C39" w:rsidRPr="002F3598" w:rsidRDefault="00213C39" w:rsidP="00213C39">
            <w:pPr>
              <w:rPr>
                <w:rFonts w:cs="Times New Roman"/>
                <w:b/>
                <w:bCs/>
                <w:sz w:val="16"/>
                <w:szCs w:val="16"/>
              </w:rPr>
            </w:pPr>
          </w:p>
        </w:tc>
        <w:tc>
          <w:tcPr>
            <w:tcW w:w="523" w:type="dxa"/>
          </w:tcPr>
          <w:p w14:paraId="6B6E4E79" w14:textId="2903F1AC" w:rsidR="00213C39" w:rsidRPr="00213C39" w:rsidRDefault="00213C39" w:rsidP="00213C39">
            <w:pPr>
              <w:rPr>
                <w:rFonts w:cs="Times New Roman"/>
                <w:sz w:val="16"/>
                <w:szCs w:val="16"/>
              </w:rPr>
            </w:pPr>
            <w:r w:rsidRPr="00213C39">
              <w:rPr>
                <w:rFonts w:cs="Times New Roman"/>
                <w:sz w:val="16"/>
                <w:szCs w:val="16"/>
              </w:rPr>
              <w:t>7</w:t>
            </w:r>
          </w:p>
        </w:tc>
        <w:tc>
          <w:tcPr>
            <w:tcW w:w="1096" w:type="dxa"/>
          </w:tcPr>
          <w:p w14:paraId="01C556D2" w14:textId="2EE9F3B5" w:rsidR="00213C39" w:rsidRPr="00213C39" w:rsidRDefault="00213C39" w:rsidP="00213C39">
            <w:pPr>
              <w:rPr>
                <w:rFonts w:cs="Times New Roman"/>
                <w:sz w:val="16"/>
                <w:szCs w:val="16"/>
              </w:rPr>
            </w:pPr>
            <w:r w:rsidRPr="00213C39">
              <w:rPr>
                <w:rFonts w:cs="Times New Roman"/>
                <w:sz w:val="16"/>
                <w:szCs w:val="16"/>
              </w:rPr>
              <w:t>N/A</w:t>
            </w:r>
          </w:p>
        </w:tc>
        <w:tc>
          <w:tcPr>
            <w:tcW w:w="719" w:type="dxa"/>
          </w:tcPr>
          <w:p w14:paraId="0AA06845" w14:textId="49C5F92B" w:rsidR="00213C39" w:rsidRPr="00213C39" w:rsidRDefault="00213C39" w:rsidP="00213C39">
            <w:pPr>
              <w:rPr>
                <w:rFonts w:cs="Times New Roman"/>
                <w:sz w:val="16"/>
                <w:szCs w:val="16"/>
              </w:rPr>
            </w:pPr>
            <w:r w:rsidRPr="00213C39">
              <w:rPr>
                <w:rFonts w:cs="Times New Roman"/>
                <w:sz w:val="16"/>
                <w:szCs w:val="16"/>
              </w:rPr>
              <w:t>N/A</w:t>
            </w:r>
          </w:p>
        </w:tc>
        <w:tc>
          <w:tcPr>
            <w:tcW w:w="884" w:type="dxa"/>
          </w:tcPr>
          <w:p w14:paraId="46CCD877" w14:textId="6E10901E"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3B991CF2" w14:textId="31CCAD93"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7BF844A8" w14:textId="1E6943AD" w:rsidR="00213C39" w:rsidRPr="00213C39" w:rsidRDefault="00213C39" w:rsidP="00213C39">
            <w:pPr>
              <w:rPr>
                <w:rFonts w:cs="Times New Roman"/>
                <w:sz w:val="16"/>
                <w:szCs w:val="16"/>
              </w:rPr>
            </w:pPr>
            <w:r w:rsidRPr="00213C39">
              <w:rPr>
                <w:rFonts w:cs="Times New Roman"/>
                <w:sz w:val="16"/>
                <w:szCs w:val="16"/>
              </w:rPr>
              <w:t>Large scale relocation or resettlement</w:t>
            </w:r>
          </w:p>
        </w:tc>
        <w:tc>
          <w:tcPr>
            <w:tcW w:w="830" w:type="dxa"/>
          </w:tcPr>
          <w:p w14:paraId="7E6ECB93" w14:textId="50FA9192" w:rsidR="00213C39" w:rsidRPr="00213C39" w:rsidRDefault="00213C39" w:rsidP="00213C39">
            <w:pPr>
              <w:rPr>
                <w:rFonts w:cs="Times New Roman"/>
                <w:sz w:val="16"/>
                <w:szCs w:val="16"/>
              </w:rPr>
            </w:pPr>
            <w:r w:rsidRPr="00213C39">
              <w:rPr>
                <w:rFonts w:cs="Times New Roman"/>
                <w:sz w:val="16"/>
                <w:szCs w:val="16"/>
              </w:rPr>
              <w:t>N/A</w:t>
            </w:r>
          </w:p>
        </w:tc>
        <w:tc>
          <w:tcPr>
            <w:tcW w:w="672" w:type="dxa"/>
          </w:tcPr>
          <w:p w14:paraId="7B84D1FE" w14:textId="72573C01" w:rsidR="00213C39" w:rsidRPr="00213C39" w:rsidRDefault="00213C39" w:rsidP="00213C39">
            <w:pPr>
              <w:rPr>
                <w:rFonts w:cs="Times New Roman"/>
                <w:sz w:val="16"/>
                <w:szCs w:val="16"/>
              </w:rPr>
            </w:pPr>
            <w:r w:rsidRPr="00213C39">
              <w:rPr>
                <w:rFonts w:cs="Times New Roman"/>
                <w:sz w:val="16"/>
                <w:szCs w:val="16"/>
              </w:rPr>
              <w:t>Yes</w:t>
            </w:r>
          </w:p>
        </w:tc>
        <w:tc>
          <w:tcPr>
            <w:tcW w:w="672" w:type="dxa"/>
          </w:tcPr>
          <w:p w14:paraId="3178E666" w14:textId="316B946F"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062BAAE7" w14:textId="290614BE"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2D2B999E" w14:textId="77777777" w:rsidTr="00F916D8">
        <w:tc>
          <w:tcPr>
            <w:tcW w:w="877" w:type="dxa"/>
            <w:vMerge/>
            <w:shd w:val="clear" w:color="auto" w:fill="FF0000"/>
          </w:tcPr>
          <w:p w14:paraId="6D956A6B" w14:textId="77777777" w:rsidR="00213C39" w:rsidRPr="002F3598" w:rsidRDefault="00213C39" w:rsidP="00213C39">
            <w:pPr>
              <w:rPr>
                <w:rFonts w:cs="Times New Roman"/>
                <w:b/>
                <w:bCs/>
                <w:sz w:val="16"/>
                <w:szCs w:val="16"/>
              </w:rPr>
            </w:pPr>
          </w:p>
        </w:tc>
        <w:tc>
          <w:tcPr>
            <w:tcW w:w="523" w:type="dxa"/>
          </w:tcPr>
          <w:p w14:paraId="182087DB" w14:textId="175B1041" w:rsidR="00213C39" w:rsidRPr="00213C39" w:rsidRDefault="00213C39" w:rsidP="00213C39">
            <w:pPr>
              <w:rPr>
                <w:rFonts w:cs="Times New Roman"/>
                <w:sz w:val="16"/>
                <w:szCs w:val="16"/>
              </w:rPr>
            </w:pPr>
            <w:r w:rsidRPr="00213C39">
              <w:rPr>
                <w:rFonts w:cs="Times New Roman"/>
                <w:sz w:val="16"/>
                <w:szCs w:val="16"/>
              </w:rPr>
              <w:t>8</w:t>
            </w:r>
          </w:p>
        </w:tc>
        <w:tc>
          <w:tcPr>
            <w:tcW w:w="1096" w:type="dxa"/>
          </w:tcPr>
          <w:p w14:paraId="33088F23" w14:textId="4DD20912" w:rsidR="00213C39" w:rsidRPr="00213C39" w:rsidRDefault="00213C39" w:rsidP="00213C39">
            <w:pPr>
              <w:rPr>
                <w:rFonts w:cs="Times New Roman"/>
                <w:sz w:val="16"/>
                <w:szCs w:val="16"/>
              </w:rPr>
            </w:pPr>
            <w:r w:rsidRPr="00213C39">
              <w:rPr>
                <w:rFonts w:cs="Times New Roman"/>
                <w:sz w:val="16"/>
                <w:szCs w:val="16"/>
              </w:rPr>
              <w:t>N/A</w:t>
            </w:r>
          </w:p>
        </w:tc>
        <w:tc>
          <w:tcPr>
            <w:tcW w:w="719" w:type="dxa"/>
          </w:tcPr>
          <w:p w14:paraId="6A67FC7E" w14:textId="36A56BA1" w:rsidR="00213C39" w:rsidRPr="00213C39" w:rsidRDefault="00213C39" w:rsidP="00213C39">
            <w:pPr>
              <w:rPr>
                <w:rFonts w:cs="Times New Roman"/>
                <w:sz w:val="16"/>
                <w:szCs w:val="16"/>
              </w:rPr>
            </w:pPr>
            <w:r w:rsidRPr="00213C39">
              <w:rPr>
                <w:rFonts w:cs="Times New Roman"/>
                <w:sz w:val="16"/>
                <w:szCs w:val="16"/>
              </w:rPr>
              <w:t>N/A</w:t>
            </w:r>
          </w:p>
        </w:tc>
        <w:tc>
          <w:tcPr>
            <w:tcW w:w="884" w:type="dxa"/>
          </w:tcPr>
          <w:p w14:paraId="324E5241" w14:textId="0C75CDC1" w:rsidR="00213C39" w:rsidRPr="00213C39" w:rsidRDefault="00213C39" w:rsidP="00213C39">
            <w:pPr>
              <w:rPr>
                <w:rFonts w:cs="Times New Roman"/>
                <w:sz w:val="16"/>
                <w:szCs w:val="16"/>
              </w:rPr>
            </w:pPr>
            <w:r w:rsidRPr="00213C39">
              <w:rPr>
                <w:rFonts w:cs="Times New Roman"/>
                <w:sz w:val="16"/>
                <w:szCs w:val="16"/>
              </w:rPr>
              <w:t>N/A</w:t>
            </w:r>
          </w:p>
        </w:tc>
        <w:tc>
          <w:tcPr>
            <w:tcW w:w="963" w:type="dxa"/>
          </w:tcPr>
          <w:p w14:paraId="01B65159" w14:textId="142B9C6C" w:rsidR="00213C39" w:rsidRPr="00213C39" w:rsidRDefault="00213C39" w:rsidP="00213C39">
            <w:pPr>
              <w:rPr>
                <w:rFonts w:cs="Times New Roman"/>
                <w:sz w:val="16"/>
                <w:szCs w:val="16"/>
              </w:rPr>
            </w:pPr>
            <w:r w:rsidRPr="00213C39">
              <w:rPr>
                <w:rFonts w:cs="Times New Roman"/>
                <w:sz w:val="16"/>
                <w:szCs w:val="16"/>
              </w:rPr>
              <w:t>N/A</w:t>
            </w:r>
          </w:p>
        </w:tc>
        <w:tc>
          <w:tcPr>
            <w:tcW w:w="1096" w:type="dxa"/>
          </w:tcPr>
          <w:p w14:paraId="4A5B6C9E" w14:textId="4755FD9E" w:rsidR="00213C39" w:rsidRPr="00213C39" w:rsidRDefault="00213C39" w:rsidP="00213C39">
            <w:pPr>
              <w:rPr>
                <w:rFonts w:cs="Times New Roman"/>
                <w:sz w:val="16"/>
                <w:szCs w:val="16"/>
              </w:rPr>
            </w:pPr>
            <w:r w:rsidRPr="00213C39">
              <w:rPr>
                <w:rFonts w:cs="Times New Roman"/>
                <w:sz w:val="16"/>
                <w:szCs w:val="16"/>
              </w:rPr>
              <w:t>N/A</w:t>
            </w:r>
          </w:p>
        </w:tc>
        <w:tc>
          <w:tcPr>
            <w:tcW w:w="830" w:type="dxa"/>
          </w:tcPr>
          <w:p w14:paraId="3062C677" w14:textId="7BE6734B" w:rsidR="00213C39" w:rsidRPr="00213C39" w:rsidRDefault="00213C39" w:rsidP="00213C39">
            <w:pPr>
              <w:rPr>
                <w:rFonts w:cs="Times New Roman"/>
                <w:sz w:val="16"/>
                <w:szCs w:val="16"/>
              </w:rPr>
            </w:pPr>
            <w:r w:rsidRPr="00213C39">
              <w:rPr>
                <w:rFonts w:cs="Times New Roman"/>
                <w:sz w:val="16"/>
                <w:szCs w:val="16"/>
              </w:rPr>
              <w:t xml:space="preserve">Projects providing hazardous waste </w:t>
            </w:r>
            <w:r w:rsidRPr="00213C39">
              <w:rPr>
                <w:rFonts w:cs="Times New Roman"/>
                <w:sz w:val="16"/>
                <w:szCs w:val="16"/>
              </w:rPr>
              <w:lastRenderedPageBreak/>
              <w:t>treatment services, or importing scrap from abroad for use as raw production materials</w:t>
            </w:r>
          </w:p>
        </w:tc>
        <w:tc>
          <w:tcPr>
            <w:tcW w:w="672" w:type="dxa"/>
          </w:tcPr>
          <w:p w14:paraId="58647E46" w14:textId="05978297" w:rsidR="00213C39" w:rsidRPr="00213C39" w:rsidRDefault="00213C39" w:rsidP="00213C39">
            <w:pPr>
              <w:rPr>
                <w:rFonts w:cs="Times New Roman"/>
                <w:sz w:val="16"/>
                <w:szCs w:val="16"/>
              </w:rPr>
            </w:pPr>
            <w:r w:rsidRPr="00213C39">
              <w:rPr>
                <w:rFonts w:cs="Times New Roman"/>
                <w:sz w:val="16"/>
                <w:szCs w:val="16"/>
              </w:rPr>
              <w:lastRenderedPageBreak/>
              <w:t>Yes</w:t>
            </w:r>
          </w:p>
        </w:tc>
        <w:tc>
          <w:tcPr>
            <w:tcW w:w="672" w:type="dxa"/>
          </w:tcPr>
          <w:p w14:paraId="224D225E" w14:textId="0C1AEB3A" w:rsidR="00213C39" w:rsidRPr="00213C39" w:rsidRDefault="00213C39" w:rsidP="00213C39">
            <w:pPr>
              <w:rPr>
                <w:rFonts w:cs="Times New Roman"/>
                <w:sz w:val="16"/>
                <w:szCs w:val="16"/>
              </w:rPr>
            </w:pPr>
            <w:r w:rsidRPr="00213C39">
              <w:rPr>
                <w:rFonts w:cs="Times New Roman"/>
                <w:sz w:val="16"/>
                <w:szCs w:val="16"/>
              </w:rPr>
              <w:t>Yes</w:t>
            </w:r>
          </w:p>
        </w:tc>
        <w:tc>
          <w:tcPr>
            <w:tcW w:w="1018" w:type="dxa"/>
          </w:tcPr>
          <w:p w14:paraId="042C28F3" w14:textId="695677C4" w:rsidR="00213C39" w:rsidRPr="00213C39" w:rsidRDefault="00213C39" w:rsidP="00213C39">
            <w:pPr>
              <w:rPr>
                <w:rFonts w:cs="Times New Roman"/>
                <w:sz w:val="16"/>
                <w:szCs w:val="16"/>
              </w:rPr>
            </w:pPr>
            <w:r w:rsidRPr="00213C39">
              <w:rPr>
                <w:rFonts w:cs="Times New Roman"/>
                <w:sz w:val="16"/>
                <w:szCs w:val="16"/>
              </w:rPr>
              <w:t>Yes</w:t>
            </w:r>
          </w:p>
        </w:tc>
      </w:tr>
      <w:tr w:rsidR="00F916D8" w:rsidRPr="002F3598" w14:paraId="0DA9CCE6" w14:textId="77777777" w:rsidTr="00F916D8">
        <w:tc>
          <w:tcPr>
            <w:tcW w:w="877" w:type="dxa"/>
            <w:vMerge w:val="restart"/>
            <w:shd w:val="clear" w:color="auto" w:fill="FFC000"/>
          </w:tcPr>
          <w:p w14:paraId="7CB103BC" w14:textId="063C094F" w:rsidR="00213C39" w:rsidRPr="002F3598" w:rsidRDefault="00213C39" w:rsidP="00213C39">
            <w:pPr>
              <w:rPr>
                <w:rFonts w:cs="Times New Roman"/>
                <w:b/>
                <w:bCs/>
                <w:sz w:val="16"/>
                <w:szCs w:val="16"/>
              </w:rPr>
            </w:pPr>
            <w:r>
              <w:rPr>
                <w:rFonts w:cs="Times New Roman"/>
                <w:b/>
                <w:bCs/>
                <w:sz w:val="16"/>
                <w:szCs w:val="16"/>
              </w:rPr>
              <w:t>Class II/Medium</w:t>
            </w:r>
          </w:p>
        </w:tc>
        <w:tc>
          <w:tcPr>
            <w:tcW w:w="523" w:type="dxa"/>
          </w:tcPr>
          <w:p w14:paraId="2DE92C1F" w14:textId="2F6DE576" w:rsidR="00213C39" w:rsidRPr="00F916D8" w:rsidRDefault="00213C39" w:rsidP="00213C39">
            <w:pPr>
              <w:rPr>
                <w:rFonts w:cs="Times New Roman"/>
                <w:sz w:val="16"/>
                <w:szCs w:val="16"/>
              </w:rPr>
            </w:pPr>
            <w:r w:rsidRPr="00F916D8">
              <w:rPr>
                <w:rFonts w:cs="Times New Roman"/>
                <w:sz w:val="16"/>
                <w:szCs w:val="16"/>
              </w:rPr>
              <w:t>1</w:t>
            </w:r>
          </w:p>
        </w:tc>
        <w:tc>
          <w:tcPr>
            <w:tcW w:w="1096" w:type="dxa"/>
          </w:tcPr>
          <w:p w14:paraId="654E7F98" w14:textId="2F4CC897" w:rsidR="00213C39" w:rsidRPr="00F916D8" w:rsidRDefault="00213C39" w:rsidP="00213C39">
            <w:pPr>
              <w:rPr>
                <w:rFonts w:cs="Times New Roman"/>
                <w:sz w:val="16"/>
                <w:szCs w:val="16"/>
              </w:rPr>
            </w:pPr>
            <w:r w:rsidRPr="00F916D8">
              <w:rPr>
                <w:rFonts w:cs="Times New Roman"/>
                <w:sz w:val="16"/>
                <w:szCs w:val="16"/>
              </w:rPr>
              <w:t>Yes</w:t>
            </w:r>
          </w:p>
        </w:tc>
        <w:tc>
          <w:tcPr>
            <w:tcW w:w="719" w:type="dxa"/>
          </w:tcPr>
          <w:p w14:paraId="0F81DE5C" w14:textId="0E3B3402" w:rsidR="00213C39" w:rsidRPr="00F916D8" w:rsidRDefault="00213C39" w:rsidP="00213C39">
            <w:pPr>
              <w:rPr>
                <w:rFonts w:cs="Times New Roman"/>
                <w:sz w:val="16"/>
                <w:szCs w:val="16"/>
              </w:rPr>
            </w:pPr>
            <w:r w:rsidRPr="00F916D8">
              <w:rPr>
                <w:rFonts w:cs="Times New Roman"/>
                <w:sz w:val="16"/>
                <w:szCs w:val="16"/>
              </w:rPr>
              <w:t>Medium</w:t>
            </w:r>
          </w:p>
        </w:tc>
        <w:tc>
          <w:tcPr>
            <w:tcW w:w="884" w:type="dxa"/>
          </w:tcPr>
          <w:p w14:paraId="043C37BB" w14:textId="47C60672" w:rsidR="00213C39" w:rsidRPr="00F916D8" w:rsidRDefault="00F916D8" w:rsidP="00213C39">
            <w:pPr>
              <w:rPr>
                <w:rFonts w:cs="Times New Roman"/>
                <w:sz w:val="16"/>
                <w:szCs w:val="16"/>
              </w:rPr>
            </w:pPr>
            <w:r w:rsidRPr="00F916D8">
              <w:rPr>
                <w:rFonts w:cs="Times New Roman"/>
                <w:sz w:val="16"/>
                <w:szCs w:val="16"/>
              </w:rPr>
              <w:t>N/A</w:t>
            </w:r>
          </w:p>
        </w:tc>
        <w:tc>
          <w:tcPr>
            <w:tcW w:w="963" w:type="dxa"/>
          </w:tcPr>
          <w:p w14:paraId="1532BF47" w14:textId="34A4F5FC"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56E0BF10" w14:textId="12DCE640" w:rsidR="00213C39" w:rsidRPr="00F916D8" w:rsidRDefault="00F916D8" w:rsidP="00213C39">
            <w:pPr>
              <w:rPr>
                <w:rFonts w:cs="Times New Roman"/>
                <w:sz w:val="16"/>
                <w:szCs w:val="16"/>
              </w:rPr>
            </w:pPr>
            <w:r w:rsidRPr="00F916D8">
              <w:rPr>
                <w:rFonts w:cs="Times New Roman"/>
                <w:sz w:val="16"/>
                <w:szCs w:val="16"/>
              </w:rPr>
              <w:t>N/A</w:t>
            </w:r>
          </w:p>
        </w:tc>
        <w:tc>
          <w:tcPr>
            <w:tcW w:w="830" w:type="dxa"/>
          </w:tcPr>
          <w:p w14:paraId="070EB277" w14:textId="1A7CD956"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59E1370D" w14:textId="3DDACFD0"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3009D3ED" w14:textId="291CAF3B" w:rsidR="00213C39" w:rsidRPr="00F916D8" w:rsidRDefault="00F916D8" w:rsidP="00213C39">
            <w:pPr>
              <w:rPr>
                <w:rFonts w:cs="Times New Roman"/>
                <w:sz w:val="16"/>
                <w:szCs w:val="16"/>
              </w:rPr>
            </w:pPr>
            <w:r w:rsidRPr="00F916D8">
              <w:rPr>
                <w:rFonts w:cs="Times New Roman"/>
                <w:sz w:val="16"/>
                <w:szCs w:val="16"/>
              </w:rPr>
              <w:t>No</w:t>
            </w:r>
          </w:p>
        </w:tc>
        <w:tc>
          <w:tcPr>
            <w:tcW w:w="1018" w:type="dxa"/>
          </w:tcPr>
          <w:p w14:paraId="0413FBA6" w14:textId="09855FFB"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7A27DFA2" w14:textId="77777777" w:rsidTr="00F916D8">
        <w:tc>
          <w:tcPr>
            <w:tcW w:w="877" w:type="dxa"/>
            <w:vMerge/>
            <w:shd w:val="clear" w:color="auto" w:fill="FFC000"/>
          </w:tcPr>
          <w:p w14:paraId="462652DE" w14:textId="77777777" w:rsidR="00213C39" w:rsidRPr="002F3598" w:rsidRDefault="00213C39" w:rsidP="00213C39">
            <w:pPr>
              <w:rPr>
                <w:rFonts w:cs="Times New Roman"/>
                <w:b/>
                <w:bCs/>
                <w:sz w:val="16"/>
                <w:szCs w:val="16"/>
              </w:rPr>
            </w:pPr>
          </w:p>
        </w:tc>
        <w:tc>
          <w:tcPr>
            <w:tcW w:w="523" w:type="dxa"/>
          </w:tcPr>
          <w:p w14:paraId="4745FB25" w14:textId="26089E22" w:rsidR="00213C39" w:rsidRPr="00F916D8" w:rsidRDefault="00213C39" w:rsidP="00213C39">
            <w:pPr>
              <w:rPr>
                <w:rFonts w:cs="Times New Roman"/>
                <w:sz w:val="16"/>
                <w:szCs w:val="16"/>
              </w:rPr>
            </w:pPr>
            <w:r w:rsidRPr="00F916D8">
              <w:rPr>
                <w:rFonts w:cs="Times New Roman"/>
                <w:sz w:val="16"/>
                <w:szCs w:val="16"/>
              </w:rPr>
              <w:t>2</w:t>
            </w:r>
          </w:p>
        </w:tc>
        <w:tc>
          <w:tcPr>
            <w:tcW w:w="1096" w:type="dxa"/>
          </w:tcPr>
          <w:p w14:paraId="62C094E1" w14:textId="76984174" w:rsidR="00213C39" w:rsidRPr="00F916D8" w:rsidRDefault="00213C39" w:rsidP="00213C39">
            <w:pPr>
              <w:rPr>
                <w:rFonts w:cs="Times New Roman"/>
                <w:sz w:val="16"/>
                <w:szCs w:val="16"/>
              </w:rPr>
            </w:pPr>
            <w:r w:rsidRPr="00F916D8">
              <w:rPr>
                <w:rFonts w:cs="Times New Roman"/>
                <w:sz w:val="16"/>
                <w:szCs w:val="16"/>
              </w:rPr>
              <w:t>Yes</w:t>
            </w:r>
          </w:p>
        </w:tc>
        <w:tc>
          <w:tcPr>
            <w:tcW w:w="719" w:type="dxa"/>
          </w:tcPr>
          <w:p w14:paraId="111C5ECC" w14:textId="7A0B233E" w:rsidR="00213C39" w:rsidRPr="00F916D8" w:rsidRDefault="00213C39" w:rsidP="00213C39">
            <w:pPr>
              <w:rPr>
                <w:rFonts w:cs="Times New Roman"/>
                <w:sz w:val="16"/>
                <w:szCs w:val="16"/>
              </w:rPr>
            </w:pPr>
            <w:r w:rsidRPr="00F916D8">
              <w:rPr>
                <w:rFonts w:cs="Times New Roman"/>
                <w:sz w:val="16"/>
                <w:szCs w:val="16"/>
              </w:rPr>
              <w:t>Small</w:t>
            </w:r>
          </w:p>
        </w:tc>
        <w:tc>
          <w:tcPr>
            <w:tcW w:w="884" w:type="dxa"/>
          </w:tcPr>
          <w:p w14:paraId="086D7089" w14:textId="24095493" w:rsidR="00213C39" w:rsidRPr="00F916D8" w:rsidRDefault="00F916D8" w:rsidP="00213C39">
            <w:pPr>
              <w:rPr>
                <w:rFonts w:cs="Times New Roman"/>
                <w:sz w:val="16"/>
                <w:szCs w:val="16"/>
              </w:rPr>
            </w:pPr>
            <w:r w:rsidRPr="00F916D8">
              <w:rPr>
                <w:rFonts w:cs="Times New Roman"/>
                <w:sz w:val="16"/>
                <w:szCs w:val="16"/>
              </w:rPr>
              <w:t>N/A</w:t>
            </w:r>
          </w:p>
        </w:tc>
        <w:tc>
          <w:tcPr>
            <w:tcW w:w="963" w:type="dxa"/>
          </w:tcPr>
          <w:p w14:paraId="6982E2A0" w14:textId="377D91F3"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5D3D106E" w14:textId="58A7A5FE" w:rsidR="00213C39" w:rsidRPr="00F916D8" w:rsidRDefault="00F916D8" w:rsidP="00213C39">
            <w:pPr>
              <w:rPr>
                <w:rFonts w:cs="Times New Roman"/>
                <w:sz w:val="16"/>
                <w:szCs w:val="16"/>
              </w:rPr>
            </w:pPr>
            <w:r w:rsidRPr="00F916D8">
              <w:rPr>
                <w:rFonts w:cs="Times New Roman"/>
                <w:sz w:val="16"/>
                <w:szCs w:val="16"/>
              </w:rPr>
              <w:t>Yes</w:t>
            </w:r>
          </w:p>
        </w:tc>
        <w:tc>
          <w:tcPr>
            <w:tcW w:w="830" w:type="dxa"/>
          </w:tcPr>
          <w:p w14:paraId="0AAC32EA" w14:textId="42AA7A08"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0B2A0484" w14:textId="0F2FBC54"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65FBF6B2" w14:textId="2BD252D3" w:rsidR="00213C39" w:rsidRPr="00F916D8" w:rsidRDefault="00F916D8" w:rsidP="00213C39">
            <w:pPr>
              <w:rPr>
                <w:rFonts w:cs="Times New Roman"/>
                <w:sz w:val="16"/>
                <w:szCs w:val="16"/>
              </w:rPr>
            </w:pPr>
            <w:r w:rsidRPr="00F916D8">
              <w:rPr>
                <w:rFonts w:cs="Times New Roman"/>
                <w:sz w:val="16"/>
                <w:szCs w:val="16"/>
              </w:rPr>
              <w:t>No</w:t>
            </w:r>
          </w:p>
        </w:tc>
        <w:tc>
          <w:tcPr>
            <w:tcW w:w="1018" w:type="dxa"/>
          </w:tcPr>
          <w:p w14:paraId="0E33F417" w14:textId="420E0AF6"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413FF526" w14:textId="77777777" w:rsidTr="00F916D8">
        <w:tc>
          <w:tcPr>
            <w:tcW w:w="877" w:type="dxa"/>
            <w:vMerge/>
            <w:shd w:val="clear" w:color="auto" w:fill="FFC000"/>
          </w:tcPr>
          <w:p w14:paraId="66BB3C6A" w14:textId="77777777" w:rsidR="00213C39" w:rsidRPr="002F3598" w:rsidRDefault="00213C39" w:rsidP="00213C39">
            <w:pPr>
              <w:rPr>
                <w:rFonts w:cs="Times New Roman"/>
                <w:b/>
                <w:bCs/>
                <w:sz w:val="16"/>
                <w:szCs w:val="16"/>
              </w:rPr>
            </w:pPr>
          </w:p>
        </w:tc>
        <w:tc>
          <w:tcPr>
            <w:tcW w:w="523" w:type="dxa"/>
          </w:tcPr>
          <w:p w14:paraId="3809A45F" w14:textId="33A75605" w:rsidR="00213C39" w:rsidRPr="00F916D8" w:rsidRDefault="00213C39" w:rsidP="00213C39">
            <w:pPr>
              <w:rPr>
                <w:rFonts w:cs="Times New Roman"/>
                <w:sz w:val="16"/>
                <w:szCs w:val="16"/>
              </w:rPr>
            </w:pPr>
            <w:r w:rsidRPr="00F916D8">
              <w:rPr>
                <w:rFonts w:cs="Times New Roman"/>
                <w:sz w:val="16"/>
                <w:szCs w:val="16"/>
              </w:rPr>
              <w:t>3</w:t>
            </w:r>
          </w:p>
        </w:tc>
        <w:tc>
          <w:tcPr>
            <w:tcW w:w="1096" w:type="dxa"/>
          </w:tcPr>
          <w:p w14:paraId="64F39FA2" w14:textId="7AAAF68F" w:rsidR="00213C39" w:rsidRPr="00F916D8" w:rsidRDefault="00213C39" w:rsidP="00213C39">
            <w:pPr>
              <w:rPr>
                <w:rFonts w:cs="Times New Roman"/>
                <w:sz w:val="16"/>
                <w:szCs w:val="16"/>
              </w:rPr>
            </w:pPr>
            <w:r w:rsidRPr="00F916D8">
              <w:rPr>
                <w:rFonts w:cs="Times New Roman"/>
                <w:sz w:val="16"/>
                <w:szCs w:val="16"/>
              </w:rPr>
              <w:t>No</w:t>
            </w:r>
          </w:p>
        </w:tc>
        <w:tc>
          <w:tcPr>
            <w:tcW w:w="719" w:type="dxa"/>
          </w:tcPr>
          <w:p w14:paraId="714002DC" w14:textId="79048BA1" w:rsidR="00213C39" w:rsidRPr="00F916D8" w:rsidRDefault="00213C39" w:rsidP="00213C39">
            <w:pPr>
              <w:rPr>
                <w:rFonts w:cs="Times New Roman"/>
                <w:sz w:val="16"/>
                <w:szCs w:val="16"/>
              </w:rPr>
            </w:pPr>
            <w:r w:rsidRPr="00F916D8">
              <w:rPr>
                <w:rFonts w:cs="Times New Roman"/>
                <w:sz w:val="16"/>
                <w:szCs w:val="16"/>
              </w:rPr>
              <w:t>Medium</w:t>
            </w:r>
          </w:p>
        </w:tc>
        <w:tc>
          <w:tcPr>
            <w:tcW w:w="884" w:type="dxa"/>
          </w:tcPr>
          <w:p w14:paraId="3FBA992C" w14:textId="14FE5F8D" w:rsidR="00213C39" w:rsidRPr="00F916D8" w:rsidRDefault="00F916D8" w:rsidP="00213C39">
            <w:pPr>
              <w:rPr>
                <w:rFonts w:cs="Times New Roman"/>
                <w:sz w:val="16"/>
                <w:szCs w:val="16"/>
              </w:rPr>
            </w:pPr>
            <w:r w:rsidRPr="00F916D8">
              <w:rPr>
                <w:rFonts w:cs="Times New Roman"/>
                <w:sz w:val="16"/>
                <w:szCs w:val="16"/>
              </w:rPr>
              <w:t>N/A</w:t>
            </w:r>
          </w:p>
        </w:tc>
        <w:tc>
          <w:tcPr>
            <w:tcW w:w="963" w:type="dxa"/>
          </w:tcPr>
          <w:p w14:paraId="74931282" w14:textId="6754E31A"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493A0A26" w14:textId="5EB7F3FD" w:rsidR="00213C39" w:rsidRPr="00F916D8" w:rsidRDefault="00F916D8" w:rsidP="00213C39">
            <w:pPr>
              <w:rPr>
                <w:rFonts w:cs="Times New Roman"/>
                <w:sz w:val="16"/>
                <w:szCs w:val="16"/>
              </w:rPr>
            </w:pPr>
            <w:r w:rsidRPr="00F916D8">
              <w:rPr>
                <w:rFonts w:cs="Times New Roman"/>
                <w:sz w:val="16"/>
                <w:szCs w:val="16"/>
              </w:rPr>
              <w:t>Yes</w:t>
            </w:r>
          </w:p>
        </w:tc>
        <w:tc>
          <w:tcPr>
            <w:tcW w:w="830" w:type="dxa"/>
          </w:tcPr>
          <w:p w14:paraId="52A436A2" w14:textId="21184AD1"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00D0D519" w14:textId="209EF88C"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668BD74D" w14:textId="6E9EA625" w:rsidR="00213C39" w:rsidRPr="00F916D8" w:rsidRDefault="00F916D8" w:rsidP="00213C39">
            <w:pPr>
              <w:rPr>
                <w:rFonts w:cs="Times New Roman"/>
                <w:sz w:val="16"/>
                <w:szCs w:val="16"/>
              </w:rPr>
            </w:pPr>
            <w:r w:rsidRPr="00F916D8">
              <w:rPr>
                <w:rFonts w:cs="Times New Roman"/>
                <w:sz w:val="16"/>
                <w:szCs w:val="16"/>
              </w:rPr>
              <w:t>No</w:t>
            </w:r>
          </w:p>
        </w:tc>
        <w:tc>
          <w:tcPr>
            <w:tcW w:w="1018" w:type="dxa"/>
          </w:tcPr>
          <w:p w14:paraId="1DCFA029" w14:textId="4F009594"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05C52C31" w14:textId="77777777" w:rsidTr="00F916D8">
        <w:tc>
          <w:tcPr>
            <w:tcW w:w="877" w:type="dxa"/>
            <w:vMerge/>
            <w:shd w:val="clear" w:color="auto" w:fill="FFC000"/>
          </w:tcPr>
          <w:p w14:paraId="4DAC8BBE" w14:textId="77777777" w:rsidR="00213C39" w:rsidRPr="002F3598" w:rsidRDefault="00213C39" w:rsidP="00213C39">
            <w:pPr>
              <w:rPr>
                <w:rFonts w:cs="Times New Roman"/>
                <w:b/>
                <w:bCs/>
                <w:sz w:val="16"/>
                <w:szCs w:val="16"/>
              </w:rPr>
            </w:pPr>
          </w:p>
        </w:tc>
        <w:tc>
          <w:tcPr>
            <w:tcW w:w="523" w:type="dxa"/>
          </w:tcPr>
          <w:p w14:paraId="6F79E92A" w14:textId="359BC539" w:rsidR="00213C39" w:rsidRPr="00F916D8" w:rsidRDefault="00213C39" w:rsidP="00213C39">
            <w:pPr>
              <w:rPr>
                <w:rFonts w:cs="Times New Roman"/>
                <w:sz w:val="16"/>
                <w:szCs w:val="16"/>
              </w:rPr>
            </w:pPr>
            <w:r w:rsidRPr="00F916D8">
              <w:rPr>
                <w:rFonts w:cs="Times New Roman"/>
                <w:sz w:val="16"/>
                <w:szCs w:val="16"/>
              </w:rPr>
              <w:t>4</w:t>
            </w:r>
          </w:p>
        </w:tc>
        <w:tc>
          <w:tcPr>
            <w:tcW w:w="1096" w:type="dxa"/>
          </w:tcPr>
          <w:p w14:paraId="32F2D4BD" w14:textId="0F2F4FFA" w:rsidR="00213C39" w:rsidRPr="00F916D8" w:rsidRDefault="00213C39" w:rsidP="00213C39">
            <w:pPr>
              <w:rPr>
                <w:rFonts w:cs="Times New Roman"/>
                <w:sz w:val="16"/>
                <w:szCs w:val="16"/>
              </w:rPr>
            </w:pPr>
            <w:r w:rsidRPr="00F916D8">
              <w:rPr>
                <w:rFonts w:cs="Times New Roman"/>
                <w:sz w:val="16"/>
                <w:szCs w:val="16"/>
              </w:rPr>
              <w:t>N/A</w:t>
            </w:r>
          </w:p>
        </w:tc>
        <w:tc>
          <w:tcPr>
            <w:tcW w:w="719" w:type="dxa"/>
          </w:tcPr>
          <w:p w14:paraId="28D82077" w14:textId="2AFF5C03" w:rsidR="00213C39" w:rsidRPr="00F916D8" w:rsidRDefault="00213C39" w:rsidP="00213C39">
            <w:pPr>
              <w:rPr>
                <w:rFonts w:cs="Times New Roman"/>
                <w:sz w:val="16"/>
                <w:szCs w:val="16"/>
              </w:rPr>
            </w:pPr>
            <w:r w:rsidRPr="00F916D8">
              <w:rPr>
                <w:rFonts w:cs="Times New Roman"/>
                <w:sz w:val="16"/>
                <w:szCs w:val="16"/>
              </w:rPr>
              <w:t>Medium or small</w:t>
            </w:r>
          </w:p>
        </w:tc>
        <w:tc>
          <w:tcPr>
            <w:tcW w:w="884" w:type="dxa"/>
          </w:tcPr>
          <w:p w14:paraId="06624BDA" w14:textId="5DAFD679" w:rsidR="00213C39" w:rsidRPr="00F916D8" w:rsidRDefault="00F916D8" w:rsidP="00213C39">
            <w:pPr>
              <w:rPr>
                <w:rFonts w:cs="Times New Roman"/>
                <w:sz w:val="16"/>
                <w:szCs w:val="16"/>
              </w:rPr>
            </w:pPr>
            <w:r w:rsidRPr="00F916D8">
              <w:rPr>
                <w:rFonts w:cs="Times New Roman"/>
                <w:sz w:val="16"/>
                <w:szCs w:val="16"/>
              </w:rPr>
              <w:t>Yes</w:t>
            </w:r>
          </w:p>
        </w:tc>
        <w:tc>
          <w:tcPr>
            <w:tcW w:w="963" w:type="dxa"/>
          </w:tcPr>
          <w:p w14:paraId="04049CC7" w14:textId="3E9955C1"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3FFF22B5" w14:textId="4F87664D" w:rsidR="00213C39" w:rsidRPr="00F916D8" w:rsidRDefault="00F916D8" w:rsidP="00213C39">
            <w:pPr>
              <w:rPr>
                <w:rFonts w:cs="Times New Roman"/>
                <w:sz w:val="16"/>
                <w:szCs w:val="16"/>
              </w:rPr>
            </w:pPr>
            <w:r w:rsidRPr="00F916D8">
              <w:rPr>
                <w:rFonts w:cs="Times New Roman"/>
                <w:sz w:val="16"/>
                <w:szCs w:val="16"/>
              </w:rPr>
              <w:t>Yes</w:t>
            </w:r>
          </w:p>
        </w:tc>
        <w:tc>
          <w:tcPr>
            <w:tcW w:w="830" w:type="dxa"/>
          </w:tcPr>
          <w:p w14:paraId="39E35E3C" w14:textId="3BFAF976"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62A2ED86" w14:textId="77A847B2"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1F7F23B2" w14:textId="22D059D5" w:rsidR="00213C39" w:rsidRPr="00F916D8" w:rsidRDefault="00F916D8" w:rsidP="00213C39">
            <w:pPr>
              <w:rPr>
                <w:rFonts w:cs="Times New Roman"/>
                <w:sz w:val="16"/>
                <w:szCs w:val="16"/>
              </w:rPr>
            </w:pPr>
            <w:r w:rsidRPr="00F916D8">
              <w:rPr>
                <w:rFonts w:cs="Times New Roman"/>
                <w:sz w:val="16"/>
                <w:szCs w:val="16"/>
              </w:rPr>
              <w:t>Yes</w:t>
            </w:r>
          </w:p>
        </w:tc>
        <w:tc>
          <w:tcPr>
            <w:tcW w:w="1018" w:type="dxa"/>
          </w:tcPr>
          <w:p w14:paraId="6B891A5C" w14:textId="4173DA02"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2389258A" w14:textId="77777777" w:rsidTr="00F916D8">
        <w:tc>
          <w:tcPr>
            <w:tcW w:w="877" w:type="dxa"/>
            <w:vMerge/>
            <w:shd w:val="clear" w:color="auto" w:fill="FFC000"/>
          </w:tcPr>
          <w:p w14:paraId="53AB2198" w14:textId="77777777" w:rsidR="00213C39" w:rsidRPr="002F3598" w:rsidRDefault="00213C39" w:rsidP="00213C39">
            <w:pPr>
              <w:rPr>
                <w:rFonts w:cs="Times New Roman"/>
                <w:b/>
                <w:bCs/>
                <w:sz w:val="16"/>
                <w:szCs w:val="16"/>
              </w:rPr>
            </w:pPr>
          </w:p>
        </w:tc>
        <w:tc>
          <w:tcPr>
            <w:tcW w:w="523" w:type="dxa"/>
          </w:tcPr>
          <w:p w14:paraId="6734B00A" w14:textId="33E9F985" w:rsidR="00213C39" w:rsidRPr="00F916D8" w:rsidRDefault="00213C39" w:rsidP="00213C39">
            <w:pPr>
              <w:rPr>
                <w:rFonts w:cs="Times New Roman"/>
                <w:sz w:val="16"/>
                <w:szCs w:val="16"/>
              </w:rPr>
            </w:pPr>
            <w:r w:rsidRPr="00F916D8">
              <w:rPr>
                <w:rFonts w:cs="Times New Roman"/>
                <w:sz w:val="16"/>
                <w:szCs w:val="16"/>
              </w:rPr>
              <w:t>5</w:t>
            </w:r>
          </w:p>
        </w:tc>
        <w:tc>
          <w:tcPr>
            <w:tcW w:w="1096" w:type="dxa"/>
          </w:tcPr>
          <w:p w14:paraId="6B525815" w14:textId="3BD6FDD2" w:rsidR="00213C39" w:rsidRPr="00F916D8" w:rsidRDefault="00213C39" w:rsidP="00213C39">
            <w:pPr>
              <w:rPr>
                <w:rFonts w:cs="Times New Roman"/>
                <w:sz w:val="16"/>
                <w:szCs w:val="16"/>
              </w:rPr>
            </w:pPr>
            <w:r w:rsidRPr="00F916D8">
              <w:rPr>
                <w:rFonts w:cs="Times New Roman"/>
                <w:sz w:val="16"/>
                <w:szCs w:val="16"/>
              </w:rPr>
              <w:t>N/A</w:t>
            </w:r>
          </w:p>
        </w:tc>
        <w:tc>
          <w:tcPr>
            <w:tcW w:w="719" w:type="dxa"/>
          </w:tcPr>
          <w:p w14:paraId="5109FF69" w14:textId="4F143265" w:rsidR="00213C39" w:rsidRPr="00F916D8" w:rsidRDefault="00F916D8" w:rsidP="00213C39">
            <w:pPr>
              <w:rPr>
                <w:rFonts w:cs="Times New Roman"/>
                <w:sz w:val="16"/>
                <w:szCs w:val="16"/>
              </w:rPr>
            </w:pPr>
            <w:r w:rsidRPr="00F916D8">
              <w:rPr>
                <w:rFonts w:cs="Times New Roman"/>
                <w:sz w:val="16"/>
                <w:szCs w:val="16"/>
              </w:rPr>
              <w:t>Medium or Small</w:t>
            </w:r>
          </w:p>
        </w:tc>
        <w:tc>
          <w:tcPr>
            <w:tcW w:w="884" w:type="dxa"/>
          </w:tcPr>
          <w:p w14:paraId="07983AA3" w14:textId="3DC3D824" w:rsidR="00213C39" w:rsidRPr="00F916D8" w:rsidRDefault="00F916D8" w:rsidP="00213C39">
            <w:pPr>
              <w:rPr>
                <w:rFonts w:cs="Times New Roman"/>
                <w:sz w:val="16"/>
                <w:szCs w:val="16"/>
              </w:rPr>
            </w:pPr>
            <w:r w:rsidRPr="00F916D8">
              <w:rPr>
                <w:rFonts w:cs="Times New Roman"/>
                <w:sz w:val="16"/>
                <w:szCs w:val="16"/>
              </w:rPr>
              <w:t>N/A</w:t>
            </w:r>
          </w:p>
        </w:tc>
        <w:tc>
          <w:tcPr>
            <w:tcW w:w="963" w:type="dxa"/>
          </w:tcPr>
          <w:p w14:paraId="760E2A5F" w14:textId="54F2E830" w:rsidR="00213C39" w:rsidRPr="00F916D8" w:rsidRDefault="00F916D8" w:rsidP="00213C39">
            <w:pPr>
              <w:rPr>
                <w:rFonts w:cs="Times New Roman"/>
                <w:sz w:val="16"/>
                <w:szCs w:val="16"/>
              </w:rPr>
            </w:pPr>
            <w:r w:rsidRPr="00F916D8">
              <w:rPr>
                <w:rFonts w:cs="Times New Roman"/>
                <w:sz w:val="16"/>
                <w:szCs w:val="16"/>
              </w:rPr>
              <w:t>Yes</w:t>
            </w:r>
          </w:p>
        </w:tc>
        <w:tc>
          <w:tcPr>
            <w:tcW w:w="1096" w:type="dxa"/>
          </w:tcPr>
          <w:p w14:paraId="187C7055" w14:textId="3B9FABB9" w:rsidR="00213C39" w:rsidRPr="00F916D8" w:rsidRDefault="00F916D8" w:rsidP="00213C39">
            <w:pPr>
              <w:rPr>
                <w:rFonts w:cs="Times New Roman"/>
                <w:sz w:val="16"/>
                <w:szCs w:val="16"/>
              </w:rPr>
            </w:pPr>
            <w:r w:rsidRPr="00F916D8">
              <w:rPr>
                <w:rFonts w:cs="Times New Roman"/>
                <w:sz w:val="16"/>
                <w:szCs w:val="16"/>
              </w:rPr>
              <w:t>Yes</w:t>
            </w:r>
          </w:p>
        </w:tc>
        <w:tc>
          <w:tcPr>
            <w:tcW w:w="830" w:type="dxa"/>
          </w:tcPr>
          <w:p w14:paraId="78EE1D0E" w14:textId="2640ECED"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61DD9A6B" w14:textId="0473B3C8"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0D79F04A" w14:textId="4DCA2E2B" w:rsidR="00213C39" w:rsidRPr="00F916D8" w:rsidRDefault="00F916D8" w:rsidP="00213C39">
            <w:pPr>
              <w:rPr>
                <w:rFonts w:cs="Times New Roman"/>
                <w:sz w:val="16"/>
                <w:szCs w:val="16"/>
              </w:rPr>
            </w:pPr>
            <w:r w:rsidRPr="00F916D8">
              <w:rPr>
                <w:rFonts w:cs="Times New Roman"/>
                <w:sz w:val="16"/>
                <w:szCs w:val="16"/>
              </w:rPr>
              <w:t>Yes</w:t>
            </w:r>
          </w:p>
        </w:tc>
        <w:tc>
          <w:tcPr>
            <w:tcW w:w="1018" w:type="dxa"/>
          </w:tcPr>
          <w:p w14:paraId="1A03EC33" w14:textId="287A9CC8"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0E39EF28" w14:textId="77777777" w:rsidTr="00F916D8">
        <w:tc>
          <w:tcPr>
            <w:tcW w:w="877" w:type="dxa"/>
            <w:vMerge/>
            <w:shd w:val="clear" w:color="auto" w:fill="FFC000"/>
          </w:tcPr>
          <w:p w14:paraId="5F71DDC5" w14:textId="77777777" w:rsidR="00213C39" w:rsidRPr="002F3598" w:rsidRDefault="00213C39" w:rsidP="00213C39">
            <w:pPr>
              <w:rPr>
                <w:rFonts w:cs="Times New Roman"/>
                <w:b/>
                <w:bCs/>
                <w:sz w:val="16"/>
                <w:szCs w:val="16"/>
              </w:rPr>
            </w:pPr>
          </w:p>
        </w:tc>
        <w:tc>
          <w:tcPr>
            <w:tcW w:w="523" w:type="dxa"/>
          </w:tcPr>
          <w:p w14:paraId="2E55C913" w14:textId="321626AE" w:rsidR="00213C39" w:rsidRPr="00F916D8" w:rsidRDefault="00213C39" w:rsidP="00213C39">
            <w:pPr>
              <w:rPr>
                <w:rFonts w:cs="Times New Roman"/>
                <w:sz w:val="16"/>
                <w:szCs w:val="16"/>
              </w:rPr>
            </w:pPr>
            <w:r w:rsidRPr="00F916D8">
              <w:rPr>
                <w:rFonts w:cs="Times New Roman"/>
                <w:sz w:val="16"/>
                <w:szCs w:val="16"/>
              </w:rPr>
              <w:t>6</w:t>
            </w:r>
          </w:p>
        </w:tc>
        <w:tc>
          <w:tcPr>
            <w:tcW w:w="1096" w:type="dxa"/>
          </w:tcPr>
          <w:p w14:paraId="2C0FB712" w14:textId="41D43C1A" w:rsidR="00213C39" w:rsidRPr="00F916D8" w:rsidRDefault="00213C39" w:rsidP="00213C39">
            <w:pPr>
              <w:rPr>
                <w:rFonts w:cs="Times New Roman"/>
                <w:sz w:val="16"/>
                <w:szCs w:val="16"/>
              </w:rPr>
            </w:pPr>
            <w:r w:rsidRPr="00F916D8">
              <w:rPr>
                <w:rFonts w:cs="Times New Roman"/>
                <w:sz w:val="16"/>
                <w:szCs w:val="16"/>
              </w:rPr>
              <w:t>N/A</w:t>
            </w:r>
          </w:p>
        </w:tc>
        <w:tc>
          <w:tcPr>
            <w:tcW w:w="719" w:type="dxa"/>
          </w:tcPr>
          <w:p w14:paraId="71EEE6DB" w14:textId="0E8F637B" w:rsidR="00213C39" w:rsidRPr="00F916D8" w:rsidRDefault="00F916D8" w:rsidP="00213C39">
            <w:pPr>
              <w:rPr>
                <w:rFonts w:cs="Times New Roman"/>
                <w:sz w:val="16"/>
                <w:szCs w:val="16"/>
              </w:rPr>
            </w:pPr>
            <w:r w:rsidRPr="00F916D8">
              <w:rPr>
                <w:rFonts w:cs="Times New Roman"/>
                <w:sz w:val="16"/>
                <w:szCs w:val="16"/>
              </w:rPr>
              <w:t>Small</w:t>
            </w:r>
          </w:p>
        </w:tc>
        <w:tc>
          <w:tcPr>
            <w:tcW w:w="884" w:type="dxa"/>
          </w:tcPr>
          <w:p w14:paraId="751B5E09" w14:textId="55F86A27" w:rsidR="00213C39" w:rsidRPr="00F916D8" w:rsidRDefault="00F916D8" w:rsidP="00213C39">
            <w:pPr>
              <w:rPr>
                <w:rFonts w:cs="Times New Roman"/>
                <w:sz w:val="16"/>
                <w:szCs w:val="16"/>
              </w:rPr>
            </w:pPr>
            <w:r w:rsidRPr="00F916D8">
              <w:rPr>
                <w:rFonts w:cs="Times New Roman"/>
                <w:sz w:val="16"/>
                <w:szCs w:val="16"/>
              </w:rPr>
              <w:t>Yes (conversion of land use purpose)</w:t>
            </w:r>
          </w:p>
        </w:tc>
        <w:tc>
          <w:tcPr>
            <w:tcW w:w="963" w:type="dxa"/>
          </w:tcPr>
          <w:p w14:paraId="35F3707D" w14:textId="05C25647"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572F3091" w14:textId="59DF4935" w:rsidR="00213C39" w:rsidRPr="00F916D8" w:rsidRDefault="00F916D8" w:rsidP="00213C39">
            <w:pPr>
              <w:rPr>
                <w:rFonts w:cs="Times New Roman"/>
                <w:sz w:val="16"/>
                <w:szCs w:val="16"/>
              </w:rPr>
            </w:pPr>
            <w:r w:rsidRPr="00F916D8">
              <w:rPr>
                <w:rFonts w:cs="Times New Roman"/>
                <w:sz w:val="16"/>
                <w:szCs w:val="16"/>
              </w:rPr>
              <w:t>Yes</w:t>
            </w:r>
          </w:p>
        </w:tc>
        <w:tc>
          <w:tcPr>
            <w:tcW w:w="830" w:type="dxa"/>
          </w:tcPr>
          <w:p w14:paraId="48671D9E" w14:textId="23CDF766"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36E8024D" w14:textId="46440F15"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7DAD1DE2" w14:textId="7C3C1C30" w:rsidR="00213C39" w:rsidRPr="00F916D8" w:rsidRDefault="00F916D8" w:rsidP="00213C39">
            <w:pPr>
              <w:rPr>
                <w:rFonts w:cs="Times New Roman"/>
                <w:sz w:val="16"/>
                <w:szCs w:val="16"/>
              </w:rPr>
            </w:pPr>
            <w:r w:rsidRPr="00F916D8">
              <w:rPr>
                <w:rFonts w:cs="Times New Roman"/>
                <w:sz w:val="16"/>
                <w:szCs w:val="16"/>
              </w:rPr>
              <w:t>Yes</w:t>
            </w:r>
          </w:p>
        </w:tc>
        <w:tc>
          <w:tcPr>
            <w:tcW w:w="1018" w:type="dxa"/>
          </w:tcPr>
          <w:p w14:paraId="7560661A" w14:textId="2FCF13BC"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295E2ED2" w14:textId="77777777" w:rsidTr="00F916D8">
        <w:tc>
          <w:tcPr>
            <w:tcW w:w="877" w:type="dxa"/>
            <w:vMerge/>
            <w:shd w:val="clear" w:color="auto" w:fill="FFC000"/>
          </w:tcPr>
          <w:p w14:paraId="5F9880CF" w14:textId="77777777" w:rsidR="00213C39" w:rsidRPr="002F3598" w:rsidRDefault="00213C39" w:rsidP="00213C39">
            <w:pPr>
              <w:rPr>
                <w:rFonts w:cs="Times New Roman"/>
                <w:b/>
                <w:bCs/>
                <w:sz w:val="16"/>
                <w:szCs w:val="16"/>
              </w:rPr>
            </w:pPr>
          </w:p>
        </w:tc>
        <w:tc>
          <w:tcPr>
            <w:tcW w:w="523" w:type="dxa"/>
          </w:tcPr>
          <w:p w14:paraId="789276A3" w14:textId="16D6A001" w:rsidR="00213C39" w:rsidRPr="00F916D8" w:rsidRDefault="00213C39" w:rsidP="00213C39">
            <w:pPr>
              <w:rPr>
                <w:rFonts w:cs="Times New Roman"/>
                <w:sz w:val="16"/>
                <w:szCs w:val="16"/>
              </w:rPr>
            </w:pPr>
            <w:r w:rsidRPr="00F916D8">
              <w:rPr>
                <w:rFonts w:cs="Times New Roman"/>
                <w:sz w:val="16"/>
                <w:szCs w:val="16"/>
              </w:rPr>
              <w:t>7</w:t>
            </w:r>
          </w:p>
        </w:tc>
        <w:tc>
          <w:tcPr>
            <w:tcW w:w="1096" w:type="dxa"/>
          </w:tcPr>
          <w:p w14:paraId="25DE4B92" w14:textId="061290FC" w:rsidR="00213C39" w:rsidRPr="00F916D8" w:rsidRDefault="00213C39" w:rsidP="00213C39">
            <w:pPr>
              <w:rPr>
                <w:rFonts w:cs="Times New Roman"/>
                <w:sz w:val="16"/>
                <w:szCs w:val="16"/>
              </w:rPr>
            </w:pPr>
            <w:r w:rsidRPr="00F916D8">
              <w:rPr>
                <w:rFonts w:cs="Times New Roman"/>
                <w:sz w:val="16"/>
                <w:szCs w:val="16"/>
              </w:rPr>
              <w:t>N/A</w:t>
            </w:r>
          </w:p>
        </w:tc>
        <w:tc>
          <w:tcPr>
            <w:tcW w:w="719" w:type="dxa"/>
          </w:tcPr>
          <w:p w14:paraId="5C05D95C" w14:textId="3991DB48" w:rsidR="00213C39" w:rsidRPr="00F916D8" w:rsidRDefault="00F916D8" w:rsidP="00213C39">
            <w:pPr>
              <w:rPr>
                <w:rFonts w:cs="Times New Roman"/>
                <w:sz w:val="16"/>
                <w:szCs w:val="16"/>
              </w:rPr>
            </w:pPr>
            <w:r w:rsidRPr="00F916D8">
              <w:rPr>
                <w:rFonts w:cs="Times New Roman"/>
                <w:sz w:val="16"/>
                <w:szCs w:val="16"/>
              </w:rPr>
              <w:t>N/A</w:t>
            </w:r>
          </w:p>
        </w:tc>
        <w:tc>
          <w:tcPr>
            <w:tcW w:w="884" w:type="dxa"/>
          </w:tcPr>
          <w:p w14:paraId="67707689" w14:textId="360D3B33" w:rsidR="00213C39" w:rsidRPr="00F916D8" w:rsidRDefault="00F916D8" w:rsidP="00213C39">
            <w:pPr>
              <w:rPr>
                <w:rFonts w:cs="Times New Roman"/>
                <w:sz w:val="16"/>
                <w:szCs w:val="16"/>
              </w:rPr>
            </w:pPr>
            <w:r w:rsidRPr="00F916D8">
              <w:rPr>
                <w:rFonts w:cs="Times New Roman"/>
                <w:sz w:val="16"/>
                <w:szCs w:val="16"/>
              </w:rPr>
              <w:t>N/A</w:t>
            </w:r>
          </w:p>
        </w:tc>
        <w:tc>
          <w:tcPr>
            <w:tcW w:w="963" w:type="dxa"/>
          </w:tcPr>
          <w:p w14:paraId="608056FC" w14:textId="0B74974C" w:rsidR="00213C39" w:rsidRPr="00F916D8" w:rsidRDefault="00F916D8" w:rsidP="00213C39">
            <w:pPr>
              <w:rPr>
                <w:rFonts w:cs="Times New Roman"/>
                <w:sz w:val="16"/>
                <w:szCs w:val="16"/>
              </w:rPr>
            </w:pPr>
            <w:r w:rsidRPr="00F916D8">
              <w:rPr>
                <w:rFonts w:cs="Times New Roman"/>
                <w:sz w:val="16"/>
                <w:szCs w:val="16"/>
              </w:rPr>
              <w:t>N/A</w:t>
            </w:r>
          </w:p>
        </w:tc>
        <w:tc>
          <w:tcPr>
            <w:tcW w:w="1096" w:type="dxa"/>
          </w:tcPr>
          <w:p w14:paraId="3695ECFF" w14:textId="42A3A1A4" w:rsidR="00213C39" w:rsidRPr="00F916D8" w:rsidRDefault="00F916D8" w:rsidP="00213C39">
            <w:pPr>
              <w:rPr>
                <w:rFonts w:cs="Times New Roman"/>
                <w:sz w:val="16"/>
                <w:szCs w:val="16"/>
              </w:rPr>
            </w:pPr>
            <w:r w:rsidRPr="00F916D8">
              <w:rPr>
                <w:rFonts w:cs="Times New Roman"/>
                <w:sz w:val="16"/>
                <w:szCs w:val="16"/>
              </w:rPr>
              <w:t>Medium scale relocation or resettlement</w:t>
            </w:r>
          </w:p>
        </w:tc>
        <w:tc>
          <w:tcPr>
            <w:tcW w:w="830" w:type="dxa"/>
          </w:tcPr>
          <w:p w14:paraId="30B1B83F" w14:textId="2F98B97B" w:rsidR="00213C39" w:rsidRPr="00F916D8" w:rsidRDefault="00F916D8" w:rsidP="00213C39">
            <w:pPr>
              <w:rPr>
                <w:rFonts w:cs="Times New Roman"/>
                <w:sz w:val="16"/>
                <w:szCs w:val="16"/>
              </w:rPr>
            </w:pPr>
            <w:r w:rsidRPr="00F916D8">
              <w:rPr>
                <w:rFonts w:cs="Times New Roman"/>
                <w:sz w:val="16"/>
                <w:szCs w:val="16"/>
              </w:rPr>
              <w:t>N/A</w:t>
            </w:r>
          </w:p>
        </w:tc>
        <w:tc>
          <w:tcPr>
            <w:tcW w:w="672" w:type="dxa"/>
          </w:tcPr>
          <w:p w14:paraId="2CF618E9" w14:textId="6D75FE4E" w:rsidR="00213C39" w:rsidRPr="00F916D8" w:rsidRDefault="00F916D8" w:rsidP="00213C39">
            <w:pPr>
              <w:rPr>
                <w:rFonts w:cs="Times New Roman"/>
                <w:sz w:val="16"/>
                <w:szCs w:val="16"/>
              </w:rPr>
            </w:pPr>
            <w:r w:rsidRPr="00F916D8">
              <w:rPr>
                <w:rFonts w:cs="Times New Roman"/>
                <w:sz w:val="16"/>
                <w:szCs w:val="16"/>
              </w:rPr>
              <w:t>No</w:t>
            </w:r>
          </w:p>
        </w:tc>
        <w:tc>
          <w:tcPr>
            <w:tcW w:w="672" w:type="dxa"/>
          </w:tcPr>
          <w:p w14:paraId="78267C2E" w14:textId="440A2BD0" w:rsidR="00213C39" w:rsidRPr="00F916D8" w:rsidRDefault="00F916D8" w:rsidP="00213C39">
            <w:pPr>
              <w:rPr>
                <w:rFonts w:cs="Times New Roman"/>
                <w:sz w:val="16"/>
                <w:szCs w:val="16"/>
              </w:rPr>
            </w:pPr>
            <w:r w:rsidRPr="00F916D8">
              <w:rPr>
                <w:rFonts w:cs="Times New Roman"/>
                <w:sz w:val="16"/>
                <w:szCs w:val="16"/>
              </w:rPr>
              <w:t>Yes</w:t>
            </w:r>
          </w:p>
        </w:tc>
        <w:tc>
          <w:tcPr>
            <w:tcW w:w="1018" w:type="dxa"/>
          </w:tcPr>
          <w:p w14:paraId="7776F33C" w14:textId="43E1D9CA" w:rsidR="00213C39" w:rsidRPr="00F916D8" w:rsidRDefault="00F916D8" w:rsidP="00213C39">
            <w:pPr>
              <w:rPr>
                <w:rFonts w:cs="Times New Roman"/>
                <w:sz w:val="16"/>
                <w:szCs w:val="16"/>
              </w:rPr>
            </w:pPr>
            <w:r w:rsidRPr="00F916D8">
              <w:rPr>
                <w:rFonts w:cs="Times New Roman"/>
                <w:sz w:val="16"/>
                <w:szCs w:val="16"/>
              </w:rPr>
              <w:t>Yes</w:t>
            </w:r>
          </w:p>
        </w:tc>
      </w:tr>
      <w:tr w:rsidR="00F916D8" w:rsidRPr="002F3598" w14:paraId="04DC32EE" w14:textId="77777777" w:rsidTr="00102720">
        <w:tc>
          <w:tcPr>
            <w:tcW w:w="877" w:type="dxa"/>
            <w:vMerge w:val="restart"/>
            <w:shd w:val="clear" w:color="auto" w:fill="FFFF00"/>
          </w:tcPr>
          <w:p w14:paraId="1D370908" w14:textId="491241B7" w:rsidR="00F916D8" w:rsidRPr="002F3598" w:rsidRDefault="00F916D8" w:rsidP="00213C39">
            <w:pPr>
              <w:rPr>
                <w:rFonts w:cs="Times New Roman"/>
                <w:b/>
                <w:bCs/>
                <w:sz w:val="16"/>
                <w:szCs w:val="16"/>
              </w:rPr>
            </w:pPr>
            <w:r>
              <w:rPr>
                <w:rFonts w:cs="Times New Roman"/>
                <w:b/>
                <w:bCs/>
                <w:sz w:val="16"/>
                <w:szCs w:val="16"/>
              </w:rPr>
              <w:t>Group III/Minor</w:t>
            </w:r>
          </w:p>
        </w:tc>
        <w:tc>
          <w:tcPr>
            <w:tcW w:w="523" w:type="dxa"/>
          </w:tcPr>
          <w:p w14:paraId="63622A1B" w14:textId="1CDD2202" w:rsidR="00F916D8" w:rsidRPr="00102720" w:rsidRDefault="00F916D8" w:rsidP="00213C39">
            <w:pPr>
              <w:rPr>
                <w:rFonts w:cs="Times New Roman"/>
                <w:sz w:val="16"/>
                <w:szCs w:val="16"/>
              </w:rPr>
            </w:pPr>
            <w:r w:rsidRPr="00102720">
              <w:rPr>
                <w:rFonts w:cs="Times New Roman"/>
                <w:sz w:val="16"/>
                <w:szCs w:val="16"/>
              </w:rPr>
              <w:t>1</w:t>
            </w:r>
          </w:p>
        </w:tc>
        <w:tc>
          <w:tcPr>
            <w:tcW w:w="1096" w:type="dxa"/>
          </w:tcPr>
          <w:p w14:paraId="47F64279" w14:textId="70F052D7" w:rsidR="00F916D8" w:rsidRPr="00102720" w:rsidRDefault="00F916D8" w:rsidP="00213C39">
            <w:pPr>
              <w:rPr>
                <w:rFonts w:cs="Times New Roman"/>
                <w:sz w:val="16"/>
                <w:szCs w:val="16"/>
              </w:rPr>
            </w:pPr>
            <w:r w:rsidRPr="00102720">
              <w:rPr>
                <w:rFonts w:cs="Times New Roman"/>
                <w:sz w:val="16"/>
                <w:szCs w:val="16"/>
              </w:rPr>
              <w:t>Yes</w:t>
            </w:r>
          </w:p>
        </w:tc>
        <w:tc>
          <w:tcPr>
            <w:tcW w:w="719" w:type="dxa"/>
          </w:tcPr>
          <w:p w14:paraId="4D60EEAD" w14:textId="18875D3F" w:rsidR="00F916D8" w:rsidRPr="00102720" w:rsidRDefault="00F916D8" w:rsidP="00213C39">
            <w:pPr>
              <w:rPr>
                <w:rFonts w:cs="Times New Roman"/>
                <w:sz w:val="16"/>
                <w:szCs w:val="16"/>
              </w:rPr>
            </w:pPr>
            <w:r w:rsidRPr="00102720">
              <w:rPr>
                <w:rFonts w:cs="Times New Roman"/>
                <w:sz w:val="16"/>
                <w:szCs w:val="16"/>
              </w:rPr>
              <w:t>Small</w:t>
            </w:r>
          </w:p>
        </w:tc>
        <w:tc>
          <w:tcPr>
            <w:tcW w:w="884" w:type="dxa"/>
          </w:tcPr>
          <w:p w14:paraId="1AB15112" w14:textId="690DA1D5" w:rsidR="00F916D8" w:rsidRPr="00102720" w:rsidRDefault="00F916D8" w:rsidP="00213C39">
            <w:pPr>
              <w:rPr>
                <w:rFonts w:cs="Times New Roman"/>
                <w:sz w:val="16"/>
                <w:szCs w:val="16"/>
              </w:rPr>
            </w:pPr>
            <w:r w:rsidRPr="00102720">
              <w:rPr>
                <w:rFonts w:cs="Times New Roman"/>
                <w:sz w:val="16"/>
                <w:szCs w:val="16"/>
              </w:rPr>
              <w:t>N/A</w:t>
            </w:r>
          </w:p>
        </w:tc>
        <w:tc>
          <w:tcPr>
            <w:tcW w:w="963" w:type="dxa"/>
          </w:tcPr>
          <w:p w14:paraId="1F7FDA6F" w14:textId="6DB57DF5" w:rsidR="00F916D8" w:rsidRPr="00102720" w:rsidRDefault="00F916D8" w:rsidP="00213C39">
            <w:pPr>
              <w:rPr>
                <w:rFonts w:cs="Times New Roman"/>
                <w:sz w:val="16"/>
                <w:szCs w:val="16"/>
              </w:rPr>
            </w:pPr>
            <w:r w:rsidRPr="00102720">
              <w:rPr>
                <w:rFonts w:cs="Times New Roman"/>
                <w:sz w:val="16"/>
                <w:szCs w:val="16"/>
              </w:rPr>
              <w:t>N/A</w:t>
            </w:r>
          </w:p>
        </w:tc>
        <w:tc>
          <w:tcPr>
            <w:tcW w:w="1096" w:type="dxa"/>
          </w:tcPr>
          <w:p w14:paraId="06EBA553" w14:textId="1FBFDC03" w:rsidR="00F916D8" w:rsidRPr="00102720" w:rsidRDefault="00102720" w:rsidP="00213C39">
            <w:pPr>
              <w:rPr>
                <w:rFonts w:cs="Times New Roman"/>
                <w:sz w:val="16"/>
                <w:szCs w:val="16"/>
              </w:rPr>
            </w:pPr>
            <w:r w:rsidRPr="00102720">
              <w:rPr>
                <w:rFonts w:cs="Times New Roman"/>
                <w:sz w:val="16"/>
                <w:szCs w:val="16"/>
              </w:rPr>
              <w:t>N/A</w:t>
            </w:r>
          </w:p>
        </w:tc>
        <w:tc>
          <w:tcPr>
            <w:tcW w:w="830" w:type="dxa"/>
          </w:tcPr>
          <w:p w14:paraId="19322231" w14:textId="09103386" w:rsidR="00F916D8" w:rsidRPr="00102720" w:rsidRDefault="00102720" w:rsidP="00213C39">
            <w:pPr>
              <w:rPr>
                <w:rFonts w:cs="Times New Roman"/>
                <w:sz w:val="16"/>
                <w:szCs w:val="16"/>
              </w:rPr>
            </w:pPr>
            <w:r w:rsidRPr="00102720">
              <w:rPr>
                <w:rFonts w:cs="Times New Roman"/>
                <w:sz w:val="16"/>
                <w:szCs w:val="16"/>
              </w:rPr>
              <w:t>N/A</w:t>
            </w:r>
          </w:p>
        </w:tc>
        <w:tc>
          <w:tcPr>
            <w:tcW w:w="672" w:type="dxa"/>
          </w:tcPr>
          <w:p w14:paraId="33567EC1" w14:textId="304028DD" w:rsidR="00F916D8" w:rsidRPr="00102720" w:rsidRDefault="00102720" w:rsidP="00213C39">
            <w:pPr>
              <w:rPr>
                <w:rFonts w:cs="Times New Roman"/>
                <w:sz w:val="16"/>
                <w:szCs w:val="16"/>
              </w:rPr>
            </w:pPr>
            <w:r w:rsidRPr="00102720">
              <w:rPr>
                <w:rFonts w:cs="Times New Roman"/>
                <w:sz w:val="16"/>
                <w:szCs w:val="16"/>
              </w:rPr>
              <w:t>No</w:t>
            </w:r>
          </w:p>
        </w:tc>
        <w:tc>
          <w:tcPr>
            <w:tcW w:w="672" w:type="dxa"/>
          </w:tcPr>
          <w:p w14:paraId="18497A7F" w14:textId="6C8C3EC0" w:rsidR="00F916D8" w:rsidRPr="00102720" w:rsidRDefault="00102720" w:rsidP="00213C39">
            <w:pPr>
              <w:rPr>
                <w:rFonts w:cs="Times New Roman"/>
                <w:sz w:val="16"/>
                <w:szCs w:val="16"/>
              </w:rPr>
            </w:pPr>
            <w:r w:rsidRPr="00102720">
              <w:rPr>
                <w:rFonts w:cs="Times New Roman"/>
                <w:sz w:val="16"/>
                <w:szCs w:val="16"/>
              </w:rPr>
              <w:t>No</w:t>
            </w:r>
          </w:p>
        </w:tc>
        <w:tc>
          <w:tcPr>
            <w:tcW w:w="1018" w:type="dxa"/>
          </w:tcPr>
          <w:p w14:paraId="55ED1F72" w14:textId="30BC3D6C" w:rsidR="00F916D8" w:rsidRPr="00102720" w:rsidRDefault="00102720" w:rsidP="00213C39">
            <w:pPr>
              <w:rPr>
                <w:rFonts w:cs="Times New Roman"/>
                <w:sz w:val="16"/>
                <w:szCs w:val="16"/>
              </w:rPr>
            </w:pPr>
            <w:r w:rsidRPr="00102720">
              <w:rPr>
                <w:rFonts w:cs="Times New Roman"/>
                <w:sz w:val="16"/>
                <w:szCs w:val="16"/>
              </w:rPr>
              <w:t>Yes</w:t>
            </w:r>
          </w:p>
        </w:tc>
      </w:tr>
      <w:tr w:rsidR="00F916D8" w:rsidRPr="002F3598" w14:paraId="470668B7" w14:textId="77777777" w:rsidTr="00102720">
        <w:tc>
          <w:tcPr>
            <w:tcW w:w="877" w:type="dxa"/>
            <w:vMerge/>
            <w:shd w:val="clear" w:color="auto" w:fill="FFFF00"/>
          </w:tcPr>
          <w:p w14:paraId="664FA5B8" w14:textId="77777777" w:rsidR="00F916D8" w:rsidRPr="002F3598" w:rsidRDefault="00F916D8" w:rsidP="00213C39">
            <w:pPr>
              <w:rPr>
                <w:rFonts w:cs="Times New Roman"/>
                <w:b/>
                <w:bCs/>
                <w:sz w:val="16"/>
                <w:szCs w:val="16"/>
              </w:rPr>
            </w:pPr>
          </w:p>
        </w:tc>
        <w:tc>
          <w:tcPr>
            <w:tcW w:w="523" w:type="dxa"/>
          </w:tcPr>
          <w:p w14:paraId="18958386" w14:textId="322F7598" w:rsidR="00F916D8" w:rsidRPr="00102720" w:rsidRDefault="00F916D8" w:rsidP="00213C39">
            <w:pPr>
              <w:rPr>
                <w:rFonts w:cs="Times New Roman"/>
                <w:sz w:val="16"/>
                <w:szCs w:val="16"/>
              </w:rPr>
            </w:pPr>
            <w:r w:rsidRPr="00102720">
              <w:rPr>
                <w:rFonts w:cs="Times New Roman"/>
                <w:sz w:val="16"/>
                <w:szCs w:val="16"/>
              </w:rPr>
              <w:t>2</w:t>
            </w:r>
          </w:p>
        </w:tc>
        <w:tc>
          <w:tcPr>
            <w:tcW w:w="1096" w:type="dxa"/>
          </w:tcPr>
          <w:p w14:paraId="3AE372F0" w14:textId="73AF54E1" w:rsidR="00F916D8" w:rsidRPr="00102720" w:rsidRDefault="00F916D8" w:rsidP="00213C39">
            <w:pPr>
              <w:rPr>
                <w:rFonts w:cs="Times New Roman"/>
                <w:sz w:val="16"/>
                <w:szCs w:val="16"/>
              </w:rPr>
            </w:pPr>
            <w:r w:rsidRPr="00102720">
              <w:rPr>
                <w:rFonts w:cs="Times New Roman"/>
                <w:sz w:val="16"/>
                <w:szCs w:val="16"/>
              </w:rPr>
              <w:t>No</w:t>
            </w:r>
          </w:p>
        </w:tc>
        <w:tc>
          <w:tcPr>
            <w:tcW w:w="719" w:type="dxa"/>
          </w:tcPr>
          <w:p w14:paraId="42BD3110" w14:textId="1C10F442" w:rsidR="00F916D8" w:rsidRPr="00102720" w:rsidRDefault="00F916D8" w:rsidP="00213C39">
            <w:pPr>
              <w:rPr>
                <w:rFonts w:cs="Times New Roman"/>
                <w:sz w:val="16"/>
                <w:szCs w:val="16"/>
              </w:rPr>
            </w:pPr>
            <w:r w:rsidRPr="00102720">
              <w:rPr>
                <w:rFonts w:cs="Times New Roman"/>
                <w:sz w:val="16"/>
                <w:szCs w:val="16"/>
              </w:rPr>
              <w:t>N/A</w:t>
            </w:r>
          </w:p>
        </w:tc>
        <w:tc>
          <w:tcPr>
            <w:tcW w:w="884" w:type="dxa"/>
          </w:tcPr>
          <w:p w14:paraId="6F0FFE6A" w14:textId="4B065912" w:rsidR="00F916D8" w:rsidRPr="00102720" w:rsidRDefault="00F916D8" w:rsidP="00213C39">
            <w:pPr>
              <w:rPr>
                <w:rFonts w:cs="Times New Roman"/>
                <w:sz w:val="16"/>
                <w:szCs w:val="16"/>
              </w:rPr>
            </w:pPr>
            <w:r w:rsidRPr="00102720">
              <w:rPr>
                <w:rFonts w:cs="Times New Roman"/>
                <w:sz w:val="16"/>
                <w:szCs w:val="16"/>
              </w:rPr>
              <w:t>N/A</w:t>
            </w:r>
          </w:p>
        </w:tc>
        <w:tc>
          <w:tcPr>
            <w:tcW w:w="963" w:type="dxa"/>
          </w:tcPr>
          <w:p w14:paraId="53A00CE9" w14:textId="531BD489" w:rsidR="00F916D8" w:rsidRPr="00102720" w:rsidRDefault="00F916D8" w:rsidP="00213C39">
            <w:pPr>
              <w:rPr>
                <w:rFonts w:cs="Times New Roman"/>
                <w:sz w:val="16"/>
                <w:szCs w:val="16"/>
              </w:rPr>
            </w:pPr>
            <w:r w:rsidRPr="00102720">
              <w:rPr>
                <w:rFonts w:cs="Times New Roman"/>
                <w:sz w:val="16"/>
                <w:szCs w:val="16"/>
              </w:rPr>
              <w:t>N/A</w:t>
            </w:r>
          </w:p>
        </w:tc>
        <w:tc>
          <w:tcPr>
            <w:tcW w:w="1096" w:type="dxa"/>
          </w:tcPr>
          <w:p w14:paraId="3E1C2FC5" w14:textId="1E681830" w:rsidR="00F916D8" w:rsidRPr="00102720" w:rsidRDefault="00102720" w:rsidP="00213C39">
            <w:pPr>
              <w:rPr>
                <w:rFonts w:cs="Times New Roman"/>
                <w:sz w:val="16"/>
                <w:szCs w:val="16"/>
              </w:rPr>
            </w:pPr>
            <w:r w:rsidRPr="00102720">
              <w:rPr>
                <w:rFonts w:cs="Times New Roman"/>
                <w:sz w:val="16"/>
                <w:szCs w:val="16"/>
              </w:rPr>
              <w:t>N/A</w:t>
            </w:r>
          </w:p>
        </w:tc>
        <w:tc>
          <w:tcPr>
            <w:tcW w:w="830" w:type="dxa"/>
          </w:tcPr>
          <w:p w14:paraId="5A616C56" w14:textId="6678EF12" w:rsidR="00F916D8" w:rsidRPr="00102720" w:rsidRDefault="00102720" w:rsidP="00213C39">
            <w:pPr>
              <w:rPr>
                <w:rFonts w:cs="Times New Roman"/>
                <w:sz w:val="16"/>
                <w:szCs w:val="16"/>
              </w:rPr>
            </w:pPr>
            <w:r w:rsidRPr="00102720">
              <w:rPr>
                <w:rFonts w:cs="Times New Roman"/>
                <w:sz w:val="16"/>
                <w:szCs w:val="16"/>
              </w:rPr>
              <w:t>Generating waste water, dust or exhaust gas which must be treated, or generating hazardous waste which must be managed in accordance with regulations on waste management</w:t>
            </w:r>
          </w:p>
        </w:tc>
        <w:tc>
          <w:tcPr>
            <w:tcW w:w="672" w:type="dxa"/>
          </w:tcPr>
          <w:p w14:paraId="6685FBED" w14:textId="636E14F6" w:rsidR="00F916D8" w:rsidRPr="00102720" w:rsidRDefault="00102720" w:rsidP="00213C39">
            <w:pPr>
              <w:rPr>
                <w:rFonts w:cs="Times New Roman"/>
                <w:sz w:val="16"/>
                <w:szCs w:val="16"/>
              </w:rPr>
            </w:pPr>
            <w:r w:rsidRPr="00102720">
              <w:rPr>
                <w:rFonts w:cs="Times New Roman"/>
                <w:sz w:val="16"/>
                <w:szCs w:val="16"/>
              </w:rPr>
              <w:t>No</w:t>
            </w:r>
          </w:p>
        </w:tc>
        <w:tc>
          <w:tcPr>
            <w:tcW w:w="672" w:type="dxa"/>
          </w:tcPr>
          <w:p w14:paraId="3D1EA763" w14:textId="2E2BF341" w:rsidR="00F916D8" w:rsidRPr="00102720" w:rsidRDefault="00102720" w:rsidP="00213C39">
            <w:pPr>
              <w:rPr>
                <w:rFonts w:cs="Times New Roman"/>
                <w:sz w:val="16"/>
                <w:szCs w:val="16"/>
              </w:rPr>
            </w:pPr>
            <w:r w:rsidRPr="00102720">
              <w:rPr>
                <w:rFonts w:cs="Times New Roman"/>
                <w:sz w:val="16"/>
                <w:szCs w:val="16"/>
              </w:rPr>
              <w:t>No</w:t>
            </w:r>
          </w:p>
        </w:tc>
        <w:tc>
          <w:tcPr>
            <w:tcW w:w="1018" w:type="dxa"/>
          </w:tcPr>
          <w:p w14:paraId="5C085735" w14:textId="43139361" w:rsidR="00F916D8" w:rsidRPr="00102720" w:rsidRDefault="00102720" w:rsidP="00213C39">
            <w:pPr>
              <w:rPr>
                <w:rFonts w:cs="Times New Roman"/>
                <w:sz w:val="16"/>
                <w:szCs w:val="16"/>
              </w:rPr>
            </w:pPr>
            <w:r w:rsidRPr="00102720">
              <w:rPr>
                <w:rFonts w:cs="Times New Roman"/>
                <w:sz w:val="16"/>
                <w:szCs w:val="16"/>
              </w:rPr>
              <w:t>Yes</w:t>
            </w:r>
          </w:p>
        </w:tc>
      </w:tr>
      <w:tr w:rsidR="00F916D8" w:rsidRPr="002F3598" w14:paraId="1BF33687" w14:textId="77777777" w:rsidTr="00102720">
        <w:tc>
          <w:tcPr>
            <w:tcW w:w="877" w:type="dxa"/>
            <w:shd w:val="clear" w:color="auto" w:fill="92D050"/>
          </w:tcPr>
          <w:p w14:paraId="5BEC13DD" w14:textId="43323585" w:rsidR="00213C39" w:rsidRPr="002F3598" w:rsidRDefault="00F916D8" w:rsidP="00213C39">
            <w:pPr>
              <w:rPr>
                <w:rFonts w:cs="Times New Roman"/>
                <w:b/>
                <w:bCs/>
                <w:sz w:val="16"/>
                <w:szCs w:val="16"/>
              </w:rPr>
            </w:pPr>
            <w:r>
              <w:rPr>
                <w:rFonts w:cs="Times New Roman"/>
                <w:b/>
                <w:bCs/>
                <w:sz w:val="16"/>
                <w:szCs w:val="16"/>
              </w:rPr>
              <w:t>Group IV/Nil</w:t>
            </w:r>
          </w:p>
        </w:tc>
        <w:tc>
          <w:tcPr>
            <w:tcW w:w="523" w:type="dxa"/>
          </w:tcPr>
          <w:p w14:paraId="0AC2E7E5" w14:textId="61BF07AE" w:rsidR="00213C39" w:rsidRPr="00F916D8" w:rsidRDefault="00F916D8" w:rsidP="00213C39">
            <w:pPr>
              <w:rPr>
                <w:rFonts w:cs="Times New Roman"/>
                <w:sz w:val="16"/>
                <w:szCs w:val="16"/>
              </w:rPr>
            </w:pPr>
            <w:r w:rsidRPr="00F916D8">
              <w:rPr>
                <w:rFonts w:cs="Times New Roman"/>
                <w:sz w:val="16"/>
                <w:szCs w:val="16"/>
              </w:rPr>
              <w:t>1</w:t>
            </w:r>
          </w:p>
        </w:tc>
        <w:tc>
          <w:tcPr>
            <w:tcW w:w="1096" w:type="dxa"/>
          </w:tcPr>
          <w:p w14:paraId="7246F12A" w14:textId="4C3F307D" w:rsidR="00213C39" w:rsidRPr="00102720" w:rsidRDefault="00F916D8" w:rsidP="00213C39">
            <w:pPr>
              <w:rPr>
                <w:rFonts w:cs="Times New Roman"/>
                <w:sz w:val="16"/>
                <w:szCs w:val="16"/>
              </w:rPr>
            </w:pPr>
            <w:r w:rsidRPr="00102720">
              <w:rPr>
                <w:rFonts w:cs="Times New Roman"/>
                <w:sz w:val="16"/>
                <w:szCs w:val="16"/>
              </w:rPr>
              <w:t>N/A</w:t>
            </w:r>
          </w:p>
        </w:tc>
        <w:tc>
          <w:tcPr>
            <w:tcW w:w="719" w:type="dxa"/>
          </w:tcPr>
          <w:p w14:paraId="269EC235" w14:textId="51774E8F" w:rsidR="00213C39" w:rsidRPr="00102720" w:rsidRDefault="00F916D8" w:rsidP="00213C39">
            <w:pPr>
              <w:rPr>
                <w:rFonts w:cs="Times New Roman"/>
                <w:sz w:val="16"/>
                <w:szCs w:val="16"/>
              </w:rPr>
            </w:pPr>
            <w:r w:rsidRPr="00102720">
              <w:rPr>
                <w:rFonts w:cs="Times New Roman"/>
                <w:sz w:val="16"/>
                <w:szCs w:val="16"/>
              </w:rPr>
              <w:t>N/A</w:t>
            </w:r>
          </w:p>
        </w:tc>
        <w:tc>
          <w:tcPr>
            <w:tcW w:w="884" w:type="dxa"/>
          </w:tcPr>
          <w:p w14:paraId="338D3F1A" w14:textId="4D93E892" w:rsidR="00213C39" w:rsidRPr="00102720" w:rsidRDefault="00F916D8" w:rsidP="00213C39">
            <w:pPr>
              <w:rPr>
                <w:rFonts w:cs="Times New Roman"/>
                <w:sz w:val="16"/>
                <w:szCs w:val="16"/>
              </w:rPr>
            </w:pPr>
            <w:r w:rsidRPr="00102720">
              <w:rPr>
                <w:rFonts w:cs="Times New Roman"/>
                <w:sz w:val="16"/>
                <w:szCs w:val="16"/>
              </w:rPr>
              <w:t>N/A</w:t>
            </w:r>
          </w:p>
        </w:tc>
        <w:tc>
          <w:tcPr>
            <w:tcW w:w="963" w:type="dxa"/>
          </w:tcPr>
          <w:p w14:paraId="4CBA85BC" w14:textId="3E4E0B7F" w:rsidR="00213C39" w:rsidRPr="00102720" w:rsidRDefault="00F916D8" w:rsidP="00213C39">
            <w:pPr>
              <w:rPr>
                <w:rFonts w:cs="Times New Roman"/>
                <w:sz w:val="16"/>
                <w:szCs w:val="16"/>
              </w:rPr>
            </w:pPr>
            <w:r w:rsidRPr="00102720">
              <w:rPr>
                <w:rFonts w:cs="Times New Roman"/>
                <w:sz w:val="16"/>
                <w:szCs w:val="16"/>
              </w:rPr>
              <w:t>N/A</w:t>
            </w:r>
          </w:p>
        </w:tc>
        <w:tc>
          <w:tcPr>
            <w:tcW w:w="1096" w:type="dxa"/>
          </w:tcPr>
          <w:p w14:paraId="2AA96D77" w14:textId="1A74ACA7" w:rsidR="00213C39" w:rsidRPr="00102720" w:rsidRDefault="00102720" w:rsidP="00213C39">
            <w:pPr>
              <w:rPr>
                <w:rFonts w:cs="Times New Roman"/>
                <w:sz w:val="16"/>
                <w:szCs w:val="16"/>
              </w:rPr>
            </w:pPr>
            <w:r w:rsidRPr="00102720">
              <w:rPr>
                <w:rFonts w:cs="Times New Roman"/>
                <w:sz w:val="16"/>
                <w:szCs w:val="16"/>
              </w:rPr>
              <w:t>N/A</w:t>
            </w:r>
          </w:p>
        </w:tc>
        <w:tc>
          <w:tcPr>
            <w:tcW w:w="830" w:type="dxa"/>
          </w:tcPr>
          <w:p w14:paraId="40D944D9" w14:textId="48787DA6" w:rsidR="00213C39" w:rsidRPr="00102720" w:rsidRDefault="00102720" w:rsidP="00213C39">
            <w:pPr>
              <w:rPr>
                <w:rFonts w:cs="Times New Roman"/>
                <w:sz w:val="16"/>
                <w:szCs w:val="16"/>
              </w:rPr>
            </w:pPr>
            <w:r w:rsidRPr="00102720">
              <w:rPr>
                <w:rFonts w:cs="Times New Roman"/>
                <w:sz w:val="16"/>
                <w:szCs w:val="16"/>
              </w:rPr>
              <w:t>N/A</w:t>
            </w:r>
          </w:p>
        </w:tc>
        <w:tc>
          <w:tcPr>
            <w:tcW w:w="672" w:type="dxa"/>
          </w:tcPr>
          <w:p w14:paraId="6A3311C5" w14:textId="2337671F" w:rsidR="00213C39" w:rsidRPr="00102720" w:rsidRDefault="00102720" w:rsidP="00213C39">
            <w:pPr>
              <w:rPr>
                <w:rFonts w:cs="Times New Roman"/>
                <w:sz w:val="16"/>
                <w:szCs w:val="16"/>
              </w:rPr>
            </w:pPr>
            <w:r w:rsidRPr="00102720">
              <w:rPr>
                <w:rFonts w:cs="Times New Roman"/>
                <w:sz w:val="16"/>
                <w:szCs w:val="16"/>
              </w:rPr>
              <w:t>No</w:t>
            </w:r>
          </w:p>
        </w:tc>
        <w:tc>
          <w:tcPr>
            <w:tcW w:w="672" w:type="dxa"/>
          </w:tcPr>
          <w:p w14:paraId="443DA3B5" w14:textId="4AF98D15" w:rsidR="00213C39" w:rsidRPr="00102720" w:rsidRDefault="00102720" w:rsidP="00213C39">
            <w:pPr>
              <w:rPr>
                <w:rFonts w:cs="Times New Roman"/>
                <w:sz w:val="16"/>
                <w:szCs w:val="16"/>
              </w:rPr>
            </w:pPr>
            <w:r w:rsidRPr="00102720">
              <w:rPr>
                <w:rFonts w:cs="Times New Roman"/>
                <w:sz w:val="16"/>
                <w:szCs w:val="16"/>
              </w:rPr>
              <w:t>No</w:t>
            </w:r>
          </w:p>
        </w:tc>
        <w:tc>
          <w:tcPr>
            <w:tcW w:w="1018" w:type="dxa"/>
          </w:tcPr>
          <w:p w14:paraId="0BBE3B3C" w14:textId="4FD0E77C" w:rsidR="00213C39" w:rsidRPr="00102720" w:rsidRDefault="00102720" w:rsidP="00213C39">
            <w:pPr>
              <w:rPr>
                <w:rFonts w:cs="Times New Roman"/>
                <w:sz w:val="16"/>
                <w:szCs w:val="16"/>
              </w:rPr>
            </w:pPr>
            <w:r w:rsidRPr="00102720">
              <w:rPr>
                <w:rFonts w:cs="Times New Roman"/>
                <w:sz w:val="16"/>
                <w:szCs w:val="16"/>
              </w:rPr>
              <w:t>No</w:t>
            </w:r>
          </w:p>
        </w:tc>
      </w:tr>
    </w:tbl>
    <w:p w14:paraId="570720D9" w14:textId="77777777" w:rsidR="004926E6" w:rsidRPr="004926E6" w:rsidRDefault="004926E6" w:rsidP="004926E6">
      <w:pPr>
        <w:rPr>
          <w:rFonts w:cs="Times New Roman"/>
          <w:b/>
          <w:bCs/>
          <w:szCs w:val="24"/>
        </w:rPr>
      </w:pPr>
    </w:p>
    <w:p w14:paraId="60C83F34" w14:textId="77777777" w:rsidR="004926E6" w:rsidRDefault="004926E6" w:rsidP="00102720">
      <w:pPr>
        <w:rPr>
          <w:rFonts w:cs="Times New Roman"/>
          <w:szCs w:val="24"/>
        </w:rPr>
      </w:pPr>
    </w:p>
    <w:p w14:paraId="46A6AF29" w14:textId="18994F86" w:rsidR="001B4D42" w:rsidRPr="00C12294" w:rsidRDefault="001B4D42" w:rsidP="001B4D42">
      <w:pPr>
        <w:ind w:firstLine="360"/>
        <w:rPr>
          <w:rFonts w:asciiTheme="majorHAnsi" w:hAnsiTheme="majorHAnsi" w:cstheme="majorHAnsi"/>
          <w:sz w:val="22"/>
        </w:rPr>
      </w:pPr>
      <w:r w:rsidRPr="00C12294">
        <w:rPr>
          <w:rFonts w:asciiTheme="majorHAnsi" w:hAnsiTheme="majorHAnsi" w:cstheme="majorHAnsi"/>
          <w:sz w:val="22"/>
        </w:rPr>
        <w:lastRenderedPageBreak/>
        <w:t>Decree No. 08</w:t>
      </w:r>
      <w:r w:rsidRPr="00C12294">
        <w:rPr>
          <w:rStyle w:val="FootnoteReference"/>
          <w:rFonts w:asciiTheme="majorHAnsi" w:hAnsiTheme="majorHAnsi" w:cstheme="majorHAnsi"/>
          <w:sz w:val="22"/>
        </w:rPr>
        <w:footnoteReference w:id="20"/>
      </w:r>
      <w:r w:rsidRPr="00C12294">
        <w:rPr>
          <w:rFonts w:asciiTheme="majorHAnsi" w:hAnsiTheme="majorHAnsi" w:cstheme="majorHAnsi"/>
          <w:sz w:val="22"/>
        </w:rPr>
        <w:t xml:space="preserve"> </w:t>
      </w:r>
      <w:r w:rsidR="00A41F68" w:rsidRPr="00C12294">
        <w:rPr>
          <w:rFonts w:asciiTheme="majorHAnsi" w:hAnsiTheme="majorHAnsi" w:cstheme="majorHAnsi"/>
          <w:sz w:val="22"/>
        </w:rPr>
        <w:t xml:space="preserve">provides </w:t>
      </w:r>
      <w:r w:rsidRPr="00C12294">
        <w:rPr>
          <w:rFonts w:asciiTheme="majorHAnsi" w:hAnsiTheme="majorHAnsi" w:cstheme="majorHAnsi"/>
          <w:sz w:val="22"/>
        </w:rPr>
        <w:t>detailed regulations on a number of articles of the law on environmental protection 2020</w:t>
      </w:r>
      <w:r w:rsidR="00A40D2A" w:rsidRPr="00C12294">
        <w:rPr>
          <w:rFonts w:asciiTheme="majorHAnsi" w:hAnsiTheme="majorHAnsi" w:cstheme="majorHAnsi"/>
          <w:sz w:val="22"/>
        </w:rPr>
        <w:t xml:space="preserve"> including providing for</w:t>
      </w:r>
      <w:r w:rsidRPr="00C12294">
        <w:rPr>
          <w:rFonts w:asciiTheme="majorHAnsi" w:hAnsiTheme="majorHAnsi" w:cstheme="majorHAnsi"/>
          <w:sz w:val="22"/>
        </w:rPr>
        <w:t xml:space="preserve"> payment for </w:t>
      </w:r>
      <w:r w:rsidR="00A40D2A" w:rsidRPr="00C12294">
        <w:rPr>
          <w:rFonts w:asciiTheme="majorHAnsi" w:hAnsiTheme="majorHAnsi" w:cstheme="majorHAnsi"/>
          <w:sz w:val="22"/>
        </w:rPr>
        <w:t>n</w:t>
      </w:r>
      <w:r w:rsidRPr="00C12294">
        <w:rPr>
          <w:rFonts w:asciiTheme="majorHAnsi" w:hAnsiTheme="majorHAnsi" w:cstheme="majorHAnsi"/>
          <w:sz w:val="22"/>
        </w:rPr>
        <w:t>atural ecosystem services</w:t>
      </w:r>
      <w:r w:rsidRPr="00C12294">
        <w:rPr>
          <w:rStyle w:val="FootnoteReference"/>
          <w:rFonts w:asciiTheme="majorHAnsi" w:hAnsiTheme="majorHAnsi" w:cstheme="majorHAnsi"/>
          <w:sz w:val="22"/>
        </w:rPr>
        <w:footnoteReference w:id="21"/>
      </w:r>
      <w:r w:rsidRPr="00C12294">
        <w:rPr>
          <w:rFonts w:asciiTheme="majorHAnsi" w:hAnsiTheme="majorHAnsi" w:cstheme="majorHAnsi"/>
          <w:sz w:val="22"/>
        </w:rPr>
        <w:t>, which are specified at Points b, c and d, Clause 2, Article 138 of the Law on Environmental Protection</w:t>
      </w:r>
      <w:r w:rsidR="00A40D2A" w:rsidRPr="00C12294">
        <w:rPr>
          <w:rFonts w:asciiTheme="majorHAnsi" w:hAnsiTheme="majorHAnsi" w:cstheme="majorHAnsi"/>
          <w:sz w:val="22"/>
        </w:rPr>
        <w:t>. This provision</w:t>
      </w:r>
      <w:r w:rsidRPr="00C12294">
        <w:rPr>
          <w:rFonts w:asciiTheme="majorHAnsi" w:hAnsiTheme="majorHAnsi" w:cstheme="majorHAnsi"/>
          <w:sz w:val="22"/>
        </w:rPr>
        <w:t xml:space="preserve"> </w:t>
      </w:r>
      <w:r w:rsidR="00A40D2A" w:rsidRPr="00C12294">
        <w:rPr>
          <w:rFonts w:asciiTheme="majorHAnsi" w:hAnsiTheme="majorHAnsi" w:cstheme="majorHAnsi"/>
          <w:sz w:val="22"/>
        </w:rPr>
        <w:t>mentions</w:t>
      </w:r>
      <w:r w:rsidRPr="00C12294">
        <w:rPr>
          <w:rFonts w:asciiTheme="majorHAnsi" w:hAnsiTheme="majorHAnsi" w:cstheme="majorHAnsi"/>
          <w:sz w:val="22"/>
        </w:rPr>
        <w:t>: (</w:t>
      </w:r>
      <w:r w:rsidR="00A41F68" w:rsidRPr="00C12294">
        <w:rPr>
          <w:rFonts w:asciiTheme="majorHAnsi" w:hAnsiTheme="majorHAnsi" w:cstheme="majorHAnsi"/>
          <w:sz w:val="22"/>
        </w:rPr>
        <w:t>i</w:t>
      </w:r>
      <w:r w:rsidRPr="00C12294">
        <w:rPr>
          <w:rFonts w:asciiTheme="majorHAnsi" w:hAnsiTheme="majorHAnsi" w:cstheme="majorHAnsi"/>
          <w:sz w:val="22"/>
        </w:rPr>
        <w:t xml:space="preserve">) </w:t>
      </w:r>
      <w:r w:rsidR="00A41F68" w:rsidRPr="00C12294">
        <w:rPr>
          <w:rFonts w:asciiTheme="majorHAnsi" w:hAnsiTheme="majorHAnsi" w:cstheme="majorHAnsi"/>
          <w:sz w:val="22"/>
        </w:rPr>
        <w:t>w</w:t>
      </w:r>
      <w:r w:rsidRPr="00C12294">
        <w:rPr>
          <w:rFonts w:asciiTheme="majorHAnsi" w:hAnsiTheme="majorHAnsi" w:cstheme="majorHAnsi"/>
          <w:sz w:val="22"/>
        </w:rPr>
        <w:t>etland ecosystem services for tourism, entertainment and aquaculture business purposes of important wetlands and mixed eco-regions in accordance with the law on biodiversity (2008); (</w:t>
      </w:r>
      <w:r w:rsidR="00A41F68" w:rsidRPr="00C12294">
        <w:rPr>
          <w:rFonts w:asciiTheme="majorHAnsi" w:hAnsiTheme="majorHAnsi" w:cstheme="majorHAnsi"/>
          <w:sz w:val="22"/>
        </w:rPr>
        <w:t>ii</w:t>
      </w:r>
      <w:r w:rsidRPr="00C12294">
        <w:rPr>
          <w:rFonts w:asciiTheme="majorHAnsi" w:hAnsiTheme="majorHAnsi" w:cstheme="majorHAnsi"/>
          <w:sz w:val="22"/>
        </w:rPr>
        <w:t>) Marine ecosystem services for tourism, entertainment and aquaculture business purposes of marine conservation zones and aquatic resource protection zones; and (</w:t>
      </w:r>
      <w:r w:rsidR="00A41F68" w:rsidRPr="00C12294">
        <w:rPr>
          <w:rFonts w:asciiTheme="majorHAnsi" w:hAnsiTheme="majorHAnsi" w:cstheme="majorHAnsi"/>
          <w:sz w:val="22"/>
        </w:rPr>
        <w:t>iii</w:t>
      </w:r>
      <w:r w:rsidRPr="00C12294">
        <w:rPr>
          <w:rFonts w:asciiTheme="majorHAnsi" w:hAnsiTheme="majorHAnsi" w:cstheme="majorHAnsi"/>
          <w:sz w:val="22"/>
        </w:rPr>
        <w:t xml:space="preserve">) </w:t>
      </w:r>
      <w:r w:rsidR="00A41F68" w:rsidRPr="00C12294">
        <w:rPr>
          <w:rFonts w:asciiTheme="majorHAnsi" w:hAnsiTheme="majorHAnsi" w:cstheme="majorHAnsi"/>
          <w:sz w:val="22"/>
        </w:rPr>
        <w:t>e</w:t>
      </w:r>
      <w:r w:rsidRPr="00C12294">
        <w:rPr>
          <w:rFonts w:asciiTheme="majorHAnsi" w:hAnsiTheme="majorHAnsi" w:cstheme="majorHAnsi"/>
          <w:sz w:val="22"/>
        </w:rPr>
        <w:t>cosystem services of rocky mountains and caves belonging to natural heritage for tourism and entertainment business purposes</w:t>
      </w:r>
      <w:r w:rsidR="00A40D2A" w:rsidRPr="00C12294">
        <w:rPr>
          <w:rFonts w:asciiTheme="majorHAnsi" w:hAnsiTheme="majorHAnsi" w:cstheme="majorHAnsi"/>
          <w:sz w:val="22"/>
        </w:rPr>
        <w:t xml:space="preserve">. </w:t>
      </w:r>
    </w:p>
    <w:p w14:paraId="0AA74989" w14:textId="6ACB1B45" w:rsidR="001B4D42" w:rsidRPr="00C12294" w:rsidRDefault="0081359D" w:rsidP="001B4D42">
      <w:pPr>
        <w:ind w:firstLine="360"/>
        <w:rPr>
          <w:rFonts w:asciiTheme="majorHAnsi" w:hAnsiTheme="majorHAnsi" w:cstheme="majorHAnsi"/>
          <w:sz w:val="22"/>
        </w:rPr>
      </w:pPr>
      <w:r w:rsidRPr="00C12294">
        <w:rPr>
          <w:rFonts w:asciiTheme="majorHAnsi" w:hAnsiTheme="majorHAnsi" w:cstheme="majorHAnsi"/>
          <w:sz w:val="22"/>
        </w:rPr>
        <w:t>A d</w:t>
      </w:r>
      <w:r w:rsidR="00A40D2A" w:rsidRPr="00C12294">
        <w:rPr>
          <w:rFonts w:asciiTheme="majorHAnsi" w:hAnsiTheme="majorHAnsi" w:cstheme="majorHAnsi"/>
          <w:sz w:val="22"/>
        </w:rPr>
        <w:t>raft</w:t>
      </w:r>
      <w:r w:rsidR="001B4D42" w:rsidRPr="00C12294">
        <w:rPr>
          <w:rFonts w:asciiTheme="majorHAnsi" w:hAnsiTheme="majorHAnsi" w:cstheme="majorHAnsi"/>
          <w:sz w:val="22"/>
        </w:rPr>
        <w:t xml:space="preserve"> decision to be signed by Prime Minister (2021) on </w:t>
      </w:r>
      <w:r w:rsidRPr="00C12294">
        <w:rPr>
          <w:rFonts w:asciiTheme="majorHAnsi" w:hAnsiTheme="majorHAnsi" w:cstheme="majorHAnsi"/>
          <w:sz w:val="22"/>
        </w:rPr>
        <w:t>the approval</w:t>
      </w:r>
      <w:r w:rsidR="001B4D42" w:rsidRPr="00C12294">
        <w:rPr>
          <w:rFonts w:asciiTheme="majorHAnsi" w:hAnsiTheme="majorHAnsi" w:cstheme="majorHAnsi"/>
          <w:sz w:val="22"/>
        </w:rPr>
        <w:t xml:space="preserve"> of a forthcoming national environmental protection strategy to 2030, vision to 2050</w:t>
      </w:r>
      <w:r w:rsidR="00A40D2A" w:rsidRPr="00C12294">
        <w:rPr>
          <w:rFonts w:asciiTheme="majorHAnsi" w:hAnsiTheme="majorHAnsi" w:cstheme="majorHAnsi"/>
          <w:sz w:val="22"/>
        </w:rPr>
        <w:t>:</w:t>
      </w:r>
      <w:r w:rsidR="001B4D42" w:rsidRPr="00C12294">
        <w:rPr>
          <w:rFonts w:asciiTheme="majorHAnsi" w:hAnsiTheme="majorHAnsi" w:cstheme="majorHAnsi"/>
          <w:sz w:val="22"/>
        </w:rPr>
        <w:t xml:space="preserve"> One of the specific objectives of the strategy </w:t>
      </w:r>
      <w:r w:rsidR="00A40D2A" w:rsidRPr="00C12294">
        <w:rPr>
          <w:rFonts w:asciiTheme="majorHAnsi" w:hAnsiTheme="majorHAnsi" w:cstheme="majorHAnsi"/>
          <w:sz w:val="22"/>
        </w:rPr>
        <w:t>is to</w:t>
      </w:r>
      <w:r w:rsidR="001B4D42" w:rsidRPr="00C12294">
        <w:rPr>
          <w:rFonts w:asciiTheme="majorHAnsi" w:hAnsiTheme="majorHAnsi" w:cstheme="majorHAnsi"/>
          <w:sz w:val="22"/>
        </w:rPr>
        <w:t xml:space="preserve"> “strengthen the protection of natural heritages, restore ecosystems</w:t>
      </w:r>
      <w:r w:rsidR="00A40D2A" w:rsidRPr="00C12294">
        <w:rPr>
          <w:rFonts w:asciiTheme="majorHAnsi" w:hAnsiTheme="majorHAnsi" w:cstheme="majorHAnsi"/>
          <w:sz w:val="22"/>
        </w:rPr>
        <w:t xml:space="preserve"> and</w:t>
      </w:r>
      <w:r w:rsidR="001B4D42" w:rsidRPr="00C12294">
        <w:rPr>
          <w:rFonts w:asciiTheme="majorHAnsi" w:hAnsiTheme="majorHAnsi" w:cstheme="majorHAnsi"/>
          <w:sz w:val="22"/>
        </w:rPr>
        <w:t xml:space="preserve"> prevent the trend of biodiversity loss”</w:t>
      </w:r>
      <w:r w:rsidR="001B4D42" w:rsidRPr="00C12294">
        <w:rPr>
          <w:rStyle w:val="FootnoteReference"/>
          <w:rFonts w:asciiTheme="majorHAnsi" w:hAnsiTheme="majorHAnsi" w:cstheme="majorHAnsi"/>
          <w:sz w:val="22"/>
        </w:rPr>
        <w:footnoteReference w:id="22"/>
      </w:r>
      <w:r w:rsidR="001B4D42" w:rsidRPr="00C12294">
        <w:rPr>
          <w:rFonts w:asciiTheme="majorHAnsi" w:hAnsiTheme="majorHAnsi" w:cstheme="majorHAnsi"/>
          <w:sz w:val="22"/>
        </w:rPr>
        <w:t xml:space="preserve"> with a series of tasks on nature and biodiversity conservation, and promotion of </w:t>
      </w:r>
      <w:r w:rsidR="001B4D42" w:rsidRPr="00C12294">
        <w:rPr>
          <w:rFonts w:asciiTheme="majorHAnsi" w:hAnsiTheme="majorHAnsi" w:cstheme="majorHAnsi"/>
          <w:color w:val="000000"/>
          <w:sz w:val="22"/>
        </w:rPr>
        <w:t xml:space="preserve">environmental protection in the exploitation and use of natural resources, </w:t>
      </w:r>
      <w:r w:rsidR="001B4D42" w:rsidRPr="00C12294">
        <w:rPr>
          <w:rFonts w:asciiTheme="majorHAnsi" w:hAnsiTheme="majorHAnsi" w:cstheme="majorHAnsi"/>
          <w:sz w:val="22"/>
        </w:rPr>
        <w:t xml:space="preserve">including: </w:t>
      </w:r>
    </w:p>
    <w:p w14:paraId="0056135B" w14:textId="69385B5F" w:rsidR="001B4D42" w:rsidRPr="00C12294" w:rsidRDefault="001B4D42" w:rsidP="0091120C">
      <w:pPr>
        <w:pStyle w:val="ListNumber2"/>
        <w:rPr>
          <w:rFonts w:cstheme="majorHAnsi"/>
          <w:color w:val="000000"/>
          <w:szCs w:val="22"/>
        </w:rPr>
      </w:pPr>
      <w:r w:rsidRPr="00C12294">
        <w:rPr>
          <w:rFonts w:cstheme="majorHAnsi"/>
          <w:color w:val="000000"/>
          <w:szCs w:val="22"/>
        </w:rPr>
        <w:t>Environmental protection of natural heritage</w:t>
      </w:r>
      <w:r w:rsidR="00A40D2A" w:rsidRPr="00C12294">
        <w:rPr>
          <w:rFonts w:cstheme="majorHAnsi"/>
          <w:color w:val="000000"/>
          <w:szCs w:val="22"/>
        </w:rPr>
        <w:t xml:space="preserve"> and</w:t>
      </w:r>
      <w:r w:rsidRPr="00C12294">
        <w:rPr>
          <w:rFonts w:cstheme="majorHAnsi"/>
          <w:color w:val="000000"/>
          <w:szCs w:val="22"/>
        </w:rPr>
        <w:t xml:space="preserve"> expansion of the system of conservation zones and biodiversity corridors. </w:t>
      </w:r>
    </w:p>
    <w:p w14:paraId="21609255" w14:textId="2FF3BCE3" w:rsidR="001B4D42" w:rsidRPr="00C12294" w:rsidRDefault="0081359D" w:rsidP="0091120C">
      <w:pPr>
        <w:pStyle w:val="ListNumber2"/>
        <w:rPr>
          <w:rFonts w:cstheme="majorHAnsi"/>
          <w:color w:val="000000"/>
          <w:szCs w:val="22"/>
        </w:rPr>
      </w:pPr>
      <w:r w:rsidRPr="00C12294">
        <w:rPr>
          <w:rFonts w:cstheme="majorHAnsi"/>
          <w:color w:val="000000"/>
          <w:szCs w:val="22"/>
        </w:rPr>
        <w:t>Carrying out impact assessments with particular focus on environmental and cultural heritage impacts.</w:t>
      </w:r>
    </w:p>
    <w:p w14:paraId="36AB123D" w14:textId="385138B2" w:rsidR="001B4D42" w:rsidRPr="00C12294" w:rsidRDefault="001B4D42" w:rsidP="0091120C">
      <w:pPr>
        <w:pStyle w:val="ListNumber2"/>
        <w:rPr>
          <w:rFonts w:cstheme="majorHAnsi"/>
          <w:color w:val="000000"/>
          <w:szCs w:val="22"/>
        </w:rPr>
      </w:pPr>
      <w:r w:rsidRPr="00C12294">
        <w:rPr>
          <w:rFonts w:cstheme="majorHAnsi"/>
          <w:szCs w:val="22"/>
        </w:rPr>
        <w:t>Develop</w:t>
      </w:r>
      <w:r w:rsidR="003C0941" w:rsidRPr="00C12294">
        <w:rPr>
          <w:rFonts w:cstheme="majorHAnsi"/>
          <w:szCs w:val="22"/>
        </w:rPr>
        <w:t>ing</w:t>
      </w:r>
      <w:r w:rsidRPr="00C12294">
        <w:rPr>
          <w:rFonts w:cstheme="majorHAnsi"/>
          <w:szCs w:val="22"/>
        </w:rPr>
        <w:t xml:space="preserve"> and implement</w:t>
      </w:r>
      <w:r w:rsidR="003C0941" w:rsidRPr="00C12294">
        <w:rPr>
          <w:rFonts w:cstheme="majorHAnsi"/>
          <w:szCs w:val="22"/>
        </w:rPr>
        <w:t>ing</w:t>
      </w:r>
      <w:r w:rsidRPr="00C12294">
        <w:rPr>
          <w:rFonts w:cstheme="majorHAnsi"/>
          <w:szCs w:val="22"/>
        </w:rPr>
        <w:t xml:space="preserve"> a biodiversity compensation mechanism, especially for forest and wetland ecosystems.</w:t>
      </w:r>
    </w:p>
    <w:p w14:paraId="2BE6C219" w14:textId="428FAD4A" w:rsidR="001B4D42" w:rsidRPr="00C12294" w:rsidRDefault="001B4D42" w:rsidP="0091120C">
      <w:pPr>
        <w:pStyle w:val="ListNumber2"/>
        <w:rPr>
          <w:rFonts w:cstheme="majorHAnsi"/>
          <w:color w:val="000000"/>
          <w:szCs w:val="22"/>
        </w:rPr>
      </w:pPr>
      <w:r w:rsidRPr="00C12294">
        <w:rPr>
          <w:rFonts w:cstheme="majorHAnsi"/>
          <w:szCs w:val="22"/>
        </w:rPr>
        <w:t>Promot</w:t>
      </w:r>
      <w:r w:rsidR="003C0941" w:rsidRPr="00C12294">
        <w:rPr>
          <w:rFonts w:cstheme="majorHAnsi"/>
          <w:szCs w:val="22"/>
        </w:rPr>
        <w:t>ing</w:t>
      </w:r>
      <w:r w:rsidRPr="00C12294">
        <w:rPr>
          <w:rFonts w:cstheme="majorHAnsi"/>
          <w:szCs w:val="22"/>
        </w:rPr>
        <w:t xml:space="preserve"> the establishment of new nature reserves</w:t>
      </w:r>
      <w:r w:rsidR="0081359D" w:rsidRPr="00C12294">
        <w:rPr>
          <w:rFonts w:cstheme="majorHAnsi"/>
          <w:szCs w:val="22"/>
        </w:rPr>
        <w:t xml:space="preserve"> and </w:t>
      </w:r>
      <w:r w:rsidRPr="00C12294">
        <w:rPr>
          <w:rFonts w:cstheme="majorHAnsi"/>
          <w:szCs w:val="22"/>
        </w:rPr>
        <w:t>encourage businesses, communities and households to establish voluntary biodiversity conservation areas.</w:t>
      </w:r>
    </w:p>
    <w:p w14:paraId="39DA8A61" w14:textId="77777777" w:rsidR="001B4D42" w:rsidRPr="00C12294" w:rsidRDefault="001B4D42" w:rsidP="0091120C">
      <w:pPr>
        <w:pStyle w:val="ListNumber2"/>
        <w:rPr>
          <w:rFonts w:cstheme="majorHAnsi"/>
          <w:color w:val="000000"/>
          <w:szCs w:val="22"/>
        </w:rPr>
      </w:pPr>
      <w:r w:rsidRPr="00C12294">
        <w:rPr>
          <w:rFonts w:cstheme="majorHAnsi"/>
          <w:szCs w:val="22"/>
        </w:rPr>
        <w:t>Effective and efficient management of nature reserves, harmoniously combining conservation and development.</w:t>
      </w:r>
    </w:p>
    <w:p w14:paraId="703D4C66" w14:textId="3D29B003" w:rsidR="001B4D42" w:rsidRPr="00C12294" w:rsidRDefault="001B4D42" w:rsidP="0091120C">
      <w:pPr>
        <w:pStyle w:val="ListNumber2"/>
        <w:rPr>
          <w:rFonts w:cstheme="majorHAnsi"/>
          <w:color w:val="000000"/>
          <w:szCs w:val="22"/>
        </w:rPr>
      </w:pPr>
      <w:r w:rsidRPr="00C12294">
        <w:rPr>
          <w:rFonts w:cstheme="majorHAnsi"/>
          <w:szCs w:val="22"/>
        </w:rPr>
        <w:t>Promot</w:t>
      </w:r>
      <w:r w:rsidR="003C0941" w:rsidRPr="00C12294">
        <w:rPr>
          <w:rFonts w:cstheme="majorHAnsi"/>
          <w:szCs w:val="22"/>
        </w:rPr>
        <w:t>ing</w:t>
      </w:r>
      <w:r w:rsidRPr="00C12294">
        <w:rPr>
          <w:rFonts w:cstheme="majorHAnsi"/>
          <w:szCs w:val="22"/>
        </w:rPr>
        <w:t xml:space="preserve"> biodiversity validation/assessmen</w:t>
      </w:r>
      <w:r w:rsidR="0081359D" w:rsidRPr="00C12294">
        <w:rPr>
          <w:rFonts w:cstheme="majorHAnsi"/>
          <w:szCs w:val="22"/>
        </w:rPr>
        <w:t xml:space="preserve">t and </w:t>
      </w:r>
      <w:r w:rsidRPr="00C12294">
        <w:rPr>
          <w:rFonts w:cstheme="majorHAnsi"/>
          <w:szCs w:val="22"/>
        </w:rPr>
        <w:t>continu</w:t>
      </w:r>
      <w:r w:rsidR="003C0941" w:rsidRPr="00C12294">
        <w:rPr>
          <w:rFonts w:cstheme="majorHAnsi"/>
          <w:szCs w:val="22"/>
        </w:rPr>
        <w:t>ing</w:t>
      </w:r>
      <w:r w:rsidRPr="00C12294">
        <w:rPr>
          <w:rFonts w:cstheme="majorHAnsi"/>
          <w:szCs w:val="22"/>
        </w:rPr>
        <w:t xml:space="preserve"> to expand the application of payment for ecosystem services to forests, wetlands, sea, rocky mountains, caves and geoparks.</w:t>
      </w:r>
    </w:p>
    <w:p w14:paraId="29D2C5CC" w14:textId="250E22FB" w:rsidR="001B4D42" w:rsidRPr="00C12294" w:rsidRDefault="001B4D42" w:rsidP="0091120C">
      <w:pPr>
        <w:pStyle w:val="ListNumber2"/>
        <w:rPr>
          <w:rFonts w:cstheme="majorHAnsi"/>
          <w:color w:val="000000"/>
          <w:szCs w:val="22"/>
        </w:rPr>
      </w:pPr>
      <w:r w:rsidRPr="00C12294">
        <w:rPr>
          <w:rFonts w:eastAsiaTheme="minorHAnsi" w:cstheme="majorHAnsi"/>
          <w:szCs w:val="22"/>
        </w:rPr>
        <w:t>Establish</w:t>
      </w:r>
      <w:r w:rsidR="003C0941" w:rsidRPr="00C12294">
        <w:rPr>
          <w:rFonts w:eastAsiaTheme="minorHAnsi" w:cstheme="majorHAnsi"/>
          <w:szCs w:val="22"/>
        </w:rPr>
        <w:t>ing</w:t>
      </w:r>
      <w:r w:rsidRPr="00C12294">
        <w:rPr>
          <w:rFonts w:eastAsiaTheme="minorHAnsi" w:cstheme="majorHAnsi"/>
          <w:szCs w:val="22"/>
        </w:rPr>
        <w:t xml:space="preserve"> and sustainably manag</w:t>
      </w:r>
      <w:r w:rsidR="003C0941" w:rsidRPr="00C12294">
        <w:rPr>
          <w:rFonts w:eastAsiaTheme="minorHAnsi" w:cstheme="majorHAnsi"/>
          <w:szCs w:val="22"/>
        </w:rPr>
        <w:t>ing</w:t>
      </w:r>
      <w:r w:rsidRPr="00C12294">
        <w:rPr>
          <w:rFonts w:eastAsiaTheme="minorHAnsi" w:cstheme="majorHAnsi"/>
          <w:szCs w:val="22"/>
        </w:rPr>
        <w:t xml:space="preserve"> biodiversity corridors connecting habitats where endangered and rare species are prioritized for protection.</w:t>
      </w:r>
    </w:p>
    <w:p w14:paraId="5180B802" w14:textId="6935F1FE" w:rsidR="001B4D42" w:rsidRPr="00C12294" w:rsidRDefault="0081359D" w:rsidP="0091120C">
      <w:pPr>
        <w:pStyle w:val="ListNumber2"/>
        <w:rPr>
          <w:rFonts w:cstheme="majorHAnsi"/>
          <w:color w:val="000000"/>
          <w:szCs w:val="22"/>
        </w:rPr>
      </w:pPr>
      <w:r w:rsidRPr="00C12294">
        <w:rPr>
          <w:rFonts w:cstheme="majorHAnsi"/>
          <w:szCs w:val="22"/>
        </w:rPr>
        <w:t>Integrating</w:t>
      </w:r>
      <w:r w:rsidR="001B4D42" w:rsidRPr="00C12294">
        <w:rPr>
          <w:rFonts w:cstheme="majorHAnsi"/>
          <w:szCs w:val="22"/>
        </w:rPr>
        <w:t xml:space="preserve"> content of protection and restoration of natural ecosystems into </w:t>
      </w:r>
      <w:r w:rsidRPr="00C12294">
        <w:rPr>
          <w:rFonts w:cstheme="majorHAnsi"/>
          <w:szCs w:val="22"/>
        </w:rPr>
        <w:t xml:space="preserve">the </w:t>
      </w:r>
      <w:r w:rsidR="001B4D42" w:rsidRPr="00C12294">
        <w:rPr>
          <w:rFonts w:cstheme="majorHAnsi"/>
          <w:szCs w:val="22"/>
        </w:rPr>
        <w:t>development of policies, strategies, master plans</w:t>
      </w:r>
      <w:r w:rsidRPr="00C12294">
        <w:rPr>
          <w:rFonts w:cstheme="majorHAnsi"/>
          <w:szCs w:val="22"/>
        </w:rPr>
        <w:t xml:space="preserve"> and programs</w:t>
      </w:r>
      <w:r w:rsidR="001B4D42" w:rsidRPr="00C12294">
        <w:rPr>
          <w:rFonts w:cstheme="majorHAnsi"/>
          <w:szCs w:val="22"/>
        </w:rPr>
        <w:t>.</w:t>
      </w:r>
    </w:p>
    <w:p w14:paraId="156ED73F" w14:textId="4E58E2BC" w:rsidR="00E44F7D" w:rsidRPr="00C12294" w:rsidRDefault="001B4D42" w:rsidP="00ED594B">
      <w:pPr>
        <w:autoSpaceDE w:val="0"/>
        <w:autoSpaceDN w:val="0"/>
        <w:adjustRightInd w:val="0"/>
        <w:spacing w:line="240" w:lineRule="auto"/>
        <w:ind w:firstLine="360"/>
        <w:rPr>
          <w:rFonts w:asciiTheme="majorHAnsi" w:hAnsiTheme="majorHAnsi" w:cstheme="majorHAnsi"/>
          <w:color w:val="000000"/>
          <w:sz w:val="22"/>
        </w:rPr>
      </w:pPr>
      <w:r w:rsidRPr="00C12294">
        <w:rPr>
          <w:rFonts w:asciiTheme="majorHAnsi" w:hAnsiTheme="majorHAnsi" w:cstheme="majorHAnsi"/>
          <w:sz w:val="22"/>
        </w:rPr>
        <w:t>Funding sources for the implementation of the Strategy include the state budget, business investment, the private sector, the community and foreign capital.</w:t>
      </w:r>
    </w:p>
    <w:p w14:paraId="57FF523D" w14:textId="21051F1D" w:rsidR="00E44F7D" w:rsidRPr="00C12294" w:rsidRDefault="00E44F7D" w:rsidP="00E44F7D">
      <w:pPr>
        <w:pStyle w:val="Heading4"/>
        <w:rPr>
          <w:rFonts w:asciiTheme="majorHAnsi" w:hAnsiTheme="majorHAnsi" w:cstheme="majorHAnsi"/>
          <w:sz w:val="22"/>
          <w:szCs w:val="22"/>
        </w:rPr>
      </w:pPr>
      <w:r w:rsidRPr="00C12294">
        <w:rPr>
          <w:rFonts w:asciiTheme="majorHAnsi" w:hAnsiTheme="majorHAnsi" w:cstheme="majorHAnsi"/>
          <w:sz w:val="22"/>
          <w:szCs w:val="22"/>
        </w:rPr>
        <w:lastRenderedPageBreak/>
        <w:t>Law on Biodiversity</w:t>
      </w:r>
    </w:p>
    <w:p w14:paraId="23373FE6" w14:textId="797602BD" w:rsidR="00E44F7D" w:rsidRPr="00C12294" w:rsidRDefault="00053BC1" w:rsidP="00E44F7D">
      <w:pPr>
        <w:ind w:firstLine="720"/>
        <w:rPr>
          <w:rFonts w:asciiTheme="majorHAnsi" w:hAnsiTheme="majorHAnsi" w:cstheme="majorHAnsi"/>
          <w:sz w:val="22"/>
        </w:rPr>
      </w:pPr>
      <w:r w:rsidRPr="00C12294">
        <w:rPr>
          <w:rFonts w:asciiTheme="majorHAnsi" w:hAnsiTheme="majorHAnsi" w:cstheme="majorHAnsi"/>
          <w:sz w:val="22"/>
        </w:rPr>
        <w:t>Law on Biodiversity (2008)</w:t>
      </w:r>
      <w:r w:rsidRPr="00C12294">
        <w:rPr>
          <w:rStyle w:val="FootnoteReference"/>
          <w:rFonts w:asciiTheme="majorHAnsi" w:hAnsiTheme="majorHAnsi" w:cstheme="majorHAnsi"/>
          <w:sz w:val="22"/>
        </w:rPr>
        <w:footnoteReference w:id="23"/>
      </w:r>
      <w:r w:rsidRPr="00C12294">
        <w:rPr>
          <w:rFonts w:asciiTheme="majorHAnsi" w:hAnsiTheme="majorHAnsi" w:cstheme="majorHAnsi"/>
          <w:sz w:val="22"/>
        </w:rPr>
        <w:t>, and legal document No</w:t>
      </w:r>
      <w:r w:rsidR="00ED594B" w:rsidRPr="00C12294">
        <w:rPr>
          <w:rFonts w:asciiTheme="majorHAnsi" w:hAnsiTheme="majorHAnsi" w:cstheme="majorHAnsi"/>
          <w:sz w:val="22"/>
        </w:rPr>
        <w:t>.</w:t>
      </w:r>
      <w:r w:rsidRPr="00C12294">
        <w:rPr>
          <w:rFonts w:asciiTheme="majorHAnsi" w:hAnsiTheme="majorHAnsi" w:cstheme="majorHAnsi"/>
          <w:sz w:val="22"/>
        </w:rPr>
        <w:t xml:space="preserve"> 32/2018/VBHN-VPQH, dated December 10, 2018 ha</w:t>
      </w:r>
      <w:r w:rsidR="00A40D2A" w:rsidRPr="00C12294">
        <w:rPr>
          <w:rFonts w:asciiTheme="majorHAnsi" w:hAnsiTheme="majorHAnsi" w:cstheme="majorHAnsi"/>
          <w:sz w:val="22"/>
        </w:rPr>
        <w:t>ve</w:t>
      </w:r>
      <w:r w:rsidRPr="00C12294">
        <w:rPr>
          <w:rFonts w:asciiTheme="majorHAnsi" w:hAnsiTheme="majorHAnsi" w:cstheme="majorHAnsi"/>
          <w:sz w:val="22"/>
        </w:rPr>
        <w:t xml:space="preserve"> clearly defined Biodiversity as the richness of genes, species of organisms and ecosystems in nature</w:t>
      </w:r>
      <w:r w:rsidR="00A40D2A" w:rsidRPr="00C12294">
        <w:rPr>
          <w:rFonts w:asciiTheme="majorHAnsi" w:hAnsiTheme="majorHAnsi" w:cstheme="majorHAnsi"/>
          <w:sz w:val="22"/>
        </w:rPr>
        <w:t xml:space="preserve">. </w:t>
      </w:r>
      <w:r w:rsidRPr="00C12294">
        <w:rPr>
          <w:rFonts w:asciiTheme="majorHAnsi" w:hAnsiTheme="majorHAnsi" w:cstheme="majorHAnsi"/>
          <w:sz w:val="22"/>
        </w:rPr>
        <w:t>Biodiversity conservation is the protection of the richness of important, specific or representative natural ecosystems</w:t>
      </w:r>
      <w:r w:rsidR="00A40D2A" w:rsidRPr="00C12294">
        <w:rPr>
          <w:rFonts w:asciiTheme="majorHAnsi" w:hAnsiTheme="majorHAnsi" w:cstheme="majorHAnsi"/>
          <w:sz w:val="22"/>
        </w:rPr>
        <w:t xml:space="preserve">. </w:t>
      </w:r>
      <w:r w:rsidRPr="00C12294">
        <w:rPr>
          <w:rFonts w:asciiTheme="majorHAnsi" w:hAnsiTheme="majorHAnsi" w:cstheme="majorHAnsi"/>
          <w:sz w:val="22"/>
        </w:rPr>
        <w:t>The law also clearly explains terms related to biodiversity, biodiversity conservation and the direct research contents of this task such as ecosystems, nature reserves, and wild species, species threatened with extinction, buffer zones, and sustainable development of biodiversity.</w:t>
      </w:r>
    </w:p>
    <w:p w14:paraId="741FD99F" w14:textId="7F948E2E" w:rsidR="00053BC1" w:rsidRPr="00C12294" w:rsidRDefault="00053BC1" w:rsidP="001D4FA9">
      <w:pPr>
        <w:ind w:firstLine="720"/>
        <w:rPr>
          <w:rFonts w:asciiTheme="majorHAnsi" w:hAnsiTheme="majorHAnsi" w:cstheme="majorHAnsi"/>
          <w:sz w:val="22"/>
        </w:rPr>
      </w:pPr>
      <w:r w:rsidRPr="00C12294">
        <w:rPr>
          <w:rFonts w:asciiTheme="majorHAnsi" w:hAnsiTheme="majorHAnsi" w:cstheme="majorHAnsi"/>
          <w:sz w:val="22"/>
        </w:rPr>
        <w:t>To implement the Law on Biodiversity, a series of legal documents under the Law have been issued</w:t>
      </w:r>
      <w:r w:rsidR="00ED594B" w:rsidRPr="00C12294">
        <w:rPr>
          <w:rFonts w:asciiTheme="majorHAnsi" w:hAnsiTheme="majorHAnsi" w:cstheme="majorHAnsi"/>
          <w:sz w:val="22"/>
        </w:rPr>
        <w:t xml:space="preserve">. </w:t>
      </w:r>
      <w:r w:rsidR="003C0941" w:rsidRPr="00C12294">
        <w:rPr>
          <w:rFonts w:asciiTheme="majorHAnsi" w:hAnsiTheme="majorHAnsi" w:cstheme="majorHAnsi"/>
          <w:sz w:val="22"/>
        </w:rPr>
        <w:t>The relevant</w:t>
      </w:r>
      <w:r w:rsidR="001D4FA9" w:rsidRPr="00C12294">
        <w:rPr>
          <w:rFonts w:asciiTheme="majorHAnsi" w:hAnsiTheme="majorHAnsi" w:cstheme="majorHAnsi"/>
          <w:sz w:val="22"/>
        </w:rPr>
        <w:t xml:space="preserve"> documents are listed in the summary table above.</w:t>
      </w:r>
    </w:p>
    <w:p w14:paraId="3A1D6F75" w14:textId="055D9EFE" w:rsidR="001B4D42" w:rsidRPr="00C12294" w:rsidRDefault="001B4D42" w:rsidP="001B4D42">
      <w:pPr>
        <w:pStyle w:val="Heading4"/>
        <w:rPr>
          <w:rFonts w:asciiTheme="majorHAnsi" w:hAnsiTheme="majorHAnsi" w:cstheme="majorHAnsi"/>
          <w:sz w:val="22"/>
          <w:szCs w:val="22"/>
        </w:rPr>
      </w:pPr>
      <w:r w:rsidRPr="00C12294">
        <w:rPr>
          <w:rFonts w:asciiTheme="majorHAnsi" w:hAnsiTheme="majorHAnsi" w:cstheme="majorHAnsi"/>
          <w:sz w:val="22"/>
          <w:szCs w:val="22"/>
        </w:rPr>
        <w:t>Law on Forestry</w:t>
      </w:r>
    </w:p>
    <w:p w14:paraId="3ACCA542" w14:textId="5B743471" w:rsidR="001B4D42" w:rsidRPr="00C12294" w:rsidRDefault="001B4D42" w:rsidP="001B4D42">
      <w:pPr>
        <w:ind w:firstLine="720"/>
        <w:rPr>
          <w:rFonts w:asciiTheme="majorHAnsi" w:hAnsiTheme="majorHAnsi" w:cstheme="majorHAnsi"/>
          <w:sz w:val="22"/>
        </w:rPr>
      </w:pPr>
      <w:r w:rsidRPr="00C12294">
        <w:rPr>
          <w:rFonts w:asciiTheme="majorHAnsi" w:hAnsiTheme="majorHAnsi" w:cstheme="majorHAnsi"/>
          <w:sz w:val="22"/>
        </w:rPr>
        <w:t xml:space="preserve">The </w:t>
      </w:r>
      <w:r w:rsidR="00053BC1" w:rsidRPr="00C12294">
        <w:rPr>
          <w:rFonts w:asciiTheme="majorHAnsi" w:hAnsiTheme="majorHAnsi" w:cstheme="majorHAnsi"/>
          <w:sz w:val="22"/>
        </w:rPr>
        <w:t>Law on Forestry</w:t>
      </w:r>
      <w:r w:rsidR="00053BC1" w:rsidRPr="00C12294">
        <w:rPr>
          <w:rStyle w:val="FootnoteReference"/>
          <w:rFonts w:asciiTheme="majorHAnsi" w:hAnsiTheme="majorHAnsi" w:cstheme="majorHAnsi"/>
          <w:sz w:val="22"/>
        </w:rPr>
        <w:footnoteReference w:id="24"/>
      </w:r>
      <w:r w:rsidR="00053BC1" w:rsidRPr="00C12294">
        <w:rPr>
          <w:rFonts w:asciiTheme="majorHAnsi" w:hAnsiTheme="majorHAnsi" w:cstheme="majorHAnsi"/>
          <w:sz w:val="22"/>
        </w:rPr>
        <w:t xml:space="preserve"> define</w:t>
      </w:r>
      <w:r w:rsidR="009506BC" w:rsidRPr="00C12294">
        <w:rPr>
          <w:rFonts w:asciiTheme="majorHAnsi" w:hAnsiTheme="majorHAnsi" w:cstheme="majorHAnsi"/>
          <w:sz w:val="22"/>
        </w:rPr>
        <w:t>s</w:t>
      </w:r>
      <w:r w:rsidR="00053BC1" w:rsidRPr="00C12294">
        <w:rPr>
          <w:rFonts w:asciiTheme="majorHAnsi" w:hAnsiTheme="majorHAnsi" w:cstheme="majorHAnsi"/>
          <w:sz w:val="22"/>
        </w:rPr>
        <w:t xml:space="preserve"> specific types of forests and spaces for organizing or combining ecotourism</w:t>
      </w:r>
      <w:r w:rsidR="00127121" w:rsidRPr="00C12294">
        <w:rPr>
          <w:rFonts w:asciiTheme="majorHAnsi" w:hAnsiTheme="majorHAnsi" w:cstheme="majorHAnsi"/>
          <w:sz w:val="22"/>
        </w:rPr>
        <w:t xml:space="preserve"> </w:t>
      </w:r>
      <w:r w:rsidR="00053BC1" w:rsidRPr="00C12294">
        <w:rPr>
          <w:rFonts w:asciiTheme="majorHAnsi" w:hAnsiTheme="majorHAnsi" w:cstheme="majorHAnsi"/>
          <w:sz w:val="22"/>
        </w:rPr>
        <w:t>and recreation in special-use forests (such as national parks, nature reserves, species and habitat conservation areas</w:t>
      </w:r>
      <w:r w:rsidR="00ED594B" w:rsidRPr="00C12294">
        <w:rPr>
          <w:rFonts w:asciiTheme="majorHAnsi" w:hAnsiTheme="majorHAnsi" w:cstheme="majorHAnsi"/>
          <w:sz w:val="22"/>
        </w:rPr>
        <w:t xml:space="preserve"> among others</w:t>
      </w:r>
      <w:r w:rsidR="00053BC1" w:rsidRPr="00C12294">
        <w:rPr>
          <w:rFonts w:asciiTheme="majorHAnsi" w:hAnsiTheme="majorHAnsi" w:cstheme="majorHAnsi"/>
          <w:sz w:val="22"/>
        </w:rPr>
        <w:t xml:space="preserve">), protection forests, and production forests. </w:t>
      </w:r>
    </w:p>
    <w:p w14:paraId="283268BA" w14:textId="77777777" w:rsidR="008B0619" w:rsidRPr="00C12294" w:rsidRDefault="00053BC1" w:rsidP="001B4D42">
      <w:pPr>
        <w:ind w:firstLine="720"/>
        <w:rPr>
          <w:rFonts w:asciiTheme="majorHAnsi" w:eastAsia="Times New Roman" w:hAnsiTheme="majorHAnsi" w:cstheme="majorHAnsi"/>
          <w:sz w:val="22"/>
        </w:rPr>
      </w:pPr>
      <w:r w:rsidRPr="00C12294">
        <w:rPr>
          <w:rFonts w:asciiTheme="majorHAnsi" w:hAnsiTheme="majorHAnsi" w:cstheme="majorHAnsi"/>
          <w:sz w:val="22"/>
        </w:rPr>
        <w:t>Decision No. 523/2021/QD-</w:t>
      </w:r>
      <w:proofErr w:type="spellStart"/>
      <w:r w:rsidRPr="00C12294">
        <w:rPr>
          <w:rFonts w:asciiTheme="majorHAnsi" w:hAnsiTheme="majorHAnsi" w:cstheme="majorHAnsi"/>
          <w:sz w:val="22"/>
        </w:rPr>
        <w:t>TTg</w:t>
      </w:r>
      <w:proofErr w:type="spellEnd"/>
      <w:r w:rsidRPr="00C12294">
        <w:rPr>
          <w:rStyle w:val="FootnoteReference"/>
          <w:rFonts w:asciiTheme="majorHAnsi" w:hAnsiTheme="majorHAnsi" w:cstheme="majorHAnsi"/>
          <w:sz w:val="22"/>
        </w:rPr>
        <w:footnoteReference w:id="25"/>
      </w:r>
      <w:r w:rsidRPr="00C12294">
        <w:rPr>
          <w:rFonts w:asciiTheme="majorHAnsi" w:hAnsiTheme="majorHAnsi" w:cstheme="majorHAnsi"/>
          <w:sz w:val="22"/>
        </w:rPr>
        <w:t xml:space="preserve"> on Approving the Vietnam forestry development strategy for the period of 2021 - 2030, with a vision to 2050</w:t>
      </w:r>
      <w:r w:rsidR="009506BC" w:rsidRPr="00C12294">
        <w:rPr>
          <w:rFonts w:asciiTheme="majorHAnsi" w:hAnsiTheme="majorHAnsi" w:cstheme="majorHAnsi"/>
          <w:sz w:val="22"/>
        </w:rPr>
        <w:t>:</w:t>
      </w:r>
      <w:r w:rsidRPr="00C12294">
        <w:rPr>
          <w:rFonts w:asciiTheme="majorHAnsi" w:hAnsiTheme="majorHAnsi" w:cstheme="majorHAnsi"/>
          <w:sz w:val="22"/>
        </w:rPr>
        <w:t xml:space="preserve"> </w:t>
      </w:r>
      <w:r w:rsidR="00ED63C1" w:rsidRPr="00C12294">
        <w:rPr>
          <w:rFonts w:asciiTheme="majorHAnsi" w:eastAsia="Times New Roman" w:hAnsiTheme="majorHAnsi" w:cstheme="majorHAnsi"/>
          <w:sz w:val="22"/>
        </w:rPr>
        <w:t>The o</w:t>
      </w:r>
      <w:r w:rsidRPr="00C12294">
        <w:rPr>
          <w:rFonts w:asciiTheme="majorHAnsi" w:eastAsia="Times New Roman" w:hAnsiTheme="majorHAnsi" w:cstheme="majorHAnsi"/>
          <w:sz w:val="22"/>
        </w:rPr>
        <w:t>verall objectives</w:t>
      </w:r>
      <w:r w:rsidR="009506BC" w:rsidRPr="00C12294">
        <w:rPr>
          <w:rFonts w:asciiTheme="majorHAnsi" w:eastAsia="Times New Roman" w:hAnsiTheme="majorHAnsi" w:cstheme="majorHAnsi"/>
          <w:sz w:val="22"/>
        </w:rPr>
        <w:t xml:space="preserve"> of this strategy</w:t>
      </w:r>
      <w:r w:rsidRPr="00C12294">
        <w:rPr>
          <w:rFonts w:asciiTheme="majorHAnsi" w:eastAsia="Times New Roman" w:hAnsiTheme="majorHAnsi" w:cstheme="majorHAnsi"/>
          <w:sz w:val="22"/>
        </w:rPr>
        <w:t xml:space="preserve"> </w:t>
      </w:r>
      <w:r w:rsidR="00ED63C1" w:rsidRPr="00C12294">
        <w:rPr>
          <w:rFonts w:asciiTheme="majorHAnsi" w:eastAsia="Times New Roman" w:hAnsiTheme="majorHAnsi" w:cstheme="majorHAnsi"/>
          <w:sz w:val="22"/>
        </w:rPr>
        <w:t>are</w:t>
      </w:r>
      <w:r w:rsidRPr="00C12294">
        <w:rPr>
          <w:rFonts w:asciiTheme="majorHAnsi" w:eastAsia="Times New Roman" w:hAnsiTheme="majorHAnsi" w:cstheme="majorHAnsi"/>
          <w:sz w:val="22"/>
        </w:rPr>
        <w:t xml:space="preserve"> to</w:t>
      </w:r>
      <w:r w:rsidR="00ED63C1" w:rsidRPr="00C12294">
        <w:rPr>
          <w:rFonts w:asciiTheme="majorHAnsi" w:eastAsia="Times New Roman" w:hAnsiTheme="majorHAnsi" w:cstheme="majorHAnsi"/>
          <w:sz w:val="22"/>
        </w:rPr>
        <w:t>:</w:t>
      </w:r>
      <w:r w:rsidRPr="00C12294">
        <w:rPr>
          <w:rFonts w:asciiTheme="majorHAnsi" w:eastAsia="Times New Roman" w:hAnsiTheme="majorHAnsi" w:cstheme="majorHAnsi"/>
          <w:sz w:val="22"/>
        </w:rPr>
        <w:t xml:space="preserve"> </w:t>
      </w:r>
    </w:p>
    <w:p w14:paraId="680F7730" w14:textId="19CE67DA" w:rsidR="008B0619" w:rsidRPr="00C12294" w:rsidRDefault="008B0619" w:rsidP="0091120C">
      <w:pPr>
        <w:pStyle w:val="ListNumber2"/>
        <w:rPr>
          <w:rFonts w:cstheme="majorHAnsi"/>
          <w:szCs w:val="22"/>
        </w:rPr>
      </w:pPr>
      <w:r w:rsidRPr="00C12294">
        <w:rPr>
          <w:rFonts w:cstheme="majorHAnsi"/>
          <w:szCs w:val="22"/>
        </w:rPr>
        <w:t>B</w:t>
      </w:r>
      <w:r w:rsidR="00053BC1" w:rsidRPr="00C12294">
        <w:rPr>
          <w:rFonts w:cstheme="majorHAnsi"/>
          <w:szCs w:val="22"/>
        </w:rPr>
        <w:t>uild the forestry sector to become an economic</w:t>
      </w:r>
      <w:r w:rsidR="00ED594B" w:rsidRPr="00C12294">
        <w:rPr>
          <w:rFonts w:cstheme="majorHAnsi"/>
          <w:szCs w:val="22"/>
        </w:rPr>
        <w:t>-</w:t>
      </w:r>
      <w:r w:rsidR="00053BC1" w:rsidRPr="00C12294">
        <w:rPr>
          <w:rFonts w:cstheme="majorHAnsi"/>
          <w:szCs w:val="22"/>
        </w:rPr>
        <w:t xml:space="preserve">technical branch; </w:t>
      </w:r>
    </w:p>
    <w:p w14:paraId="4B927B8F" w14:textId="77777777" w:rsidR="008B0619" w:rsidRPr="00C12294" w:rsidRDefault="008B0619" w:rsidP="0091120C">
      <w:pPr>
        <w:pStyle w:val="ListNumber2"/>
        <w:rPr>
          <w:rFonts w:cstheme="majorHAnsi"/>
          <w:szCs w:val="22"/>
        </w:rPr>
      </w:pPr>
      <w:r w:rsidRPr="00C12294">
        <w:rPr>
          <w:rFonts w:cstheme="majorHAnsi"/>
          <w:szCs w:val="22"/>
        </w:rPr>
        <w:t>E</w:t>
      </w:r>
      <w:r w:rsidR="00053BC1" w:rsidRPr="00C12294">
        <w:rPr>
          <w:rFonts w:cstheme="majorHAnsi"/>
          <w:szCs w:val="22"/>
        </w:rPr>
        <w:t xml:space="preserve">stablish, manage, protect, develop and sustainably use forests and land areas planned for forestry; </w:t>
      </w:r>
    </w:p>
    <w:p w14:paraId="6FC74FC6" w14:textId="77777777" w:rsidR="008B0619" w:rsidRPr="00C12294" w:rsidRDefault="008B0619" w:rsidP="0091120C">
      <w:pPr>
        <w:pStyle w:val="ListNumber2"/>
        <w:rPr>
          <w:rFonts w:cstheme="majorHAnsi"/>
          <w:szCs w:val="22"/>
        </w:rPr>
      </w:pPr>
      <w:r w:rsidRPr="00C12294">
        <w:rPr>
          <w:rFonts w:cstheme="majorHAnsi"/>
          <w:szCs w:val="22"/>
        </w:rPr>
        <w:t>E</w:t>
      </w:r>
      <w:r w:rsidR="00053BC1" w:rsidRPr="00C12294">
        <w:rPr>
          <w:rFonts w:cstheme="majorHAnsi"/>
          <w:szCs w:val="22"/>
        </w:rPr>
        <w:t>nsur</w:t>
      </w:r>
      <w:r w:rsidR="00ED63C1" w:rsidRPr="00C12294">
        <w:rPr>
          <w:rFonts w:cstheme="majorHAnsi"/>
          <w:szCs w:val="22"/>
        </w:rPr>
        <w:t>e</w:t>
      </w:r>
      <w:r w:rsidR="00053BC1" w:rsidRPr="00C12294">
        <w:rPr>
          <w:rFonts w:cstheme="majorHAnsi"/>
          <w:szCs w:val="22"/>
        </w:rPr>
        <w:t xml:space="preserve"> the wide and equal participation of all economic sectors in forestry activities, mobilizing maximum social resources; </w:t>
      </w:r>
    </w:p>
    <w:p w14:paraId="740DEA39" w14:textId="77777777" w:rsidR="008B0619" w:rsidRPr="00C12294" w:rsidRDefault="008B0619" w:rsidP="0091120C">
      <w:pPr>
        <w:pStyle w:val="ListNumber2"/>
        <w:rPr>
          <w:rFonts w:cstheme="majorHAnsi"/>
          <w:szCs w:val="22"/>
        </w:rPr>
      </w:pPr>
      <w:r w:rsidRPr="00C12294">
        <w:rPr>
          <w:rFonts w:cstheme="majorHAnsi"/>
          <w:szCs w:val="22"/>
        </w:rPr>
        <w:t>A</w:t>
      </w:r>
      <w:r w:rsidR="00053BC1" w:rsidRPr="00C12294">
        <w:rPr>
          <w:rFonts w:cstheme="majorHAnsi"/>
          <w:szCs w:val="22"/>
        </w:rPr>
        <w:t>ppl</w:t>
      </w:r>
      <w:r w:rsidR="00ED63C1" w:rsidRPr="00C12294">
        <w:rPr>
          <w:rFonts w:cstheme="majorHAnsi"/>
          <w:szCs w:val="22"/>
        </w:rPr>
        <w:t>y</w:t>
      </w:r>
      <w:r w:rsidR="00053BC1" w:rsidRPr="00C12294">
        <w:rPr>
          <w:rFonts w:cstheme="majorHAnsi"/>
          <w:szCs w:val="22"/>
        </w:rPr>
        <w:t xml:space="preserve"> advanced and modern science and technology</w:t>
      </w:r>
      <w:r w:rsidR="00ED63C1" w:rsidRPr="00C12294">
        <w:rPr>
          <w:rFonts w:cstheme="majorHAnsi"/>
          <w:szCs w:val="22"/>
        </w:rPr>
        <w:t xml:space="preserve">; </w:t>
      </w:r>
    </w:p>
    <w:p w14:paraId="5FE2881D" w14:textId="77777777" w:rsidR="008B0619" w:rsidRPr="00C12294" w:rsidRDefault="008B0619" w:rsidP="0091120C">
      <w:pPr>
        <w:pStyle w:val="ListNumber2"/>
        <w:rPr>
          <w:rFonts w:cstheme="majorHAnsi"/>
          <w:szCs w:val="22"/>
        </w:rPr>
      </w:pPr>
      <w:r w:rsidRPr="00C12294">
        <w:rPr>
          <w:rFonts w:cstheme="majorHAnsi"/>
          <w:szCs w:val="22"/>
        </w:rPr>
        <w:t>P</w:t>
      </w:r>
      <w:r w:rsidR="00053BC1" w:rsidRPr="00C12294">
        <w:rPr>
          <w:rFonts w:cstheme="majorHAnsi"/>
          <w:szCs w:val="22"/>
        </w:rPr>
        <w:t xml:space="preserve">romote the potential, role and effects of forests so that forestry can make an increasingly important contribution to socio-economic development, environmental protection, water security, </w:t>
      </w:r>
      <w:r w:rsidR="009506BC" w:rsidRPr="00C12294">
        <w:rPr>
          <w:rFonts w:cstheme="majorHAnsi"/>
          <w:szCs w:val="22"/>
        </w:rPr>
        <w:t xml:space="preserve">and </w:t>
      </w:r>
      <w:r w:rsidR="00053BC1" w:rsidRPr="00C12294">
        <w:rPr>
          <w:rFonts w:cstheme="majorHAnsi"/>
          <w:szCs w:val="22"/>
        </w:rPr>
        <w:t>natural disaster mitigation</w:t>
      </w:r>
      <w:r w:rsidR="009506BC" w:rsidRPr="00C12294">
        <w:rPr>
          <w:rFonts w:cstheme="majorHAnsi"/>
          <w:szCs w:val="22"/>
        </w:rPr>
        <w:t>;</w:t>
      </w:r>
      <w:r w:rsidR="00053BC1" w:rsidRPr="00C12294">
        <w:rPr>
          <w:rFonts w:cstheme="majorHAnsi"/>
          <w:szCs w:val="22"/>
        </w:rPr>
        <w:t xml:space="preserve"> </w:t>
      </w:r>
    </w:p>
    <w:p w14:paraId="2DCCA114" w14:textId="77777777" w:rsidR="008B0619" w:rsidRPr="00C12294" w:rsidRDefault="008B0619" w:rsidP="0091120C">
      <w:pPr>
        <w:pStyle w:val="ListNumber2"/>
        <w:rPr>
          <w:rFonts w:cstheme="majorHAnsi"/>
          <w:szCs w:val="22"/>
        </w:rPr>
      </w:pPr>
      <w:r w:rsidRPr="00C12294">
        <w:rPr>
          <w:rFonts w:cstheme="majorHAnsi"/>
          <w:szCs w:val="22"/>
        </w:rPr>
        <w:t>A</w:t>
      </w:r>
      <w:r w:rsidR="00053BC1" w:rsidRPr="00C12294">
        <w:rPr>
          <w:rFonts w:cstheme="majorHAnsi"/>
          <w:szCs w:val="22"/>
        </w:rPr>
        <w:t>ctively and effectively respond to climate change, conserve natural resources and biodiversity</w:t>
      </w:r>
      <w:r w:rsidRPr="00C12294">
        <w:rPr>
          <w:rFonts w:cstheme="majorHAnsi"/>
          <w:szCs w:val="22"/>
        </w:rPr>
        <w:t xml:space="preserve"> and </w:t>
      </w:r>
      <w:r w:rsidR="00053BC1" w:rsidRPr="00C12294">
        <w:rPr>
          <w:rFonts w:cstheme="majorHAnsi"/>
          <w:szCs w:val="22"/>
        </w:rPr>
        <w:t>provide a variety of forest environmental services</w:t>
      </w:r>
      <w:r w:rsidRPr="00C12294">
        <w:rPr>
          <w:rFonts w:cstheme="majorHAnsi"/>
          <w:szCs w:val="22"/>
        </w:rPr>
        <w:t>; and</w:t>
      </w:r>
      <w:r w:rsidR="00053BC1" w:rsidRPr="00C12294">
        <w:rPr>
          <w:rFonts w:cstheme="majorHAnsi"/>
          <w:szCs w:val="22"/>
        </w:rPr>
        <w:t xml:space="preserve"> </w:t>
      </w:r>
    </w:p>
    <w:p w14:paraId="179DDB23" w14:textId="1E4C5582" w:rsidR="009506BC" w:rsidRPr="00C12294" w:rsidRDefault="008B0619" w:rsidP="0091120C">
      <w:pPr>
        <w:pStyle w:val="ListNumber2"/>
        <w:rPr>
          <w:rFonts w:cstheme="majorHAnsi"/>
          <w:szCs w:val="22"/>
        </w:rPr>
      </w:pPr>
      <w:r w:rsidRPr="00C12294">
        <w:rPr>
          <w:rFonts w:cstheme="majorHAnsi"/>
          <w:szCs w:val="22"/>
        </w:rPr>
        <w:t>C</w:t>
      </w:r>
      <w:r w:rsidR="00053BC1" w:rsidRPr="00C12294">
        <w:rPr>
          <w:rFonts w:cstheme="majorHAnsi"/>
          <w:szCs w:val="22"/>
        </w:rPr>
        <w:t xml:space="preserve">reate jobs and incomes for people. </w:t>
      </w:r>
    </w:p>
    <w:p w14:paraId="3743881A" w14:textId="1003C56A" w:rsidR="00053BC1" w:rsidRPr="00457205" w:rsidRDefault="009506BC" w:rsidP="001B4D42">
      <w:pPr>
        <w:ind w:firstLine="720"/>
        <w:rPr>
          <w:rFonts w:asciiTheme="majorHAnsi" w:hAnsiTheme="majorHAnsi" w:cstheme="majorHAnsi"/>
          <w:sz w:val="20"/>
          <w:szCs w:val="20"/>
        </w:rPr>
      </w:pPr>
      <w:r w:rsidRPr="00C12294">
        <w:rPr>
          <w:rFonts w:asciiTheme="majorHAnsi" w:eastAsia="Times New Roman" w:hAnsiTheme="majorHAnsi" w:cstheme="majorHAnsi"/>
          <w:sz w:val="22"/>
        </w:rPr>
        <w:t>The strategy</w:t>
      </w:r>
      <w:r w:rsidR="00053BC1" w:rsidRPr="00C12294">
        <w:rPr>
          <w:rFonts w:asciiTheme="majorHAnsi" w:eastAsia="Times New Roman" w:hAnsiTheme="majorHAnsi" w:cstheme="majorHAnsi"/>
          <w:sz w:val="22"/>
        </w:rPr>
        <w:t xml:space="preserve"> sets goals that the national forest cover rate is stable at 42% to 43%, effectively contributing to the implementation of the national commitment to reduce greenhouse gas emissions</w:t>
      </w:r>
      <w:r w:rsidR="008B0619" w:rsidRPr="00C12294">
        <w:rPr>
          <w:rFonts w:asciiTheme="majorHAnsi" w:eastAsia="Times New Roman" w:hAnsiTheme="majorHAnsi" w:cstheme="majorHAnsi"/>
          <w:sz w:val="22"/>
        </w:rPr>
        <w:t xml:space="preserve">. </w:t>
      </w:r>
      <w:r w:rsidR="00053BC1" w:rsidRPr="00C12294">
        <w:rPr>
          <w:rFonts w:asciiTheme="majorHAnsi" w:eastAsia="Times New Roman" w:hAnsiTheme="majorHAnsi" w:cstheme="majorHAnsi"/>
          <w:sz w:val="22"/>
        </w:rPr>
        <w:t>By 2030, 100% of forest areas will be managed sustainably</w:t>
      </w:r>
      <w:r w:rsidR="008B0619" w:rsidRPr="00C12294">
        <w:rPr>
          <w:rFonts w:asciiTheme="majorHAnsi" w:eastAsia="Times New Roman" w:hAnsiTheme="majorHAnsi" w:cstheme="majorHAnsi"/>
          <w:sz w:val="22"/>
        </w:rPr>
        <w:t>. I</w:t>
      </w:r>
      <w:r w:rsidR="00053BC1" w:rsidRPr="00C12294">
        <w:rPr>
          <w:rFonts w:asciiTheme="majorHAnsi" w:eastAsia="Times New Roman" w:hAnsiTheme="majorHAnsi" w:cstheme="majorHAnsi"/>
          <w:sz w:val="22"/>
        </w:rPr>
        <w:t>n the period of 2021 - 2025, 10% and in the period 2026 - 2030, 20% of the natural forest area will be improved in quality</w:t>
      </w:r>
      <w:r w:rsidR="008B0619" w:rsidRPr="00457205">
        <w:rPr>
          <w:rFonts w:asciiTheme="majorHAnsi" w:eastAsia="Times New Roman" w:hAnsiTheme="majorHAnsi" w:cstheme="majorHAnsi"/>
          <w:sz w:val="20"/>
          <w:szCs w:val="20"/>
        </w:rPr>
        <w:t>.</w:t>
      </w:r>
    </w:p>
    <w:p w14:paraId="249BA5B1" w14:textId="3D652CF5" w:rsidR="00053BC1" w:rsidRDefault="008B5494" w:rsidP="00053BC1">
      <w:pPr>
        <w:pStyle w:val="Heading3"/>
      </w:pPr>
      <w:bookmarkStart w:id="159" w:name="_Toc104218389"/>
      <w:r>
        <w:t>5</w:t>
      </w:r>
      <w:r w:rsidR="00053BC1">
        <w:t>.2. Regional Regulation</w:t>
      </w:r>
      <w:bookmarkEnd w:id="159"/>
    </w:p>
    <w:p w14:paraId="425BD4A6" w14:textId="57F9AF88" w:rsidR="001B4D42" w:rsidRDefault="001B4D42" w:rsidP="001B4D42"/>
    <w:p w14:paraId="20CFDC56" w14:textId="070300E7" w:rsidR="001B4D42" w:rsidRPr="00457205" w:rsidRDefault="001B4D42" w:rsidP="00841E77">
      <w:pPr>
        <w:pStyle w:val="NoSpacing"/>
        <w:ind w:firstLine="720"/>
        <w:rPr>
          <w:rFonts w:asciiTheme="majorHAnsi" w:hAnsiTheme="majorHAnsi" w:cstheme="majorHAnsi"/>
        </w:rPr>
      </w:pPr>
      <w:r w:rsidRPr="00457205">
        <w:rPr>
          <w:rFonts w:asciiTheme="majorHAnsi" w:hAnsiTheme="majorHAnsi" w:cstheme="majorHAnsi"/>
        </w:rPr>
        <w:lastRenderedPageBreak/>
        <w:t xml:space="preserve">Along with the above documents that clearly show the general viewpoints, guidelines and policies at the national level, many provinces have issued provincial-level policy documents related to tourism development in association with either tourism/ecotourism or natural resource management. </w:t>
      </w:r>
    </w:p>
    <w:p w14:paraId="4B367F99" w14:textId="2AFB4110" w:rsidR="00053BC1" w:rsidRPr="00457205" w:rsidRDefault="00053BC1" w:rsidP="00053BC1">
      <w:pPr>
        <w:pStyle w:val="Heading4"/>
        <w:rPr>
          <w:rFonts w:asciiTheme="majorHAnsi" w:hAnsiTheme="majorHAnsi" w:cstheme="majorHAnsi"/>
          <w:sz w:val="22"/>
          <w:szCs w:val="22"/>
        </w:rPr>
      </w:pPr>
      <w:r w:rsidRPr="00457205">
        <w:rPr>
          <w:rFonts w:asciiTheme="majorHAnsi" w:hAnsiTheme="majorHAnsi" w:cstheme="majorHAnsi"/>
          <w:sz w:val="22"/>
          <w:szCs w:val="22"/>
        </w:rPr>
        <w:t xml:space="preserve">Quang </w:t>
      </w:r>
      <w:proofErr w:type="spellStart"/>
      <w:r w:rsidRPr="00457205">
        <w:rPr>
          <w:rFonts w:asciiTheme="majorHAnsi" w:hAnsiTheme="majorHAnsi" w:cstheme="majorHAnsi"/>
          <w:sz w:val="22"/>
          <w:szCs w:val="22"/>
        </w:rPr>
        <w:t>Binh</w:t>
      </w:r>
      <w:proofErr w:type="spellEnd"/>
      <w:r w:rsidRPr="00457205">
        <w:rPr>
          <w:rFonts w:asciiTheme="majorHAnsi" w:hAnsiTheme="majorHAnsi" w:cstheme="majorHAnsi"/>
          <w:sz w:val="22"/>
          <w:szCs w:val="22"/>
        </w:rPr>
        <w:t xml:space="preserve"> province</w:t>
      </w:r>
      <w:r w:rsidRPr="00457205">
        <w:rPr>
          <w:rStyle w:val="FootnoteReference"/>
          <w:rFonts w:asciiTheme="majorHAnsi" w:hAnsiTheme="majorHAnsi" w:cstheme="majorHAnsi"/>
          <w:b/>
          <w:i/>
          <w:sz w:val="22"/>
          <w:szCs w:val="22"/>
        </w:rPr>
        <w:footnoteReference w:id="26"/>
      </w:r>
      <w:r w:rsidRPr="00457205">
        <w:rPr>
          <w:rFonts w:asciiTheme="majorHAnsi" w:hAnsiTheme="majorHAnsi" w:cstheme="majorHAnsi"/>
          <w:sz w:val="22"/>
          <w:szCs w:val="22"/>
        </w:rPr>
        <w:t>:</w:t>
      </w:r>
    </w:p>
    <w:p w14:paraId="04C9ECAC" w14:textId="71AEE08B" w:rsidR="00053BC1" w:rsidRPr="00457205" w:rsidRDefault="00053BC1" w:rsidP="0091120C">
      <w:pPr>
        <w:pStyle w:val="ListNumber2"/>
        <w:rPr>
          <w:rFonts w:cstheme="majorHAnsi"/>
          <w:color w:val="000000"/>
          <w:szCs w:val="22"/>
        </w:rPr>
      </w:pPr>
      <w:r w:rsidRPr="00457205">
        <w:rPr>
          <w:rFonts w:cstheme="majorHAnsi"/>
          <w:color w:val="000000"/>
          <w:szCs w:val="22"/>
        </w:rPr>
        <w:t xml:space="preserve">In January 2020, the Quang </w:t>
      </w:r>
      <w:proofErr w:type="spellStart"/>
      <w:r w:rsidRPr="00457205">
        <w:rPr>
          <w:rFonts w:cstheme="majorHAnsi"/>
          <w:color w:val="000000"/>
          <w:szCs w:val="22"/>
        </w:rPr>
        <w:t>Bin</w:t>
      </w:r>
      <w:r w:rsidR="00DB5B9F" w:rsidRPr="00457205">
        <w:rPr>
          <w:rFonts w:cstheme="majorHAnsi"/>
          <w:color w:val="000000"/>
          <w:szCs w:val="22"/>
        </w:rPr>
        <w:t>h</w:t>
      </w:r>
      <w:proofErr w:type="spellEnd"/>
      <w:r w:rsidRPr="00457205">
        <w:rPr>
          <w:rFonts w:cstheme="majorHAnsi"/>
          <w:color w:val="000000"/>
          <w:szCs w:val="22"/>
        </w:rPr>
        <w:t xml:space="preserve"> Provincial People’s Committee (PPC) issued a Directive requesting all provincial authorities to strengthen conservation and promotion of World Heritage values, with a specific emphasis on preventing activities that degrade forests and habitats of primates in the property;</w:t>
      </w:r>
    </w:p>
    <w:p w14:paraId="51893F07"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The Forest Protection Unit was created and Spatial Monitoring and Reporting Tool (SMART) patrols and law enforcement have continued to target poaching activities and illegal entries into the property;</w:t>
      </w:r>
    </w:p>
    <w:p w14:paraId="1943C065"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A sustainable forest management plan (2021-2030), a Biodiversity Conservation Plan (vision 2040) and a plan for the conservation and promotion of heritage values are under elaboration;</w:t>
      </w:r>
    </w:p>
    <w:p w14:paraId="573895CB"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The implementation of the Action Plan for the Conservation of Primate Species in the Park is continuing, and rare endemic tree species are being propagated;</w:t>
      </w:r>
    </w:p>
    <w:p w14:paraId="30D761F1"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A pilot project for the eradication of the invasive plant </w:t>
      </w:r>
      <w:proofErr w:type="spellStart"/>
      <w:r w:rsidRPr="00457205">
        <w:rPr>
          <w:rFonts w:cstheme="majorHAnsi"/>
          <w:i/>
          <w:iCs/>
          <w:color w:val="000000"/>
          <w:szCs w:val="22"/>
        </w:rPr>
        <w:t>Merremia</w:t>
      </w:r>
      <w:proofErr w:type="spellEnd"/>
      <w:r w:rsidRPr="00457205">
        <w:rPr>
          <w:rFonts w:cstheme="majorHAnsi"/>
          <w:i/>
          <w:iCs/>
          <w:color w:val="000000"/>
          <w:szCs w:val="22"/>
        </w:rPr>
        <w:t xml:space="preserve"> </w:t>
      </w:r>
      <w:proofErr w:type="spellStart"/>
      <w:r w:rsidRPr="00457205">
        <w:rPr>
          <w:rFonts w:cstheme="majorHAnsi"/>
          <w:i/>
          <w:iCs/>
          <w:color w:val="000000"/>
          <w:szCs w:val="22"/>
        </w:rPr>
        <w:t>boisiana</w:t>
      </w:r>
      <w:proofErr w:type="spellEnd"/>
      <w:r w:rsidRPr="00457205">
        <w:rPr>
          <w:rFonts w:cstheme="majorHAnsi"/>
          <w:color w:val="000000"/>
          <w:szCs w:val="22"/>
        </w:rPr>
        <w:t> was undertaken from October 2018 to November 2019, and in 2020, the PPC submitted a proposal for a research project to investigate the spread of </w:t>
      </w:r>
      <w:proofErr w:type="spellStart"/>
      <w:r w:rsidRPr="00457205">
        <w:rPr>
          <w:rFonts w:cstheme="majorHAnsi"/>
          <w:i/>
          <w:iCs/>
          <w:color w:val="000000"/>
          <w:szCs w:val="22"/>
        </w:rPr>
        <w:t>boisiana</w:t>
      </w:r>
      <w:proofErr w:type="spellEnd"/>
      <w:r w:rsidRPr="00457205">
        <w:rPr>
          <w:rFonts w:cstheme="majorHAnsi"/>
          <w:color w:val="000000"/>
          <w:szCs w:val="22"/>
        </w:rPr>
        <w:t> within the property;</w:t>
      </w:r>
    </w:p>
    <w:p w14:paraId="4341D603" w14:textId="77777777" w:rsidR="00DB5B9F" w:rsidRPr="00457205" w:rsidRDefault="00053BC1" w:rsidP="0091120C">
      <w:pPr>
        <w:pStyle w:val="ListNumber2"/>
        <w:rPr>
          <w:rFonts w:cstheme="majorHAnsi"/>
          <w:color w:val="000000"/>
          <w:szCs w:val="22"/>
        </w:rPr>
      </w:pPr>
      <w:r w:rsidRPr="00457205">
        <w:rPr>
          <w:rFonts w:cstheme="majorHAnsi"/>
          <w:color w:val="000000"/>
          <w:szCs w:val="22"/>
        </w:rPr>
        <w:t xml:space="preserve">Cable car projects are no longer being considered. </w:t>
      </w:r>
    </w:p>
    <w:p w14:paraId="51D5222E" w14:textId="7AA5BC9D" w:rsidR="00053BC1" w:rsidRPr="00457205" w:rsidRDefault="00053BC1" w:rsidP="0091120C">
      <w:pPr>
        <w:pStyle w:val="ListNumber2"/>
        <w:rPr>
          <w:rFonts w:cstheme="majorHAnsi"/>
          <w:color w:val="000000"/>
          <w:szCs w:val="22"/>
        </w:rPr>
      </w:pPr>
      <w:r w:rsidRPr="00457205">
        <w:rPr>
          <w:rFonts w:cstheme="majorHAnsi"/>
          <w:color w:val="000000"/>
          <w:szCs w:val="22"/>
        </w:rPr>
        <w:t>A new research project to assess the tourism capacity of caves within the property is being proposed in response to the 2018 World Heritage Centre/IUCN Reactive Monitoring mission recommendation to adapt the management of caves according to their specific vulnerability and requirements;</w:t>
      </w:r>
    </w:p>
    <w:p w14:paraId="788D316C"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 xml:space="preserve">Environmental Impact Assessments (EIAs) at tourist sites such as Paradise cave, Pong </w:t>
      </w:r>
      <w:proofErr w:type="spellStart"/>
      <w:r w:rsidRPr="00457205">
        <w:rPr>
          <w:rFonts w:cstheme="majorHAnsi"/>
          <w:color w:val="000000"/>
          <w:szCs w:val="22"/>
        </w:rPr>
        <w:t>Nha</w:t>
      </w:r>
      <w:proofErr w:type="spellEnd"/>
      <w:r w:rsidRPr="00457205">
        <w:rPr>
          <w:rFonts w:cstheme="majorHAnsi"/>
          <w:color w:val="000000"/>
          <w:szCs w:val="22"/>
        </w:rPr>
        <w:t xml:space="preserve"> and Tien Son cave, Dark Cave – </w:t>
      </w:r>
      <w:proofErr w:type="spellStart"/>
      <w:r w:rsidRPr="00457205">
        <w:rPr>
          <w:rFonts w:cstheme="majorHAnsi"/>
          <w:color w:val="000000"/>
          <w:szCs w:val="22"/>
        </w:rPr>
        <w:t>Chay</w:t>
      </w:r>
      <w:proofErr w:type="spellEnd"/>
      <w:r w:rsidRPr="00457205">
        <w:rPr>
          <w:rFonts w:cstheme="majorHAnsi"/>
          <w:color w:val="000000"/>
          <w:szCs w:val="22"/>
        </w:rPr>
        <w:t xml:space="preserve"> river, and </w:t>
      </w:r>
      <w:proofErr w:type="spellStart"/>
      <w:r w:rsidRPr="00457205">
        <w:rPr>
          <w:rFonts w:cstheme="majorHAnsi"/>
          <w:color w:val="000000"/>
          <w:szCs w:val="22"/>
        </w:rPr>
        <w:t>Mooc</w:t>
      </w:r>
      <w:proofErr w:type="spellEnd"/>
      <w:r w:rsidRPr="00457205">
        <w:rPr>
          <w:rFonts w:cstheme="majorHAnsi"/>
          <w:color w:val="000000"/>
          <w:szCs w:val="22"/>
        </w:rPr>
        <w:t xml:space="preserve"> spring Eco-trail were undertaken, which showed that the measurements of abiotic factors are within national permitted standards;</w:t>
      </w:r>
    </w:p>
    <w:p w14:paraId="5BADFFF5"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Heavy rainfall in October 2020 caused landslides and flooding in 25% of the property, thereby impacting its Outstanding Universal Value (OUV) and affecting the lives of communities in the whole province;</w:t>
      </w:r>
    </w:p>
    <w:p w14:paraId="3D41406E" w14:textId="77777777" w:rsidR="00053BC1" w:rsidRPr="00457205" w:rsidRDefault="00053BC1" w:rsidP="0091120C">
      <w:pPr>
        <w:pStyle w:val="ListNumber2"/>
        <w:rPr>
          <w:rFonts w:cstheme="majorHAnsi"/>
          <w:color w:val="000000"/>
          <w:szCs w:val="22"/>
        </w:rPr>
      </w:pPr>
      <w:r w:rsidRPr="00457205">
        <w:rPr>
          <w:rFonts w:cstheme="majorHAnsi"/>
          <w:color w:val="000000"/>
          <w:szCs w:val="22"/>
        </w:rPr>
        <w:t>Substantially reduced tourist numbers in 2020 due to COVID-19 led to the loss of jobs and a correlated increase in natural resource pressure, but proactive actions led to a quick restoration of normal operations. The period between 2019 and October 2020 saw 1.2 million visitors;</w:t>
      </w:r>
    </w:p>
    <w:p w14:paraId="0B51A16B" w14:textId="77777777" w:rsidR="00053BC1" w:rsidRPr="00457205" w:rsidRDefault="00053BC1" w:rsidP="0091120C">
      <w:pPr>
        <w:pStyle w:val="ListNumber2"/>
        <w:rPr>
          <w:rFonts w:cstheme="majorHAnsi"/>
          <w:color w:val="000000"/>
          <w:szCs w:val="22"/>
        </w:rPr>
      </w:pPr>
      <w:r w:rsidRPr="00457205">
        <w:rPr>
          <w:rFonts w:cstheme="majorHAnsi"/>
          <w:color w:val="000000"/>
          <w:szCs w:val="22"/>
        </w:rPr>
        <w:lastRenderedPageBreak/>
        <w:t xml:space="preserve">Cooperation with Lao People’s Democratic Republic to strengthen the protection of the property and </w:t>
      </w:r>
      <w:proofErr w:type="spellStart"/>
      <w:r w:rsidRPr="00457205">
        <w:rPr>
          <w:rFonts w:cstheme="majorHAnsi"/>
          <w:color w:val="000000"/>
          <w:szCs w:val="22"/>
        </w:rPr>
        <w:t>Hin</w:t>
      </w:r>
      <w:proofErr w:type="spellEnd"/>
      <w:r w:rsidRPr="00457205">
        <w:rPr>
          <w:rFonts w:cstheme="majorHAnsi"/>
          <w:color w:val="000000"/>
          <w:szCs w:val="22"/>
        </w:rPr>
        <w:t xml:space="preserve"> Nam No National Park is continuing, in view of a potential future transboundary nomination.</w:t>
      </w:r>
    </w:p>
    <w:p w14:paraId="55AA3719" w14:textId="77777777" w:rsidR="00053BC1" w:rsidRPr="00457205" w:rsidRDefault="00053BC1" w:rsidP="00053BC1">
      <w:pPr>
        <w:spacing w:line="240" w:lineRule="auto"/>
        <w:rPr>
          <w:rFonts w:asciiTheme="majorHAnsi" w:eastAsia="Times New Roman" w:hAnsiTheme="majorHAnsi" w:cstheme="majorHAnsi"/>
          <w:color w:val="000000"/>
          <w:sz w:val="22"/>
        </w:rPr>
      </w:pPr>
      <w:r w:rsidRPr="00457205">
        <w:rPr>
          <w:rFonts w:asciiTheme="majorHAnsi" w:hAnsiTheme="majorHAnsi" w:cstheme="majorHAnsi"/>
          <w:sz w:val="22"/>
        </w:rPr>
        <w:t xml:space="preserve"> </w:t>
      </w:r>
    </w:p>
    <w:p w14:paraId="7E10A0E1" w14:textId="134622CB" w:rsidR="00053BC1" w:rsidRPr="00457205" w:rsidRDefault="00053BC1" w:rsidP="00053BC1">
      <w:pPr>
        <w:pStyle w:val="Heading4"/>
        <w:rPr>
          <w:rFonts w:asciiTheme="majorHAnsi" w:hAnsiTheme="majorHAnsi" w:cstheme="majorHAnsi"/>
          <w:sz w:val="22"/>
          <w:szCs w:val="22"/>
        </w:rPr>
      </w:pPr>
      <w:proofErr w:type="spellStart"/>
      <w:r w:rsidRPr="00457205">
        <w:rPr>
          <w:rFonts w:asciiTheme="majorHAnsi" w:hAnsiTheme="majorHAnsi" w:cstheme="majorHAnsi"/>
          <w:sz w:val="22"/>
          <w:szCs w:val="22"/>
        </w:rPr>
        <w:t>Ninh</w:t>
      </w:r>
      <w:proofErr w:type="spellEnd"/>
      <w:r w:rsidRPr="00457205">
        <w:rPr>
          <w:rFonts w:asciiTheme="majorHAnsi" w:hAnsiTheme="majorHAnsi" w:cstheme="majorHAnsi"/>
          <w:sz w:val="22"/>
          <w:szCs w:val="22"/>
        </w:rPr>
        <w:t xml:space="preserve"> </w:t>
      </w:r>
      <w:proofErr w:type="spellStart"/>
      <w:r w:rsidRPr="00457205">
        <w:rPr>
          <w:rFonts w:asciiTheme="majorHAnsi" w:hAnsiTheme="majorHAnsi" w:cstheme="majorHAnsi"/>
          <w:sz w:val="22"/>
          <w:szCs w:val="22"/>
        </w:rPr>
        <w:t>Thuan</w:t>
      </w:r>
      <w:proofErr w:type="spellEnd"/>
      <w:r w:rsidRPr="00457205">
        <w:rPr>
          <w:rFonts w:asciiTheme="majorHAnsi" w:hAnsiTheme="majorHAnsi" w:cstheme="majorHAnsi"/>
          <w:sz w:val="22"/>
          <w:szCs w:val="22"/>
        </w:rPr>
        <w:t xml:space="preserve"> province</w:t>
      </w:r>
      <w:r w:rsidRPr="00457205">
        <w:rPr>
          <w:rStyle w:val="FootnoteReference"/>
          <w:rFonts w:asciiTheme="majorHAnsi" w:hAnsiTheme="majorHAnsi" w:cstheme="majorHAnsi"/>
          <w:b/>
          <w:i/>
          <w:sz w:val="22"/>
          <w:szCs w:val="22"/>
        </w:rPr>
        <w:footnoteReference w:id="27"/>
      </w:r>
      <w:r w:rsidRPr="00457205">
        <w:rPr>
          <w:rFonts w:asciiTheme="majorHAnsi" w:hAnsiTheme="majorHAnsi" w:cstheme="majorHAnsi"/>
          <w:sz w:val="22"/>
          <w:szCs w:val="22"/>
        </w:rPr>
        <w:t xml:space="preserve">: </w:t>
      </w:r>
    </w:p>
    <w:p w14:paraId="5EF8E008" w14:textId="77777777" w:rsidR="00053BC1" w:rsidRPr="00457205" w:rsidRDefault="00053BC1" w:rsidP="0091120C">
      <w:pPr>
        <w:pStyle w:val="ListNumber2"/>
        <w:rPr>
          <w:rFonts w:cstheme="majorHAnsi"/>
          <w:szCs w:val="22"/>
        </w:rPr>
      </w:pPr>
      <w:r w:rsidRPr="00457205">
        <w:rPr>
          <w:rFonts w:cstheme="majorHAnsi"/>
          <w:szCs w:val="22"/>
        </w:rPr>
        <w:t xml:space="preserve">Document 3445/UBND-KTTH dated August 13, 2019 by the People's Committee of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regarding the plan for developing a nomination form for the World Biosphere Reserve in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taking Nui Chua NP as the core area;</w:t>
      </w:r>
    </w:p>
    <w:p w14:paraId="0CB77C55" w14:textId="6E96A2D7" w:rsidR="00053BC1" w:rsidRPr="00457205" w:rsidRDefault="00053BC1" w:rsidP="0091120C">
      <w:pPr>
        <w:pStyle w:val="NoSpacing"/>
        <w:numPr>
          <w:ilvl w:val="1"/>
          <w:numId w:val="0"/>
        </w:numPr>
        <w:ind w:left="720" w:hanging="450"/>
        <w:rPr>
          <w:rFonts w:asciiTheme="majorHAnsi" w:hAnsiTheme="majorHAnsi" w:cstheme="majorHAnsi"/>
        </w:rPr>
      </w:pPr>
      <w:r w:rsidRPr="00457205">
        <w:rPr>
          <w:rFonts w:asciiTheme="majorHAnsi" w:hAnsiTheme="majorHAnsi" w:cstheme="majorHAnsi"/>
        </w:rPr>
        <w:t xml:space="preserve">Document 4238-CV/TU dated August 19, 2019 by the Party Committee of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"Developing a nomination form for the World Biosphere Reserve"</w:t>
      </w:r>
      <w:r w:rsidR="00DB5B9F" w:rsidRPr="00457205">
        <w:rPr>
          <w:rFonts w:asciiTheme="majorHAnsi" w:hAnsiTheme="majorHAnsi" w:cstheme="majorHAnsi"/>
        </w:rPr>
        <w:t>:</w:t>
      </w:r>
      <w:r w:rsidRPr="00457205">
        <w:rPr>
          <w:rFonts w:asciiTheme="majorHAnsi" w:hAnsiTheme="majorHAnsi" w:cstheme="majorHAnsi"/>
        </w:rPr>
        <w:t xml:space="preserve"> </w:t>
      </w:r>
      <w:r w:rsidR="00DB5B9F" w:rsidRPr="00457205">
        <w:rPr>
          <w:rFonts w:asciiTheme="majorHAnsi" w:hAnsiTheme="majorHAnsi" w:cstheme="majorHAnsi"/>
        </w:rPr>
        <w:t>The</w:t>
      </w:r>
      <w:r w:rsidRPr="00457205">
        <w:rPr>
          <w:rFonts w:asciiTheme="majorHAnsi" w:hAnsiTheme="majorHAnsi" w:cstheme="majorHAnsi"/>
        </w:rPr>
        <w:t xml:space="preserve"> Provincial Party Committee agreed on the plan for developing the nomination form for the World Biosphere Reserve at the request of the Provincial People's Committee in Official Letter No. 3445/UBND-HTTH;</w:t>
      </w:r>
    </w:p>
    <w:p w14:paraId="33D8FB19" w14:textId="5769FBFB" w:rsidR="00053BC1" w:rsidRPr="00457205" w:rsidRDefault="00053BC1" w:rsidP="0091120C">
      <w:pPr>
        <w:pStyle w:val="NoSpacing"/>
        <w:numPr>
          <w:ilvl w:val="1"/>
          <w:numId w:val="0"/>
        </w:numPr>
        <w:ind w:left="720" w:hanging="450"/>
        <w:rPr>
          <w:rFonts w:asciiTheme="majorHAnsi" w:hAnsiTheme="majorHAnsi" w:cstheme="majorHAnsi"/>
        </w:rPr>
      </w:pPr>
      <w:r w:rsidRPr="00457205">
        <w:rPr>
          <w:rFonts w:asciiTheme="majorHAnsi" w:hAnsiTheme="majorHAnsi" w:cstheme="majorHAnsi"/>
        </w:rPr>
        <w:t xml:space="preserve">Document No. 4657/UBND-KTTH dated November 8, 2019 by the People's Committee of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regarding the development of the nomination form for the World Biosphere Reserve in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taking Nui Chua NP as the core area</w:t>
      </w:r>
      <w:r w:rsidR="00DB5B9F" w:rsidRPr="00457205">
        <w:rPr>
          <w:rFonts w:asciiTheme="majorHAnsi" w:hAnsiTheme="majorHAnsi" w:cstheme="majorHAnsi"/>
        </w:rPr>
        <w:t>:</w:t>
      </w:r>
      <w:r w:rsidRPr="00457205">
        <w:rPr>
          <w:rFonts w:asciiTheme="majorHAnsi" w:hAnsiTheme="majorHAnsi" w:cstheme="majorHAnsi"/>
        </w:rPr>
        <w:t xml:space="preserve"> Nui Chua NPMB has been assigned to</w:t>
      </w:r>
      <w:r w:rsidR="00DB5B9F" w:rsidRPr="00457205">
        <w:rPr>
          <w:rFonts w:asciiTheme="majorHAnsi" w:hAnsiTheme="majorHAnsi" w:cstheme="majorHAnsi"/>
        </w:rPr>
        <w:t xml:space="preserve"> </w:t>
      </w:r>
      <w:r w:rsidRPr="00457205">
        <w:rPr>
          <w:rFonts w:asciiTheme="majorHAnsi" w:hAnsiTheme="majorHAnsi" w:cstheme="majorHAnsi"/>
        </w:rPr>
        <w:t>take the prime responsibility and coordinate with the agencies and localities to develop the form;</w:t>
      </w:r>
    </w:p>
    <w:p w14:paraId="10E6CC42" w14:textId="53559B61" w:rsidR="00053BC1" w:rsidRPr="00457205" w:rsidRDefault="00053BC1" w:rsidP="0091120C">
      <w:pPr>
        <w:pStyle w:val="NoSpacing"/>
        <w:numPr>
          <w:ilvl w:val="1"/>
          <w:numId w:val="0"/>
        </w:numPr>
        <w:ind w:left="720" w:hanging="450"/>
        <w:rPr>
          <w:rFonts w:asciiTheme="majorHAnsi" w:hAnsiTheme="majorHAnsi" w:cstheme="majorHAnsi"/>
        </w:rPr>
      </w:pPr>
      <w:r w:rsidRPr="00457205">
        <w:rPr>
          <w:rFonts w:asciiTheme="majorHAnsi" w:hAnsiTheme="majorHAnsi" w:cstheme="majorHAnsi"/>
        </w:rPr>
        <w:t xml:space="preserve">Decision No. 234/QD-UBND dated February 25, 2020 approving the outline of tasks and cost estimates for developing a nomination form for the World Biosphere Reserve in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w:t>
      </w:r>
      <w:r w:rsidR="00DB5B9F" w:rsidRPr="00457205">
        <w:rPr>
          <w:rFonts w:asciiTheme="majorHAnsi" w:hAnsiTheme="majorHAnsi" w:cstheme="majorHAnsi"/>
        </w:rPr>
        <w:t xml:space="preserve">. Funding </w:t>
      </w:r>
      <w:r w:rsidRPr="00457205">
        <w:rPr>
          <w:rFonts w:asciiTheme="majorHAnsi" w:hAnsiTheme="majorHAnsi" w:cstheme="majorHAnsi"/>
        </w:rPr>
        <w:t>was provided to implement the development</w:t>
      </w:r>
      <w:r w:rsidR="00DB5B9F" w:rsidRPr="00457205">
        <w:rPr>
          <w:rFonts w:asciiTheme="majorHAnsi" w:hAnsiTheme="majorHAnsi" w:cstheme="majorHAnsi"/>
        </w:rPr>
        <w:t>;</w:t>
      </w:r>
    </w:p>
    <w:p w14:paraId="79686172" w14:textId="1636AC16" w:rsidR="00053BC1" w:rsidRPr="00457205" w:rsidRDefault="00053BC1" w:rsidP="0091120C">
      <w:pPr>
        <w:pStyle w:val="NoSpacing"/>
        <w:numPr>
          <w:ilvl w:val="1"/>
          <w:numId w:val="0"/>
        </w:numPr>
        <w:ind w:left="720" w:hanging="450"/>
        <w:rPr>
          <w:rFonts w:asciiTheme="majorHAnsi" w:hAnsiTheme="majorHAnsi" w:cstheme="majorHAnsi"/>
        </w:rPr>
      </w:pPr>
      <w:r w:rsidRPr="00457205">
        <w:rPr>
          <w:rFonts w:asciiTheme="majorHAnsi" w:hAnsiTheme="majorHAnsi" w:cstheme="majorHAnsi"/>
        </w:rPr>
        <w:t xml:space="preserve">Decision No. 199/QD-UBND dated June 28, 2018 by the People's Committee of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approving the results of reviewing and replanning 3 types of forests in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in the 2016-2025 period, including Nui Chua NP</w:t>
      </w:r>
      <w:r w:rsidR="00DB5B9F" w:rsidRPr="00457205">
        <w:rPr>
          <w:rFonts w:asciiTheme="majorHAnsi" w:hAnsiTheme="majorHAnsi" w:cstheme="majorHAnsi"/>
        </w:rPr>
        <w:t>;</w:t>
      </w:r>
      <w:r w:rsidRPr="00457205">
        <w:rPr>
          <w:rFonts w:asciiTheme="majorHAnsi" w:hAnsiTheme="majorHAnsi" w:cstheme="majorHAnsi"/>
        </w:rPr>
        <w:t xml:space="preserve"> </w:t>
      </w:r>
    </w:p>
    <w:p w14:paraId="346F54E7" w14:textId="77777777" w:rsidR="00053BC1" w:rsidRPr="00457205" w:rsidRDefault="00053BC1" w:rsidP="0091120C">
      <w:pPr>
        <w:pStyle w:val="NoSpacing"/>
        <w:numPr>
          <w:ilvl w:val="1"/>
          <w:numId w:val="0"/>
        </w:numPr>
        <w:ind w:left="720" w:hanging="450"/>
        <w:rPr>
          <w:rFonts w:asciiTheme="majorHAnsi" w:hAnsiTheme="majorHAnsi" w:cstheme="majorHAnsi"/>
        </w:rPr>
      </w:pPr>
      <w:r w:rsidRPr="00457205">
        <w:rPr>
          <w:rFonts w:asciiTheme="majorHAnsi" w:hAnsiTheme="majorHAnsi" w:cstheme="majorHAnsi"/>
        </w:rPr>
        <w:t xml:space="preserve">Decision 503/QD-UBND dated December 31, 2019 by the People's Committee of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 approving the 2020 land use plan of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Hai District, </w:t>
      </w:r>
      <w:proofErr w:type="spellStart"/>
      <w:r w:rsidRPr="00457205">
        <w:rPr>
          <w:rFonts w:asciiTheme="majorHAnsi" w:hAnsiTheme="majorHAnsi" w:cstheme="majorHAnsi"/>
        </w:rPr>
        <w:t>Ninh</w:t>
      </w:r>
      <w:proofErr w:type="spellEnd"/>
      <w:r w:rsidRPr="00457205">
        <w:rPr>
          <w:rFonts w:asciiTheme="majorHAnsi" w:hAnsiTheme="majorHAnsi" w:cstheme="majorHAnsi"/>
        </w:rPr>
        <w:t xml:space="preserve"> </w:t>
      </w:r>
      <w:proofErr w:type="spellStart"/>
      <w:r w:rsidRPr="00457205">
        <w:rPr>
          <w:rFonts w:asciiTheme="majorHAnsi" w:hAnsiTheme="majorHAnsi" w:cstheme="majorHAnsi"/>
        </w:rPr>
        <w:t>Thuan</w:t>
      </w:r>
      <w:proofErr w:type="spellEnd"/>
      <w:r w:rsidRPr="00457205">
        <w:rPr>
          <w:rFonts w:asciiTheme="majorHAnsi" w:hAnsiTheme="majorHAnsi" w:cstheme="majorHAnsi"/>
        </w:rPr>
        <w:t xml:space="preserve"> Province;</w:t>
      </w:r>
    </w:p>
    <w:p w14:paraId="2E18F52A" w14:textId="77777777" w:rsidR="00053BC1" w:rsidRPr="00457205" w:rsidRDefault="00053BC1" w:rsidP="0091120C">
      <w:pPr>
        <w:pStyle w:val="ListNumber2"/>
        <w:rPr>
          <w:rFonts w:cstheme="majorHAnsi"/>
          <w:szCs w:val="22"/>
        </w:rPr>
      </w:pPr>
      <w:r w:rsidRPr="00457205">
        <w:rPr>
          <w:rFonts w:cstheme="majorHAnsi"/>
          <w:szCs w:val="22"/>
        </w:rPr>
        <w:t xml:space="preserve">Decision 504/QD-UBND dated December 31, 2019 by the People's Committee of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approving the 2020 land use plan of </w:t>
      </w:r>
      <w:proofErr w:type="spellStart"/>
      <w:r w:rsidRPr="00457205">
        <w:rPr>
          <w:rFonts w:cstheme="majorHAnsi"/>
          <w:szCs w:val="22"/>
        </w:rPr>
        <w:t>Ninh</w:t>
      </w:r>
      <w:proofErr w:type="spellEnd"/>
      <w:r w:rsidRPr="00457205">
        <w:rPr>
          <w:rFonts w:cstheme="majorHAnsi"/>
          <w:szCs w:val="22"/>
        </w:rPr>
        <w:t xml:space="preserve"> Phuoc District,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w:t>
      </w:r>
    </w:p>
    <w:p w14:paraId="0E821E88" w14:textId="77777777" w:rsidR="00053BC1" w:rsidRPr="00457205" w:rsidRDefault="00053BC1" w:rsidP="0091120C">
      <w:pPr>
        <w:pStyle w:val="ListNumber2"/>
        <w:rPr>
          <w:rFonts w:cstheme="majorHAnsi"/>
          <w:szCs w:val="22"/>
        </w:rPr>
      </w:pPr>
      <w:r w:rsidRPr="00457205">
        <w:rPr>
          <w:rFonts w:cstheme="majorHAnsi"/>
          <w:szCs w:val="22"/>
        </w:rPr>
        <w:t xml:space="preserve">Decision 506/QD-UBND dated December 31, 2019 by the People's Committee of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approving the 2020 land use plan of Phan Rang - </w:t>
      </w:r>
      <w:proofErr w:type="spellStart"/>
      <w:r w:rsidRPr="00457205">
        <w:rPr>
          <w:rFonts w:cstheme="majorHAnsi"/>
          <w:szCs w:val="22"/>
        </w:rPr>
        <w:t>Thap</w:t>
      </w:r>
      <w:proofErr w:type="spellEnd"/>
      <w:r w:rsidRPr="00457205">
        <w:rPr>
          <w:rFonts w:cstheme="majorHAnsi"/>
          <w:szCs w:val="22"/>
        </w:rPr>
        <w:t xml:space="preserve"> Cham City,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w:t>
      </w:r>
    </w:p>
    <w:p w14:paraId="30DA0BD1" w14:textId="77777777" w:rsidR="00053BC1" w:rsidRPr="00457205" w:rsidRDefault="00053BC1" w:rsidP="0091120C">
      <w:pPr>
        <w:pStyle w:val="ListNumber2"/>
        <w:rPr>
          <w:rFonts w:cstheme="majorHAnsi"/>
          <w:szCs w:val="22"/>
        </w:rPr>
      </w:pPr>
      <w:r w:rsidRPr="00457205">
        <w:rPr>
          <w:rFonts w:cstheme="majorHAnsi"/>
          <w:szCs w:val="22"/>
        </w:rPr>
        <w:t xml:space="preserve">Decision No. 509/QD-UBND dated December 31, 2019 by the People's Committee of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 approving the 2020 land use plan of </w:t>
      </w:r>
      <w:proofErr w:type="spellStart"/>
      <w:r w:rsidRPr="00457205">
        <w:rPr>
          <w:rFonts w:cstheme="majorHAnsi"/>
          <w:szCs w:val="22"/>
        </w:rPr>
        <w:t>Thuan</w:t>
      </w:r>
      <w:proofErr w:type="spellEnd"/>
      <w:r w:rsidRPr="00457205">
        <w:rPr>
          <w:rFonts w:cstheme="majorHAnsi"/>
          <w:szCs w:val="22"/>
        </w:rPr>
        <w:t xml:space="preserve"> Bac District, </w:t>
      </w:r>
      <w:proofErr w:type="spellStart"/>
      <w:r w:rsidRPr="00457205">
        <w:rPr>
          <w:rFonts w:cstheme="majorHAnsi"/>
          <w:szCs w:val="22"/>
        </w:rPr>
        <w:t>Ninh</w:t>
      </w:r>
      <w:proofErr w:type="spellEnd"/>
      <w:r w:rsidRPr="00457205">
        <w:rPr>
          <w:rFonts w:cstheme="majorHAnsi"/>
          <w:szCs w:val="22"/>
        </w:rPr>
        <w:t xml:space="preserve"> </w:t>
      </w:r>
      <w:proofErr w:type="spellStart"/>
      <w:r w:rsidRPr="00457205">
        <w:rPr>
          <w:rFonts w:cstheme="majorHAnsi"/>
          <w:szCs w:val="22"/>
        </w:rPr>
        <w:t>Thuan</w:t>
      </w:r>
      <w:proofErr w:type="spellEnd"/>
      <w:r w:rsidRPr="00457205">
        <w:rPr>
          <w:rFonts w:cstheme="majorHAnsi"/>
          <w:szCs w:val="22"/>
        </w:rPr>
        <w:t xml:space="preserve"> Province.</w:t>
      </w:r>
    </w:p>
    <w:p w14:paraId="4C665CDB" w14:textId="77777777" w:rsidR="002A1B1F" w:rsidRDefault="002A1B1F">
      <w:pPr>
        <w:rPr>
          <w:b/>
        </w:rPr>
      </w:pPr>
    </w:p>
    <w:p w14:paraId="78F20E64" w14:textId="6DC077ED" w:rsidR="002A1B1F" w:rsidRPr="008C6D5E" w:rsidRDefault="008C6D5E" w:rsidP="00160DAD">
      <w:pPr>
        <w:pStyle w:val="Heading1"/>
        <w:rPr>
          <w:color w:val="002060"/>
        </w:rPr>
      </w:pPr>
      <w:bookmarkStart w:id="160" w:name="_x2lzp4tkavn8" w:colFirst="0" w:colLast="0"/>
      <w:bookmarkStart w:id="161" w:name="_Toc104218390"/>
      <w:bookmarkEnd w:id="160"/>
      <w:r w:rsidRPr="008C6D5E">
        <w:rPr>
          <w:color w:val="002060"/>
        </w:rPr>
        <w:lastRenderedPageBreak/>
        <w:t xml:space="preserve">6 </w:t>
      </w:r>
      <w:r w:rsidR="00F25AA1" w:rsidRPr="008C6D5E">
        <w:rPr>
          <w:color w:val="002060"/>
        </w:rPr>
        <w:t xml:space="preserve"> International Regulatory Framework</w:t>
      </w:r>
      <w:bookmarkEnd w:id="161"/>
    </w:p>
    <w:p w14:paraId="791EFCDF" w14:textId="6D905030" w:rsidR="002A1B1F" w:rsidRPr="00457205" w:rsidRDefault="00BC6040" w:rsidP="00ED594B">
      <w:pPr>
        <w:ind w:firstLine="720"/>
        <w:rPr>
          <w:rFonts w:asciiTheme="majorHAnsi" w:hAnsiTheme="majorHAnsi" w:cstheme="majorHAnsi"/>
          <w:sz w:val="22"/>
        </w:rPr>
      </w:pPr>
      <w:r w:rsidRPr="00457205">
        <w:rPr>
          <w:rFonts w:asciiTheme="majorHAnsi" w:hAnsiTheme="majorHAnsi" w:cstheme="majorHAnsi"/>
          <w:sz w:val="22"/>
        </w:rPr>
        <w:t>The following section outlines major international agreements to which Vietnam is a party. The details of these agreements will not be addressed in this ESMF. The project must not contravene the principles and regulations contained in these or any other international regulatory agreements to which Vietnam is a party.</w:t>
      </w:r>
    </w:p>
    <w:p w14:paraId="34D8029B" w14:textId="2B230FEA" w:rsidR="002A1B1F" w:rsidRDefault="003373F3" w:rsidP="009560B6">
      <w:pPr>
        <w:pStyle w:val="Heading2"/>
        <w:numPr>
          <w:ilvl w:val="1"/>
          <w:numId w:val="6"/>
        </w:numPr>
      </w:pPr>
      <w:bookmarkStart w:id="162" w:name="_bwyi9nolmedx" w:colFirst="0" w:colLast="0"/>
      <w:bookmarkStart w:id="163" w:name="_Toc104218391"/>
      <w:bookmarkEnd w:id="162"/>
      <w:r>
        <w:t xml:space="preserve"> </w:t>
      </w:r>
      <w:r w:rsidR="00F25AA1">
        <w:t>Social</w:t>
      </w:r>
      <w:bookmarkEnd w:id="163"/>
    </w:p>
    <w:p w14:paraId="43C4014F" w14:textId="59A202D3" w:rsidR="002A1B1F" w:rsidRPr="009560B6" w:rsidRDefault="00F25AA1" w:rsidP="009560B6">
      <w:pPr>
        <w:pStyle w:val="ListNumber2"/>
        <w:numPr>
          <w:ilvl w:val="0"/>
          <w:numId w:val="7"/>
        </w:numPr>
        <w:rPr>
          <w:rFonts w:cstheme="majorHAnsi"/>
          <w:sz w:val="20"/>
        </w:rPr>
      </w:pPr>
      <w:r w:rsidRPr="009560B6">
        <w:rPr>
          <w:rFonts w:cstheme="majorHAnsi"/>
          <w:sz w:val="20"/>
        </w:rPr>
        <w:t>1966, International Covenant on Civil and Political Rights (ICCPR)</w:t>
      </w:r>
    </w:p>
    <w:p w14:paraId="51731063" w14:textId="6768C5B1" w:rsidR="002A1B1F" w:rsidRPr="009560B6" w:rsidRDefault="00F25AA1" w:rsidP="009560B6">
      <w:pPr>
        <w:pStyle w:val="ListNumber2"/>
        <w:numPr>
          <w:ilvl w:val="0"/>
          <w:numId w:val="7"/>
        </w:numPr>
        <w:rPr>
          <w:rFonts w:cstheme="majorHAnsi"/>
          <w:sz w:val="20"/>
        </w:rPr>
      </w:pPr>
      <w:r w:rsidRPr="009560B6">
        <w:rPr>
          <w:rFonts w:cstheme="majorHAnsi"/>
          <w:sz w:val="20"/>
        </w:rPr>
        <w:t>1966, International Covenant on Economic, Social and Cultural Rights (ICESCR)</w:t>
      </w:r>
    </w:p>
    <w:p w14:paraId="464873E4" w14:textId="77777777" w:rsidR="002A1B1F" w:rsidRPr="009560B6" w:rsidRDefault="00F25AA1" w:rsidP="009560B6">
      <w:pPr>
        <w:pStyle w:val="ListNumber2"/>
        <w:numPr>
          <w:ilvl w:val="0"/>
          <w:numId w:val="7"/>
        </w:numPr>
        <w:rPr>
          <w:rFonts w:cstheme="majorHAnsi"/>
          <w:sz w:val="20"/>
        </w:rPr>
      </w:pPr>
      <w:r w:rsidRPr="009560B6">
        <w:rPr>
          <w:rFonts w:cstheme="majorHAnsi"/>
          <w:sz w:val="20"/>
        </w:rPr>
        <w:t>1969, Convention on the Elimination of all forms of Racial Discrimination (CERD)</w:t>
      </w:r>
    </w:p>
    <w:p w14:paraId="6492C812" w14:textId="77777777" w:rsidR="002A1B1F" w:rsidRPr="009560B6" w:rsidRDefault="00F25AA1" w:rsidP="009560B6">
      <w:pPr>
        <w:pStyle w:val="ListNumber2"/>
        <w:numPr>
          <w:ilvl w:val="0"/>
          <w:numId w:val="7"/>
        </w:numPr>
        <w:rPr>
          <w:rFonts w:cstheme="majorHAnsi"/>
          <w:sz w:val="20"/>
        </w:rPr>
      </w:pPr>
      <w:r w:rsidRPr="009560B6">
        <w:rPr>
          <w:rFonts w:cstheme="majorHAnsi"/>
          <w:sz w:val="20"/>
        </w:rPr>
        <w:t>1969, Convention on the Elimination of All Forms of Discrimination against Women (CEDAW)</w:t>
      </w:r>
    </w:p>
    <w:p w14:paraId="6E123700" w14:textId="77777777" w:rsidR="002A1B1F" w:rsidRPr="009560B6" w:rsidRDefault="00F25AA1" w:rsidP="009560B6">
      <w:pPr>
        <w:pStyle w:val="ListNumber2"/>
        <w:numPr>
          <w:ilvl w:val="0"/>
          <w:numId w:val="7"/>
        </w:numPr>
        <w:rPr>
          <w:rFonts w:cstheme="majorHAnsi"/>
          <w:sz w:val="20"/>
        </w:rPr>
      </w:pPr>
      <w:r w:rsidRPr="009560B6">
        <w:rPr>
          <w:rFonts w:cstheme="majorHAnsi"/>
          <w:sz w:val="20"/>
        </w:rPr>
        <w:t>1972, Convention Concerning the Protection of the World Cultural and Natural Heritage</w:t>
      </w:r>
    </w:p>
    <w:p w14:paraId="4BD4DA62" w14:textId="6E29B16A" w:rsidR="002A1B1F" w:rsidRPr="009560B6" w:rsidRDefault="00F25AA1" w:rsidP="009560B6">
      <w:pPr>
        <w:pStyle w:val="ListParagraph"/>
        <w:numPr>
          <w:ilvl w:val="0"/>
          <w:numId w:val="7"/>
        </w:numPr>
        <w:rPr>
          <w:rFonts w:asciiTheme="majorHAnsi" w:hAnsiTheme="majorHAnsi" w:cstheme="majorHAnsi"/>
          <w:szCs w:val="20"/>
        </w:rPr>
      </w:pPr>
      <w:r w:rsidRPr="009560B6">
        <w:rPr>
          <w:rFonts w:asciiTheme="majorHAnsi" w:hAnsiTheme="majorHAnsi" w:cstheme="majorHAnsi"/>
          <w:szCs w:val="20"/>
        </w:rPr>
        <w:t>1989, Convention on the Rights of the Child</w:t>
      </w:r>
    </w:p>
    <w:p w14:paraId="3FCAC448" w14:textId="77777777" w:rsidR="002A1B1F" w:rsidRPr="009560B6" w:rsidRDefault="00F25AA1" w:rsidP="009560B6">
      <w:pPr>
        <w:numPr>
          <w:ilvl w:val="0"/>
          <w:numId w:val="7"/>
        </w:numPr>
        <w:rPr>
          <w:rFonts w:asciiTheme="majorHAnsi" w:hAnsiTheme="majorHAnsi" w:cstheme="majorHAnsi"/>
          <w:sz w:val="20"/>
          <w:szCs w:val="20"/>
        </w:rPr>
      </w:pPr>
      <w:r w:rsidRPr="009560B6">
        <w:rPr>
          <w:rFonts w:asciiTheme="majorHAnsi" w:hAnsiTheme="majorHAnsi" w:cstheme="majorHAnsi"/>
          <w:sz w:val="20"/>
          <w:szCs w:val="20"/>
        </w:rPr>
        <w:t>2003, Convention for the Safeguarding of Intangible Cultural Heritage</w:t>
      </w:r>
    </w:p>
    <w:p w14:paraId="60D8E076" w14:textId="77777777" w:rsidR="002A1B1F" w:rsidRPr="009560B6" w:rsidRDefault="00F25AA1" w:rsidP="009560B6">
      <w:pPr>
        <w:numPr>
          <w:ilvl w:val="0"/>
          <w:numId w:val="7"/>
        </w:numPr>
        <w:rPr>
          <w:rFonts w:asciiTheme="majorHAnsi" w:hAnsiTheme="majorHAnsi" w:cstheme="majorHAnsi"/>
          <w:sz w:val="20"/>
          <w:szCs w:val="20"/>
        </w:rPr>
      </w:pPr>
      <w:r w:rsidRPr="009560B6">
        <w:rPr>
          <w:rFonts w:asciiTheme="majorHAnsi" w:hAnsiTheme="majorHAnsi" w:cstheme="majorHAnsi"/>
          <w:sz w:val="20"/>
          <w:szCs w:val="20"/>
        </w:rPr>
        <w:t>2005, Convention on the Protection and Promotion of the Diversity of Cultural Expressions</w:t>
      </w:r>
    </w:p>
    <w:p w14:paraId="7B27F4B1" w14:textId="77777777" w:rsidR="002A1B1F" w:rsidRPr="009560B6" w:rsidRDefault="00F25AA1" w:rsidP="009560B6">
      <w:pPr>
        <w:numPr>
          <w:ilvl w:val="0"/>
          <w:numId w:val="7"/>
        </w:numPr>
        <w:rPr>
          <w:rFonts w:asciiTheme="majorHAnsi" w:hAnsiTheme="majorHAnsi" w:cstheme="majorHAnsi"/>
          <w:sz w:val="20"/>
          <w:szCs w:val="20"/>
        </w:rPr>
      </w:pPr>
      <w:r w:rsidRPr="009560B6">
        <w:rPr>
          <w:rFonts w:asciiTheme="majorHAnsi" w:hAnsiTheme="majorHAnsi" w:cstheme="majorHAnsi"/>
          <w:sz w:val="20"/>
          <w:szCs w:val="20"/>
        </w:rPr>
        <w:t>2007, United Nations Declaration on the Rights of Indigenous Peoples (UNDRIP)</w:t>
      </w:r>
    </w:p>
    <w:p w14:paraId="46E324BC" w14:textId="77777777" w:rsidR="002A1B1F" w:rsidRDefault="002A1B1F">
      <w:pPr>
        <w:rPr>
          <w:b/>
        </w:rPr>
      </w:pPr>
    </w:p>
    <w:p w14:paraId="171EB8C4" w14:textId="73BE5E28" w:rsidR="002A1B1F" w:rsidRDefault="008C6D5E">
      <w:pPr>
        <w:pStyle w:val="Heading2"/>
      </w:pPr>
      <w:bookmarkStart w:id="164" w:name="_cge2np4747iy" w:colFirst="0" w:colLast="0"/>
      <w:bookmarkStart w:id="165" w:name="_Toc104218392"/>
      <w:bookmarkEnd w:id="164"/>
      <w:r>
        <w:t>6</w:t>
      </w:r>
      <w:r w:rsidR="00F25AA1">
        <w:t>.2 Environmental</w:t>
      </w:r>
      <w:bookmarkEnd w:id="165"/>
    </w:p>
    <w:p w14:paraId="3668B482" w14:textId="280C48BC" w:rsidR="000851E3" w:rsidRPr="009560B6" w:rsidRDefault="000851E3" w:rsidP="00AA431B">
      <w:pPr>
        <w:numPr>
          <w:ilvl w:val="0"/>
          <w:numId w:val="2"/>
        </w:numPr>
        <w:rPr>
          <w:rFonts w:asciiTheme="majorHAnsi" w:hAnsiTheme="majorHAnsi" w:cstheme="majorHAnsi"/>
          <w:sz w:val="22"/>
        </w:rPr>
      </w:pPr>
      <w:r w:rsidRPr="009560B6">
        <w:rPr>
          <w:rFonts w:asciiTheme="majorHAnsi" w:hAnsiTheme="majorHAnsi" w:cstheme="majorHAnsi"/>
          <w:sz w:val="22"/>
        </w:rPr>
        <w:t xml:space="preserve">1964, International Union for Conservation of Nature </w:t>
      </w:r>
      <w:r w:rsidR="00835962" w:rsidRPr="009560B6">
        <w:rPr>
          <w:rFonts w:asciiTheme="majorHAnsi" w:hAnsiTheme="majorHAnsi" w:cstheme="majorHAnsi"/>
          <w:sz w:val="22"/>
        </w:rPr>
        <w:t>(IUCN)</w:t>
      </w:r>
      <w:r w:rsidRPr="009560B6">
        <w:rPr>
          <w:rFonts w:asciiTheme="majorHAnsi" w:hAnsiTheme="majorHAnsi" w:cstheme="majorHAnsi"/>
          <w:sz w:val="22"/>
        </w:rPr>
        <w:t xml:space="preserve"> Red List of Threatened Species</w:t>
      </w:r>
    </w:p>
    <w:p w14:paraId="10A2F639" w14:textId="0717C838"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1971, Convention on Wetlands of International Importance (Ramsar)</w:t>
      </w:r>
    </w:p>
    <w:p w14:paraId="56CC92F7" w14:textId="1F4E37FB"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1973, Convention on International Trade in Endangered Species of Wild Fauna and Flora (CITES)</w:t>
      </w:r>
    </w:p>
    <w:p w14:paraId="16C64FDC" w14:textId="64251A36" w:rsidR="0094404A" w:rsidRPr="009560B6" w:rsidRDefault="0094404A" w:rsidP="00AA431B">
      <w:pPr>
        <w:numPr>
          <w:ilvl w:val="0"/>
          <w:numId w:val="2"/>
        </w:numPr>
        <w:rPr>
          <w:rFonts w:asciiTheme="majorHAnsi" w:hAnsiTheme="majorHAnsi" w:cstheme="majorHAnsi"/>
          <w:sz w:val="22"/>
        </w:rPr>
      </w:pPr>
      <w:r w:rsidRPr="009560B6">
        <w:rPr>
          <w:rFonts w:asciiTheme="majorHAnsi" w:hAnsiTheme="majorHAnsi" w:cstheme="majorHAnsi"/>
          <w:sz w:val="22"/>
        </w:rPr>
        <w:t xml:space="preserve">1989, Basel </w:t>
      </w:r>
      <w:r w:rsidR="000851E3" w:rsidRPr="009560B6">
        <w:rPr>
          <w:rFonts w:asciiTheme="majorHAnsi" w:hAnsiTheme="majorHAnsi" w:cstheme="majorHAnsi"/>
          <w:sz w:val="22"/>
        </w:rPr>
        <w:t>Convention on the Control of Transboundary Movements of Hazardous Waste and Their Disposal</w:t>
      </w:r>
    </w:p>
    <w:p w14:paraId="012EF8A8" w14:textId="2A7BC404"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 xml:space="preserve">1992, </w:t>
      </w:r>
      <w:r w:rsidR="0094404A" w:rsidRPr="009560B6">
        <w:rPr>
          <w:rFonts w:asciiTheme="majorHAnsi" w:hAnsiTheme="majorHAnsi" w:cstheme="majorHAnsi"/>
          <w:sz w:val="22"/>
        </w:rPr>
        <w:t xml:space="preserve">United Nations </w:t>
      </w:r>
      <w:r w:rsidRPr="009560B6">
        <w:rPr>
          <w:rFonts w:asciiTheme="majorHAnsi" w:hAnsiTheme="majorHAnsi" w:cstheme="majorHAnsi"/>
          <w:sz w:val="22"/>
        </w:rPr>
        <w:t xml:space="preserve">Convention on </w:t>
      </w:r>
      <w:r w:rsidR="0094404A" w:rsidRPr="009560B6">
        <w:rPr>
          <w:rFonts w:asciiTheme="majorHAnsi" w:hAnsiTheme="majorHAnsi" w:cstheme="majorHAnsi"/>
          <w:sz w:val="22"/>
        </w:rPr>
        <w:t>Biodiversity</w:t>
      </w:r>
    </w:p>
    <w:p w14:paraId="0206003B" w14:textId="3C8D99B3"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1992, United Nations Framework Convention on Climate Change</w:t>
      </w:r>
      <w:r w:rsidR="0094404A" w:rsidRPr="009560B6">
        <w:rPr>
          <w:rFonts w:asciiTheme="majorHAnsi" w:hAnsiTheme="majorHAnsi" w:cstheme="majorHAnsi"/>
          <w:sz w:val="22"/>
        </w:rPr>
        <w:t xml:space="preserve"> (UNFCCC)</w:t>
      </w:r>
    </w:p>
    <w:p w14:paraId="3B437794" w14:textId="77777777"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1994, United Nations Convention to Combat Desertification (UNCCD)</w:t>
      </w:r>
    </w:p>
    <w:p w14:paraId="264F4B2F" w14:textId="0AA1FE69"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1997, Kyoto Protocol to the UNFCCC</w:t>
      </w:r>
    </w:p>
    <w:p w14:paraId="4B041035" w14:textId="66A7739F" w:rsidR="002A1B1F" w:rsidRPr="009560B6" w:rsidRDefault="00F25AA1" w:rsidP="00AA431B">
      <w:pPr>
        <w:numPr>
          <w:ilvl w:val="0"/>
          <w:numId w:val="2"/>
        </w:numPr>
        <w:rPr>
          <w:rFonts w:asciiTheme="majorHAnsi" w:hAnsiTheme="majorHAnsi" w:cstheme="majorHAnsi"/>
          <w:sz w:val="22"/>
        </w:rPr>
      </w:pPr>
      <w:r w:rsidRPr="009560B6">
        <w:rPr>
          <w:rFonts w:asciiTheme="majorHAnsi" w:hAnsiTheme="majorHAnsi" w:cstheme="majorHAnsi"/>
          <w:sz w:val="22"/>
        </w:rPr>
        <w:t>2000, Cartagena Protocol on Biosafety on the Convention on Biological Diversity</w:t>
      </w:r>
    </w:p>
    <w:p w14:paraId="410B9AD0" w14:textId="57C997AA" w:rsidR="006758E7" w:rsidRPr="009560B6" w:rsidRDefault="006758E7" w:rsidP="00AA431B">
      <w:pPr>
        <w:numPr>
          <w:ilvl w:val="0"/>
          <w:numId w:val="2"/>
        </w:numPr>
        <w:rPr>
          <w:rFonts w:asciiTheme="majorHAnsi" w:hAnsiTheme="majorHAnsi" w:cstheme="majorHAnsi"/>
          <w:sz w:val="22"/>
        </w:rPr>
      </w:pPr>
      <w:r w:rsidRPr="009560B6">
        <w:rPr>
          <w:rFonts w:asciiTheme="majorHAnsi" w:hAnsiTheme="majorHAnsi" w:cstheme="majorHAnsi"/>
          <w:sz w:val="22"/>
        </w:rPr>
        <w:t>2001, Stockholm Convention on Persistent Organic Pollutants</w:t>
      </w:r>
    </w:p>
    <w:p w14:paraId="75EE9BB0" w14:textId="70D35001" w:rsidR="002A1B1F" w:rsidRPr="008C6D5E" w:rsidRDefault="008C6D5E">
      <w:pPr>
        <w:pStyle w:val="Heading1"/>
        <w:rPr>
          <w:color w:val="002060"/>
        </w:rPr>
      </w:pPr>
      <w:bookmarkStart w:id="166" w:name="_rq2cyriv9buy" w:colFirst="0" w:colLast="0"/>
      <w:bookmarkStart w:id="167" w:name="_Toc104218393"/>
      <w:bookmarkEnd w:id="166"/>
      <w:r w:rsidRPr="008C6D5E">
        <w:rPr>
          <w:color w:val="002060"/>
        </w:rPr>
        <w:t>6.3</w:t>
      </w:r>
      <w:r w:rsidR="00F25AA1" w:rsidRPr="008C6D5E">
        <w:rPr>
          <w:color w:val="002060"/>
        </w:rPr>
        <w:t xml:space="preserve"> UNDP Regulatory Framework</w:t>
      </w:r>
      <w:bookmarkEnd w:id="167"/>
    </w:p>
    <w:p w14:paraId="4DE76262" w14:textId="40B627B6" w:rsidR="009859EC" w:rsidRDefault="009859EC" w:rsidP="009859EC"/>
    <w:p w14:paraId="5A7DFC89" w14:textId="472700F1" w:rsidR="00BC61F7" w:rsidRPr="00C12294" w:rsidRDefault="00BC61F7" w:rsidP="00BC61F7">
      <w:pPr>
        <w:ind w:firstLine="720"/>
        <w:rPr>
          <w:rFonts w:asciiTheme="majorHAnsi" w:hAnsiTheme="majorHAnsi" w:cstheme="majorHAnsi"/>
          <w:sz w:val="22"/>
        </w:rPr>
      </w:pPr>
      <w:r w:rsidRPr="00C12294">
        <w:rPr>
          <w:rFonts w:asciiTheme="majorHAnsi" w:hAnsiTheme="majorHAnsi" w:cstheme="majorHAnsi"/>
          <w:sz w:val="22"/>
        </w:rPr>
        <w:t xml:space="preserve">The Project will adhere to UNDP’s Social and Environmental Standards (SES), which came into effect 1 January 2021. These Standards underpin UNDP’s commitment to mainstream social and environmental sustainability in its programs and projects to support sustainable development and are an integral component of UNDP’s quality assurance and risk management approach to programming. </w:t>
      </w:r>
    </w:p>
    <w:p w14:paraId="0286A1A4" w14:textId="77777777" w:rsidR="00BC61F7" w:rsidRPr="00C12294" w:rsidRDefault="00BC61F7" w:rsidP="00BC61F7">
      <w:pPr>
        <w:rPr>
          <w:rFonts w:asciiTheme="majorHAnsi" w:hAnsiTheme="majorHAnsi" w:cstheme="majorHAnsi"/>
          <w:sz w:val="22"/>
        </w:rPr>
      </w:pPr>
    </w:p>
    <w:p w14:paraId="2E4E04D6" w14:textId="77777777" w:rsidR="00BC61F7" w:rsidRPr="00C12294" w:rsidRDefault="00BC61F7" w:rsidP="00BC61F7">
      <w:pPr>
        <w:rPr>
          <w:rFonts w:asciiTheme="majorHAnsi" w:hAnsiTheme="majorHAnsi" w:cstheme="majorHAnsi"/>
          <w:sz w:val="22"/>
        </w:rPr>
      </w:pPr>
      <w:r w:rsidRPr="00C12294">
        <w:rPr>
          <w:rFonts w:asciiTheme="majorHAnsi" w:hAnsiTheme="majorHAnsi" w:cstheme="majorHAnsi"/>
          <w:sz w:val="22"/>
        </w:rPr>
        <w:lastRenderedPageBreak/>
        <w:t>The objectives of the SES are to:</w:t>
      </w:r>
    </w:p>
    <w:p w14:paraId="021C6342" w14:textId="44B588C0" w:rsidR="00BC61F7" w:rsidRPr="00C12294" w:rsidRDefault="00BC61F7" w:rsidP="009560B6">
      <w:pPr>
        <w:pStyle w:val="ListNumber2"/>
        <w:numPr>
          <w:ilvl w:val="0"/>
          <w:numId w:val="8"/>
        </w:numPr>
        <w:rPr>
          <w:rFonts w:cstheme="majorHAnsi"/>
          <w:szCs w:val="22"/>
        </w:rPr>
      </w:pPr>
      <w:r w:rsidRPr="00C12294">
        <w:rPr>
          <w:rFonts w:cstheme="majorHAnsi"/>
          <w:szCs w:val="22"/>
        </w:rPr>
        <w:t xml:space="preserve">Strengthen the quality of programming by ensuring a principled approach; </w:t>
      </w:r>
    </w:p>
    <w:p w14:paraId="16188277" w14:textId="089D0143" w:rsidR="00BC61F7" w:rsidRPr="00C12294" w:rsidRDefault="00BC61F7" w:rsidP="009560B6">
      <w:pPr>
        <w:pStyle w:val="ListNumber2"/>
        <w:numPr>
          <w:ilvl w:val="0"/>
          <w:numId w:val="8"/>
        </w:numPr>
        <w:rPr>
          <w:rFonts w:cstheme="majorHAnsi"/>
          <w:szCs w:val="22"/>
        </w:rPr>
      </w:pPr>
      <w:r w:rsidRPr="00C12294">
        <w:rPr>
          <w:rFonts w:cstheme="majorHAnsi"/>
          <w:szCs w:val="22"/>
        </w:rPr>
        <w:t xml:space="preserve">Maximize social and environmental opportunities and benefits; </w:t>
      </w:r>
    </w:p>
    <w:p w14:paraId="4551DE82" w14:textId="353EA7E8" w:rsidR="00BC61F7" w:rsidRPr="00C12294" w:rsidRDefault="00BC61F7" w:rsidP="009560B6">
      <w:pPr>
        <w:pStyle w:val="ListNumber2"/>
        <w:numPr>
          <w:ilvl w:val="0"/>
          <w:numId w:val="8"/>
        </w:numPr>
        <w:rPr>
          <w:rFonts w:cstheme="majorHAnsi"/>
          <w:szCs w:val="22"/>
        </w:rPr>
      </w:pPr>
      <w:r w:rsidRPr="00C12294">
        <w:rPr>
          <w:rFonts w:cstheme="majorHAnsi"/>
          <w:szCs w:val="22"/>
        </w:rPr>
        <w:t>Avoid adverse impacts to people and the environment</w:t>
      </w:r>
    </w:p>
    <w:p w14:paraId="70D1F272" w14:textId="6CDC23C3" w:rsidR="00BC61F7" w:rsidRPr="00C12294" w:rsidRDefault="00BC61F7" w:rsidP="009560B6">
      <w:pPr>
        <w:pStyle w:val="ListNumber2"/>
        <w:numPr>
          <w:ilvl w:val="0"/>
          <w:numId w:val="8"/>
        </w:numPr>
        <w:rPr>
          <w:rFonts w:cstheme="majorHAnsi"/>
          <w:szCs w:val="22"/>
        </w:rPr>
      </w:pPr>
      <w:r w:rsidRPr="00C12294">
        <w:rPr>
          <w:rFonts w:cstheme="majorHAnsi"/>
          <w:szCs w:val="22"/>
        </w:rPr>
        <w:t>Minimize, mitigate, and manage adverse impacts where avoidance is not possible</w:t>
      </w:r>
    </w:p>
    <w:p w14:paraId="414EFBB8" w14:textId="5835D444" w:rsidR="00BC61F7" w:rsidRPr="00C12294" w:rsidRDefault="00BC61F7" w:rsidP="009560B6">
      <w:pPr>
        <w:pStyle w:val="ListNumber2"/>
        <w:numPr>
          <w:ilvl w:val="0"/>
          <w:numId w:val="8"/>
        </w:numPr>
        <w:rPr>
          <w:rFonts w:cstheme="majorHAnsi"/>
          <w:szCs w:val="22"/>
        </w:rPr>
      </w:pPr>
      <w:r w:rsidRPr="00C12294">
        <w:rPr>
          <w:rFonts w:cstheme="majorHAnsi"/>
          <w:szCs w:val="22"/>
        </w:rPr>
        <w:t>Strengthen UNDP and partner capacities for managing social and environmental risks</w:t>
      </w:r>
    </w:p>
    <w:p w14:paraId="0E1BA8E0" w14:textId="7B4240CE" w:rsidR="00BC61F7" w:rsidRPr="00C12294" w:rsidRDefault="00BC61F7" w:rsidP="009560B6">
      <w:pPr>
        <w:pStyle w:val="ListNumber2"/>
        <w:numPr>
          <w:ilvl w:val="0"/>
          <w:numId w:val="8"/>
        </w:numPr>
        <w:rPr>
          <w:rFonts w:cstheme="majorHAnsi"/>
          <w:szCs w:val="22"/>
        </w:rPr>
      </w:pPr>
      <w:r w:rsidRPr="00C12294">
        <w:rPr>
          <w:rFonts w:cstheme="majorHAnsi"/>
          <w:szCs w:val="22"/>
        </w:rPr>
        <w:t>Ensure full and effective stakeholder engagement, including through a mechanism to respond to complaints from project-affected people</w:t>
      </w:r>
    </w:p>
    <w:p w14:paraId="009554AD" w14:textId="77777777" w:rsidR="00BC61F7" w:rsidRPr="00C12294" w:rsidRDefault="00BC61F7" w:rsidP="00BC61F7">
      <w:pPr>
        <w:pStyle w:val="ListParagraph"/>
        <w:numPr>
          <w:ilvl w:val="0"/>
          <w:numId w:val="0"/>
        </w:numPr>
        <w:spacing w:before="120" w:line="240" w:lineRule="auto"/>
        <w:ind w:left="720"/>
        <w:rPr>
          <w:rFonts w:asciiTheme="majorHAnsi" w:hAnsiTheme="majorHAnsi" w:cstheme="majorHAnsi"/>
          <w:sz w:val="22"/>
        </w:rPr>
      </w:pPr>
    </w:p>
    <w:p w14:paraId="6187403B" w14:textId="0D6F33F1" w:rsidR="00BC61F7" w:rsidRPr="00C12294" w:rsidRDefault="00BC61F7" w:rsidP="00BC61F7">
      <w:pPr>
        <w:ind w:firstLine="360"/>
        <w:rPr>
          <w:rFonts w:asciiTheme="majorHAnsi" w:hAnsiTheme="majorHAnsi" w:cstheme="majorHAnsi"/>
          <w:sz w:val="22"/>
        </w:rPr>
      </w:pPr>
      <w:r w:rsidRPr="00C12294">
        <w:rPr>
          <w:rFonts w:asciiTheme="majorHAnsi" w:hAnsiTheme="majorHAnsi" w:cstheme="majorHAnsi"/>
          <w:sz w:val="22"/>
        </w:rPr>
        <w:t xml:space="preserve">In accordance with UNDP SES policy, the Social and Environmental Screening Procedure (SESP) has been applied to the project during the project development phase. </w:t>
      </w:r>
      <w:r w:rsidR="004A4276" w:rsidRPr="00C12294">
        <w:rPr>
          <w:rFonts w:asciiTheme="majorHAnsi" w:hAnsiTheme="majorHAnsi" w:cstheme="majorHAnsi"/>
          <w:sz w:val="22"/>
        </w:rPr>
        <w:t>Under</w:t>
      </w:r>
      <w:r w:rsidRPr="00C12294">
        <w:rPr>
          <w:rFonts w:asciiTheme="majorHAnsi" w:hAnsiTheme="majorHAnsi" w:cstheme="majorHAnsi"/>
          <w:sz w:val="22"/>
        </w:rPr>
        <w:t xml:space="preserve"> this policy, a</w:t>
      </w:r>
      <w:r w:rsidR="004A4276" w:rsidRPr="00C12294">
        <w:rPr>
          <w:rFonts w:asciiTheme="majorHAnsi" w:hAnsiTheme="majorHAnsi" w:cstheme="majorHAnsi"/>
          <w:sz w:val="22"/>
        </w:rPr>
        <w:t>n</w:t>
      </w:r>
      <w:r w:rsidRPr="00C12294">
        <w:rPr>
          <w:rFonts w:asciiTheme="majorHAnsi" w:hAnsiTheme="majorHAnsi" w:cstheme="majorHAnsi"/>
          <w:sz w:val="22"/>
        </w:rPr>
        <w:t xml:space="preserve"> SES principle or standard is ‘triggered’ when a potential risk is identified and assessed as having either a ‘moderate’, ‘substantial’ or ‘high’ risk rating based on its probability of occurrence and extent of impact. Risks that are assessed as ‘low’ do not trigger the related principle or standard. </w:t>
      </w:r>
    </w:p>
    <w:p w14:paraId="2E6BC909" w14:textId="48A26B02" w:rsidR="00BC61F7" w:rsidRPr="00C12294" w:rsidRDefault="00BC61F7" w:rsidP="00BC61F7">
      <w:pPr>
        <w:ind w:firstLine="360"/>
        <w:rPr>
          <w:rFonts w:asciiTheme="majorHAnsi" w:hAnsiTheme="majorHAnsi" w:cstheme="majorHAnsi"/>
          <w:color w:val="000000"/>
          <w:sz w:val="22"/>
          <w:lang w:val="en-US" w:eastAsia="zh-CN"/>
        </w:rPr>
      </w:pPr>
      <w:r w:rsidRPr="00C12294">
        <w:rPr>
          <w:rFonts w:asciiTheme="majorHAnsi" w:hAnsiTheme="majorHAnsi" w:cstheme="majorHAnsi"/>
          <w:sz w:val="22"/>
        </w:rPr>
        <w:t>The screenings conducted during project development indicate that 3 Principles and 8 Standards have been triggered due to ‘substantial’ or ‘moderate’ risk</w:t>
      </w:r>
      <w:r w:rsidR="00841E77" w:rsidRPr="00C12294">
        <w:rPr>
          <w:rFonts w:asciiTheme="majorHAnsi" w:hAnsiTheme="majorHAnsi" w:cstheme="majorHAnsi"/>
          <w:sz w:val="22"/>
        </w:rPr>
        <w:t xml:space="preserve"> rating</w:t>
      </w:r>
      <w:r w:rsidRPr="00C12294">
        <w:rPr>
          <w:rFonts w:asciiTheme="majorHAnsi" w:hAnsiTheme="majorHAnsi" w:cstheme="majorHAnsi"/>
          <w:sz w:val="22"/>
        </w:rPr>
        <w:t>. The table below</w:t>
      </w:r>
      <w:r w:rsidRPr="00C12294">
        <w:rPr>
          <w:rFonts w:asciiTheme="majorHAnsi" w:hAnsiTheme="majorHAnsi" w:cstheme="majorHAnsi"/>
          <w:color w:val="000000"/>
          <w:sz w:val="22"/>
          <w:lang w:val="en-US" w:eastAsia="zh-CN"/>
        </w:rPr>
        <w:t xml:space="preserve"> shows the triggered Principles and Standards and the applicable requirements to comply with each of them.</w:t>
      </w:r>
    </w:p>
    <w:p w14:paraId="5E730EE3" w14:textId="19F013BB" w:rsidR="00BC61F7" w:rsidRPr="00C12294" w:rsidRDefault="00BC61F7" w:rsidP="00BC61F7">
      <w:pPr>
        <w:rPr>
          <w:rFonts w:cstheme="minorHAnsi"/>
          <w:color w:val="000000"/>
          <w:sz w:val="22"/>
          <w:lang w:val="en-US" w:eastAsia="zh-CN"/>
        </w:rPr>
      </w:pPr>
    </w:p>
    <w:p w14:paraId="2A31A4E8" w14:textId="6EAAAC4A" w:rsidR="00841E77" w:rsidRDefault="00841E77" w:rsidP="00BC61F7">
      <w:pPr>
        <w:rPr>
          <w:rFonts w:cstheme="minorHAnsi"/>
          <w:b/>
          <w:bCs/>
          <w:color w:val="000000"/>
          <w:szCs w:val="20"/>
          <w:lang w:val="en-US" w:eastAsia="zh-CN"/>
        </w:rPr>
      </w:pPr>
      <w:r>
        <w:rPr>
          <w:rFonts w:cstheme="minorHAnsi"/>
          <w:b/>
          <w:bCs/>
          <w:color w:val="000000"/>
          <w:szCs w:val="20"/>
          <w:lang w:val="en-US" w:eastAsia="zh-CN"/>
        </w:rPr>
        <w:t>Table</w:t>
      </w:r>
      <w:r w:rsidR="003373F3">
        <w:rPr>
          <w:rFonts w:cstheme="minorHAnsi"/>
          <w:b/>
          <w:bCs/>
          <w:color w:val="000000"/>
          <w:szCs w:val="20"/>
          <w:lang w:val="en-US" w:eastAsia="zh-CN"/>
        </w:rPr>
        <w:t xml:space="preserve"> 4 Overview of UNDP SES requirements </w:t>
      </w:r>
    </w:p>
    <w:p w14:paraId="223BAE9C" w14:textId="77777777" w:rsidR="003373F3" w:rsidRPr="00841E77" w:rsidRDefault="003373F3" w:rsidP="00BC61F7">
      <w:pPr>
        <w:rPr>
          <w:rFonts w:cstheme="minorHAnsi"/>
          <w:b/>
          <w:bCs/>
          <w:color w:val="000000"/>
          <w:szCs w:val="20"/>
          <w:lang w:val="en-US" w:eastAsia="zh-CN"/>
        </w:rPr>
      </w:pPr>
    </w:p>
    <w:tbl>
      <w:tblPr>
        <w:tblStyle w:val="TableGrid"/>
        <w:tblW w:w="9228" w:type="dxa"/>
        <w:tblInd w:w="-152" w:type="dxa"/>
        <w:tblLook w:val="04A0" w:firstRow="1" w:lastRow="0" w:firstColumn="1" w:lastColumn="0" w:noHBand="0" w:noVBand="1"/>
      </w:tblPr>
      <w:tblGrid>
        <w:gridCol w:w="1428"/>
        <w:gridCol w:w="7800"/>
      </w:tblGrid>
      <w:tr w:rsidR="00BC61F7" w:rsidRPr="00F92C49" w14:paraId="4496911F" w14:textId="77777777" w:rsidTr="00776642">
        <w:trPr>
          <w:trHeight w:val="70"/>
          <w:tblHeader/>
        </w:trPr>
        <w:tc>
          <w:tcPr>
            <w:tcW w:w="1428" w:type="dxa"/>
            <w:tcBorders>
              <w:top w:val="single" w:sz="4" w:space="0" w:color="auto"/>
            </w:tcBorders>
            <w:shd w:val="clear" w:color="auto" w:fill="BFBFBF" w:themeFill="background1" w:themeFillShade="BF"/>
          </w:tcPr>
          <w:p w14:paraId="7C33F659" w14:textId="77777777" w:rsidR="00BC61F7" w:rsidRPr="00605C07" w:rsidRDefault="00BC61F7" w:rsidP="00776642">
            <w:pPr>
              <w:autoSpaceDE w:val="0"/>
              <w:autoSpaceDN w:val="0"/>
              <w:adjustRightInd w:val="0"/>
              <w:jc w:val="center"/>
              <w:rPr>
                <w:rFonts w:cstheme="minorHAnsi"/>
                <w:b/>
                <w:bCs/>
                <w:szCs w:val="20"/>
                <w:lang w:eastAsia="zh-CN"/>
              </w:rPr>
            </w:pPr>
            <w:r w:rsidRPr="00605C07">
              <w:rPr>
                <w:rFonts w:cstheme="minorHAnsi"/>
                <w:b/>
                <w:bCs/>
                <w:szCs w:val="20"/>
                <w:lang w:eastAsia="zh-CN"/>
              </w:rPr>
              <w:t xml:space="preserve">UNDP </w:t>
            </w:r>
            <w:r>
              <w:rPr>
                <w:rFonts w:cstheme="minorHAnsi"/>
                <w:b/>
                <w:bCs/>
                <w:szCs w:val="20"/>
                <w:lang w:eastAsia="zh-CN"/>
              </w:rPr>
              <w:t>SES</w:t>
            </w:r>
          </w:p>
        </w:tc>
        <w:tc>
          <w:tcPr>
            <w:tcW w:w="7800" w:type="dxa"/>
            <w:tcBorders>
              <w:top w:val="single" w:sz="4" w:space="0" w:color="auto"/>
            </w:tcBorders>
            <w:shd w:val="clear" w:color="auto" w:fill="BFBFBF" w:themeFill="background1" w:themeFillShade="BF"/>
          </w:tcPr>
          <w:p w14:paraId="707E9E94" w14:textId="77777777" w:rsidR="00BC61F7" w:rsidRPr="00F92C49" w:rsidRDefault="00BC61F7" w:rsidP="00776642">
            <w:pPr>
              <w:autoSpaceDE w:val="0"/>
              <w:autoSpaceDN w:val="0"/>
              <w:adjustRightInd w:val="0"/>
              <w:jc w:val="center"/>
              <w:rPr>
                <w:rFonts w:cstheme="minorHAnsi"/>
                <w:szCs w:val="20"/>
                <w:lang w:eastAsia="zh-CN"/>
              </w:rPr>
            </w:pPr>
            <w:r>
              <w:rPr>
                <w:rFonts w:cstheme="minorHAnsi"/>
                <w:b/>
                <w:bCs/>
                <w:szCs w:val="20"/>
                <w:lang w:eastAsia="zh-CN"/>
              </w:rPr>
              <w:t>Requirements triggered by the 2021 UNDP SES that apply to the Project</w:t>
            </w:r>
          </w:p>
        </w:tc>
      </w:tr>
      <w:tr w:rsidR="00BC61F7" w:rsidRPr="00D10215" w14:paraId="3AE3FA9E" w14:textId="77777777" w:rsidTr="00776642">
        <w:trPr>
          <w:trHeight w:val="191"/>
        </w:trPr>
        <w:tc>
          <w:tcPr>
            <w:tcW w:w="9228" w:type="dxa"/>
            <w:gridSpan w:val="2"/>
            <w:shd w:val="clear" w:color="auto" w:fill="EEECE1" w:themeFill="background2"/>
          </w:tcPr>
          <w:p w14:paraId="5F4A27C1" w14:textId="5D6A3F83" w:rsidR="00BC61F7" w:rsidRPr="00E92271" w:rsidRDefault="00BC61F7" w:rsidP="00E92271">
            <w:pPr>
              <w:pStyle w:val="Default"/>
              <w:jc w:val="center"/>
              <w:rPr>
                <w:rFonts w:asciiTheme="minorHAnsi" w:hAnsiTheme="minorHAnsi" w:cstheme="minorHAnsi"/>
                <w:b/>
                <w:bCs/>
                <w:sz w:val="20"/>
                <w:szCs w:val="20"/>
                <w:lang w:eastAsia="zh-CN"/>
              </w:rPr>
            </w:pPr>
            <w:r w:rsidRPr="00E92271">
              <w:rPr>
                <w:rFonts w:asciiTheme="minorHAnsi" w:hAnsiTheme="minorHAnsi" w:cstheme="minorHAnsi"/>
                <w:b/>
                <w:bCs/>
                <w:sz w:val="20"/>
                <w:szCs w:val="20"/>
                <w:lang w:eastAsia="zh-CN"/>
              </w:rPr>
              <w:t>Overarching Policy and Principles</w:t>
            </w:r>
          </w:p>
        </w:tc>
      </w:tr>
      <w:tr w:rsidR="00BC61F7" w:rsidRPr="003F79D1" w14:paraId="325B0DE4" w14:textId="77777777" w:rsidTr="00776642">
        <w:trPr>
          <w:trHeight w:val="1888"/>
        </w:trPr>
        <w:tc>
          <w:tcPr>
            <w:tcW w:w="1428" w:type="dxa"/>
          </w:tcPr>
          <w:p w14:paraId="571261A1" w14:textId="77777777" w:rsidR="00BC61F7" w:rsidRPr="008E2330" w:rsidRDefault="00BC61F7" w:rsidP="00776642">
            <w:pPr>
              <w:autoSpaceDE w:val="0"/>
              <w:autoSpaceDN w:val="0"/>
              <w:adjustRightInd w:val="0"/>
              <w:rPr>
                <w:rFonts w:cstheme="minorHAnsi"/>
                <w:color w:val="000000"/>
                <w:sz w:val="18"/>
                <w:szCs w:val="18"/>
                <w:lang w:eastAsia="zh-CN"/>
              </w:rPr>
            </w:pPr>
            <w:r>
              <w:rPr>
                <w:rFonts w:cstheme="minorHAnsi"/>
                <w:color w:val="000000"/>
                <w:sz w:val="18"/>
                <w:szCs w:val="18"/>
                <w:lang w:eastAsia="zh-CN"/>
              </w:rPr>
              <w:t>Principle</w:t>
            </w:r>
            <w:r w:rsidRPr="008E2330">
              <w:rPr>
                <w:rFonts w:cstheme="minorHAnsi"/>
                <w:color w:val="000000"/>
                <w:sz w:val="18"/>
                <w:szCs w:val="18"/>
                <w:lang w:eastAsia="zh-CN"/>
              </w:rPr>
              <w:t>: Human Rights</w:t>
            </w:r>
          </w:p>
          <w:p w14:paraId="77383C58" w14:textId="77777777" w:rsidR="00BC61F7" w:rsidRPr="008E2330" w:rsidRDefault="00BC61F7" w:rsidP="00776642">
            <w:pPr>
              <w:autoSpaceDE w:val="0"/>
              <w:autoSpaceDN w:val="0"/>
              <w:adjustRightInd w:val="0"/>
              <w:rPr>
                <w:rFonts w:cstheme="minorHAnsi"/>
                <w:sz w:val="18"/>
                <w:szCs w:val="18"/>
                <w:lang w:eastAsia="zh-CN"/>
              </w:rPr>
            </w:pPr>
          </w:p>
        </w:tc>
        <w:tc>
          <w:tcPr>
            <w:tcW w:w="7800" w:type="dxa"/>
          </w:tcPr>
          <w:p w14:paraId="436FFA86"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Compliance with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w:t>
            </w:r>
          </w:p>
          <w:p w14:paraId="39EAB894"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Ensuring the meaningful, effective and informed participation of stakeholders on the Project formulation, implementation, monitoring and evaluation.</w:t>
            </w:r>
          </w:p>
          <w:p w14:paraId="7CB7CDB2" w14:textId="77777777" w:rsidR="00BC61F7" w:rsidRPr="003F79D1" w:rsidRDefault="00BC61F7" w:rsidP="009560B6">
            <w:pPr>
              <w:pStyle w:val="ListNumber2"/>
              <w:numPr>
                <w:ilvl w:val="0"/>
                <w:numId w:val="7"/>
              </w:numPr>
              <w:rPr>
                <w:rFonts w:cstheme="minorHAnsi"/>
                <w:sz w:val="18"/>
                <w:szCs w:val="18"/>
                <w:lang w:eastAsia="zh-CN"/>
              </w:rPr>
            </w:pPr>
            <w:r w:rsidRPr="008E2330">
              <w:rPr>
                <w:rFonts w:cstheme="minorHAnsi"/>
                <w:color w:val="000000"/>
                <w:sz w:val="18"/>
                <w:szCs w:val="18"/>
                <w:lang w:eastAsia="zh-CN"/>
              </w:rPr>
              <w:t>Monitoring compliance with UNDP Human Rights policies.</w:t>
            </w:r>
          </w:p>
        </w:tc>
      </w:tr>
      <w:tr w:rsidR="00BC61F7" w:rsidRPr="008E2330" w14:paraId="1DC2EFBE" w14:textId="77777777" w:rsidTr="00776642">
        <w:trPr>
          <w:trHeight w:val="2539"/>
        </w:trPr>
        <w:tc>
          <w:tcPr>
            <w:tcW w:w="1428" w:type="dxa"/>
          </w:tcPr>
          <w:p w14:paraId="6A30B0C7" w14:textId="77777777" w:rsidR="00BC61F7" w:rsidRPr="008E2330" w:rsidRDefault="00BC61F7" w:rsidP="00776642">
            <w:pPr>
              <w:autoSpaceDE w:val="0"/>
              <w:autoSpaceDN w:val="0"/>
              <w:adjustRightInd w:val="0"/>
              <w:rPr>
                <w:rFonts w:cstheme="minorHAnsi"/>
                <w:color w:val="000000"/>
                <w:sz w:val="18"/>
                <w:szCs w:val="18"/>
                <w:lang w:eastAsia="zh-CN"/>
              </w:rPr>
            </w:pPr>
            <w:r>
              <w:rPr>
                <w:rFonts w:cstheme="minorHAnsi"/>
                <w:color w:val="000000"/>
                <w:sz w:val="18"/>
                <w:szCs w:val="18"/>
                <w:lang w:eastAsia="zh-CN"/>
              </w:rPr>
              <w:t>Principle</w:t>
            </w:r>
            <w:r w:rsidRPr="008E2330">
              <w:rPr>
                <w:rFonts w:cstheme="minorHAnsi"/>
                <w:color w:val="000000"/>
                <w:sz w:val="18"/>
                <w:szCs w:val="18"/>
                <w:lang w:eastAsia="zh-CN"/>
              </w:rPr>
              <w:t xml:space="preserve">: Gender Equality and Women’s Empowerment </w:t>
            </w:r>
          </w:p>
          <w:p w14:paraId="68FAB109" w14:textId="77777777" w:rsidR="00BC61F7" w:rsidRPr="008E2330" w:rsidRDefault="00BC61F7" w:rsidP="00776642">
            <w:pPr>
              <w:autoSpaceDE w:val="0"/>
              <w:autoSpaceDN w:val="0"/>
              <w:adjustRightInd w:val="0"/>
              <w:rPr>
                <w:rFonts w:cstheme="minorHAnsi"/>
                <w:sz w:val="18"/>
                <w:szCs w:val="18"/>
                <w:lang w:eastAsia="zh-CN"/>
              </w:rPr>
            </w:pPr>
          </w:p>
        </w:tc>
        <w:tc>
          <w:tcPr>
            <w:tcW w:w="7800" w:type="dxa"/>
          </w:tcPr>
          <w:p w14:paraId="746691F0"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Promotion of gender equality and the empowerment of women, including advocating for women’s and girls’ human rights, combating discriminatory practices, and challenging the roles and stereotypes that create inequalities and exclusion, as applicable.</w:t>
            </w:r>
          </w:p>
          <w:p w14:paraId="1DF9A511"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Identification and integration of the different needs, constraints, contributions and priorities of women, men, girls and boys into the project.</w:t>
            </w:r>
          </w:p>
          <w:p w14:paraId="0D3E40D7"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Establish efforts to reduce gender inequalities in access to and control over resources and the benefits of development. </w:t>
            </w:r>
          </w:p>
          <w:p w14:paraId="284A2C68"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lastRenderedPageBreak/>
              <w:t>Ensuring that both women and men are able to participate meaningfully and equitably, have equitable access to the Project resources, and receive comparable social and economic benefits.</w:t>
            </w:r>
          </w:p>
          <w:p w14:paraId="646F52A8" w14:textId="64218C5A" w:rsidR="00BC61F7" w:rsidRPr="00E92271" w:rsidRDefault="00BC61F7" w:rsidP="009560B6">
            <w:pPr>
              <w:pStyle w:val="ListNumber2"/>
              <w:numPr>
                <w:ilvl w:val="0"/>
                <w:numId w:val="7"/>
              </w:numPr>
              <w:rPr>
                <w:rFonts w:cstheme="minorHAnsi"/>
                <w:sz w:val="18"/>
                <w:szCs w:val="18"/>
                <w:lang w:eastAsia="zh-CN"/>
              </w:rPr>
            </w:pPr>
            <w:r w:rsidRPr="008E2330">
              <w:rPr>
                <w:rFonts w:cstheme="minorHAnsi"/>
                <w:color w:val="000000"/>
                <w:sz w:val="18"/>
                <w:szCs w:val="18"/>
                <w:lang w:eastAsia="zh-CN"/>
              </w:rPr>
              <w:t>No discrimination against women or girls or reinforcement of gender-based discrimination and/or inequalities.</w:t>
            </w:r>
          </w:p>
        </w:tc>
      </w:tr>
      <w:tr w:rsidR="00BC61F7" w:rsidRPr="008E2330" w14:paraId="5D202CC2" w14:textId="77777777" w:rsidTr="00776642">
        <w:trPr>
          <w:trHeight w:val="1272"/>
        </w:trPr>
        <w:tc>
          <w:tcPr>
            <w:tcW w:w="1428" w:type="dxa"/>
          </w:tcPr>
          <w:p w14:paraId="5A741766" w14:textId="77777777" w:rsidR="00BC61F7" w:rsidRPr="008E2330" w:rsidRDefault="00BC61F7" w:rsidP="00776642">
            <w:pPr>
              <w:autoSpaceDE w:val="0"/>
              <w:autoSpaceDN w:val="0"/>
              <w:adjustRightInd w:val="0"/>
              <w:rPr>
                <w:rFonts w:cstheme="minorHAnsi"/>
                <w:color w:val="000000"/>
                <w:sz w:val="18"/>
                <w:szCs w:val="18"/>
                <w:lang w:eastAsia="zh-CN"/>
              </w:rPr>
            </w:pPr>
            <w:r>
              <w:rPr>
                <w:rFonts w:cstheme="minorHAnsi"/>
                <w:color w:val="000000"/>
                <w:sz w:val="18"/>
                <w:szCs w:val="18"/>
                <w:lang w:eastAsia="zh-CN"/>
              </w:rPr>
              <w:lastRenderedPageBreak/>
              <w:t>Principle</w:t>
            </w:r>
            <w:r w:rsidRPr="008E2330">
              <w:rPr>
                <w:rFonts w:cstheme="minorHAnsi"/>
                <w:color w:val="000000"/>
                <w:sz w:val="18"/>
                <w:szCs w:val="18"/>
                <w:lang w:eastAsia="zh-CN"/>
              </w:rPr>
              <w:t xml:space="preserve">: </w:t>
            </w:r>
            <w:r>
              <w:rPr>
                <w:rFonts w:cstheme="minorHAnsi"/>
                <w:color w:val="000000"/>
                <w:sz w:val="18"/>
                <w:szCs w:val="18"/>
                <w:lang w:eastAsia="zh-CN"/>
              </w:rPr>
              <w:t>Accountability</w:t>
            </w:r>
          </w:p>
          <w:p w14:paraId="32B299EB" w14:textId="77777777" w:rsidR="00BC61F7" w:rsidRPr="008E2330" w:rsidRDefault="00BC61F7" w:rsidP="00776642">
            <w:pPr>
              <w:autoSpaceDE w:val="0"/>
              <w:autoSpaceDN w:val="0"/>
              <w:adjustRightInd w:val="0"/>
              <w:rPr>
                <w:rFonts w:cstheme="minorHAnsi"/>
                <w:color w:val="000000"/>
                <w:sz w:val="18"/>
                <w:szCs w:val="18"/>
                <w:lang w:eastAsia="zh-CN"/>
              </w:rPr>
            </w:pPr>
          </w:p>
        </w:tc>
        <w:tc>
          <w:tcPr>
            <w:tcW w:w="7800" w:type="dxa"/>
          </w:tcPr>
          <w:p w14:paraId="08C79B80" w14:textId="77777777" w:rsidR="00BC61F7" w:rsidRPr="00567CF1" w:rsidRDefault="00BC61F7" w:rsidP="009560B6">
            <w:pPr>
              <w:pStyle w:val="ListNumber2"/>
              <w:numPr>
                <w:ilvl w:val="0"/>
                <w:numId w:val="7"/>
              </w:numPr>
              <w:rPr>
                <w:rStyle w:val="ms-rtethemefontface-1"/>
                <w:rFonts w:cstheme="minorHAnsi"/>
                <w:color w:val="000000"/>
                <w:sz w:val="18"/>
                <w:szCs w:val="18"/>
                <w:lang w:eastAsia="zh-CN"/>
              </w:rPr>
            </w:pPr>
            <w:r w:rsidRPr="00567CF1">
              <w:rPr>
                <w:rStyle w:val="ms-rtethemefontface-1"/>
                <w:sz w:val="18"/>
                <w:szCs w:val="18"/>
              </w:rPr>
              <w:t xml:space="preserve">Enabling active local community engagement and participation in decision-making, particularly those at risk of being left behind; </w:t>
            </w:r>
          </w:p>
          <w:p w14:paraId="6CA529C8" w14:textId="77777777" w:rsidR="00BC61F7" w:rsidRPr="00567CF1" w:rsidRDefault="00BC61F7" w:rsidP="009560B6">
            <w:pPr>
              <w:pStyle w:val="ListNumber2"/>
              <w:numPr>
                <w:ilvl w:val="0"/>
                <w:numId w:val="7"/>
              </w:numPr>
              <w:rPr>
                <w:rStyle w:val="ms-rtethemefontface-1"/>
                <w:rFonts w:cstheme="minorHAnsi"/>
                <w:color w:val="000000"/>
                <w:sz w:val="18"/>
                <w:szCs w:val="18"/>
                <w:lang w:eastAsia="zh-CN"/>
              </w:rPr>
            </w:pPr>
            <w:r w:rsidRPr="00567CF1">
              <w:rPr>
                <w:rStyle w:val="ms-rtethemefontface-1"/>
                <w:sz w:val="18"/>
                <w:szCs w:val="18"/>
              </w:rPr>
              <w:t>Ensuring transparency of programming interventions through provision of timely, accessible and functional information regarding supported activities, including on potential environmental and social risks and impacts and management measures; </w:t>
            </w:r>
          </w:p>
          <w:p w14:paraId="1740C4E9" w14:textId="77777777" w:rsidR="00BC61F7" w:rsidRPr="00567CF1" w:rsidRDefault="00BC61F7" w:rsidP="009560B6">
            <w:pPr>
              <w:pStyle w:val="ListNumber2"/>
              <w:numPr>
                <w:ilvl w:val="0"/>
                <w:numId w:val="7"/>
              </w:numPr>
              <w:rPr>
                <w:rStyle w:val="ms-rtethemefontface-1"/>
                <w:rFonts w:cstheme="minorHAnsi"/>
                <w:color w:val="000000"/>
                <w:sz w:val="18"/>
                <w:szCs w:val="18"/>
                <w:lang w:eastAsia="zh-CN"/>
              </w:rPr>
            </w:pPr>
            <w:r w:rsidRPr="00567CF1">
              <w:rPr>
                <w:rStyle w:val="ms-rtethemefontface-1"/>
                <w:sz w:val="18"/>
                <w:szCs w:val="18"/>
              </w:rPr>
              <w:t xml:space="preserve">Ensuring stakeholders can communicate their concerns and have access to rights-compatible complaints redress processes and mechanisms; and </w:t>
            </w:r>
          </w:p>
          <w:p w14:paraId="2ACEDDD0" w14:textId="77777777" w:rsidR="00BC61F7" w:rsidRPr="008E2330" w:rsidRDefault="00BC61F7" w:rsidP="009560B6">
            <w:pPr>
              <w:pStyle w:val="ListNumber2"/>
              <w:numPr>
                <w:ilvl w:val="0"/>
                <w:numId w:val="7"/>
              </w:numPr>
              <w:rPr>
                <w:rFonts w:cstheme="minorHAnsi"/>
                <w:color w:val="000000"/>
                <w:sz w:val="18"/>
                <w:szCs w:val="18"/>
                <w:lang w:eastAsia="zh-CN"/>
              </w:rPr>
            </w:pPr>
            <w:r w:rsidRPr="00567CF1">
              <w:rPr>
                <w:rStyle w:val="ms-rtethemefontface-1"/>
                <w:sz w:val="18"/>
                <w:szCs w:val="18"/>
              </w:rPr>
              <w:t xml:space="preserve"> Ensuring effective monitoring—and where appropriate, participatory monitoring with stakeholders—and reporting on implementation of social and environmental risk management measures.</w:t>
            </w:r>
          </w:p>
        </w:tc>
      </w:tr>
      <w:tr w:rsidR="00BC61F7" w:rsidRPr="008E2330" w14:paraId="666D6DD6" w14:textId="77777777" w:rsidTr="00776642">
        <w:trPr>
          <w:trHeight w:val="20"/>
        </w:trPr>
        <w:tc>
          <w:tcPr>
            <w:tcW w:w="9228" w:type="dxa"/>
            <w:gridSpan w:val="2"/>
            <w:shd w:val="clear" w:color="auto" w:fill="EEECE1" w:themeFill="background2"/>
          </w:tcPr>
          <w:p w14:paraId="3661F128" w14:textId="77777777" w:rsidR="00BC61F7" w:rsidRPr="00E92271" w:rsidRDefault="00BC61F7" w:rsidP="00E92271">
            <w:pPr>
              <w:autoSpaceDE w:val="0"/>
              <w:autoSpaceDN w:val="0"/>
              <w:adjustRightInd w:val="0"/>
              <w:jc w:val="center"/>
              <w:rPr>
                <w:rFonts w:cstheme="minorHAnsi"/>
                <w:b/>
                <w:bCs/>
                <w:color w:val="000000"/>
                <w:sz w:val="18"/>
                <w:szCs w:val="18"/>
                <w:lang w:eastAsia="zh-CN"/>
              </w:rPr>
            </w:pPr>
            <w:r w:rsidRPr="00E92271">
              <w:rPr>
                <w:rFonts w:cstheme="minorHAnsi"/>
                <w:b/>
                <w:bCs/>
                <w:color w:val="000000"/>
                <w:sz w:val="18"/>
                <w:szCs w:val="18"/>
                <w:lang w:eastAsia="zh-CN"/>
              </w:rPr>
              <w:t>Project-level Standards</w:t>
            </w:r>
          </w:p>
        </w:tc>
      </w:tr>
      <w:tr w:rsidR="00BC61F7" w:rsidRPr="008E2330" w14:paraId="4D753CA3" w14:textId="77777777" w:rsidTr="00776642">
        <w:trPr>
          <w:trHeight w:val="699"/>
        </w:trPr>
        <w:tc>
          <w:tcPr>
            <w:tcW w:w="1428" w:type="dxa"/>
          </w:tcPr>
          <w:p w14:paraId="0F1B9093" w14:textId="77777777" w:rsidR="00BC61F7" w:rsidRPr="008E2330" w:rsidRDefault="00BC61F7" w:rsidP="00776642">
            <w:pPr>
              <w:rPr>
                <w:sz w:val="18"/>
                <w:szCs w:val="18"/>
                <w:lang w:eastAsia="zh-CN"/>
              </w:rPr>
            </w:pPr>
            <w:r w:rsidRPr="008E2330">
              <w:rPr>
                <w:sz w:val="18"/>
                <w:szCs w:val="18"/>
                <w:lang w:eastAsia="zh-CN"/>
              </w:rPr>
              <w:t>Standard 1: Biodiversity Conservation and Sustainable Natural Resource Management</w:t>
            </w:r>
          </w:p>
          <w:p w14:paraId="2F86051C" w14:textId="77777777" w:rsidR="00BC61F7" w:rsidRPr="008E2330" w:rsidRDefault="00BC61F7" w:rsidP="00776642">
            <w:pPr>
              <w:autoSpaceDE w:val="0"/>
              <w:autoSpaceDN w:val="0"/>
              <w:adjustRightInd w:val="0"/>
              <w:rPr>
                <w:rFonts w:cstheme="minorHAnsi"/>
                <w:color w:val="000000"/>
                <w:sz w:val="18"/>
                <w:szCs w:val="18"/>
                <w:lang w:eastAsia="zh-CN"/>
              </w:rPr>
            </w:pPr>
          </w:p>
        </w:tc>
        <w:tc>
          <w:tcPr>
            <w:tcW w:w="7800" w:type="dxa"/>
          </w:tcPr>
          <w:p w14:paraId="437ED55E"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Applying a precautionary approach to the use, development, and management of natural habitats, the ecosystem services of such habitats, and living natural resources.</w:t>
            </w:r>
          </w:p>
          <w:p w14:paraId="73CC5AF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Identifying and addressing direct and indirect impacts on natural resources, biodiversity and ecosystem services in the Project’s area of influence, considering: (</w:t>
            </w:r>
            <w:proofErr w:type="spellStart"/>
            <w:r w:rsidRPr="008E2330">
              <w:rPr>
                <w:rFonts w:cstheme="minorHAnsi"/>
                <w:color w:val="000000"/>
                <w:sz w:val="18"/>
                <w:szCs w:val="18"/>
                <w:lang w:eastAsia="zh-CN"/>
              </w:rPr>
              <w:t>i</w:t>
            </w:r>
            <w:proofErr w:type="spellEnd"/>
            <w:r w:rsidRPr="008E2330">
              <w:rPr>
                <w:rFonts w:cstheme="minorHAnsi"/>
                <w:color w:val="000000"/>
                <w:sz w:val="18"/>
                <w:szCs w:val="18"/>
                <w:lang w:eastAsia="zh-CN"/>
              </w:rPr>
              <w:t>) risks of habitat and species loss, degradation and fragmentation, invasive alien species, overexploitation, hydrological changes, nutrient loading, pollution, and (ii) differing values (e.g. social, cultural, economic) attached to biodiversity and ecosystem services by potentially affected communities.</w:t>
            </w:r>
          </w:p>
          <w:p w14:paraId="01CA1A6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Using experts to ensure that qualified professionals assist in conducting assessments and in designing and implementing mitigation and monitoring plans for Projects actions that may adversely affect natural habitats.</w:t>
            </w:r>
          </w:p>
          <w:p w14:paraId="4162F00D"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Ensuring that in areas of modified habitat measures are adopted to minimize further unwarranted conversion or degradation of the habitat and resident species populations, and identification of opportunities to enhance the habitat as part of the Project.</w:t>
            </w:r>
          </w:p>
          <w:p w14:paraId="0BA0036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Ensuring that Project activities have no adverse impacts on critical habitats. No Project activity will be implemented in areas of critical habitats, unless all of the following are demonstrated: (</w:t>
            </w:r>
            <w:proofErr w:type="spellStart"/>
            <w:r w:rsidRPr="008E2330">
              <w:rPr>
                <w:rFonts w:cstheme="minorHAnsi"/>
                <w:color w:val="000000"/>
                <w:sz w:val="18"/>
                <w:szCs w:val="18"/>
                <w:lang w:eastAsia="zh-CN"/>
              </w:rPr>
              <w:t>i</w:t>
            </w:r>
            <w:proofErr w:type="spellEnd"/>
            <w:r w:rsidRPr="008E2330">
              <w:rPr>
                <w:rFonts w:cstheme="minorHAnsi"/>
                <w:color w:val="000000"/>
                <w:sz w:val="18"/>
                <w:szCs w:val="18"/>
                <w:lang w:eastAsia="zh-CN"/>
              </w:rPr>
              <w:t>) there are no measurable adverse impacts on the criteria or biodiversity values for which the critical habitat was designated, and on the ecological processes supporting those biodiversity values (determined on an ecologically-relevant scale); (ii) there is no reduction of any recognized Endangered, Vulnerable or Critically Endangered species, (iii) any lesser impacts are mitigated, and (iv) a robust, appropriately designed, and long-term Biodiversity Action Plan is in place to achieve net gains of those biodiversity values for which the critical habitat was designated.</w:t>
            </w:r>
          </w:p>
          <w:p w14:paraId="14AE9D39"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lastRenderedPageBreak/>
              <w:t xml:space="preserve">Ensuring that under no circumstances will alien species known to be invasive be introduced into new environments and that no new alien species (i.e. species not currently established in the site of the Project) will be intentionally introduced unless it is subjected to a risk assessment to determine the potential for invasive behavior and carried out in accordance with the existing regulatory framework, if such a framework exists. </w:t>
            </w:r>
          </w:p>
          <w:p w14:paraId="09D2464A"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Regarding forests the Project activities have to: </w:t>
            </w:r>
            <w:proofErr w:type="spellStart"/>
            <w:r w:rsidRPr="008E2330">
              <w:rPr>
                <w:rFonts w:cstheme="minorHAnsi"/>
                <w:color w:val="000000"/>
                <w:sz w:val="18"/>
                <w:szCs w:val="18"/>
                <w:lang w:eastAsia="zh-CN"/>
              </w:rPr>
              <w:t>i</w:t>
            </w:r>
            <w:proofErr w:type="spellEnd"/>
            <w:r w:rsidRPr="008E2330">
              <w:rPr>
                <w:rFonts w:cstheme="minorHAnsi"/>
                <w:color w:val="000000"/>
                <w:sz w:val="18"/>
                <w:szCs w:val="18"/>
                <w:lang w:eastAsia="zh-CN"/>
              </w:rPr>
              <w:t>) be consistent with the conservation of natural forests and biological diversity, ensuring that they are not used for the conversion of natural forests; ii). incentivize the protection and conservation of natural forests and their ecosystem services, and enhance other social and environmental benefits; iii) enhance the sustainable management of forests, including the application of independent, credible certification for commercial, industrial-scale timber harvesting; iv) maintain or enhance biodiversity and ecosystem functionality in areas where forest restoration is undertaken; and/or v) ensuring that plantations are environmentally appropriate, socially beneficial and economically viable, and utilize native species wherever feasible.</w:t>
            </w:r>
          </w:p>
          <w:p w14:paraId="62DF294C"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Prioritization of small-scale community-level management approaches where they best reduce poverty in a sustainable manner.</w:t>
            </w:r>
          </w:p>
          <w:p w14:paraId="26402D17"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Promotion of an integrated water resources management approach that seeks the coordinated development and management of water, land and related resources in order to maximize the economic and social welfare in an equitable manner and without compromising the sustainability of ecosystems. </w:t>
            </w:r>
          </w:p>
          <w:p w14:paraId="070E9517"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Sustainable management of living natural resources safeguarding biodiversity and the life-supporting capacity of air, water, and soil ecosystems, and ensuring that people who are dependent on these resources are properly consulted, women and men have opportunities to equally participate in development, and benefits are shared equitably.</w:t>
            </w:r>
          </w:p>
          <w:p w14:paraId="557A3CA4"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Supporting the adoption of appropriate and culturally sensitive sustainable resource management practices.</w:t>
            </w:r>
          </w:p>
        </w:tc>
      </w:tr>
      <w:tr w:rsidR="00BC61F7" w:rsidRPr="008E2330" w14:paraId="0F0668EC" w14:textId="77777777" w:rsidTr="00776642">
        <w:trPr>
          <w:trHeight w:val="70"/>
        </w:trPr>
        <w:tc>
          <w:tcPr>
            <w:tcW w:w="1428" w:type="dxa"/>
          </w:tcPr>
          <w:p w14:paraId="25A429FC" w14:textId="77777777" w:rsidR="00BC61F7" w:rsidRPr="008E2330" w:rsidRDefault="00BC61F7" w:rsidP="00776642">
            <w:pPr>
              <w:rPr>
                <w:sz w:val="18"/>
                <w:szCs w:val="18"/>
                <w:lang w:eastAsia="zh-CN"/>
              </w:rPr>
            </w:pPr>
            <w:r w:rsidRPr="008E2330">
              <w:rPr>
                <w:rFonts w:cstheme="minorHAnsi"/>
                <w:color w:val="000000"/>
                <w:sz w:val="18"/>
                <w:szCs w:val="18"/>
                <w:lang w:eastAsia="zh-CN"/>
              </w:rPr>
              <w:lastRenderedPageBreak/>
              <w:t>Standard 2: Climate Change Mitigation and Adaptation</w:t>
            </w:r>
          </w:p>
        </w:tc>
        <w:tc>
          <w:tcPr>
            <w:tcW w:w="7800" w:type="dxa"/>
          </w:tcPr>
          <w:p w14:paraId="25EB6A30"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Assessing the viability or longer-term sustainability of Project outcomes due to potential climate change. This will involve the identification of components that are sensitive or vulnerable to emerging or anticipated manifestations of climate change.</w:t>
            </w:r>
          </w:p>
          <w:p w14:paraId="53556B68"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Assessing opportunities for (</w:t>
            </w:r>
            <w:proofErr w:type="spellStart"/>
            <w:r w:rsidRPr="008E2330">
              <w:rPr>
                <w:rFonts w:cstheme="minorHAnsi"/>
                <w:color w:val="000000"/>
                <w:sz w:val="18"/>
                <w:szCs w:val="18"/>
                <w:lang w:eastAsia="zh-CN"/>
              </w:rPr>
              <w:t>i</w:t>
            </w:r>
            <w:proofErr w:type="spellEnd"/>
            <w:r w:rsidRPr="008E2330">
              <w:rPr>
                <w:rFonts w:cstheme="minorHAnsi"/>
                <w:color w:val="000000"/>
                <w:sz w:val="18"/>
                <w:szCs w:val="18"/>
                <w:lang w:eastAsia="zh-CN"/>
              </w:rPr>
              <w:t>) facilitating adaptation via synergies with existing or planned activities, (ii) combining mitigation (e.g. reduction in GHG emissions) and adaptation measures, and (iii) exploiting potentially beneficial changes in climatic or environmental conditions to deliver developmental benefits.</w:t>
            </w:r>
          </w:p>
        </w:tc>
      </w:tr>
      <w:tr w:rsidR="00596D09" w:rsidRPr="008E2330" w14:paraId="42FFCBEC" w14:textId="77777777" w:rsidTr="00776642">
        <w:trPr>
          <w:trHeight w:val="70"/>
        </w:trPr>
        <w:tc>
          <w:tcPr>
            <w:tcW w:w="1428" w:type="dxa"/>
          </w:tcPr>
          <w:p w14:paraId="51B976EC" w14:textId="1BFCD575" w:rsidR="00596D09" w:rsidRPr="008E2330" w:rsidRDefault="00596D09" w:rsidP="00776642">
            <w:pPr>
              <w:rPr>
                <w:rFonts w:cstheme="minorHAnsi"/>
                <w:color w:val="000000"/>
                <w:sz w:val="18"/>
                <w:szCs w:val="18"/>
                <w:lang w:eastAsia="zh-CN"/>
              </w:rPr>
            </w:pPr>
            <w:r>
              <w:rPr>
                <w:rFonts w:cstheme="minorHAnsi"/>
                <w:color w:val="000000"/>
                <w:sz w:val="18"/>
                <w:szCs w:val="18"/>
                <w:lang w:eastAsia="zh-CN"/>
              </w:rPr>
              <w:t>Standard 3: Community Health</w:t>
            </w:r>
            <w:r w:rsidR="009E27C3">
              <w:rPr>
                <w:rFonts w:cstheme="minorHAnsi"/>
                <w:color w:val="000000"/>
                <w:sz w:val="18"/>
                <w:szCs w:val="18"/>
                <w:lang w:eastAsia="zh-CN"/>
              </w:rPr>
              <w:t>, Safety and Security</w:t>
            </w:r>
          </w:p>
        </w:tc>
        <w:tc>
          <w:tcPr>
            <w:tcW w:w="7800" w:type="dxa"/>
          </w:tcPr>
          <w:p w14:paraId="01762692" w14:textId="3F922B72" w:rsidR="00B14913" w:rsidRDefault="00B14913" w:rsidP="009560B6">
            <w:pPr>
              <w:pStyle w:val="ListNumber2"/>
              <w:numPr>
                <w:ilvl w:val="0"/>
                <w:numId w:val="7"/>
              </w:numPr>
              <w:rPr>
                <w:rFonts w:cstheme="minorHAnsi"/>
                <w:color w:val="000000"/>
                <w:sz w:val="18"/>
                <w:szCs w:val="18"/>
                <w:lang w:eastAsia="zh-CN"/>
              </w:rPr>
            </w:pPr>
            <w:r>
              <w:rPr>
                <w:rFonts w:cstheme="minorHAnsi"/>
                <w:color w:val="000000"/>
                <w:sz w:val="18"/>
                <w:szCs w:val="18"/>
                <w:lang w:eastAsia="zh-CN"/>
              </w:rPr>
              <w:t>Assessing the risks to the safety of affected communities during the design, construction, operation and decommissioning of projects</w:t>
            </w:r>
          </w:p>
          <w:p w14:paraId="50ED0E86" w14:textId="1D75F6C9" w:rsidR="00B14913" w:rsidRDefault="00B14913" w:rsidP="009560B6">
            <w:pPr>
              <w:pStyle w:val="ListNumber2"/>
              <w:numPr>
                <w:ilvl w:val="0"/>
                <w:numId w:val="7"/>
              </w:numPr>
              <w:rPr>
                <w:rFonts w:cstheme="minorHAnsi"/>
                <w:color w:val="000000"/>
                <w:sz w:val="18"/>
                <w:szCs w:val="18"/>
                <w:lang w:eastAsia="zh-CN"/>
              </w:rPr>
            </w:pPr>
            <w:r>
              <w:rPr>
                <w:rFonts w:cstheme="minorHAnsi"/>
                <w:color w:val="000000"/>
                <w:sz w:val="18"/>
                <w:szCs w:val="18"/>
                <w:lang w:eastAsia="zh-CN"/>
              </w:rPr>
              <w:t>Establishing preventative measures and plans to address risks in a manner commensurate with the identified risks and impacts. These measures will favour the prevention or avoidance of risks and impacts over their minimization and reduction</w:t>
            </w:r>
          </w:p>
          <w:p w14:paraId="518950CA" w14:textId="6AB266BA" w:rsidR="00334BDD" w:rsidRDefault="00334BDD" w:rsidP="009560B6">
            <w:pPr>
              <w:pStyle w:val="ListNumber2"/>
              <w:numPr>
                <w:ilvl w:val="0"/>
                <w:numId w:val="7"/>
              </w:numPr>
              <w:rPr>
                <w:rFonts w:cstheme="minorHAnsi"/>
                <w:color w:val="000000"/>
                <w:sz w:val="18"/>
                <w:szCs w:val="18"/>
                <w:lang w:eastAsia="zh-CN"/>
              </w:rPr>
            </w:pPr>
            <w:r>
              <w:rPr>
                <w:rFonts w:cstheme="minorHAnsi"/>
                <w:color w:val="000000"/>
                <w:sz w:val="18"/>
                <w:szCs w:val="18"/>
                <w:lang w:eastAsia="zh-CN"/>
              </w:rPr>
              <w:t>Structural elements and services are to be designed, constructed, operated and decommissioned in accordance with national legal requirements, good international practice, and any relevant international obligations and standards by competent professionals and certified or approved by competent authorities or professionals.</w:t>
            </w:r>
          </w:p>
          <w:p w14:paraId="53140B3C" w14:textId="6CF7AAC3" w:rsidR="00B14913" w:rsidRPr="00334BDD" w:rsidRDefault="00334BDD" w:rsidP="009560B6">
            <w:pPr>
              <w:pStyle w:val="ListNumber2"/>
              <w:numPr>
                <w:ilvl w:val="0"/>
                <w:numId w:val="7"/>
              </w:numPr>
              <w:rPr>
                <w:rFonts w:cstheme="minorHAnsi"/>
                <w:color w:val="000000"/>
                <w:sz w:val="18"/>
                <w:szCs w:val="18"/>
                <w:lang w:eastAsia="zh-CN"/>
              </w:rPr>
            </w:pPr>
            <w:r>
              <w:rPr>
                <w:rFonts w:cstheme="minorHAnsi"/>
                <w:color w:val="000000"/>
                <w:sz w:val="18"/>
                <w:szCs w:val="18"/>
                <w:lang w:eastAsia="zh-CN"/>
              </w:rPr>
              <w:lastRenderedPageBreak/>
              <w:t>Geological and geophysical hazards must be considered and appropriate risk assessments are to be undertaken where needed.</w:t>
            </w:r>
          </w:p>
        </w:tc>
      </w:tr>
      <w:tr w:rsidR="00BC61F7" w:rsidRPr="008E2330" w14:paraId="516CA85B" w14:textId="77777777" w:rsidTr="00776642">
        <w:trPr>
          <w:trHeight w:val="341"/>
        </w:trPr>
        <w:tc>
          <w:tcPr>
            <w:tcW w:w="1428" w:type="dxa"/>
          </w:tcPr>
          <w:p w14:paraId="03F3EE0B" w14:textId="77777777" w:rsidR="00BC61F7" w:rsidRPr="008E2330" w:rsidRDefault="00BC61F7" w:rsidP="00776642">
            <w:pPr>
              <w:autoSpaceDE w:val="0"/>
              <w:autoSpaceDN w:val="0"/>
              <w:adjustRightInd w:val="0"/>
              <w:rPr>
                <w:sz w:val="18"/>
                <w:szCs w:val="18"/>
                <w:lang w:eastAsia="zh-CN"/>
              </w:rPr>
            </w:pPr>
            <w:r w:rsidRPr="008E2330">
              <w:rPr>
                <w:rFonts w:cstheme="minorHAnsi"/>
                <w:color w:val="000000"/>
                <w:sz w:val="18"/>
                <w:szCs w:val="18"/>
                <w:lang w:eastAsia="zh-CN"/>
              </w:rPr>
              <w:lastRenderedPageBreak/>
              <w:t>Standard</w:t>
            </w:r>
            <w:r w:rsidRPr="008E2330">
              <w:rPr>
                <w:rFonts w:cstheme="minorHAnsi"/>
                <w:bCs/>
                <w:sz w:val="18"/>
                <w:szCs w:val="18"/>
                <w:lang w:eastAsia="zh-CN"/>
              </w:rPr>
              <w:t xml:space="preserve"> </w:t>
            </w:r>
            <w:r>
              <w:rPr>
                <w:rFonts w:cstheme="minorHAnsi"/>
                <w:bCs/>
                <w:sz w:val="18"/>
                <w:szCs w:val="18"/>
                <w:lang w:eastAsia="zh-CN"/>
              </w:rPr>
              <w:t>4</w:t>
            </w:r>
            <w:r w:rsidRPr="008E2330">
              <w:rPr>
                <w:rFonts w:cstheme="minorHAnsi"/>
                <w:bCs/>
                <w:sz w:val="18"/>
                <w:szCs w:val="18"/>
                <w:lang w:eastAsia="zh-CN"/>
              </w:rPr>
              <w:t xml:space="preserve">: </w:t>
            </w:r>
            <w:r>
              <w:rPr>
                <w:rFonts w:cstheme="minorHAnsi"/>
                <w:bCs/>
                <w:sz w:val="18"/>
                <w:szCs w:val="18"/>
                <w:lang w:eastAsia="zh-CN"/>
              </w:rPr>
              <w:t>Cultural Heritage</w:t>
            </w:r>
          </w:p>
          <w:p w14:paraId="3FFFDA56" w14:textId="77777777" w:rsidR="00BC61F7" w:rsidRPr="008E2330" w:rsidRDefault="00BC61F7" w:rsidP="00776642">
            <w:pPr>
              <w:rPr>
                <w:sz w:val="18"/>
                <w:szCs w:val="18"/>
                <w:lang w:eastAsia="zh-CN"/>
              </w:rPr>
            </w:pPr>
          </w:p>
        </w:tc>
        <w:tc>
          <w:tcPr>
            <w:tcW w:w="7800" w:type="dxa"/>
          </w:tcPr>
          <w:p w14:paraId="5567F3E0" w14:textId="77777777" w:rsidR="00BC61F7" w:rsidRPr="00667495" w:rsidRDefault="00BC61F7" w:rsidP="009560B6">
            <w:pPr>
              <w:pStyle w:val="ListNumber2"/>
              <w:numPr>
                <w:ilvl w:val="0"/>
                <w:numId w:val="7"/>
              </w:numPr>
              <w:rPr>
                <w:rStyle w:val="ms-rtethemeforecolor-4-5"/>
                <w:rFonts w:cstheme="minorHAnsi"/>
                <w:color w:val="000000"/>
                <w:sz w:val="18"/>
                <w:szCs w:val="18"/>
                <w:lang w:eastAsia="zh-CN"/>
              </w:rPr>
            </w:pPr>
            <w:r>
              <w:rPr>
                <w:rStyle w:val="ms-rtethemeforecolor-4-5"/>
                <w:sz w:val="18"/>
                <w:szCs w:val="18"/>
              </w:rPr>
              <w:t>A</w:t>
            </w:r>
            <w:r w:rsidRPr="00667495">
              <w:rPr>
                <w:rStyle w:val="ms-rtethemeforecolor-4-5"/>
                <w:sz w:val="18"/>
                <w:szCs w:val="18"/>
              </w:rPr>
              <w:t>void supporting activities that may lead to significant adverse impacts to Cultural Heritage</w:t>
            </w:r>
          </w:p>
          <w:p w14:paraId="1003C207" w14:textId="77777777" w:rsidR="00BC61F7" w:rsidRPr="00667495" w:rsidRDefault="00BC61F7" w:rsidP="009560B6">
            <w:pPr>
              <w:pStyle w:val="ListNumber2"/>
              <w:numPr>
                <w:ilvl w:val="0"/>
                <w:numId w:val="7"/>
              </w:numPr>
              <w:rPr>
                <w:rStyle w:val="ms-rtethemeforecolor-4-5"/>
                <w:rFonts w:cstheme="minorHAnsi"/>
                <w:color w:val="000000"/>
                <w:sz w:val="18"/>
                <w:szCs w:val="18"/>
                <w:lang w:eastAsia="zh-CN"/>
              </w:rPr>
            </w:pPr>
            <w:r w:rsidRPr="00667495">
              <w:rPr>
                <w:rStyle w:val="ms-rtethemeforecolor-4-5"/>
                <w:sz w:val="18"/>
                <w:szCs w:val="18"/>
              </w:rPr>
              <w:t>Where avoidance is not possible—ensuring that all viable and feasible alternatives have been explored—UNDP minimizes potential impacts per the mitigation hierarchy and adopts appropriate mitigation measures</w:t>
            </w:r>
          </w:p>
          <w:p w14:paraId="7B373E5C" w14:textId="77777777" w:rsidR="00BC61F7" w:rsidRPr="00667495" w:rsidRDefault="00BC61F7" w:rsidP="009560B6">
            <w:pPr>
              <w:pStyle w:val="ListNumber2"/>
              <w:numPr>
                <w:ilvl w:val="0"/>
                <w:numId w:val="7"/>
              </w:numPr>
              <w:rPr>
                <w:rStyle w:val="ms-rtethemeforecolor-4-5"/>
                <w:rFonts w:cstheme="minorHAnsi"/>
                <w:color w:val="000000"/>
                <w:sz w:val="18"/>
                <w:szCs w:val="18"/>
                <w:lang w:eastAsia="zh-CN"/>
              </w:rPr>
            </w:pPr>
            <w:r w:rsidRPr="00667495">
              <w:rPr>
                <w:rStyle w:val="ms-rtethemeforecolor-4-5"/>
                <w:sz w:val="18"/>
                <w:szCs w:val="18"/>
              </w:rPr>
              <w:t>Where potential adverse impacts may be significant, a Cultural Heritage Management Plan should be developed as part of the overall Environmental and Social Management Plan</w:t>
            </w:r>
          </w:p>
          <w:p w14:paraId="11605BFE" w14:textId="77777777" w:rsidR="00BC61F7" w:rsidRPr="00667495" w:rsidRDefault="00BC61F7" w:rsidP="009560B6">
            <w:pPr>
              <w:pStyle w:val="ListNumber2"/>
              <w:numPr>
                <w:ilvl w:val="0"/>
                <w:numId w:val="7"/>
              </w:numPr>
              <w:rPr>
                <w:rStyle w:val="ms-rtethemefontface-1"/>
                <w:rFonts w:cstheme="minorHAnsi"/>
                <w:color w:val="000000"/>
                <w:sz w:val="18"/>
                <w:szCs w:val="18"/>
                <w:lang w:eastAsia="zh-CN"/>
              </w:rPr>
            </w:pPr>
            <w:r>
              <w:rPr>
                <w:rStyle w:val="ms-rtethemefontface-1"/>
                <w:sz w:val="18"/>
                <w:szCs w:val="18"/>
              </w:rPr>
              <w:t>E</w:t>
            </w:r>
            <w:r w:rsidRPr="00667495">
              <w:rPr>
                <w:rStyle w:val="ms-rtethemefontface-1"/>
                <w:sz w:val="18"/>
                <w:szCs w:val="18"/>
              </w:rPr>
              <w:t>nsure that chance find procedures are included in all plans and contracts regarding project-related construction, including excavations, demolitions, movement of earth, flooding, or other changes in the physical environment</w:t>
            </w:r>
          </w:p>
          <w:p w14:paraId="38B5C975" w14:textId="77777777" w:rsidR="00BC61F7" w:rsidRPr="00667495" w:rsidRDefault="00BC61F7" w:rsidP="009560B6">
            <w:pPr>
              <w:pStyle w:val="ListNumber2"/>
              <w:numPr>
                <w:ilvl w:val="0"/>
                <w:numId w:val="7"/>
              </w:numPr>
              <w:rPr>
                <w:rStyle w:val="ms-rtethemefontface-1"/>
                <w:rFonts w:cstheme="minorHAnsi"/>
                <w:color w:val="000000"/>
                <w:sz w:val="18"/>
                <w:szCs w:val="18"/>
                <w:lang w:eastAsia="zh-CN"/>
              </w:rPr>
            </w:pPr>
            <w:r>
              <w:rPr>
                <w:rStyle w:val="ms-rtethemefontface-1"/>
                <w:sz w:val="18"/>
                <w:szCs w:val="18"/>
              </w:rPr>
              <w:t>W</w:t>
            </w:r>
            <w:r w:rsidRPr="00667495">
              <w:rPr>
                <w:rStyle w:val="ms-rtethemefontface-1"/>
                <w:sz w:val="18"/>
                <w:szCs w:val="18"/>
              </w:rPr>
              <w:t>ith potential adverse impacts, qualified and experienced Cultural Heritage experts and relevant stakeholders assist in the identification, documentation and</w:t>
            </w:r>
          </w:p>
          <w:p w14:paraId="30FE7176" w14:textId="77777777" w:rsidR="00BC61F7" w:rsidRPr="00667495" w:rsidRDefault="00BC61F7" w:rsidP="009560B6">
            <w:pPr>
              <w:pStyle w:val="ListNumber2"/>
              <w:numPr>
                <w:ilvl w:val="0"/>
                <w:numId w:val="7"/>
              </w:numPr>
              <w:rPr>
                <w:rStyle w:val="ms-rtethemefontface-1"/>
                <w:rFonts w:cstheme="minorHAnsi"/>
                <w:color w:val="000000"/>
                <w:sz w:val="18"/>
                <w:szCs w:val="18"/>
                <w:lang w:eastAsia="zh-CN"/>
              </w:rPr>
            </w:pPr>
            <w:r>
              <w:rPr>
                <w:rStyle w:val="ms-rtethemefontface-1"/>
                <w:sz w:val="18"/>
                <w:szCs w:val="18"/>
              </w:rPr>
              <w:t>A</w:t>
            </w:r>
            <w:r w:rsidRPr="00667495">
              <w:rPr>
                <w:rStyle w:val="ms-rtethemefontface-1"/>
                <w:sz w:val="18"/>
                <w:szCs w:val="18"/>
              </w:rPr>
              <w:t>void restricting access to Cultural Heritage sites and to the instruments, objects, artefacts, cultural and natural spaces and places of memory necessary for expressing intangible Cultural Heritage</w:t>
            </w:r>
          </w:p>
          <w:p w14:paraId="2C537B2F" w14:textId="77777777" w:rsidR="00BC61F7" w:rsidRPr="00667495" w:rsidRDefault="00BC61F7" w:rsidP="009560B6">
            <w:pPr>
              <w:pStyle w:val="ListNumber2"/>
              <w:numPr>
                <w:ilvl w:val="0"/>
                <w:numId w:val="7"/>
              </w:numPr>
              <w:rPr>
                <w:rStyle w:val="ms-rtethemefontface-1"/>
                <w:rFonts w:cstheme="minorHAnsi"/>
                <w:color w:val="000000"/>
                <w:sz w:val="18"/>
                <w:szCs w:val="18"/>
                <w:lang w:eastAsia="zh-CN"/>
              </w:rPr>
            </w:pPr>
            <w:r>
              <w:rPr>
                <w:rStyle w:val="ms-rtethemefontface-1"/>
                <w:sz w:val="18"/>
                <w:szCs w:val="18"/>
              </w:rPr>
              <w:t>D</w:t>
            </w:r>
            <w:r w:rsidRPr="00667495">
              <w:rPr>
                <w:rStyle w:val="ms-rtethemefontface-1"/>
                <w:sz w:val="18"/>
                <w:szCs w:val="18"/>
              </w:rPr>
              <w:t>etermine whether disclosure of information regarding Cultural Heritage would compromise or jeopardize its safety or integrity or endanger sources of information</w:t>
            </w:r>
          </w:p>
          <w:p w14:paraId="19A98036" w14:textId="77777777" w:rsidR="00BC61F7" w:rsidRPr="00667495" w:rsidRDefault="00BC61F7" w:rsidP="009560B6">
            <w:pPr>
              <w:pStyle w:val="ListNumber2"/>
              <w:numPr>
                <w:ilvl w:val="0"/>
                <w:numId w:val="7"/>
              </w:numPr>
              <w:rPr>
                <w:rStyle w:val="ms-rtethemefontface-1"/>
                <w:rFonts w:cstheme="minorHAnsi"/>
                <w:color w:val="000000"/>
                <w:sz w:val="18"/>
                <w:szCs w:val="18"/>
                <w:lang w:eastAsia="zh-CN"/>
              </w:rPr>
            </w:pPr>
            <w:r>
              <w:rPr>
                <w:rStyle w:val="ms-rtethemefontface-1"/>
                <w:sz w:val="18"/>
                <w:szCs w:val="18"/>
              </w:rPr>
              <w:t>E</w:t>
            </w:r>
            <w:r w:rsidRPr="00667495">
              <w:rPr>
                <w:rStyle w:val="ms-rtethemefontface-1"/>
                <w:sz w:val="18"/>
                <w:szCs w:val="18"/>
              </w:rPr>
              <w:t>ngage in meaningful consultations and inform affected communities of their rights under Applicable Law, the scope and nature of the proposed development, and the potential consequences of such integration and utilization.</w:t>
            </w:r>
          </w:p>
          <w:p w14:paraId="16A84BB2" w14:textId="77777777" w:rsidR="00BC61F7" w:rsidRPr="008E2330" w:rsidRDefault="00BC61F7" w:rsidP="009560B6">
            <w:pPr>
              <w:pStyle w:val="ListNumber2"/>
              <w:numPr>
                <w:ilvl w:val="0"/>
                <w:numId w:val="7"/>
              </w:numPr>
              <w:rPr>
                <w:rFonts w:cstheme="minorHAnsi"/>
                <w:color w:val="000000"/>
                <w:sz w:val="18"/>
                <w:szCs w:val="18"/>
                <w:lang w:eastAsia="zh-CN"/>
              </w:rPr>
            </w:pPr>
            <w:r>
              <w:rPr>
                <w:rStyle w:val="ms-rtethemefontface-1"/>
                <w:sz w:val="18"/>
                <w:szCs w:val="18"/>
              </w:rPr>
              <w:t>E</w:t>
            </w:r>
            <w:r w:rsidRPr="00667495">
              <w:rPr>
                <w:rStyle w:val="ms-rtethemefontface-1"/>
                <w:sz w:val="18"/>
                <w:szCs w:val="18"/>
              </w:rPr>
              <w:t>nsure respect for the dynamic and living nature of intangible Cultural Heritage and the right of communities, groups and, where applicable, individuals to continue the practices, representations, expressions, knowledge and skills necessary to ensure the viability of their intangible Cultural Heritage.</w:t>
            </w:r>
          </w:p>
        </w:tc>
      </w:tr>
      <w:tr w:rsidR="00BC61F7" w:rsidRPr="008E2330" w14:paraId="5C92D3D6" w14:textId="77777777" w:rsidTr="00776642">
        <w:trPr>
          <w:trHeight w:val="1272"/>
        </w:trPr>
        <w:tc>
          <w:tcPr>
            <w:tcW w:w="1428" w:type="dxa"/>
          </w:tcPr>
          <w:p w14:paraId="508389D8" w14:textId="77777777" w:rsidR="00BC61F7" w:rsidRPr="008E2330" w:rsidRDefault="00BC61F7" w:rsidP="00776642">
            <w:pPr>
              <w:autoSpaceDE w:val="0"/>
              <w:autoSpaceDN w:val="0"/>
              <w:adjustRightInd w:val="0"/>
              <w:rPr>
                <w:rFonts w:cstheme="minorHAnsi"/>
                <w:color w:val="000000"/>
                <w:sz w:val="18"/>
                <w:szCs w:val="18"/>
                <w:lang w:eastAsia="zh-CN"/>
              </w:rPr>
            </w:pPr>
            <w:r w:rsidRPr="008E2330">
              <w:rPr>
                <w:rFonts w:cstheme="minorHAnsi"/>
                <w:color w:val="000000"/>
                <w:sz w:val="18"/>
                <w:szCs w:val="18"/>
                <w:lang w:eastAsia="zh-CN"/>
              </w:rPr>
              <w:t>Standard</w:t>
            </w:r>
            <w:r w:rsidRPr="008E2330">
              <w:rPr>
                <w:rFonts w:cstheme="minorHAnsi"/>
                <w:bCs/>
                <w:sz w:val="18"/>
                <w:szCs w:val="18"/>
                <w:lang w:eastAsia="zh-CN"/>
              </w:rPr>
              <w:t xml:space="preserve"> 5: Displacement and Resettlement  </w:t>
            </w:r>
          </w:p>
          <w:p w14:paraId="614BF4B0" w14:textId="77777777" w:rsidR="00BC61F7" w:rsidRPr="008E2330" w:rsidRDefault="00BC61F7" w:rsidP="00776642">
            <w:pPr>
              <w:rPr>
                <w:sz w:val="18"/>
                <w:szCs w:val="18"/>
                <w:lang w:eastAsia="zh-CN"/>
              </w:rPr>
            </w:pPr>
          </w:p>
        </w:tc>
        <w:tc>
          <w:tcPr>
            <w:tcW w:w="7800" w:type="dxa"/>
          </w:tcPr>
          <w:p w14:paraId="39F7003F" w14:textId="77777777" w:rsidR="00BC61F7" w:rsidRPr="008E2330" w:rsidRDefault="00BC61F7" w:rsidP="00776642">
            <w:pPr>
              <w:autoSpaceDE w:val="0"/>
              <w:autoSpaceDN w:val="0"/>
              <w:adjustRightInd w:val="0"/>
              <w:rPr>
                <w:rFonts w:cstheme="minorHAnsi"/>
                <w:color w:val="000000"/>
                <w:sz w:val="18"/>
                <w:szCs w:val="18"/>
                <w:lang w:eastAsia="zh-CN"/>
              </w:rPr>
            </w:pPr>
            <w:r w:rsidRPr="008E2330">
              <w:rPr>
                <w:rFonts w:cstheme="minorHAnsi"/>
                <w:color w:val="000000"/>
                <w:sz w:val="18"/>
                <w:szCs w:val="18"/>
                <w:lang w:eastAsia="zh-CN"/>
              </w:rPr>
              <w:t xml:space="preserve">The Project should avoid and mitigate economic displacement by: </w:t>
            </w:r>
          </w:p>
          <w:p w14:paraId="1B63DED4"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Identifying Project options (including ‘no action’ and ‘in situ’ options), their potential impacts, and avoidance measures. Assessment has to include a survey of potentially affected individuals and communities and an evaluation of their relationship and rights to lands and resources used and occupied.</w:t>
            </w:r>
          </w:p>
          <w:p w14:paraId="616825C2"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Public dissemination in accessible form and language of a written justification for the displacement activity and at least 90 </w:t>
            </w:r>
            <w:proofErr w:type="spellStart"/>
            <w:r w:rsidRPr="008E2330">
              <w:rPr>
                <w:rFonts w:cstheme="minorHAnsi"/>
                <w:color w:val="000000"/>
                <w:sz w:val="18"/>
                <w:szCs w:val="18"/>
                <w:lang w:eastAsia="zh-CN"/>
              </w:rPr>
              <w:t>days notice</w:t>
            </w:r>
            <w:proofErr w:type="spellEnd"/>
            <w:r w:rsidRPr="008E2330">
              <w:rPr>
                <w:rFonts w:cstheme="minorHAnsi"/>
                <w:color w:val="000000"/>
                <w:sz w:val="18"/>
                <w:szCs w:val="18"/>
                <w:lang w:eastAsia="zh-CN"/>
              </w:rPr>
              <w:t xml:space="preserve"> to affected persons prior to the date of displacement.</w:t>
            </w:r>
          </w:p>
          <w:p w14:paraId="737D6CE6"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Providing access to effective remedies and to timely and affordable expertise, including legal counsel, to provide an understanding of rights and options.</w:t>
            </w:r>
          </w:p>
          <w:p w14:paraId="2DC7A33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Executing effective and informed consultations with affected populations and good faith efforts to secure negotiated settlements, even when expropriation options are available.</w:t>
            </w:r>
          </w:p>
          <w:p w14:paraId="5ECCA7E1"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Developing a Livelihood Restoration Plan (including situations in which access to resources is restricted but no physical relocation is necessary) to be publicly disclosed at least 90 days prior to displacement activities. This Plan has the include all requirements as per UNDP SES and ensure the following:</w:t>
            </w:r>
          </w:p>
          <w:p w14:paraId="6C514019"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lastRenderedPageBreak/>
              <w:t xml:space="preserve">Displaced individuals and communities are compensated for loss of assets or loss of access to assets at full replacement cost. </w:t>
            </w:r>
          </w:p>
          <w:p w14:paraId="0414E55D"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In addition to compensation for lost assets, if any, economically displaced persons whose livelihoods or income levels are adversely affected will also be provided opportunities to improve, or at least restore, their means of income-earning capacity, production levels, and standards of living. An independent review, considering baseline data, will confirm that capacity, production levels and standards of living have been improved or restored. Additional considerations include the following:</w:t>
            </w:r>
          </w:p>
          <w:p w14:paraId="30AFD204" w14:textId="77777777" w:rsidR="00BC61F7" w:rsidRPr="008E2330" w:rsidRDefault="00BC61F7" w:rsidP="0091120C">
            <w:pPr>
              <w:pStyle w:val="ListParagraph"/>
              <w:numPr>
                <w:ilvl w:val="1"/>
                <w:numId w:val="0"/>
              </w:numPr>
              <w:tabs>
                <w:tab w:val="num" w:pos="360"/>
              </w:tabs>
              <w:autoSpaceDE w:val="0"/>
              <w:autoSpaceDN w:val="0"/>
              <w:adjustRightInd w:val="0"/>
              <w:spacing w:after="0" w:line="240" w:lineRule="auto"/>
              <w:ind w:left="1440" w:hanging="360"/>
              <w:contextualSpacing/>
              <w:rPr>
                <w:rFonts w:cstheme="minorHAnsi"/>
                <w:color w:val="000000"/>
                <w:sz w:val="18"/>
                <w:szCs w:val="18"/>
                <w:lang w:eastAsia="zh-CN"/>
              </w:rPr>
            </w:pPr>
            <w:r w:rsidRPr="008E2330">
              <w:rPr>
                <w:rFonts w:cstheme="minorHAnsi"/>
                <w:color w:val="000000"/>
                <w:sz w:val="18"/>
                <w:szCs w:val="18"/>
                <w:lang w:eastAsia="zh-CN"/>
              </w:rPr>
              <w:t>For persons whose livelihoods are land-based, replacement land that has a combination of productive potential, locational advantages, and other factors at least equivalent to that being lost should be offered as a matter of priority.</w:t>
            </w:r>
          </w:p>
          <w:p w14:paraId="6418A3E4" w14:textId="77777777" w:rsidR="00BC61F7" w:rsidRPr="008E2330" w:rsidRDefault="00BC61F7" w:rsidP="0091120C">
            <w:pPr>
              <w:pStyle w:val="ListParagraph"/>
              <w:numPr>
                <w:ilvl w:val="1"/>
                <w:numId w:val="0"/>
              </w:numPr>
              <w:tabs>
                <w:tab w:val="num" w:pos="360"/>
              </w:tabs>
              <w:autoSpaceDE w:val="0"/>
              <w:autoSpaceDN w:val="0"/>
              <w:adjustRightInd w:val="0"/>
              <w:spacing w:after="0" w:line="240" w:lineRule="auto"/>
              <w:ind w:left="1440" w:hanging="360"/>
              <w:contextualSpacing/>
              <w:rPr>
                <w:rFonts w:cstheme="minorHAnsi"/>
                <w:color w:val="000000"/>
                <w:sz w:val="18"/>
                <w:szCs w:val="18"/>
                <w:lang w:eastAsia="zh-CN"/>
              </w:rPr>
            </w:pPr>
            <w:r w:rsidRPr="008E2330">
              <w:rPr>
                <w:rFonts w:cstheme="minorHAnsi"/>
                <w:color w:val="000000"/>
                <w:sz w:val="18"/>
                <w:szCs w:val="18"/>
                <w:lang w:eastAsia="zh-CN"/>
              </w:rPr>
              <w:t>For persons whose livelihoods are natural resource-based and where Project-related restrictions on access apply, measures will be undertaken to either allow continued access to affected resources or provide access to alternative resources with equivalent livelihood-earning potential and accessibility. Where appropriate, benefits and compensation associated with natural resource usage may be collective in nature.</w:t>
            </w:r>
          </w:p>
          <w:p w14:paraId="205443C3" w14:textId="77777777" w:rsidR="00BC61F7" w:rsidRPr="008E2330" w:rsidRDefault="00BC61F7" w:rsidP="0091120C">
            <w:pPr>
              <w:pStyle w:val="ListParagraph"/>
              <w:numPr>
                <w:ilvl w:val="1"/>
                <w:numId w:val="0"/>
              </w:numPr>
              <w:tabs>
                <w:tab w:val="num" w:pos="360"/>
              </w:tabs>
              <w:autoSpaceDE w:val="0"/>
              <w:autoSpaceDN w:val="0"/>
              <w:adjustRightInd w:val="0"/>
              <w:spacing w:after="0" w:line="240" w:lineRule="auto"/>
              <w:ind w:left="1440" w:hanging="360"/>
              <w:contextualSpacing/>
              <w:rPr>
                <w:rFonts w:cstheme="minorHAnsi"/>
                <w:color w:val="000000"/>
                <w:sz w:val="18"/>
                <w:szCs w:val="18"/>
                <w:lang w:eastAsia="zh-CN"/>
              </w:rPr>
            </w:pPr>
            <w:r w:rsidRPr="008E2330">
              <w:rPr>
                <w:rFonts w:cstheme="minorHAnsi"/>
                <w:color w:val="000000"/>
                <w:sz w:val="18"/>
                <w:szCs w:val="18"/>
                <w:lang w:eastAsia="zh-CN"/>
              </w:rPr>
              <w:t>If circumstances make it difficult for the Project to provide land or resources as described above, and if evidence exists of mutual agreement with affected people for alternative measures, alternative income earning opportunities may be provided, such as credit facilities, training, or employment opportunities.</w:t>
            </w:r>
          </w:p>
          <w:p w14:paraId="5BB852D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Transitional support is provided to displaced persons and communities as necessary, based on a reasonable estimate of the time required to restore their income-earning capacity, production levels, and standards of living.</w:t>
            </w:r>
          </w:p>
          <w:p w14:paraId="494E5154"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Executing an ex-post evaluation of livelihood levels to examine if objectives of this Standard were met.</w:t>
            </w:r>
          </w:p>
        </w:tc>
      </w:tr>
      <w:tr w:rsidR="00BC61F7" w:rsidRPr="008E2330" w14:paraId="67BB16D0" w14:textId="77777777" w:rsidTr="00776642">
        <w:trPr>
          <w:trHeight w:val="1272"/>
        </w:trPr>
        <w:tc>
          <w:tcPr>
            <w:tcW w:w="1428" w:type="dxa"/>
          </w:tcPr>
          <w:p w14:paraId="07D5AE29" w14:textId="77777777" w:rsidR="00BC61F7" w:rsidRPr="008E2330" w:rsidRDefault="00BC61F7" w:rsidP="00776642">
            <w:pPr>
              <w:autoSpaceDE w:val="0"/>
              <w:autoSpaceDN w:val="0"/>
              <w:adjustRightInd w:val="0"/>
              <w:rPr>
                <w:rFonts w:cstheme="minorHAnsi"/>
                <w:color w:val="000000"/>
                <w:sz w:val="18"/>
                <w:szCs w:val="18"/>
                <w:lang w:eastAsia="zh-CN"/>
              </w:rPr>
            </w:pPr>
            <w:r w:rsidRPr="008E2330">
              <w:rPr>
                <w:rFonts w:cstheme="minorHAnsi"/>
                <w:color w:val="000000"/>
                <w:sz w:val="18"/>
                <w:szCs w:val="18"/>
                <w:lang w:eastAsia="zh-CN"/>
              </w:rPr>
              <w:lastRenderedPageBreak/>
              <w:t>Standard 6: Indigenous Peoples</w:t>
            </w:r>
          </w:p>
          <w:p w14:paraId="2B870036" w14:textId="77777777" w:rsidR="00BC61F7" w:rsidRPr="008E2330" w:rsidRDefault="00BC61F7" w:rsidP="00776642">
            <w:pPr>
              <w:rPr>
                <w:sz w:val="18"/>
                <w:szCs w:val="18"/>
                <w:lang w:eastAsia="zh-CN"/>
              </w:rPr>
            </w:pPr>
          </w:p>
        </w:tc>
        <w:tc>
          <w:tcPr>
            <w:tcW w:w="7800" w:type="dxa"/>
          </w:tcPr>
          <w:p w14:paraId="751FDCA0"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Prohibition of any violation of human rights of indigenous peoples as affirmed by Applicable Law and the United Nations Declaration on the Rights of Indigenous Peoples (UNDRIP).</w:t>
            </w:r>
          </w:p>
          <w:p w14:paraId="625FCB20"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Ensuring that social and environmental assessments involve an assessment of indigenous peoples’ substantive rights, as affirmed in Applicable Law.</w:t>
            </w:r>
          </w:p>
          <w:p w14:paraId="1000852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Identification of indigenous peoples</w:t>
            </w:r>
          </w:p>
          <w:p w14:paraId="7F00428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Recognition of indigenous peoples’ collective rights to own, use, and develop and control the lands, resources and territories that they have traditionally owned, occupied or otherwise used or acquired, including lands and territories for which they do not yet possess title. </w:t>
            </w:r>
          </w:p>
          <w:p w14:paraId="4804A1A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Execution of a free, prior and informed consent (FPIC) of the indigenous peoples before implementing any activity that may result in involuntary resettlement or economic displacement, ensuring compliance with Standard 5: Displacement and Resettlement.</w:t>
            </w:r>
          </w:p>
          <w:p w14:paraId="74B9C267"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At the earliest stage of Project conceptualization and design, and iteratively throughout implementation and closure, mechanisms will be identified and implemented to guarantee the meaningful, effective and informed participation of indigenous peoples on all matters. Culturally appropriate consultation will be carried out with the objective of achieving agreement and FPIC will be ensured on any matters that may affect the rights and interests, lands, resources, territories (whether titled or untitled to the people in question) and traditional livelihoods of the indigenous peoples concerned. Project activities that may adversely affect the existence, value, use or enjoyment of indigenous </w:t>
            </w:r>
            <w:r w:rsidRPr="008E2330">
              <w:rPr>
                <w:rFonts w:cstheme="minorHAnsi"/>
                <w:color w:val="000000"/>
                <w:sz w:val="18"/>
                <w:szCs w:val="18"/>
                <w:lang w:eastAsia="zh-CN"/>
              </w:rPr>
              <w:lastRenderedPageBreak/>
              <w:t>lands, resources or territories shall not be conducted unless agreement has been achieved through the FPIC process.</w:t>
            </w:r>
          </w:p>
          <w:p w14:paraId="1563E19B"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 xml:space="preserve">Developing a review and/or assessment of potential impacts and benefits to the indigenous communities, conducted transparently and with the full, effective and meaningful participation of the indigenous peoples concerned. </w:t>
            </w:r>
          </w:p>
          <w:p w14:paraId="35F41B6A" w14:textId="78805621" w:rsidR="00BC61F7" w:rsidRPr="009529C9"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Ensuring that arrangements, evidenced in a documented outcome, are concluded with indigenous peoples for the equitable sharing of benefits to be derived by the Project in a manner that is culturally appropriate and inclusive and that does not impede land rights or equal access to basic services including health services, clean water, energy, education, safe and decent working conditions, and housing</w:t>
            </w:r>
          </w:p>
          <w:p w14:paraId="70CC7E02"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Special considerations have to be taken about:</w:t>
            </w:r>
          </w:p>
          <w:p w14:paraId="700AFE05"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Gender: While respecting the norms, values and customs of the indigenous peoples and communities concerned, the Project will pay particular attention to the rights and special needs of women and girls, will not discriminate against women and girls and will ensure that women and girls have equal opportunities to participate and benefit.</w:t>
            </w:r>
          </w:p>
          <w:p w14:paraId="70C00A36"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Vulnerable and marginalized indigenous peoples: Particular attention will be paid to the rights and special needs of indigenous elders, youth, children, persons with disabilities, including consideration of special measures to improve their participation in decision-making and their general well-being.</w:t>
            </w:r>
          </w:p>
          <w:p w14:paraId="1254B853"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Elaboration of an Indigenous Peoples Plan if it is determined that the Project may affect the rights, lands, resources or territories of indigenous peoples, an “Indigenous Peoples Plan” (IPP) will be elaborated and included in the Project documentation. This plan will be developed in accordance with the effective and meaningful participation of indigenous peoples and in accordance with the UNDP Indigenous Peoples Plan Guidelines (“IPP Guideline”). The IPP will be integrated into the design and implementation of the Project, have a level of detail proportional to the complexity of the nature and scale of the proposed Project and its potential impacts on indigenous peoples and their lands, resources and territories. In no case shall Project activities that may adversely affect indigenous peoples, including the existence, value, use or enjoyment of their lands, resources or territories take place before the action plan is carried out.</w:t>
            </w:r>
          </w:p>
          <w:p w14:paraId="5730019F" w14:textId="77777777" w:rsidR="00BC61F7" w:rsidRPr="008E2330" w:rsidRDefault="00BC61F7" w:rsidP="009560B6">
            <w:pPr>
              <w:pStyle w:val="ListNumber2"/>
              <w:numPr>
                <w:ilvl w:val="0"/>
                <w:numId w:val="7"/>
              </w:numPr>
              <w:rPr>
                <w:rFonts w:cstheme="minorHAnsi"/>
                <w:color w:val="000000"/>
                <w:sz w:val="18"/>
                <w:szCs w:val="18"/>
                <w:lang w:eastAsia="zh-CN"/>
              </w:rPr>
            </w:pPr>
            <w:r w:rsidRPr="008E2330">
              <w:rPr>
                <w:rFonts w:cstheme="minorHAnsi"/>
                <w:color w:val="000000"/>
                <w:sz w:val="18"/>
                <w:szCs w:val="18"/>
                <w:lang w:eastAsia="zh-CN"/>
              </w:rPr>
              <w:t>With the meaningful collaboration and contributions of indigenous peoples, methods will be developed and implemented for verifying and reporting that the Project has been designed and implemented in a manner consistent with this Standard. Transparent participatory monitoring arrangements will be put in place wherein indigenous peoples will jointly monitor Project implementation with the Implementing Partner</w:t>
            </w:r>
          </w:p>
        </w:tc>
      </w:tr>
      <w:tr w:rsidR="00BC61F7" w:rsidRPr="00A92066" w14:paraId="6014159E" w14:textId="77777777" w:rsidTr="00776642">
        <w:trPr>
          <w:trHeight w:val="1272"/>
        </w:trPr>
        <w:tc>
          <w:tcPr>
            <w:tcW w:w="1428" w:type="dxa"/>
          </w:tcPr>
          <w:p w14:paraId="0F67128A" w14:textId="77777777" w:rsidR="00BC61F7" w:rsidRPr="008E2330" w:rsidRDefault="00BC61F7" w:rsidP="00776642">
            <w:pPr>
              <w:autoSpaceDE w:val="0"/>
              <w:autoSpaceDN w:val="0"/>
              <w:adjustRightInd w:val="0"/>
              <w:rPr>
                <w:rFonts w:cstheme="minorHAnsi"/>
                <w:color w:val="000000"/>
                <w:sz w:val="18"/>
                <w:szCs w:val="18"/>
                <w:lang w:eastAsia="zh-CN"/>
              </w:rPr>
            </w:pPr>
            <w:r>
              <w:rPr>
                <w:rFonts w:cstheme="minorHAnsi"/>
                <w:color w:val="000000"/>
                <w:sz w:val="18"/>
                <w:szCs w:val="18"/>
                <w:lang w:eastAsia="zh-CN"/>
              </w:rPr>
              <w:lastRenderedPageBreak/>
              <w:t xml:space="preserve">Standard 7: </w:t>
            </w:r>
            <w:proofErr w:type="spellStart"/>
            <w:r w:rsidRPr="008E2330">
              <w:rPr>
                <w:sz w:val="18"/>
                <w:szCs w:val="18"/>
              </w:rPr>
              <w:t>Labour</w:t>
            </w:r>
            <w:proofErr w:type="spellEnd"/>
            <w:r w:rsidRPr="008E2330">
              <w:rPr>
                <w:sz w:val="18"/>
                <w:szCs w:val="18"/>
              </w:rPr>
              <w:t xml:space="preserve"> and working conditions</w:t>
            </w:r>
          </w:p>
        </w:tc>
        <w:tc>
          <w:tcPr>
            <w:tcW w:w="7800" w:type="dxa"/>
          </w:tcPr>
          <w:p w14:paraId="003EFDF8" w14:textId="77777777" w:rsidR="00BC61F7" w:rsidRPr="00A92066" w:rsidRDefault="00BC61F7" w:rsidP="009560B6">
            <w:pPr>
              <w:pStyle w:val="ListNumber2"/>
              <w:numPr>
                <w:ilvl w:val="0"/>
                <w:numId w:val="7"/>
              </w:numPr>
              <w:rPr>
                <w:sz w:val="18"/>
                <w:szCs w:val="18"/>
              </w:rPr>
            </w:pPr>
            <w:r>
              <w:rPr>
                <w:sz w:val="18"/>
                <w:szCs w:val="18"/>
              </w:rPr>
              <w:t>I</w:t>
            </w:r>
            <w:r w:rsidRPr="00A92066">
              <w:rPr>
                <w:sz w:val="18"/>
                <w:szCs w:val="18"/>
              </w:rPr>
              <w:t>dentification and assessment of potential hazards and risks, particularly those that could result in serious ill health or death and those identified through worker health surveillance;</w:t>
            </w:r>
          </w:p>
          <w:p w14:paraId="0BA1D1AA" w14:textId="77777777" w:rsidR="00BC61F7" w:rsidRPr="00A92066" w:rsidRDefault="00BC61F7" w:rsidP="009560B6">
            <w:pPr>
              <w:pStyle w:val="ListNumber2"/>
              <w:numPr>
                <w:ilvl w:val="0"/>
                <w:numId w:val="7"/>
              </w:numPr>
              <w:rPr>
                <w:sz w:val="18"/>
                <w:szCs w:val="18"/>
              </w:rPr>
            </w:pPr>
            <w:r w:rsidRPr="00A92066">
              <w:rPr>
                <w:sz w:val="18"/>
                <w:szCs w:val="18"/>
              </w:rPr>
              <w:t>Elimination of hazards and minimization of risks through implementation of preventive and protective measures in the following order of priority;</w:t>
            </w:r>
          </w:p>
          <w:p w14:paraId="59F50D92" w14:textId="77777777" w:rsidR="00BC61F7" w:rsidRPr="00A92066" w:rsidRDefault="00BC61F7" w:rsidP="009560B6">
            <w:pPr>
              <w:pStyle w:val="ListNumber2"/>
              <w:numPr>
                <w:ilvl w:val="0"/>
                <w:numId w:val="7"/>
              </w:numPr>
              <w:rPr>
                <w:sz w:val="18"/>
                <w:szCs w:val="18"/>
              </w:rPr>
            </w:pPr>
            <w:r w:rsidRPr="00A92066">
              <w:rPr>
                <w:sz w:val="18"/>
                <w:szCs w:val="18"/>
              </w:rPr>
              <w:t>Safety and health training, including on the proper use and maintenance o</w:t>
            </w:r>
            <w:r>
              <w:rPr>
                <w:sz w:val="18"/>
                <w:szCs w:val="18"/>
              </w:rPr>
              <w:t>f personal protective equipment</w:t>
            </w:r>
            <w:r w:rsidRPr="00A92066">
              <w:rPr>
                <w:sz w:val="18"/>
                <w:szCs w:val="18"/>
              </w:rPr>
              <w:t>;</w:t>
            </w:r>
          </w:p>
          <w:p w14:paraId="291685B4" w14:textId="77777777" w:rsidR="00BC61F7" w:rsidRPr="00A92066" w:rsidRDefault="00BC61F7" w:rsidP="009560B6">
            <w:pPr>
              <w:pStyle w:val="ListNumber2"/>
              <w:numPr>
                <w:ilvl w:val="0"/>
                <w:numId w:val="7"/>
              </w:numPr>
              <w:rPr>
                <w:sz w:val="18"/>
                <w:szCs w:val="18"/>
              </w:rPr>
            </w:pPr>
            <w:r w:rsidRPr="00A92066">
              <w:rPr>
                <w:sz w:val="18"/>
                <w:szCs w:val="18"/>
              </w:rPr>
              <w:lastRenderedPageBreak/>
              <w:t>Emergency prevention and preparedness and response arrangements to emergency situations; and</w:t>
            </w:r>
          </w:p>
        </w:tc>
      </w:tr>
      <w:tr w:rsidR="00BC61F7" w:rsidRPr="008E2330" w14:paraId="10FCCD17" w14:textId="77777777" w:rsidTr="00776642">
        <w:trPr>
          <w:trHeight w:val="1272"/>
        </w:trPr>
        <w:tc>
          <w:tcPr>
            <w:tcW w:w="1428" w:type="dxa"/>
          </w:tcPr>
          <w:p w14:paraId="7D8E3652" w14:textId="77777777" w:rsidR="00BC61F7" w:rsidRPr="006B48B6" w:rsidRDefault="00BC61F7" w:rsidP="00776642">
            <w:pPr>
              <w:autoSpaceDE w:val="0"/>
              <w:autoSpaceDN w:val="0"/>
              <w:adjustRightInd w:val="0"/>
              <w:rPr>
                <w:rFonts w:cstheme="minorHAnsi"/>
                <w:color w:val="000000"/>
                <w:sz w:val="18"/>
                <w:szCs w:val="18"/>
                <w:lang w:eastAsia="zh-CN"/>
              </w:rPr>
            </w:pPr>
            <w:r w:rsidRPr="006B48B6">
              <w:rPr>
                <w:rFonts w:eastAsia="Times New Roman"/>
                <w:sz w:val="18"/>
                <w:szCs w:val="18"/>
              </w:rPr>
              <w:lastRenderedPageBreak/>
              <w:t>Standard 8: Pollution Prevention and Resource Efficiency</w:t>
            </w:r>
          </w:p>
        </w:tc>
        <w:tc>
          <w:tcPr>
            <w:tcW w:w="7800" w:type="dxa"/>
          </w:tcPr>
          <w:p w14:paraId="53C6E585" w14:textId="77777777" w:rsidR="00BC61F7" w:rsidRDefault="00BC61F7" w:rsidP="009560B6">
            <w:pPr>
              <w:pStyle w:val="ListNumber2"/>
              <w:numPr>
                <w:ilvl w:val="0"/>
                <w:numId w:val="7"/>
              </w:numPr>
              <w:rPr>
                <w:sz w:val="18"/>
                <w:szCs w:val="18"/>
              </w:rPr>
            </w:pPr>
            <w:r>
              <w:rPr>
                <w:sz w:val="18"/>
                <w:szCs w:val="18"/>
              </w:rPr>
              <w:t xml:space="preserve">Avoid </w:t>
            </w:r>
            <w:r w:rsidRPr="00F939A5">
              <w:rPr>
                <w:sz w:val="18"/>
                <w:szCs w:val="18"/>
              </w:rPr>
              <w:t xml:space="preserve">use of pesticides in supported activities. </w:t>
            </w:r>
          </w:p>
          <w:p w14:paraId="105FF15E" w14:textId="77777777" w:rsidR="00BC61F7" w:rsidRDefault="00BC61F7" w:rsidP="009560B6">
            <w:pPr>
              <w:pStyle w:val="ListNumber2"/>
              <w:numPr>
                <w:ilvl w:val="0"/>
                <w:numId w:val="7"/>
              </w:numPr>
              <w:rPr>
                <w:sz w:val="18"/>
                <w:szCs w:val="18"/>
              </w:rPr>
            </w:pPr>
            <w:r w:rsidRPr="00F939A5">
              <w:rPr>
                <w:sz w:val="18"/>
                <w:szCs w:val="18"/>
              </w:rPr>
              <w:t>Integrated Pest Management (IPM) and Integrated Vector Management (IVM) approaches are to be utilized that entail coordinated use of pest and environmental information along with available pest/vector control methods, including cultural practices, biological, genetic and, as a last resort, chemical means to prevent unacceptable levels of pest damage. If after having considered such approaches recourse to pe</w:t>
            </w:r>
            <w:r>
              <w:rPr>
                <w:sz w:val="18"/>
                <w:szCs w:val="18"/>
              </w:rPr>
              <w:t>sticide use is deemed necessary</w:t>
            </w:r>
          </w:p>
          <w:p w14:paraId="4BBB52A7" w14:textId="77777777" w:rsidR="00BC61F7" w:rsidRDefault="00BC61F7" w:rsidP="009560B6">
            <w:pPr>
              <w:pStyle w:val="ListNumber2"/>
              <w:numPr>
                <w:ilvl w:val="0"/>
                <w:numId w:val="7"/>
              </w:numPr>
              <w:rPr>
                <w:sz w:val="18"/>
                <w:szCs w:val="18"/>
              </w:rPr>
            </w:pPr>
            <w:r>
              <w:rPr>
                <w:sz w:val="18"/>
                <w:szCs w:val="18"/>
              </w:rPr>
              <w:t>A</w:t>
            </w:r>
            <w:r w:rsidRPr="00F939A5">
              <w:rPr>
                <w:sz w:val="18"/>
                <w:szCs w:val="18"/>
              </w:rPr>
              <w:t>dopt safe, effective and environmentally sound pest management in accordance with the WHO/FAO International Code of Conduct on Pesticide Management</w:t>
            </w:r>
            <w:r w:rsidRPr="00F939A5">
              <w:rPr>
                <w:sz w:val="18"/>
                <w:szCs w:val="18"/>
                <w:vertAlign w:val="superscript"/>
              </w:rPr>
              <w:t>13</w:t>
            </w:r>
            <w:r>
              <w:rPr>
                <w:sz w:val="18"/>
                <w:szCs w:val="18"/>
              </w:rPr>
              <w:t> for the safe labe</w:t>
            </w:r>
            <w:r w:rsidRPr="00F939A5">
              <w:rPr>
                <w:sz w:val="18"/>
                <w:szCs w:val="18"/>
              </w:rPr>
              <w:t>ling, packaging, handling, storage, application and disposal of pesticides.</w:t>
            </w:r>
          </w:p>
          <w:p w14:paraId="6C5EB0A6" w14:textId="77777777" w:rsidR="00BC61F7" w:rsidRDefault="00BC61F7" w:rsidP="009560B6">
            <w:pPr>
              <w:pStyle w:val="ListNumber2"/>
              <w:numPr>
                <w:ilvl w:val="0"/>
                <w:numId w:val="7"/>
              </w:numPr>
              <w:rPr>
                <w:sz w:val="18"/>
                <w:szCs w:val="18"/>
              </w:rPr>
            </w:pPr>
            <w:r w:rsidRPr="00F939A5">
              <w:rPr>
                <w:sz w:val="18"/>
                <w:szCs w:val="18"/>
              </w:rPr>
              <w:t>Hazards of pesticide use are to be carefully considered and the least toxic pesticides selected that are known to be effective, have minimal effects on non-target species and the environment, and minimize risks associated with development of resistance in pests and vectors.</w:t>
            </w:r>
          </w:p>
          <w:p w14:paraId="07ABC44C" w14:textId="6E7521CD" w:rsidR="00BC61F7" w:rsidRDefault="00BC61F7" w:rsidP="009560B6">
            <w:pPr>
              <w:pStyle w:val="ListNumber2"/>
              <w:numPr>
                <w:ilvl w:val="0"/>
                <w:numId w:val="7"/>
              </w:numPr>
              <w:rPr>
                <w:sz w:val="18"/>
                <w:szCs w:val="18"/>
              </w:rPr>
            </w:pPr>
            <w:r w:rsidRPr="00F939A5">
              <w:rPr>
                <w:sz w:val="18"/>
                <w:szCs w:val="18"/>
              </w:rPr>
              <w:t>A Pest Management Plan is developed where use of a significant volume of pesticides is foreseen to demonstrate how IPM will be promoted to reduce reliance on pesticides and describes measures to minimize risks of pesticide use.</w:t>
            </w:r>
          </w:p>
          <w:p w14:paraId="639651FA" w14:textId="77777777" w:rsidR="00BC61F7" w:rsidRDefault="00BC61F7" w:rsidP="009560B6">
            <w:pPr>
              <w:pStyle w:val="ListNumber2"/>
              <w:numPr>
                <w:ilvl w:val="0"/>
                <w:numId w:val="7"/>
              </w:numPr>
              <w:rPr>
                <w:sz w:val="18"/>
                <w:szCs w:val="18"/>
              </w:rPr>
            </w:pPr>
            <w:r>
              <w:rPr>
                <w:sz w:val="18"/>
                <w:szCs w:val="18"/>
              </w:rPr>
              <w:t xml:space="preserve">Do not use </w:t>
            </w:r>
            <w:r w:rsidRPr="00F939A5">
              <w:rPr>
                <w:sz w:val="18"/>
                <w:szCs w:val="18"/>
              </w:rPr>
              <w:t>pesticides that contain active ingredients that are banned or restricted under applicable international treaties and agreements, or meet the criteria of carcinogenicity, mutagenicity, or reproductive toxicity as set forth by relevant international agencie</w:t>
            </w:r>
            <w:r>
              <w:rPr>
                <w:sz w:val="18"/>
                <w:szCs w:val="18"/>
              </w:rPr>
              <w:t>s</w:t>
            </w:r>
          </w:p>
          <w:p w14:paraId="18D3D0C5" w14:textId="77777777" w:rsidR="00BC61F7" w:rsidRPr="008E2330" w:rsidRDefault="00BC61F7" w:rsidP="009560B6">
            <w:pPr>
              <w:pStyle w:val="ListNumber2"/>
              <w:numPr>
                <w:ilvl w:val="0"/>
                <w:numId w:val="7"/>
              </w:numPr>
              <w:rPr>
                <w:rFonts w:cstheme="minorHAnsi"/>
                <w:color w:val="000000"/>
                <w:sz w:val="18"/>
                <w:szCs w:val="18"/>
                <w:lang w:eastAsia="zh-CN"/>
              </w:rPr>
            </w:pPr>
            <w:r w:rsidRPr="00F939A5">
              <w:rPr>
                <w:sz w:val="18"/>
                <w:szCs w:val="18"/>
              </w:rPr>
              <w:t>Users of any pesticides shall be trained to handle pesticides in a proper and responsible manner and utilize appropriate application equipment and adequate personal protective equipment.</w:t>
            </w:r>
          </w:p>
        </w:tc>
      </w:tr>
    </w:tbl>
    <w:p w14:paraId="1139CC6A" w14:textId="77777777" w:rsidR="00E92271" w:rsidRDefault="00E92271" w:rsidP="00E92271">
      <w:pPr>
        <w:rPr>
          <w:rFonts w:cstheme="minorHAnsi"/>
          <w:color w:val="000000"/>
          <w:szCs w:val="20"/>
          <w:lang w:val="en-US" w:eastAsia="zh-CN"/>
        </w:rPr>
      </w:pPr>
    </w:p>
    <w:p w14:paraId="01C67B09" w14:textId="0B1EFBD5" w:rsidR="00E92271" w:rsidRPr="00C12294" w:rsidRDefault="00E92271" w:rsidP="00E92271">
      <w:pPr>
        <w:ind w:firstLine="720"/>
        <w:rPr>
          <w:rFonts w:asciiTheme="majorHAnsi" w:hAnsiTheme="majorHAnsi" w:cstheme="majorHAnsi"/>
          <w:color w:val="000000"/>
          <w:sz w:val="22"/>
          <w:lang w:val="en-US" w:eastAsia="zh-CN"/>
        </w:rPr>
      </w:pPr>
      <w:r w:rsidRPr="00C12294">
        <w:rPr>
          <w:rFonts w:asciiTheme="majorHAnsi" w:hAnsiTheme="majorHAnsi" w:cstheme="majorHAnsi"/>
          <w:color w:val="000000"/>
          <w:sz w:val="22"/>
          <w:lang w:val="en-US" w:eastAsia="zh-CN"/>
        </w:rPr>
        <w:t xml:space="preserve">The Project will ensure the compliance with all domestic regulations described in this section and will take advantage of the opportunities that specific laws provide for the success of the project objectives. In some aspects UNDP SES </w:t>
      </w:r>
      <w:r w:rsidR="00841E77" w:rsidRPr="00C12294">
        <w:rPr>
          <w:rFonts w:asciiTheme="majorHAnsi" w:hAnsiTheme="majorHAnsi" w:cstheme="majorHAnsi"/>
          <w:color w:val="000000"/>
          <w:sz w:val="22"/>
          <w:lang w:val="en-US" w:eastAsia="zh-CN"/>
        </w:rPr>
        <w:t xml:space="preserve">may </w:t>
      </w:r>
      <w:r w:rsidRPr="00C12294">
        <w:rPr>
          <w:rFonts w:asciiTheme="majorHAnsi" w:hAnsiTheme="majorHAnsi" w:cstheme="majorHAnsi"/>
          <w:color w:val="000000"/>
          <w:sz w:val="22"/>
          <w:lang w:val="en-US" w:eastAsia="zh-CN"/>
        </w:rPr>
        <w:t xml:space="preserve">establish higher standards and imply additional requirements compared to what is compulsory under national legislation. </w:t>
      </w:r>
      <w:r w:rsidR="00841E77" w:rsidRPr="00C12294">
        <w:rPr>
          <w:rFonts w:asciiTheme="majorHAnsi" w:hAnsiTheme="majorHAnsi" w:cstheme="majorHAnsi"/>
          <w:color w:val="000000"/>
          <w:sz w:val="22"/>
          <w:lang w:val="en-US" w:eastAsia="zh-CN"/>
        </w:rPr>
        <w:t>Where there is a discrepancy in the relative stringency of national regulation, international regulation and UNDP SES, the most stringent of the conflicting provisions shall be adhered to.</w:t>
      </w:r>
    </w:p>
    <w:p w14:paraId="31B875FC" w14:textId="112AF36F" w:rsidR="00E92271" w:rsidRPr="00C12294" w:rsidRDefault="00E92271" w:rsidP="00E92271">
      <w:pPr>
        <w:ind w:firstLine="720"/>
        <w:rPr>
          <w:rFonts w:asciiTheme="majorHAnsi" w:hAnsiTheme="majorHAnsi" w:cstheme="majorHAnsi"/>
          <w:color w:val="000000"/>
          <w:sz w:val="22"/>
          <w:lang w:val="en-US" w:eastAsia="zh-CN"/>
        </w:rPr>
      </w:pPr>
      <w:r w:rsidRPr="00C12294">
        <w:rPr>
          <w:rFonts w:asciiTheme="majorHAnsi" w:hAnsiTheme="majorHAnsi" w:cstheme="majorHAnsi"/>
          <w:sz w:val="22"/>
        </w:rPr>
        <w:t xml:space="preserve">A summary of the risk significance under each SES principle and standard, and the project-level safeguard standards triggered by each project (indicated with ticks) are shown in the table below.  </w:t>
      </w:r>
    </w:p>
    <w:p w14:paraId="172675A6" w14:textId="0FA72E5C" w:rsidR="00E92271" w:rsidRPr="009560B6" w:rsidRDefault="00E92271" w:rsidP="00BC61F7">
      <w:pPr>
        <w:rPr>
          <w:rFonts w:asciiTheme="majorHAnsi" w:hAnsiTheme="majorHAnsi" w:cstheme="majorHAnsi"/>
          <w:sz w:val="20"/>
          <w:szCs w:val="20"/>
        </w:rPr>
      </w:pPr>
    </w:p>
    <w:p w14:paraId="1BAA3F6A" w14:textId="6D4F7DA0" w:rsidR="00E92271" w:rsidRPr="009560B6" w:rsidRDefault="00E92271" w:rsidP="00BC61F7">
      <w:pPr>
        <w:rPr>
          <w:rFonts w:asciiTheme="majorHAnsi" w:hAnsiTheme="majorHAnsi" w:cstheme="majorHAnsi"/>
          <w:sz w:val="20"/>
          <w:szCs w:val="20"/>
        </w:rPr>
      </w:pPr>
    </w:p>
    <w:p w14:paraId="1D936534" w14:textId="77352D7E" w:rsidR="00E92271" w:rsidRPr="00E92271" w:rsidRDefault="00E92271" w:rsidP="00BC61F7">
      <w:pPr>
        <w:rPr>
          <w:b/>
          <w:bCs/>
        </w:rPr>
      </w:pPr>
      <w:r>
        <w:rPr>
          <w:b/>
          <w:bCs/>
        </w:rPr>
        <w:t>Table</w:t>
      </w:r>
      <w:r w:rsidR="003373F3">
        <w:rPr>
          <w:b/>
          <w:bCs/>
        </w:rPr>
        <w:t xml:space="preserve"> 5 SES Standards Triggered </w:t>
      </w:r>
    </w:p>
    <w:tbl>
      <w:tblPr>
        <w:tblStyle w:val="TableGrid"/>
        <w:tblpPr w:leftFromText="180" w:rightFromText="180" w:vertAnchor="text" w:tblpX="162" w:tblpY="1"/>
        <w:tblOverlap w:val="never"/>
        <w:tblW w:w="0" w:type="auto"/>
        <w:tblLook w:val="04A0" w:firstRow="1" w:lastRow="0" w:firstColumn="1" w:lastColumn="0" w:noHBand="0" w:noVBand="1"/>
      </w:tblPr>
      <w:tblGrid>
        <w:gridCol w:w="6196"/>
        <w:gridCol w:w="2821"/>
      </w:tblGrid>
      <w:tr w:rsidR="00E92271" w:rsidRPr="00FA603A" w14:paraId="21BE5D81" w14:textId="77777777" w:rsidTr="00776642">
        <w:trPr>
          <w:tblHeader/>
        </w:trPr>
        <w:tc>
          <w:tcPr>
            <w:tcW w:w="6196" w:type="dxa"/>
            <w:shd w:val="clear" w:color="auto" w:fill="D6E3BC" w:themeFill="accent3" w:themeFillTint="66"/>
            <w:vAlign w:val="center"/>
          </w:tcPr>
          <w:p w14:paraId="0040F6B7" w14:textId="77777777" w:rsidR="00E92271" w:rsidRPr="0077728A" w:rsidRDefault="00E92271" w:rsidP="00776642">
            <w:pPr>
              <w:jc w:val="center"/>
              <w:rPr>
                <w:rFonts w:eastAsiaTheme="majorEastAsia" w:cs="Times New Roman"/>
                <w:b/>
                <w:color w:val="243F60" w:themeColor="accent1" w:themeShade="7F"/>
              </w:rPr>
            </w:pPr>
            <w:r w:rsidRPr="0077728A">
              <w:rPr>
                <w:rFonts w:cs="Times New Roman"/>
                <w:b/>
              </w:rPr>
              <w:t>Overarching Principle / Project-level Standard</w:t>
            </w:r>
          </w:p>
        </w:tc>
        <w:tc>
          <w:tcPr>
            <w:tcW w:w="2821" w:type="dxa"/>
            <w:tcBorders>
              <w:bottom w:val="single" w:sz="4" w:space="0" w:color="auto"/>
            </w:tcBorders>
            <w:shd w:val="clear" w:color="auto" w:fill="D6E3BC" w:themeFill="accent3" w:themeFillTint="66"/>
            <w:vAlign w:val="center"/>
          </w:tcPr>
          <w:p w14:paraId="574589A5" w14:textId="77777777" w:rsidR="00E92271" w:rsidRPr="00FA603A" w:rsidRDefault="00E92271" w:rsidP="00776642">
            <w:pPr>
              <w:jc w:val="center"/>
              <w:rPr>
                <w:rFonts w:asciiTheme="majorHAnsi" w:eastAsiaTheme="majorEastAsia" w:hAnsiTheme="majorHAnsi" w:cstheme="majorBidi"/>
                <w:b/>
                <w:color w:val="243F60" w:themeColor="accent1" w:themeShade="7F"/>
              </w:rPr>
            </w:pPr>
            <w:r>
              <w:rPr>
                <w:b/>
              </w:rPr>
              <w:t>Rating</w:t>
            </w:r>
          </w:p>
        </w:tc>
      </w:tr>
      <w:tr w:rsidR="00E92271" w:rsidRPr="00205F90" w14:paraId="1A446929" w14:textId="77777777" w:rsidTr="00776642">
        <w:tc>
          <w:tcPr>
            <w:tcW w:w="6196" w:type="dxa"/>
            <w:vAlign w:val="center"/>
          </w:tcPr>
          <w:p w14:paraId="1F15E892" w14:textId="77777777" w:rsidR="00E92271" w:rsidRPr="0077728A" w:rsidRDefault="00E92271" w:rsidP="00776642">
            <w:pPr>
              <w:rPr>
                <w:rFonts w:eastAsiaTheme="majorEastAsia" w:cs="Times New Roman"/>
                <w:color w:val="243F60" w:themeColor="accent1" w:themeShade="7F"/>
                <w:sz w:val="18"/>
                <w:szCs w:val="18"/>
              </w:rPr>
            </w:pPr>
            <w:r w:rsidRPr="0077728A">
              <w:rPr>
                <w:rFonts w:cs="Times New Roman"/>
                <w:sz w:val="18"/>
                <w:szCs w:val="18"/>
              </w:rPr>
              <w:t>Human Rights</w:t>
            </w:r>
          </w:p>
        </w:tc>
        <w:tc>
          <w:tcPr>
            <w:tcW w:w="2821" w:type="dxa"/>
            <w:tcBorders>
              <w:bottom w:val="single" w:sz="4" w:space="0" w:color="auto"/>
            </w:tcBorders>
            <w:shd w:val="clear" w:color="auto" w:fill="E36C0A" w:themeFill="accent6" w:themeFillShade="BF"/>
            <w:vAlign w:val="center"/>
          </w:tcPr>
          <w:p w14:paraId="2687E030"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5B05F4A"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3F79D1">
              <w:rPr>
                <w:b/>
                <w:sz w:val="18"/>
                <w:szCs w:val="18"/>
                <w:shd w:val="clear" w:color="auto" w:fill="E36C0A" w:themeFill="accent6" w:themeFillShade="BF"/>
              </w:rPr>
              <w:t>Substantial</w:t>
            </w:r>
          </w:p>
        </w:tc>
      </w:tr>
      <w:tr w:rsidR="00E92271" w:rsidRPr="00205F90" w14:paraId="21CF98B5" w14:textId="77777777" w:rsidTr="00776642">
        <w:tc>
          <w:tcPr>
            <w:tcW w:w="6196" w:type="dxa"/>
            <w:vAlign w:val="center"/>
          </w:tcPr>
          <w:p w14:paraId="4D83041D" w14:textId="77777777" w:rsidR="00E92271" w:rsidRPr="003142F0" w:rsidRDefault="00E92271" w:rsidP="00776642">
            <w:pPr>
              <w:rPr>
                <w:rFonts w:asciiTheme="majorHAnsi" w:eastAsiaTheme="majorEastAsia" w:hAnsiTheme="majorHAnsi" w:cstheme="majorBidi"/>
                <w:color w:val="243F60" w:themeColor="accent1" w:themeShade="7F"/>
                <w:sz w:val="18"/>
                <w:szCs w:val="18"/>
              </w:rPr>
            </w:pPr>
            <w:r w:rsidRPr="003142F0">
              <w:rPr>
                <w:sz w:val="18"/>
                <w:szCs w:val="18"/>
              </w:rPr>
              <w:t>Gender Equality and Women’s Empowerment</w:t>
            </w:r>
          </w:p>
        </w:tc>
        <w:tc>
          <w:tcPr>
            <w:tcW w:w="2821" w:type="dxa"/>
            <w:tcBorders>
              <w:bottom w:val="single" w:sz="4" w:space="0" w:color="auto"/>
            </w:tcBorders>
            <w:shd w:val="clear" w:color="auto" w:fill="FFFF00"/>
            <w:vAlign w:val="center"/>
          </w:tcPr>
          <w:p w14:paraId="3641AB8C"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105ED9A0"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t>Moderate</w:t>
            </w:r>
          </w:p>
        </w:tc>
      </w:tr>
      <w:tr w:rsidR="00E92271" w:rsidRPr="00205F90" w14:paraId="6BE21247" w14:textId="77777777" w:rsidTr="00776642">
        <w:tc>
          <w:tcPr>
            <w:tcW w:w="6196" w:type="dxa"/>
            <w:vAlign w:val="center"/>
          </w:tcPr>
          <w:p w14:paraId="34221978" w14:textId="77777777" w:rsidR="00E92271" w:rsidRPr="00205F90" w:rsidRDefault="00E92271" w:rsidP="00776642">
            <w:pPr>
              <w:rPr>
                <w:sz w:val="18"/>
                <w:szCs w:val="18"/>
              </w:rPr>
            </w:pPr>
            <w:r w:rsidRPr="00205F90">
              <w:rPr>
                <w:sz w:val="18"/>
                <w:szCs w:val="18"/>
              </w:rPr>
              <w:lastRenderedPageBreak/>
              <w:t>Accountability</w:t>
            </w:r>
          </w:p>
        </w:tc>
        <w:tc>
          <w:tcPr>
            <w:tcW w:w="2821" w:type="dxa"/>
            <w:shd w:val="clear" w:color="auto" w:fill="E36C0A" w:themeFill="accent6" w:themeFillShade="BF"/>
            <w:vAlign w:val="center"/>
          </w:tcPr>
          <w:p w14:paraId="1B37CF89"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721846D" w14:textId="77777777" w:rsidR="00E92271" w:rsidRPr="00205F90" w:rsidRDefault="00E92271" w:rsidP="00776642">
            <w:pPr>
              <w:jc w:val="center"/>
              <w:rPr>
                <w:b/>
                <w:sz w:val="18"/>
                <w:szCs w:val="18"/>
              </w:rPr>
            </w:pPr>
            <w:r>
              <w:rPr>
                <w:b/>
                <w:sz w:val="18"/>
                <w:szCs w:val="18"/>
              </w:rPr>
              <w:t>Substantial</w:t>
            </w:r>
          </w:p>
        </w:tc>
      </w:tr>
      <w:tr w:rsidR="00E92271" w:rsidRPr="00205F90" w14:paraId="569B0F86" w14:textId="77777777" w:rsidTr="00776642">
        <w:tc>
          <w:tcPr>
            <w:tcW w:w="6196" w:type="dxa"/>
            <w:vAlign w:val="center"/>
          </w:tcPr>
          <w:p w14:paraId="5AE40EF9"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1: Biodiversity Conservation and Sustainable Natural Resource Management</w:t>
            </w:r>
          </w:p>
        </w:tc>
        <w:tc>
          <w:tcPr>
            <w:tcW w:w="2821" w:type="dxa"/>
            <w:tcBorders>
              <w:bottom w:val="single" w:sz="4" w:space="0" w:color="auto"/>
            </w:tcBorders>
            <w:shd w:val="clear" w:color="auto" w:fill="FFFF00"/>
            <w:vAlign w:val="center"/>
          </w:tcPr>
          <w:p w14:paraId="7A1F56EC"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1F568E3A" w14:textId="4A6C9AAE" w:rsidR="00E92271" w:rsidRPr="00205F90" w:rsidRDefault="00776642" w:rsidP="00776642">
            <w:pPr>
              <w:jc w:val="center"/>
              <w:rPr>
                <w:rFonts w:asciiTheme="majorHAnsi" w:eastAsiaTheme="majorEastAsia" w:hAnsiTheme="majorHAnsi" w:cstheme="majorBidi"/>
                <w:b/>
                <w:color w:val="243F60" w:themeColor="accent1" w:themeShade="7F"/>
                <w:sz w:val="18"/>
                <w:szCs w:val="18"/>
              </w:rPr>
            </w:pPr>
            <w:r>
              <w:rPr>
                <w:b/>
                <w:color w:val="243F60" w:themeColor="accent1" w:themeShade="7F"/>
                <w:sz w:val="18"/>
                <w:szCs w:val="18"/>
              </w:rPr>
              <w:t>Moderate</w:t>
            </w:r>
          </w:p>
        </w:tc>
      </w:tr>
      <w:tr w:rsidR="00E92271" w:rsidRPr="00205F90" w14:paraId="2714BE51" w14:textId="77777777" w:rsidTr="00776642">
        <w:tc>
          <w:tcPr>
            <w:tcW w:w="6196" w:type="dxa"/>
            <w:vAlign w:val="center"/>
          </w:tcPr>
          <w:p w14:paraId="15AF7A53" w14:textId="77777777" w:rsidR="00E92271" w:rsidRPr="00205F90" w:rsidRDefault="00E92271" w:rsidP="00776642">
            <w:pPr>
              <w:rPr>
                <w:sz w:val="18"/>
                <w:szCs w:val="18"/>
              </w:rPr>
            </w:pPr>
            <w:r w:rsidRPr="00205F90">
              <w:rPr>
                <w:sz w:val="18"/>
                <w:szCs w:val="18"/>
              </w:rPr>
              <w:t>Standard 2: Climate Change and Mitigation</w:t>
            </w:r>
          </w:p>
        </w:tc>
        <w:tc>
          <w:tcPr>
            <w:tcW w:w="2821" w:type="dxa"/>
            <w:tcBorders>
              <w:bottom w:val="single" w:sz="4" w:space="0" w:color="auto"/>
            </w:tcBorders>
            <w:shd w:val="clear" w:color="auto" w:fill="FFFF00"/>
            <w:vAlign w:val="center"/>
          </w:tcPr>
          <w:p w14:paraId="07F4722F"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47CD391C" w14:textId="77777777" w:rsidR="00E92271" w:rsidRPr="00205F90" w:rsidRDefault="00E92271" w:rsidP="00776642">
            <w:pPr>
              <w:jc w:val="center"/>
              <w:rPr>
                <w:b/>
                <w:sz w:val="18"/>
                <w:szCs w:val="18"/>
              </w:rPr>
            </w:pPr>
            <w:r w:rsidRPr="00205F90">
              <w:rPr>
                <w:b/>
                <w:sz w:val="18"/>
                <w:szCs w:val="18"/>
              </w:rPr>
              <w:t>Moderate</w:t>
            </w:r>
          </w:p>
        </w:tc>
      </w:tr>
      <w:tr w:rsidR="00776642" w:rsidRPr="00205F90" w14:paraId="38DF6F32" w14:textId="77777777" w:rsidTr="00776642">
        <w:tc>
          <w:tcPr>
            <w:tcW w:w="6196" w:type="dxa"/>
            <w:vAlign w:val="center"/>
          </w:tcPr>
          <w:p w14:paraId="67FB3CDE" w14:textId="6EB9A0F6" w:rsidR="00776642" w:rsidRPr="00205F90" w:rsidRDefault="00776642" w:rsidP="00776642">
            <w:pPr>
              <w:rPr>
                <w:sz w:val="18"/>
                <w:szCs w:val="18"/>
              </w:rPr>
            </w:pPr>
            <w:r w:rsidRPr="00205F90">
              <w:rPr>
                <w:sz w:val="18"/>
                <w:szCs w:val="18"/>
              </w:rPr>
              <w:t>Standard 3: Community Health, Safety and Working Conditions</w:t>
            </w:r>
          </w:p>
        </w:tc>
        <w:tc>
          <w:tcPr>
            <w:tcW w:w="2821" w:type="dxa"/>
            <w:tcBorders>
              <w:bottom w:val="single" w:sz="4" w:space="0" w:color="auto"/>
            </w:tcBorders>
            <w:shd w:val="clear" w:color="auto" w:fill="E36C0A" w:themeFill="accent6" w:themeFillShade="BF"/>
            <w:vAlign w:val="center"/>
          </w:tcPr>
          <w:p w14:paraId="3A259612" w14:textId="77777777" w:rsidR="00776642" w:rsidRPr="00205F90" w:rsidRDefault="00776642"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2C5AF7C1" w14:textId="17C6D365" w:rsidR="00776642" w:rsidRPr="00205F90" w:rsidRDefault="00776642" w:rsidP="00776642">
            <w:pPr>
              <w:jc w:val="center"/>
              <w:rPr>
                <w:b/>
                <w:sz w:val="18"/>
                <w:szCs w:val="18"/>
              </w:rPr>
            </w:pPr>
            <w:r>
              <w:rPr>
                <w:b/>
                <w:sz w:val="18"/>
                <w:szCs w:val="18"/>
              </w:rPr>
              <w:t>Substantial</w:t>
            </w:r>
          </w:p>
        </w:tc>
      </w:tr>
      <w:tr w:rsidR="00E92271" w:rsidRPr="00205F90" w14:paraId="0EED5E98" w14:textId="77777777" w:rsidTr="00776642">
        <w:tc>
          <w:tcPr>
            <w:tcW w:w="6196" w:type="dxa"/>
            <w:vAlign w:val="center"/>
          </w:tcPr>
          <w:p w14:paraId="0DF97027" w14:textId="77777777" w:rsidR="00E92271" w:rsidRPr="00205F90" w:rsidRDefault="00E92271" w:rsidP="00776642">
            <w:pPr>
              <w:rPr>
                <w:sz w:val="18"/>
                <w:szCs w:val="18"/>
              </w:rPr>
            </w:pPr>
            <w:r w:rsidRPr="00205F90">
              <w:rPr>
                <w:sz w:val="18"/>
                <w:szCs w:val="18"/>
              </w:rPr>
              <w:t>Standard 4:</w:t>
            </w:r>
            <w:r>
              <w:rPr>
                <w:sz w:val="18"/>
                <w:szCs w:val="18"/>
              </w:rPr>
              <w:t xml:space="preserve"> Cultural Heritage</w:t>
            </w:r>
          </w:p>
        </w:tc>
        <w:tc>
          <w:tcPr>
            <w:tcW w:w="2821" w:type="dxa"/>
            <w:tcBorders>
              <w:bottom w:val="single" w:sz="4" w:space="0" w:color="auto"/>
            </w:tcBorders>
            <w:shd w:val="clear" w:color="auto" w:fill="FFFF00"/>
            <w:vAlign w:val="center"/>
          </w:tcPr>
          <w:p w14:paraId="35504BFB"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647F9E6B" w14:textId="77777777" w:rsidR="00E92271" w:rsidRPr="00205F90" w:rsidRDefault="00E92271" w:rsidP="00776642">
            <w:pPr>
              <w:jc w:val="center"/>
              <w:rPr>
                <w:b/>
                <w:sz w:val="18"/>
                <w:szCs w:val="18"/>
              </w:rPr>
            </w:pPr>
            <w:r w:rsidRPr="00205F90">
              <w:rPr>
                <w:b/>
                <w:sz w:val="18"/>
                <w:szCs w:val="18"/>
              </w:rPr>
              <w:t>Moderate</w:t>
            </w:r>
          </w:p>
        </w:tc>
      </w:tr>
      <w:tr w:rsidR="00E92271" w:rsidRPr="00205F90" w14:paraId="59838D07" w14:textId="77777777" w:rsidTr="00776642">
        <w:tc>
          <w:tcPr>
            <w:tcW w:w="6196" w:type="dxa"/>
            <w:vAlign w:val="center"/>
          </w:tcPr>
          <w:p w14:paraId="43529A07"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5: Displacement and Resettlement</w:t>
            </w:r>
          </w:p>
        </w:tc>
        <w:tc>
          <w:tcPr>
            <w:tcW w:w="2821" w:type="dxa"/>
            <w:tcBorders>
              <w:bottom w:val="single" w:sz="4" w:space="0" w:color="auto"/>
            </w:tcBorders>
            <w:shd w:val="clear" w:color="auto" w:fill="FFFF00"/>
            <w:vAlign w:val="center"/>
          </w:tcPr>
          <w:p w14:paraId="52EBC9D8"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3AAB525D" w14:textId="3C28DBE3" w:rsidR="00E92271" w:rsidRPr="00205F90" w:rsidRDefault="00776642" w:rsidP="00776642">
            <w:pPr>
              <w:jc w:val="center"/>
              <w:rPr>
                <w:rFonts w:asciiTheme="majorHAnsi" w:eastAsiaTheme="majorEastAsia" w:hAnsiTheme="majorHAnsi" w:cstheme="majorBidi"/>
                <w:b/>
                <w:color w:val="243F60" w:themeColor="accent1" w:themeShade="7F"/>
                <w:sz w:val="18"/>
                <w:szCs w:val="18"/>
              </w:rPr>
            </w:pPr>
            <w:r>
              <w:rPr>
                <w:b/>
                <w:sz w:val="18"/>
                <w:szCs w:val="18"/>
              </w:rPr>
              <w:t>Moderate</w:t>
            </w:r>
          </w:p>
        </w:tc>
      </w:tr>
      <w:tr w:rsidR="00E92271" w:rsidRPr="00205F90" w14:paraId="21DB2BDA" w14:textId="77777777" w:rsidTr="00776642">
        <w:tc>
          <w:tcPr>
            <w:tcW w:w="6196" w:type="dxa"/>
            <w:vAlign w:val="center"/>
          </w:tcPr>
          <w:p w14:paraId="26C63E2E" w14:textId="77777777" w:rsidR="00E92271" w:rsidRPr="00205F90" w:rsidRDefault="00E92271" w:rsidP="00776642">
            <w:pPr>
              <w:rPr>
                <w:rFonts w:asciiTheme="majorHAnsi" w:eastAsiaTheme="majorEastAsia" w:hAnsiTheme="majorHAnsi" w:cstheme="majorBidi"/>
                <w:color w:val="243F60" w:themeColor="accent1" w:themeShade="7F"/>
                <w:sz w:val="18"/>
                <w:szCs w:val="18"/>
              </w:rPr>
            </w:pPr>
            <w:r w:rsidRPr="00205F90">
              <w:rPr>
                <w:sz w:val="18"/>
                <w:szCs w:val="18"/>
              </w:rPr>
              <w:t>Standard 6: Indigenous Peoples</w:t>
            </w:r>
          </w:p>
        </w:tc>
        <w:tc>
          <w:tcPr>
            <w:tcW w:w="2821" w:type="dxa"/>
            <w:shd w:val="clear" w:color="auto" w:fill="E36C0A" w:themeFill="accent6" w:themeFillShade="BF"/>
            <w:vAlign w:val="center"/>
          </w:tcPr>
          <w:p w14:paraId="1E4C2F1F"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sym w:font="Wingdings" w:char="F0FC"/>
            </w:r>
          </w:p>
          <w:p w14:paraId="6BB88BE1"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205F90">
              <w:rPr>
                <w:b/>
                <w:sz w:val="18"/>
                <w:szCs w:val="18"/>
              </w:rPr>
              <w:t>Substantial</w:t>
            </w:r>
          </w:p>
        </w:tc>
      </w:tr>
      <w:tr w:rsidR="00E92271" w:rsidRPr="00FA603A" w14:paraId="145CADCA" w14:textId="77777777" w:rsidTr="00776642">
        <w:tc>
          <w:tcPr>
            <w:tcW w:w="6196" w:type="dxa"/>
            <w:vAlign w:val="center"/>
          </w:tcPr>
          <w:p w14:paraId="702E206F" w14:textId="77777777" w:rsidR="00E92271" w:rsidRPr="00205F90" w:rsidRDefault="00E92271" w:rsidP="00776642">
            <w:pPr>
              <w:rPr>
                <w:sz w:val="18"/>
                <w:szCs w:val="18"/>
              </w:rPr>
            </w:pPr>
            <w:r w:rsidRPr="00205F90">
              <w:rPr>
                <w:rFonts w:cstheme="minorHAnsi"/>
                <w:color w:val="000000"/>
                <w:sz w:val="18"/>
                <w:szCs w:val="18"/>
                <w:lang w:eastAsia="zh-CN"/>
              </w:rPr>
              <w:t xml:space="preserve">Standard 7: </w:t>
            </w:r>
            <w:proofErr w:type="spellStart"/>
            <w:r w:rsidRPr="00205F90">
              <w:rPr>
                <w:sz w:val="18"/>
                <w:szCs w:val="18"/>
              </w:rPr>
              <w:t>Labour</w:t>
            </w:r>
            <w:proofErr w:type="spellEnd"/>
            <w:r w:rsidRPr="00205F90">
              <w:rPr>
                <w:sz w:val="18"/>
                <w:szCs w:val="18"/>
              </w:rPr>
              <w:t xml:space="preserve"> and working conditions</w:t>
            </w:r>
          </w:p>
        </w:tc>
        <w:tc>
          <w:tcPr>
            <w:tcW w:w="2821" w:type="dxa"/>
            <w:shd w:val="clear" w:color="auto" w:fill="FFFF00"/>
            <w:vAlign w:val="center"/>
          </w:tcPr>
          <w:p w14:paraId="349F4526" w14:textId="77777777" w:rsidR="00E92271" w:rsidRPr="00205F90" w:rsidRDefault="00E92271" w:rsidP="00776642">
            <w:pPr>
              <w:jc w:val="center"/>
              <w:rPr>
                <w:rFonts w:asciiTheme="majorHAnsi" w:eastAsiaTheme="majorEastAsia" w:hAnsiTheme="majorHAnsi" w:cstheme="majorBidi"/>
                <w:b/>
                <w:color w:val="243F60" w:themeColor="accent1" w:themeShade="7F"/>
                <w:sz w:val="18"/>
                <w:szCs w:val="18"/>
              </w:rPr>
            </w:pPr>
            <w:r w:rsidRPr="00FA603A">
              <w:rPr>
                <w:b/>
              </w:rPr>
              <w:sym w:font="Wingdings" w:char="F0FC"/>
            </w:r>
          </w:p>
          <w:p w14:paraId="5D2CA256" w14:textId="77777777" w:rsidR="00E92271" w:rsidRPr="00FA603A" w:rsidRDefault="00E92271" w:rsidP="00776642">
            <w:pPr>
              <w:jc w:val="center"/>
              <w:rPr>
                <w:b/>
              </w:rPr>
            </w:pPr>
            <w:r w:rsidRPr="00205F90">
              <w:rPr>
                <w:b/>
                <w:sz w:val="18"/>
                <w:szCs w:val="18"/>
              </w:rPr>
              <w:t>Moderate</w:t>
            </w:r>
          </w:p>
        </w:tc>
      </w:tr>
      <w:tr w:rsidR="00E92271" w:rsidRPr="00FA603A" w14:paraId="3E3402A6" w14:textId="77777777" w:rsidTr="00776642">
        <w:tc>
          <w:tcPr>
            <w:tcW w:w="6196" w:type="dxa"/>
            <w:vAlign w:val="center"/>
          </w:tcPr>
          <w:p w14:paraId="4283CB1D" w14:textId="77777777" w:rsidR="00E92271" w:rsidRPr="00205F90" w:rsidRDefault="00E92271" w:rsidP="00776642">
            <w:pPr>
              <w:rPr>
                <w:sz w:val="18"/>
                <w:szCs w:val="18"/>
              </w:rPr>
            </w:pPr>
            <w:r w:rsidRPr="00205F90">
              <w:rPr>
                <w:sz w:val="18"/>
                <w:szCs w:val="18"/>
              </w:rPr>
              <w:t xml:space="preserve">Standard 8: </w:t>
            </w:r>
            <w:r w:rsidRPr="006B48B6">
              <w:rPr>
                <w:rFonts w:eastAsia="Times New Roman"/>
                <w:sz w:val="18"/>
                <w:szCs w:val="18"/>
              </w:rPr>
              <w:t xml:space="preserve"> Pollution Prevention and Resource Efficiency</w:t>
            </w:r>
          </w:p>
        </w:tc>
        <w:tc>
          <w:tcPr>
            <w:tcW w:w="2821" w:type="dxa"/>
            <w:shd w:val="clear" w:color="auto" w:fill="FFFF00"/>
            <w:vAlign w:val="center"/>
          </w:tcPr>
          <w:p w14:paraId="5514023B" w14:textId="77777777" w:rsidR="00E92271" w:rsidRPr="00205F90" w:rsidRDefault="00E92271" w:rsidP="00776642">
            <w:pPr>
              <w:shd w:val="clear" w:color="auto" w:fill="FFFF00"/>
              <w:jc w:val="center"/>
              <w:rPr>
                <w:rFonts w:asciiTheme="majorHAnsi" w:eastAsiaTheme="majorEastAsia" w:hAnsiTheme="majorHAnsi" w:cstheme="majorBidi"/>
                <w:b/>
                <w:color w:val="243F60" w:themeColor="accent1" w:themeShade="7F"/>
                <w:sz w:val="18"/>
                <w:szCs w:val="18"/>
              </w:rPr>
            </w:pPr>
            <w:r w:rsidRPr="00FA603A">
              <w:rPr>
                <w:b/>
              </w:rPr>
              <w:sym w:font="Wingdings" w:char="F0FC"/>
            </w:r>
          </w:p>
          <w:p w14:paraId="7BA68472" w14:textId="77777777" w:rsidR="00E92271" w:rsidRPr="00FA603A" w:rsidRDefault="00E92271" w:rsidP="00776642">
            <w:pPr>
              <w:shd w:val="clear" w:color="auto" w:fill="FFFF00"/>
              <w:jc w:val="center"/>
              <w:rPr>
                <w:b/>
              </w:rPr>
            </w:pPr>
            <w:r>
              <w:rPr>
                <w:b/>
                <w:sz w:val="18"/>
                <w:szCs w:val="18"/>
              </w:rPr>
              <w:t>Moderate</w:t>
            </w:r>
          </w:p>
        </w:tc>
      </w:tr>
      <w:tr w:rsidR="009529C9" w:rsidRPr="00FA603A" w14:paraId="4B1D07D6" w14:textId="77777777" w:rsidTr="00776642">
        <w:trPr>
          <w:gridAfter w:val="1"/>
          <w:wAfter w:w="2821" w:type="dxa"/>
          <w:trHeight w:val="70"/>
        </w:trPr>
        <w:tc>
          <w:tcPr>
            <w:tcW w:w="6196" w:type="dxa"/>
            <w:shd w:val="clear" w:color="auto" w:fill="EEECE1" w:themeFill="background2"/>
            <w:vAlign w:val="center"/>
          </w:tcPr>
          <w:p w14:paraId="6C56703F" w14:textId="77777777" w:rsidR="009529C9" w:rsidRPr="00FA603A" w:rsidRDefault="009529C9" w:rsidP="00776642">
            <w:pPr>
              <w:rPr>
                <w:rFonts w:asciiTheme="majorHAnsi" w:eastAsiaTheme="majorEastAsia" w:hAnsiTheme="majorHAnsi" w:cstheme="majorBidi"/>
                <w:b/>
                <w:color w:val="243F60" w:themeColor="accent1" w:themeShade="7F"/>
              </w:rPr>
            </w:pPr>
            <w:r w:rsidRPr="00FA603A">
              <w:rPr>
                <w:b/>
              </w:rPr>
              <w:t>Number of risks in each risk rating category</w:t>
            </w:r>
          </w:p>
        </w:tc>
      </w:tr>
      <w:tr w:rsidR="00E92271" w:rsidRPr="00FA603A" w14:paraId="6EA5187F" w14:textId="77777777" w:rsidTr="00776642">
        <w:trPr>
          <w:trHeight w:val="70"/>
        </w:trPr>
        <w:tc>
          <w:tcPr>
            <w:tcW w:w="6196" w:type="dxa"/>
            <w:tcBorders>
              <w:bottom w:val="single" w:sz="4" w:space="0" w:color="auto"/>
            </w:tcBorders>
            <w:shd w:val="clear" w:color="auto" w:fill="FF0000"/>
            <w:vAlign w:val="center"/>
          </w:tcPr>
          <w:p w14:paraId="33C28CC3" w14:textId="77777777" w:rsidR="00E92271" w:rsidRPr="00D8047E" w:rsidRDefault="00E92271" w:rsidP="00776642">
            <w:pPr>
              <w:rPr>
                <w:rFonts w:asciiTheme="majorHAnsi" w:eastAsiaTheme="majorEastAsia" w:hAnsiTheme="majorHAnsi" w:cstheme="majorBidi"/>
                <w:color w:val="243F60" w:themeColor="accent1" w:themeShade="7F"/>
              </w:rPr>
            </w:pPr>
            <w:r w:rsidRPr="00D8047E">
              <w:t>High</w:t>
            </w:r>
          </w:p>
        </w:tc>
        <w:tc>
          <w:tcPr>
            <w:tcW w:w="2821" w:type="dxa"/>
            <w:shd w:val="clear" w:color="auto" w:fill="auto"/>
            <w:vAlign w:val="center"/>
          </w:tcPr>
          <w:p w14:paraId="499EDD85" w14:textId="77777777" w:rsidR="00E92271" w:rsidRPr="0077728A" w:rsidRDefault="00E92271" w:rsidP="00776642">
            <w:pPr>
              <w:jc w:val="center"/>
              <w:rPr>
                <w:rFonts w:eastAsiaTheme="majorEastAsia" w:cs="Times New Roman"/>
                <w:color w:val="243F60" w:themeColor="accent1" w:themeShade="7F"/>
              </w:rPr>
            </w:pPr>
            <w:r w:rsidRPr="0077728A">
              <w:rPr>
                <w:rFonts w:cs="Times New Roman"/>
              </w:rPr>
              <w:t>0</w:t>
            </w:r>
          </w:p>
        </w:tc>
      </w:tr>
      <w:tr w:rsidR="00E92271" w:rsidRPr="00FA603A" w14:paraId="3BFC8541" w14:textId="77777777" w:rsidTr="00776642">
        <w:trPr>
          <w:trHeight w:val="70"/>
        </w:trPr>
        <w:tc>
          <w:tcPr>
            <w:tcW w:w="6196" w:type="dxa"/>
            <w:shd w:val="clear" w:color="auto" w:fill="E36C0A" w:themeFill="accent6" w:themeFillShade="BF"/>
            <w:vAlign w:val="center"/>
          </w:tcPr>
          <w:p w14:paraId="4EA9B087" w14:textId="77777777" w:rsidR="00E92271" w:rsidRPr="00D8047E" w:rsidRDefault="00E92271" w:rsidP="00776642">
            <w:pPr>
              <w:rPr>
                <w:rFonts w:asciiTheme="majorHAnsi" w:eastAsiaTheme="majorEastAsia" w:hAnsiTheme="majorHAnsi" w:cstheme="majorBidi"/>
                <w:color w:val="243F60" w:themeColor="accent1" w:themeShade="7F"/>
              </w:rPr>
            </w:pPr>
            <w:r>
              <w:t>Substantial</w:t>
            </w:r>
          </w:p>
        </w:tc>
        <w:tc>
          <w:tcPr>
            <w:tcW w:w="2821" w:type="dxa"/>
            <w:shd w:val="clear" w:color="auto" w:fill="auto"/>
            <w:vAlign w:val="center"/>
          </w:tcPr>
          <w:p w14:paraId="5EE61690" w14:textId="63D4AA9E" w:rsidR="00E92271" w:rsidRPr="0077728A" w:rsidRDefault="0077728A" w:rsidP="00776642">
            <w:pPr>
              <w:jc w:val="center"/>
              <w:rPr>
                <w:rFonts w:eastAsiaTheme="majorEastAsia" w:cs="Times New Roman"/>
                <w:color w:val="243F60" w:themeColor="accent1" w:themeShade="7F"/>
              </w:rPr>
            </w:pPr>
            <w:r w:rsidRPr="0077728A">
              <w:rPr>
                <w:rFonts w:eastAsiaTheme="majorEastAsia" w:cs="Times New Roman"/>
                <w:color w:val="243F60" w:themeColor="accent1" w:themeShade="7F"/>
              </w:rPr>
              <w:t>3</w:t>
            </w:r>
          </w:p>
        </w:tc>
      </w:tr>
      <w:tr w:rsidR="00E92271" w:rsidRPr="00FA603A" w14:paraId="7F9BC449" w14:textId="77777777" w:rsidTr="00776642">
        <w:trPr>
          <w:trHeight w:val="70"/>
        </w:trPr>
        <w:tc>
          <w:tcPr>
            <w:tcW w:w="6196" w:type="dxa"/>
            <w:shd w:val="clear" w:color="auto" w:fill="FFFF00"/>
            <w:vAlign w:val="center"/>
          </w:tcPr>
          <w:p w14:paraId="6190DA84" w14:textId="77777777" w:rsidR="00E92271" w:rsidRPr="00D8047E" w:rsidRDefault="00E92271" w:rsidP="00776642">
            <w:pPr>
              <w:rPr>
                <w:rFonts w:asciiTheme="majorHAnsi" w:eastAsiaTheme="majorEastAsia" w:hAnsiTheme="majorHAnsi" w:cstheme="majorBidi"/>
                <w:color w:val="243F60" w:themeColor="accent1" w:themeShade="7F"/>
              </w:rPr>
            </w:pPr>
            <w:r w:rsidRPr="00D8047E">
              <w:t>Moderate</w:t>
            </w:r>
          </w:p>
        </w:tc>
        <w:tc>
          <w:tcPr>
            <w:tcW w:w="2821" w:type="dxa"/>
            <w:shd w:val="clear" w:color="auto" w:fill="auto"/>
            <w:vAlign w:val="center"/>
          </w:tcPr>
          <w:p w14:paraId="0D1BD3DF" w14:textId="4E1BC686" w:rsidR="00E92271" w:rsidRPr="0077728A" w:rsidRDefault="0077728A" w:rsidP="00776642">
            <w:pPr>
              <w:jc w:val="center"/>
              <w:rPr>
                <w:rFonts w:eastAsiaTheme="majorEastAsia" w:cs="Times New Roman"/>
                <w:color w:val="243F60" w:themeColor="accent1" w:themeShade="7F"/>
              </w:rPr>
            </w:pPr>
            <w:r w:rsidRPr="0077728A">
              <w:rPr>
                <w:rFonts w:eastAsiaTheme="majorEastAsia" w:cs="Times New Roman"/>
                <w:color w:val="243F60" w:themeColor="accent1" w:themeShade="7F"/>
              </w:rPr>
              <w:t>1</w:t>
            </w:r>
            <w:r w:rsidR="003F138E">
              <w:rPr>
                <w:rFonts w:eastAsiaTheme="majorEastAsia" w:cs="Times New Roman"/>
                <w:color w:val="243F60" w:themeColor="accent1" w:themeShade="7F"/>
              </w:rPr>
              <w:t>0</w:t>
            </w:r>
          </w:p>
        </w:tc>
      </w:tr>
      <w:tr w:rsidR="00E92271" w:rsidRPr="00FA603A" w14:paraId="73C97B89" w14:textId="77777777" w:rsidTr="00776642">
        <w:trPr>
          <w:trHeight w:val="70"/>
        </w:trPr>
        <w:tc>
          <w:tcPr>
            <w:tcW w:w="6196" w:type="dxa"/>
            <w:shd w:val="clear" w:color="auto" w:fill="9BBB59" w:themeFill="accent3"/>
            <w:vAlign w:val="center"/>
          </w:tcPr>
          <w:p w14:paraId="15C62027" w14:textId="77777777" w:rsidR="00E92271" w:rsidRPr="00D8047E" w:rsidRDefault="00E92271" w:rsidP="00776642">
            <w:pPr>
              <w:rPr>
                <w:rFonts w:asciiTheme="majorHAnsi" w:eastAsiaTheme="majorEastAsia" w:hAnsiTheme="majorHAnsi" w:cstheme="majorBidi"/>
                <w:color w:val="243F60" w:themeColor="accent1" w:themeShade="7F"/>
              </w:rPr>
            </w:pPr>
            <w:r w:rsidRPr="00D8047E">
              <w:t>Low</w:t>
            </w:r>
          </w:p>
        </w:tc>
        <w:tc>
          <w:tcPr>
            <w:tcW w:w="2821" w:type="dxa"/>
            <w:shd w:val="clear" w:color="auto" w:fill="auto"/>
            <w:vAlign w:val="center"/>
          </w:tcPr>
          <w:p w14:paraId="6CCC46EA" w14:textId="27D7E611" w:rsidR="00E92271" w:rsidRPr="0077728A" w:rsidRDefault="00727B72" w:rsidP="00776642">
            <w:pPr>
              <w:jc w:val="center"/>
              <w:rPr>
                <w:rFonts w:eastAsiaTheme="majorEastAsia" w:cs="Times New Roman"/>
                <w:color w:val="243F60" w:themeColor="accent1" w:themeShade="7F"/>
              </w:rPr>
            </w:pPr>
            <w:r>
              <w:rPr>
                <w:rFonts w:eastAsiaTheme="majorEastAsia" w:cs="Times New Roman"/>
                <w:color w:val="243F60" w:themeColor="accent1" w:themeShade="7F"/>
              </w:rPr>
              <w:t>1</w:t>
            </w:r>
          </w:p>
        </w:tc>
      </w:tr>
      <w:tr w:rsidR="00E92271" w:rsidRPr="00FA603A" w14:paraId="20F54160" w14:textId="77777777" w:rsidTr="00776642">
        <w:trPr>
          <w:trHeight w:val="70"/>
        </w:trPr>
        <w:tc>
          <w:tcPr>
            <w:tcW w:w="6196" w:type="dxa"/>
            <w:vAlign w:val="center"/>
          </w:tcPr>
          <w:p w14:paraId="139532C7" w14:textId="77777777" w:rsidR="00E92271" w:rsidRPr="00D8047E" w:rsidRDefault="00E92271" w:rsidP="00776642">
            <w:pPr>
              <w:rPr>
                <w:rFonts w:asciiTheme="majorHAnsi" w:eastAsiaTheme="majorEastAsia" w:hAnsiTheme="majorHAnsi" w:cstheme="majorBidi"/>
                <w:color w:val="243F60" w:themeColor="accent1" w:themeShade="7F"/>
              </w:rPr>
            </w:pPr>
            <w:r w:rsidRPr="00D8047E">
              <w:t>Total number of project risks</w:t>
            </w:r>
          </w:p>
        </w:tc>
        <w:tc>
          <w:tcPr>
            <w:tcW w:w="2821" w:type="dxa"/>
            <w:tcBorders>
              <w:bottom w:val="single" w:sz="4" w:space="0" w:color="auto"/>
            </w:tcBorders>
            <w:shd w:val="clear" w:color="auto" w:fill="auto"/>
            <w:vAlign w:val="center"/>
          </w:tcPr>
          <w:p w14:paraId="5DC9C772" w14:textId="7CE7D3FB" w:rsidR="00E92271" w:rsidRPr="0077728A" w:rsidRDefault="00E92271" w:rsidP="00776642">
            <w:pPr>
              <w:jc w:val="center"/>
              <w:rPr>
                <w:rFonts w:eastAsiaTheme="majorEastAsia" w:cs="Times New Roman"/>
                <w:color w:val="243F60" w:themeColor="accent1" w:themeShade="7F"/>
              </w:rPr>
            </w:pPr>
            <w:r w:rsidRPr="0077728A">
              <w:rPr>
                <w:rFonts w:cs="Times New Roman"/>
              </w:rPr>
              <w:t>1</w:t>
            </w:r>
            <w:r w:rsidR="00727B72">
              <w:rPr>
                <w:rFonts w:cs="Times New Roman"/>
              </w:rPr>
              <w:t>4</w:t>
            </w:r>
          </w:p>
        </w:tc>
      </w:tr>
      <w:tr w:rsidR="00E92271" w:rsidRPr="00FA603A" w14:paraId="595EEA22" w14:textId="77777777" w:rsidTr="00776642">
        <w:trPr>
          <w:trHeight w:val="70"/>
        </w:trPr>
        <w:tc>
          <w:tcPr>
            <w:tcW w:w="6196" w:type="dxa"/>
            <w:vAlign w:val="center"/>
          </w:tcPr>
          <w:p w14:paraId="7BD9B4FF" w14:textId="77777777" w:rsidR="00E92271" w:rsidRPr="00D8047E" w:rsidRDefault="00E92271" w:rsidP="00776642">
            <w:pPr>
              <w:rPr>
                <w:rFonts w:asciiTheme="majorHAnsi" w:eastAsiaTheme="majorEastAsia" w:hAnsiTheme="majorHAnsi" w:cstheme="majorBidi"/>
                <w:color w:val="243F60" w:themeColor="accent1" w:themeShade="7F"/>
              </w:rPr>
            </w:pPr>
            <w:r w:rsidRPr="00D8047E">
              <w:t>Overall Project Risk Categorization</w:t>
            </w:r>
          </w:p>
        </w:tc>
        <w:tc>
          <w:tcPr>
            <w:tcW w:w="2821" w:type="dxa"/>
            <w:shd w:val="clear" w:color="auto" w:fill="E36C0A" w:themeFill="accent6" w:themeFillShade="BF"/>
            <w:vAlign w:val="center"/>
          </w:tcPr>
          <w:p w14:paraId="6A019285" w14:textId="77777777" w:rsidR="00E92271" w:rsidRPr="00FA603A" w:rsidRDefault="00E92271" w:rsidP="00776642">
            <w:pPr>
              <w:jc w:val="center"/>
              <w:rPr>
                <w:rFonts w:asciiTheme="majorHAnsi" w:eastAsiaTheme="majorEastAsia" w:hAnsiTheme="majorHAnsi" w:cstheme="majorBidi"/>
                <w:color w:val="243F60" w:themeColor="accent1" w:themeShade="7F"/>
              </w:rPr>
            </w:pPr>
            <w:r>
              <w:rPr>
                <w:b/>
              </w:rPr>
              <w:t>Substantial</w:t>
            </w:r>
          </w:p>
        </w:tc>
      </w:tr>
    </w:tbl>
    <w:p w14:paraId="6B358BCC" w14:textId="4BCDBEF0" w:rsidR="00E92271" w:rsidRPr="00E92271" w:rsidRDefault="00E92271" w:rsidP="00BC61F7">
      <w:pPr>
        <w:rPr>
          <w:rFonts w:cs="Times New Roman"/>
          <w:szCs w:val="24"/>
        </w:rPr>
      </w:pPr>
    </w:p>
    <w:p w14:paraId="684F25D0" w14:textId="549B6519" w:rsidR="00E92271" w:rsidRPr="00C12294" w:rsidRDefault="00E92271" w:rsidP="00E92271">
      <w:pPr>
        <w:pStyle w:val="Default"/>
        <w:spacing w:line="276" w:lineRule="auto"/>
        <w:ind w:firstLine="720"/>
        <w:jc w:val="both"/>
        <w:rPr>
          <w:rFonts w:asciiTheme="majorHAnsi" w:hAnsiTheme="majorHAnsi" w:cstheme="majorHAnsi"/>
          <w:sz w:val="22"/>
          <w:szCs w:val="22"/>
          <w:lang w:eastAsia="zh-CN"/>
        </w:rPr>
      </w:pPr>
      <w:r w:rsidRPr="00C12294">
        <w:rPr>
          <w:rFonts w:asciiTheme="majorHAnsi" w:hAnsiTheme="majorHAnsi" w:cstheme="majorHAnsi"/>
          <w:sz w:val="22"/>
          <w:szCs w:val="22"/>
          <w:lang w:val="en-GB" w:eastAsia="zh-CN"/>
        </w:rPr>
        <w:t>The UNDP’s Social and Environmental Screening Procedure (SESP) has resulted in an overall “substantial” risk rating for the project. According to the 20</w:t>
      </w:r>
      <w:r w:rsidR="003F138E" w:rsidRPr="00C12294">
        <w:rPr>
          <w:rFonts w:asciiTheme="majorHAnsi" w:hAnsiTheme="majorHAnsi" w:cstheme="majorHAnsi"/>
          <w:sz w:val="22"/>
          <w:szCs w:val="22"/>
          <w:lang w:val="en-GB" w:eastAsia="zh-CN"/>
        </w:rPr>
        <w:t>21</w:t>
      </w:r>
      <w:r w:rsidRPr="00C12294">
        <w:rPr>
          <w:rFonts w:asciiTheme="majorHAnsi" w:hAnsiTheme="majorHAnsi" w:cstheme="majorHAnsi"/>
          <w:sz w:val="22"/>
          <w:szCs w:val="22"/>
          <w:lang w:val="en-GB" w:eastAsia="zh-CN"/>
        </w:rPr>
        <w:t xml:space="preserve"> SESP guidelines, a project is considered to have “substantial” social and environmental risk when it </w:t>
      </w:r>
      <w:r w:rsidRPr="00C12294">
        <w:rPr>
          <w:rFonts w:asciiTheme="majorHAnsi" w:hAnsiTheme="majorHAnsi" w:cstheme="majorHAnsi"/>
          <w:i/>
          <w:iCs/>
          <w:sz w:val="22"/>
          <w:szCs w:val="22"/>
          <w:lang w:val="en-GB" w:eastAsia="zh-CN"/>
        </w:rPr>
        <w:t>“includes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Pr="00C12294">
        <w:rPr>
          <w:rFonts w:asciiTheme="majorHAnsi" w:hAnsiTheme="majorHAnsi" w:cstheme="majorHAnsi"/>
          <w:sz w:val="22"/>
          <w:szCs w:val="22"/>
          <w:lang w:val="en-GB" w:eastAsia="zh-CN"/>
        </w:rPr>
        <w:t xml:space="preserve">  </w:t>
      </w:r>
    </w:p>
    <w:p w14:paraId="581FED01" w14:textId="77777777" w:rsidR="0091120C" w:rsidRDefault="0091120C" w:rsidP="00C12294">
      <w:pPr>
        <w:pStyle w:val="ListNumber2"/>
        <w:numPr>
          <w:ilvl w:val="0"/>
          <w:numId w:val="0"/>
        </w:numPr>
        <w:rPr>
          <w:color w:val="002060"/>
        </w:rPr>
      </w:pPr>
    </w:p>
    <w:p w14:paraId="2F22E244" w14:textId="1287F33A" w:rsidR="00E92271" w:rsidRPr="0091120C" w:rsidRDefault="00B22E43" w:rsidP="009560B6">
      <w:pPr>
        <w:pStyle w:val="Heading1"/>
        <w:numPr>
          <w:ilvl w:val="0"/>
          <w:numId w:val="9"/>
        </w:numPr>
        <w:rPr>
          <w:color w:val="002060"/>
        </w:rPr>
      </w:pPr>
      <w:bookmarkStart w:id="168" w:name="_Toc104218394"/>
      <w:r w:rsidRPr="0091120C">
        <w:rPr>
          <w:color w:val="002060"/>
        </w:rPr>
        <w:t>Required procedures for screening, assessment and management</w:t>
      </w:r>
      <w:bookmarkEnd w:id="168"/>
    </w:p>
    <w:p w14:paraId="460A3C3D" w14:textId="499E3114" w:rsidR="00B22E43" w:rsidRDefault="00B22E43" w:rsidP="00B22E43"/>
    <w:p w14:paraId="74F8604B" w14:textId="77777777" w:rsidR="00C12294" w:rsidRDefault="00002BB9" w:rsidP="00C12294">
      <w:pPr>
        <w:rPr>
          <w:rFonts w:asciiTheme="majorHAnsi" w:hAnsiTheme="majorHAnsi" w:cstheme="majorHAnsi"/>
          <w:color w:val="000000"/>
          <w:sz w:val="22"/>
        </w:rPr>
      </w:pPr>
      <w:bookmarkStart w:id="169" w:name="_Toc44061988"/>
      <w:bookmarkStart w:id="170" w:name="_Toc66298916"/>
      <w:r w:rsidRPr="00C12294">
        <w:rPr>
          <w:rFonts w:asciiTheme="majorHAnsi" w:hAnsiTheme="majorHAnsi" w:cstheme="majorHAnsi"/>
          <w:color w:val="000000"/>
          <w:sz w:val="22"/>
        </w:rPr>
        <w:t>As detailed earlier, the project underwent an initial risk screening during the concept stage which resulted in the project being categorized as ‘</w:t>
      </w:r>
      <w:r w:rsidRPr="00C12294">
        <w:rPr>
          <w:rFonts w:asciiTheme="majorHAnsi" w:hAnsiTheme="majorHAnsi" w:cstheme="majorHAnsi"/>
          <w:b/>
          <w:bCs/>
          <w:color w:val="000000"/>
          <w:sz w:val="22"/>
          <w:u w:val="single"/>
        </w:rPr>
        <w:t>Substantial’ risk</w:t>
      </w:r>
      <w:r w:rsidRPr="00C12294">
        <w:rPr>
          <w:rFonts w:asciiTheme="majorHAnsi" w:hAnsiTheme="majorHAnsi" w:cstheme="majorHAnsi"/>
          <w:color w:val="000000"/>
          <w:sz w:val="22"/>
        </w:rPr>
        <w:t xml:space="preserve">. During the conduct of the SESP, a selection of further assessments and management tools were identified as necessary. In the case of this Project, assessments and the development of these specific management plans may need to take place during project implementation due to the fact that many site-specific activities are not yet known and that project resources from the budget are needed to complete the assessment and management plans for forthcoming project activities.  As such, this ESMF has been developed to serve as a framework/tool that guides the screening and categorization, level of impact assessment, required institutional </w:t>
      </w:r>
      <w:r w:rsidRPr="00C12294">
        <w:rPr>
          <w:rFonts w:asciiTheme="majorHAnsi" w:hAnsiTheme="majorHAnsi" w:cstheme="majorHAnsi"/>
          <w:color w:val="000000"/>
          <w:sz w:val="22"/>
        </w:rPr>
        <w:lastRenderedPageBreak/>
        <w:t xml:space="preserve">arrangements, and processes to be followed for components or activities that will be further specified during project implementation. The ESMF ensures that appropriate management measures that comply with the SES are adopted prior to implementation of the relevant forthcoming activities. </w:t>
      </w:r>
    </w:p>
    <w:p w14:paraId="5DDE4490" w14:textId="77777777" w:rsidR="00C12294" w:rsidRDefault="00C12294" w:rsidP="00C12294">
      <w:pPr>
        <w:rPr>
          <w:rFonts w:asciiTheme="majorHAnsi" w:hAnsiTheme="majorHAnsi" w:cstheme="majorHAnsi"/>
          <w:color w:val="000000"/>
          <w:sz w:val="22"/>
        </w:rPr>
      </w:pPr>
    </w:p>
    <w:p w14:paraId="7A961EE8" w14:textId="77777777" w:rsidR="00C12294" w:rsidRDefault="00002BB9" w:rsidP="00C12294">
      <w:pPr>
        <w:rPr>
          <w:rFonts w:asciiTheme="majorHAnsi" w:hAnsiTheme="majorHAnsi" w:cstheme="majorHAnsi"/>
          <w:b/>
          <w:bCs/>
          <w:color w:val="000000"/>
          <w:sz w:val="22"/>
        </w:rPr>
      </w:pPr>
      <w:r w:rsidRPr="00C12294">
        <w:rPr>
          <w:rFonts w:asciiTheme="majorHAnsi" w:hAnsiTheme="majorHAnsi" w:cstheme="majorHAnsi"/>
          <w:color w:val="000000"/>
          <w:sz w:val="22"/>
        </w:rPr>
        <w:t xml:space="preserve">In addition to the ESMF, many of the initially identified risks were also addressed by including specific elements in the design of its activities. Four focused assessments were prepared during PPG phase: </w:t>
      </w:r>
      <w:proofErr w:type="spellStart"/>
      <w:r w:rsidRPr="00C12294">
        <w:rPr>
          <w:rFonts w:asciiTheme="majorHAnsi" w:hAnsiTheme="majorHAnsi" w:cstheme="majorHAnsi"/>
          <w:color w:val="000000"/>
          <w:sz w:val="22"/>
        </w:rPr>
        <w:t>i</w:t>
      </w:r>
      <w:proofErr w:type="spellEnd"/>
      <w:r w:rsidRPr="00C12294">
        <w:rPr>
          <w:rFonts w:asciiTheme="majorHAnsi" w:hAnsiTheme="majorHAnsi" w:cstheme="majorHAnsi"/>
          <w:color w:val="000000"/>
          <w:sz w:val="22"/>
        </w:rPr>
        <w:t xml:space="preserve">) a Stakeholder Engagement Plan (Annex 7 of the </w:t>
      </w:r>
      <w:proofErr w:type="spellStart"/>
      <w:r w:rsidRPr="00C12294">
        <w:rPr>
          <w:rFonts w:asciiTheme="majorHAnsi" w:hAnsiTheme="majorHAnsi" w:cstheme="majorHAnsi"/>
          <w:color w:val="000000"/>
          <w:sz w:val="22"/>
        </w:rPr>
        <w:t>ProDoc</w:t>
      </w:r>
      <w:proofErr w:type="spellEnd"/>
      <w:r w:rsidRPr="00C12294">
        <w:rPr>
          <w:rFonts w:asciiTheme="majorHAnsi" w:hAnsiTheme="majorHAnsi" w:cstheme="majorHAnsi"/>
          <w:color w:val="000000"/>
          <w:sz w:val="22"/>
        </w:rPr>
        <w:t xml:space="preserve">); ii) a Gender Analyses and Gender Action Plan (Annex 10 of the </w:t>
      </w:r>
      <w:proofErr w:type="spellStart"/>
      <w:r w:rsidRPr="00C12294">
        <w:rPr>
          <w:rFonts w:asciiTheme="majorHAnsi" w:hAnsiTheme="majorHAnsi" w:cstheme="majorHAnsi"/>
          <w:color w:val="000000"/>
          <w:sz w:val="22"/>
        </w:rPr>
        <w:t>ProDoc</w:t>
      </w:r>
      <w:proofErr w:type="spellEnd"/>
      <w:r w:rsidRPr="00C12294">
        <w:rPr>
          <w:rFonts w:asciiTheme="majorHAnsi" w:hAnsiTheme="majorHAnsi" w:cstheme="majorHAnsi"/>
          <w:color w:val="000000"/>
          <w:sz w:val="22"/>
        </w:rPr>
        <w:t xml:space="preserve">); and iii) an Ethnic Minority Planning Framework (Annex 8b of the </w:t>
      </w:r>
      <w:proofErr w:type="spellStart"/>
      <w:r w:rsidRPr="00C12294">
        <w:rPr>
          <w:rFonts w:asciiTheme="majorHAnsi" w:hAnsiTheme="majorHAnsi" w:cstheme="majorHAnsi"/>
          <w:color w:val="000000"/>
          <w:sz w:val="22"/>
        </w:rPr>
        <w:t>ProDoc</w:t>
      </w:r>
      <w:proofErr w:type="spellEnd"/>
      <w:r w:rsidR="00AA3270" w:rsidRPr="00C12294">
        <w:rPr>
          <w:rFonts w:asciiTheme="majorHAnsi" w:hAnsiTheme="majorHAnsi" w:cstheme="majorHAnsi"/>
          <w:b/>
          <w:bCs/>
          <w:color w:val="000000"/>
          <w:sz w:val="22"/>
        </w:rPr>
        <w:t>)</w:t>
      </w:r>
    </w:p>
    <w:p w14:paraId="0A4A1524" w14:textId="77777777" w:rsidR="00C12294" w:rsidRDefault="00C12294" w:rsidP="00C12294">
      <w:pPr>
        <w:rPr>
          <w:rFonts w:asciiTheme="majorHAnsi" w:hAnsiTheme="majorHAnsi" w:cstheme="majorHAnsi"/>
          <w:b/>
          <w:bCs/>
          <w:color w:val="000000"/>
          <w:sz w:val="22"/>
        </w:rPr>
      </w:pPr>
    </w:p>
    <w:p w14:paraId="1B5AF1C4" w14:textId="6C2CB5DF" w:rsidR="00002BB9" w:rsidRPr="00C12294" w:rsidRDefault="00002BB9" w:rsidP="00C12294">
      <w:pPr>
        <w:rPr>
          <w:rFonts w:asciiTheme="majorHAnsi" w:hAnsiTheme="majorHAnsi" w:cstheme="majorHAnsi"/>
          <w:color w:val="000000"/>
          <w:sz w:val="22"/>
        </w:rPr>
      </w:pPr>
      <w:r w:rsidRPr="00C12294">
        <w:rPr>
          <w:rFonts w:asciiTheme="majorHAnsi" w:hAnsiTheme="majorHAnsi" w:cstheme="majorHAnsi"/>
          <w:color w:val="000000"/>
          <w:sz w:val="22"/>
        </w:rPr>
        <w:t xml:space="preserve">These assessments establish measures to manage the associated risks. </w:t>
      </w:r>
      <w:bookmarkEnd w:id="169"/>
      <w:bookmarkEnd w:id="170"/>
      <w:r w:rsidRPr="00C12294">
        <w:rPr>
          <w:rFonts w:asciiTheme="majorHAnsi" w:hAnsiTheme="majorHAnsi" w:cstheme="majorHAnsi"/>
          <w:color w:val="000000"/>
          <w:sz w:val="22"/>
        </w:rPr>
        <w:t xml:space="preserve">In addition to the focused assessments/frameworks listed above (that were undertaken during the project preparation phase), screening, assessment and management/mitigation for future upstream (i.e. via SESA) and downstream (via scoped ESIAs) will need to take place. The procedures and requirements for both of these are outlined below. </w:t>
      </w:r>
    </w:p>
    <w:p w14:paraId="0AF9A873" w14:textId="742F09F8" w:rsidR="00002BB9" w:rsidRPr="00C12294" w:rsidRDefault="00002BB9" w:rsidP="00002BB9">
      <w:pPr>
        <w:pStyle w:val="Estilo1"/>
        <w:rPr>
          <w:rFonts w:asciiTheme="majorHAnsi" w:hAnsiTheme="majorHAnsi" w:cstheme="majorHAnsi"/>
          <w:sz w:val="22"/>
          <w:szCs w:val="22"/>
        </w:rPr>
      </w:pPr>
      <w:r w:rsidRPr="00C12294">
        <w:rPr>
          <w:rFonts w:asciiTheme="majorHAnsi" w:hAnsiTheme="majorHAnsi" w:cstheme="majorHAnsi"/>
          <w:sz w:val="22"/>
          <w:szCs w:val="22"/>
        </w:rPr>
        <w:t xml:space="preserve">7.1 Strategic Environmental and Social Assessment for Upstream Activities </w:t>
      </w:r>
    </w:p>
    <w:p w14:paraId="26BFF8C1" w14:textId="4E1F44DE"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A Strategic Environmental and Social Assessment (SESA) will be undertaken </w:t>
      </w:r>
      <w:r w:rsidR="0046095C" w:rsidRPr="00C12294">
        <w:rPr>
          <w:rFonts w:asciiTheme="majorHAnsi" w:hAnsiTheme="majorHAnsi" w:cstheme="majorHAnsi"/>
          <w:sz w:val="22"/>
          <w:lang w:val="en-US"/>
        </w:rPr>
        <w:t xml:space="preserve">that will </w:t>
      </w:r>
      <w:r w:rsidR="00D32389" w:rsidRPr="00C12294">
        <w:rPr>
          <w:rFonts w:asciiTheme="majorHAnsi" w:hAnsiTheme="majorHAnsi" w:cstheme="majorHAnsi"/>
          <w:sz w:val="22"/>
          <w:lang w:val="en-US"/>
        </w:rPr>
        <w:t>cover</w:t>
      </w:r>
      <w:r w:rsidR="0046095C" w:rsidRPr="00C12294">
        <w:rPr>
          <w:rFonts w:asciiTheme="majorHAnsi" w:hAnsiTheme="majorHAnsi" w:cstheme="majorHAnsi"/>
          <w:sz w:val="22"/>
          <w:lang w:val="en-US"/>
        </w:rPr>
        <w:t xml:space="preserve"> the </w:t>
      </w:r>
      <w:r w:rsidRPr="00C12294">
        <w:rPr>
          <w:rFonts w:asciiTheme="majorHAnsi" w:hAnsiTheme="majorHAnsi" w:cstheme="majorHAnsi"/>
          <w:sz w:val="22"/>
          <w:lang w:val="en-US"/>
        </w:rPr>
        <w:t>following:</w:t>
      </w:r>
    </w:p>
    <w:p w14:paraId="20A1C980" w14:textId="77777777" w:rsidR="003373F3" w:rsidRDefault="003373F3" w:rsidP="00002BB9">
      <w:pPr>
        <w:rPr>
          <w:lang w:val="en-US"/>
        </w:rPr>
      </w:pPr>
    </w:p>
    <w:tbl>
      <w:tblPr>
        <w:tblStyle w:val="TableGrid"/>
        <w:tblW w:w="9630" w:type="dxa"/>
        <w:jc w:val="center"/>
        <w:tblLook w:val="04A0" w:firstRow="1" w:lastRow="0" w:firstColumn="1" w:lastColumn="0" w:noHBand="0" w:noVBand="1"/>
      </w:tblPr>
      <w:tblGrid>
        <w:gridCol w:w="1260"/>
        <w:gridCol w:w="8370"/>
      </w:tblGrid>
      <w:tr w:rsidR="00002BB9" w:rsidRPr="00C12294" w14:paraId="29A11BED" w14:textId="77777777" w:rsidTr="00156031">
        <w:trPr>
          <w:jc w:val="center"/>
        </w:trPr>
        <w:tc>
          <w:tcPr>
            <w:tcW w:w="1260" w:type="dxa"/>
          </w:tcPr>
          <w:p w14:paraId="2DB6C7B3" w14:textId="6BE21098" w:rsidR="00002BB9" w:rsidRPr="00C12294" w:rsidRDefault="00DC24E5" w:rsidP="00156031">
            <w:pPr>
              <w:rPr>
                <w:rFonts w:asciiTheme="majorHAnsi" w:hAnsiTheme="majorHAnsi" w:cstheme="majorHAnsi"/>
                <w:sz w:val="22"/>
              </w:rPr>
            </w:pPr>
            <w:r w:rsidRPr="00C12294">
              <w:rPr>
                <w:rFonts w:asciiTheme="majorHAnsi" w:hAnsiTheme="majorHAnsi" w:cstheme="majorHAnsi"/>
                <w:sz w:val="22"/>
              </w:rPr>
              <w:t xml:space="preserve">Activity </w:t>
            </w:r>
            <w:r w:rsidR="00002BB9" w:rsidRPr="00C12294">
              <w:rPr>
                <w:rFonts w:asciiTheme="majorHAnsi" w:hAnsiTheme="majorHAnsi" w:cstheme="majorHAnsi"/>
                <w:sz w:val="22"/>
              </w:rPr>
              <w:t xml:space="preserve">No. </w:t>
            </w:r>
          </w:p>
        </w:tc>
        <w:tc>
          <w:tcPr>
            <w:tcW w:w="8370" w:type="dxa"/>
          </w:tcPr>
          <w:p w14:paraId="5817F1B9" w14:textId="77777777" w:rsidR="00002BB9" w:rsidRPr="00C12294" w:rsidRDefault="00002BB9" w:rsidP="00156031">
            <w:pPr>
              <w:rPr>
                <w:rFonts w:asciiTheme="majorHAnsi" w:hAnsiTheme="majorHAnsi" w:cstheme="majorHAnsi"/>
                <w:sz w:val="22"/>
              </w:rPr>
            </w:pPr>
            <w:r w:rsidRPr="00C12294">
              <w:rPr>
                <w:rFonts w:asciiTheme="majorHAnsi" w:hAnsiTheme="majorHAnsi" w:cstheme="majorHAnsi"/>
                <w:sz w:val="22"/>
              </w:rPr>
              <w:t xml:space="preserve">Description </w:t>
            </w:r>
          </w:p>
        </w:tc>
      </w:tr>
      <w:tr w:rsidR="00002BB9" w:rsidRPr="00C12294" w14:paraId="4BDB00AF" w14:textId="77777777" w:rsidTr="00156031">
        <w:trPr>
          <w:jc w:val="center"/>
        </w:trPr>
        <w:tc>
          <w:tcPr>
            <w:tcW w:w="1260" w:type="dxa"/>
          </w:tcPr>
          <w:p w14:paraId="24B92525" w14:textId="2B905296" w:rsidR="00002BB9" w:rsidRPr="00C12294" w:rsidRDefault="00002BB9" w:rsidP="00156031">
            <w:pPr>
              <w:rPr>
                <w:rFonts w:asciiTheme="majorHAnsi" w:hAnsiTheme="majorHAnsi" w:cstheme="majorHAnsi"/>
                <w:sz w:val="22"/>
              </w:rPr>
            </w:pPr>
            <w:r w:rsidRPr="00C12294">
              <w:rPr>
                <w:rFonts w:asciiTheme="majorHAnsi" w:hAnsiTheme="majorHAnsi" w:cstheme="majorHAnsi"/>
                <w:sz w:val="22"/>
              </w:rPr>
              <w:t>1</w:t>
            </w:r>
            <w:r w:rsidR="00DC24E5" w:rsidRPr="00C12294">
              <w:rPr>
                <w:rFonts w:asciiTheme="majorHAnsi" w:hAnsiTheme="majorHAnsi" w:cstheme="majorHAnsi"/>
                <w:sz w:val="22"/>
              </w:rPr>
              <w:t>.</w:t>
            </w:r>
            <w:r w:rsidR="00064064" w:rsidRPr="00C12294">
              <w:rPr>
                <w:rFonts w:asciiTheme="majorHAnsi" w:hAnsiTheme="majorHAnsi" w:cstheme="majorHAnsi"/>
                <w:sz w:val="22"/>
              </w:rPr>
              <w:t>2.4</w:t>
            </w:r>
          </w:p>
        </w:tc>
        <w:tc>
          <w:tcPr>
            <w:tcW w:w="8370" w:type="dxa"/>
          </w:tcPr>
          <w:p w14:paraId="6DD2D24F" w14:textId="307A4871" w:rsidR="00002BB9" w:rsidRPr="00C12294" w:rsidRDefault="00064064" w:rsidP="00156031">
            <w:pPr>
              <w:rPr>
                <w:rFonts w:asciiTheme="majorHAnsi" w:hAnsiTheme="majorHAnsi" w:cstheme="majorHAnsi"/>
                <w:bCs/>
                <w:sz w:val="22"/>
              </w:rPr>
            </w:pPr>
            <w:r w:rsidRPr="00C12294">
              <w:rPr>
                <w:rFonts w:asciiTheme="majorHAnsi" w:eastAsia="Calibri" w:hAnsiTheme="majorHAnsi" w:cstheme="majorHAnsi"/>
                <w:sz w:val="22"/>
                <w:lang w:val="en-CA"/>
              </w:rPr>
              <w:t>Finalize national tourism area planning criteria and guidelines and operational mechanisms such as landscape zoning and protection of high-biodiversity and tourism value habitats in PAs and in designated national tourism and heritage areas. This will include (</w:t>
            </w:r>
            <w:proofErr w:type="spellStart"/>
            <w:r w:rsidRPr="00C12294">
              <w:rPr>
                <w:rFonts w:asciiTheme="majorHAnsi" w:eastAsia="Calibri" w:hAnsiTheme="majorHAnsi" w:cstheme="majorHAnsi"/>
                <w:sz w:val="22"/>
                <w:lang w:val="en-CA"/>
              </w:rPr>
              <w:t>i</w:t>
            </w:r>
            <w:proofErr w:type="spellEnd"/>
            <w:r w:rsidRPr="00C12294">
              <w:rPr>
                <w:rFonts w:asciiTheme="majorHAnsi" w:eastAsia="Calibri" w:hAnsiTheme="majorHAnsi" w:cstheme="majorHAnsi"/>
                <w:sz w:val="22"/>
                <w:lang w:val="en-CA"/>
              </w:rPr>
              <w:t>) endorsement of criteria and guidelines by inter-agency partnership and coordination platform; (ii) printing of guidelines and making them available to key stakeholders, in both hard and digital formats; (iii) leverage guidelines for the development of capacity and training modules (to be used as part of Output 3.5) and supporting awareness materials; and (iv) integrating them into the tourism impact management, compliance and monitoring framework;</w:t>
            </w:r>
          </w:p>
        </w:tc>
      </w:tr>
      <w:tr w:rsidR="00002BB9" w:rsidRPr="00C12294" w14:paraId="583B3B82" w14:textId="77777777" w:rsidTr="00156031">
        <w:trPr>
          <w:jc w:val="center"/>
        </w:trPr>
        <w:tc>
          <w:tcPr>
            <w:tcW w:w="1260" w:type="dxa"/>
          </w:tcPr>
          <w:p w14:paraId="51F9ABD3" w14:textId="16E5A75C" w:rsidR="00002BB9" w:rsidRPr="00C12294" w:rsidRDefault="00002BB9" w:rsidP="00156031">
            <w:pPr>
              <w:rPr>
                <w:rFonts w:asciiTheme="majorHAnsi" w:hAnsiTheme="majorHAnsi" w:cstheme="majorHAnsi"/>
                <w:sz w:val="22"/>
              </w:rPr>
            </w:pPr>
            <w:r w:rsidRPr="00C12294">
              <w:rPr>
                <w:rFonts w:asciiTheme="majorHAnsi" w:hAnsiTheme="majorHAnsi" w:cstheme="majorHAnsi"/>
                <w:sz w:val="22"/>
              </w:rPr>
              <w:t>1.</w:t>
            </w:r>
            <w:r w:rsidR="00064064" w:rsidRPr="00C12294">
              <w:rPr>
                <w:rFonts w:asciiTheme="majorHAnsi" w:hAnsiTheme="majorHAnsi" w:cstheme="majorHAnsi"/>
                <w:sz w:val="22"/>
              </w:rPr>
              <w:t>3.1</w:t>
            </w:r>
          </w:p>
        </w:tc>
        <w:tc>
          <w:tcPr>
            <w:tcW w:w="8370" w:type="dxa"/>
          </w:tcPr>
          <w:p w14:paraId="2355B876" w14:textId="77777777" w:rsidR="00064064" w:rsidRPr="00C12294" w:rsidRDefault="00064064" w:rsidP="00064064">
            <w:pPr>
              <w:rPr>
                <w:rFonts w:asciiTheme="majorHAnsi" w:hAnsiTheme="majorHAnsi" w:cstheme="majorHAnsi"/>
                <w:color w:val="000000"/>
                <w:sz w:val="22"/>
                <w:lang w:val="en-CA"/>
              </w:rPr>
            </w:pPr>
            <w:r w:rsidRPr="00C12294">
              <w:rPr>
                <w:rFonts w:asciiTheme="majorHAnsi" w:hAnsiTheme="majorHAnsi" w:cstheme="majorHAnsi"/>
                <w:color w:val="000000"/>
                <w:sz w:val="22"/>
                <w:lang w:val="en-CA"/>
              </w:rPr>
              <w:t>Develop a long-term roadmap and vision for ecologically sustainable nature-based tourism based on priorities of Vietnam’s NBSAP for 2021-2025.</w:t>
            </w:r>
          </w:p>
          <w:p w14:paraId="72418FEC" w14:textId="752B908F" w:rsidR="00002BB9" w:rsidRPr="00C12294" w:rsidRDefault="00002BB9" w:rsidP="00156031">
            <w:pPr>
              <w:pBdr>
                <w:top w:val="nil"/>
                <w:left w:val="nil"/>
                <w:bottom w:val="nil"/>
                <w:right w:val="nil"/>
                <w:between w:val="nil"/>
              </w:pBdr>
              <w:rPr>
                <w:rFonts w:asciiTheme="majorHAnsi" w:eastAsia="Calibri" w:hAnsiTheme="majorHAnsi" w:cstheme="majorHAnsi"/>
                <w:bCs/>
                <w:color w:val="000000"/>
                <w:sz w:val="22"/>
              </w:rPr>
            </w:pPr>
          </w:p>
        </w:tc>
      </w:tr>
      <w:tr w:rsidR="00002BB9" w:rsidRPr="00C12294" w14:paraId="1B662031" w14:textId="77777777" w:rsidTr="00156031">
        <w:trPr>
          <w:jc w:val="center"/>
        </w:trPr>
        <w:tc>
          <w:tcPr>
            <w:tcW w:w="1260" w:type="dxa"/>
          </w:tcPr>
          <w:p w14:paraId="7366BDEB" w14:textId="08AE3F28" w:rsidR="00002BB9" w:rsidRPr="00C12294" w:rsidRDefault="00002BB9" w:rsidP="00156031">
            <w:pPr>
              <w:rPr>
                <w:rFonts w:asciiTheme="majorHAnsi" w:hAnsiTheme="majorHAnsi" w:cstheme="majorHAnsi"/>
                <w:sz w:val="22"/>
              </w:rPr>
            </w:pPr>
            <w:r w:rsidRPr="00C12294">
              <w:rPr>
                <w:rFonts w:asciiTheme="majorHAnsi" w:hAnsiTheme="majorHAnsi" w:cstheme="majorHAnsi"/>
                <w:sz w:val="22"/>
              </w:rPr>
              <w:t>1.</w:t>
            </w:r>
            <w:r w:rsidR="00064064" w:rsidRPr="00C12294">
              <w:rPr>
                <w:rFonts w:asciiTheme="majorHAnsi" w:hAnsiTheme="majorHAnsi" w:cstheme="majorHAnsi"/>
                <w:sz w:val="22"/>
              </w:rPr>
              <w:t>3.2</w:t>
            </w:r>
          </w:p>
        </w:tc>
        <w:tc>
          <w:tcPr>
            <w:tcW w:w="8370" w:type="dxa"/>
          </w:tcPr>
          <w:p w14:paraId="4790DC74" w14:textId="303CA0E1" w:rsidR="00002BB9" w:rsidRPr="00C12294" w:rsidRDefault="00064064" w:rsidP="00156031">
            <w:pPr>
              <w:pBdr>
                <w:top w:val="nil"/>
                <w:left w:val="nil"/>
                <w:bottom w:val="nil"/>
                <w:right w:val="nil"/>
                <w:between w:val="nil"/>
              </w:pBdr>
              <w:rPr>
                <w:rFonts w:asciiTheme="majorHAnsi" w:eastAsia="Calibri" w:hAnsiTheme="majorHAnsi" w:cstheme="majorHAnsi"/>
                <w:bCs/>
                <w:color w:val="000000"/>
                <w:sz w:val="22"/>
              </w:rPr>
            </w:pPr>
            <w:r w:rsidRPr="00C12294">
              <w:rPr>
                <w:rFonts w:asciiTheme="majorHAnsi" w:eastAsia="Calibri" w:hAnsiTheme="majorHAnsi" w:cstheme="majorHAnsi"/>
                <w:sz w:val="22"/>
                <w:lang w:val="en-CA"/>
              </w:rPr>
              <w:t>Develop national guidelines, standards and triggers for integrating nature-based tourism concerns into prioritized master planning, sectoral and local development</w:t>
            </w:r>
          </w:p>
        </w:tc>
      </w:tr>
      <w:tr w:rsidR="00064064" w:rsidRPr="00C12294" w14:paraId="41815922" w14:textId="77777777" w:rsidTr="00156031">
        <w:trPr>
          <w:jc w:val="center"/>
        </w:trPr>
        <w:tc>
          <w:tcPr>
            <w:tcW w:w="1260" w:type="dxa"/>
          </w:tcPr>
          <w:p w14:paraId="7C92B885" w14:textId="5E8D01D1" w:rsidR="00064064" w:rsidRPr="00C12294" w:rsidRDefault="00064064" w:rsidP="00156031">
            <w:pPr>
              <w:rPr>
                <w:rFonts w:asciiTheme="majorHAnsi" w:hAnsiTheme="majorHAnsi" w:cstheme="majorHAnsi"/>
                <w:sz w:val="22"/>
              </w:rPr>
            </w:pPr>
            <w:r w:rsidRPr="00C12294">
              <w:rPr>
                <w:rFonts w:asciiTheme="majorHAnsi" w:hAnsiTheme="majorHAnsi" w:cstheme="majorHAnsi"/>
                <w:sz w:val="22"/>
              </w:rPr>
              <w:t>1.3.4</w:t>
            </w:r>
          </w:p>
        </w:tc>
        <w:tc>
          <w:tcPr>
            <w:tcW w:w="8370" w:type="dxa"/>
          </w:tcPr>
          <w:p w14:paraId="628B859E" w14:textId="77777777" w:rsidR="00064064" w:rsidRPr="00C12294" w:rsidRDefault="00064064" w:rsidP="00064064">
            <w:pPr>
              <w:rPr>
                <w:rFonts w:asciiTheme="majorHAnsi" w:hAnsiTheme="majorHAnsi" w:cstheme="majorHAnsi"/>
                <w:sz w:val="22"/>
                <w:lang w:val="en-CA"/>
              </w:rPr>
            </w:pPr>
            <w:r w:rsidRPr="00C12294">
              <w:rPr>
                <w:rFonts w:asciiTheme="majorHAnsi" w:hAnsiTheme="majorHAnsi" w:cstheme="majorHAnsi"/>
                <w:sz w:val="22"/>
                <w:lang w:val="en-CA"/>
              </w:rPr>
              <w:t>Review and contribution to a national policy amendment to strengthen and enable a greater share of tourism revenue to be earmarked for biodiversity conservation.</w:t>
            </w:r>
          </w:p>
          <w:p w14:paraId="23BDC027" w14:textId="77777777" w:rsidR="00064064" w:rsidRPr="00C12294" w:rsidRDefault="00064064" w:rsidP="00156031">
            <w:pPr>
              <w:pBdr>
                <w:top w:val="nil"/>
                <w:left w:val="nil"/>
                <w:bottom w:val="nil"/>
                <w:right w:val="nil"/>
                <w:between w:val="nil"/>
              </w:pBdr>
              <w:rPr>
                <w:rFonts w:asciiTheme="majorHAnsi" w:eastAsia="Calibri" w:hAnsiTheme="majorHAnsi" w:cstheme="majorHAnsi"/>
                <w:sz w:val="22"/>
                <w:lang w:val="en-CA"/>
              </w:rPr>
            </w:pPr>
          </w:p>
        </w:tc>
      </w:tr>
      <w:tr w:rsidR="00064064" w:rsidRPr="00C12294" w14:paraId="3ECB803D" w14:textId="77777777" w:rsidTr="00156031">
        <w:trPr>
          <w:jc w:val="center"/>
        </w:trPr>
        <w:tc>
          <w:tcPr>
            <w:tcW w:w="1260" w:type="dxa"/>
          </w:tcPr>
          <w:p w14:paraId="47AF5DA8" w14:textId="43E6FFB6" w:rsidR="00064064" w:rsidRPr="00C12294" w:rsidRDefault="00064064" w:rsidP="00156031">
            <w:pPr>
              <w:rPr>
                <w:rFonts w:asciiTheme="majorHAnsi" w:hAnsiTheme="majorHAnsi" w:cstheme="majorHAnsi"/>
                <w:sz w:val="22"/>
              </w:rPr>
            </w:pPr>
            <w:r w:rsidRPr="00C12294">
              <w:rPr>
                <w:rFonts w:asciiTheme="majorHAnsi" w:hAnsiTheme="majorHAnsi" w:cstheme="majorHAnsi"/>
                <w:sz w:val="22"/>
              </w:rPr>
              <w:t>1.4.7</w:t>
            </w:r>
          </w:p>
        </w:tc>
        <w:tc>
          <w:tcPr>
            <w:tcW w:w="8370" w:type="dxa"/>
          </w:tcPr>
          <w:p w14:paraId="0FECB985" w14:textId="77777777" w:rsidR="00064064" w:rsidRPr="00C12294" w:rsidRDefault="00064064" w:rsidP="00064064">
            <w:pPr>
              <w:rPr>
                <w:rFonts w:asciiTheme="majorHAnsi" w:hAnsiTheme="majorHAnsi" w:cstheme="majorHAnsi"/>
                <w:sz w:val="22"/>
                <w:lang w:val="en-CA"/>
              </w:rPr>
            </w:pPr>
            <w:r w:rsidRPr="00C12294">
              <w:rPr>
                <w:rFonts w:asciiTheme="majorHAnsi" w:hAnsiTheme="majorHAnsi" w:cstheme="majorHAnsi"/>
                <w:sz w:val="22"/>
                <w:lang w:val="en-CA"/>
              </w:rPr>
              <w:t>Develop national policy on PPP and community participation in nature-based tourism based on testing of and experiences with guidelines.</w:t>
            </w:r>
          </w:p>
          <w:p w14:paraId="2DA8C648" w14:textId="77777777" w:rsidR="00064064" w:rsidRPr="00C12294" w:rsidRDefault="00064064" w:rsidP="00064064">
            <w:pPr>
              <w:rPr>
                <w:rFonts w:asciiTheme="majorHAnsi" w:hAnsiTheme="majorHAnsi" w:cstheme="majorHAnsi"/>
                <w:sz w:val="22"/>
                <w:lang w:val="en-CA"/>
              </w:rPr>
            </w:pPr>
          </w:p>
        </w:tc>
      </w:tr>
      <w:tr w:rsidR="00064064" w:rsidRPr="00C12294" w14:paraId="6BD13527" w14:textId="77777777" w:rsidTr="00156031">
        <w:trPr>
          <w:jc w:val="center"/>
        </w:trPr>
        <w:tc>
          <w:tcPr>
            <w:tcW w:w="1260" w:type="dxa"/>
          </w:tcPr>
          <w:p w14:paraId="7AFB3E65" w14:textId="6FA080AE" w:rsidR="00064064" w:rsidRPr="00C12294" w:rsidRDefault="0046095C" w:rsidP="00156031">
            <w:pPr>
              <w:rPr>
                <w:rFonts w:asciiTheme="majorHAnsi" w:hAnsiTheme="majorHAnsi" w:cstheme="majorHAnsi"/>
                <w:sz w:val="22"/>
              </w:rPr>
            </w:pPr>
            <w:r w:rsidRPr="00C12294">
              <w:rPr>
                <w:rFonts w:asciiTheme="majorHAnsi" w:hAnsiTheme="majorHAnsi" w:cstheme="majorHAnsi"/>
                <w:sz w:val="22"/>
              </w:rPr>
              <w:t>1.5.5</w:t>
            </w:r>
          </w:p>
        </w:tc>
        <w:tc>
          <w:tcPr>
            <w:tcW w:w="8370" w:type="dxa"/>
          </w:tcPr>
          <w:p w14:paraId="7B757B6F" w14:textId="77777777" w:rsidR="0046095C" w:rsidRPr="00C12294" w:rsidRDefault="0046095C" w:rsidP="0046095C">
            <w:pPr>
              <w:rPr>
                <w:rFonts w:asciiTheme="majorHAnsi" w:hAnsiTheme="majorHAnsi" w:cstheme="majorHAnsi"/>
                <w:sz w:val="22"/>
                <w:lang w:val="en-CA"/>
              </w:rPr>
            </w:pPr>
            <w:r w:rsidRPr="00C12294">
              <w:rPr>
                <w:rFonts w:asciiTheme="majorHAnsi" w:hAnsiTheme="majorHAnsi" w:cstheme="majorHAnsi"/>
                <w:sz w:val="22"/>
                <w:lang w:val="en-CA"/>
              </w:rPr>
              <w:t>Develop guidelines for nature and wildlife watching/viewing tours for application and refinement in targeted PAs and high-value national tourist areas.</w:t>
            </w:r>
          </w:p>
          <w:p w14:paraId="13959065" w14:textId="77777777" w:rsidR="00064064" w:rsidRPr="00C12294" w:rsidRDefault="00064064" w:rsidP="00064064">
            <w:pPr>
              <w:rPr>
                <w:rFonts w:asciiTheme="majorHAnsi" w:hAnsiTheme="majorHAnsi" w:cstheme="majorHAnsi"/>
                <w:sz w:val="22"/>
                <w:lang w:val="en-CA"/>
              </w:rPr>
            </w:pPr>
          </w:p>
        </w:tc>
      </w:tr>
      <w:tr w:rsidR="00064064" w:rsidRPr="00C12294" w14:paraId="3092EC14" w14:textId="77777777" w:rsidTr="00156031">
        <w:trPr>
          <w:jc w:val="center"/>
        </w:trPr>
        <w:tc>
          <w:tcPr>
            <w:tcW w:w="1260" w:type="dxa"/>
          </w:tcPr>
          <w:p w14:paraId="2D78157E" w14:textId="211C1DD2" w:rsidR="00064064" w:rsidRPr="00C12294" w:rsidRDefault="00143D31" w:rsidP="00156031">
            <w:pPr>
              <w:rPr>
                <w:rFonts w:asciiTheme="majorHAnsi" w:hAnsiTheme="majorHAnsi" w:cstheme="majorHAnsi"/>
                <w:sz w:val="22"/>
              </w:rPr>
            </w:pPr>
            <w:r w:rsidRPr="00C12294">
              <w:rPr>
                <w:rFonts w:asciiTheme="majorHAnsi" w:hAnsiTheme="majorHAnsi" w:cstheme="majorHAnsi"/>
                <w:sz w:val="22"/>
              </w:rPr>
              <w:t>2.3.6</w:t>
            </w:r>
          </w:p>
        </w:tc>
        <w:tc>
          <w:tcPr>
            <w:tcW w:w="8370" w:type="dxa"/>
          </w:tcPr>
          <w:p w14:paraId="4EB0B763" w14:textId="77777777" w:rsidR="00143D31" w:rsidRPr="00C12294" w:rsidRDefault="00143D31" w:rsidP="00143D31">
            <w:pPr>
              <w:jc w:val="both"/>
              <w:rPr>
                <w:rFonts w:asciiTheme="majorHAnsi" w:hAnsiTheme="majorHAnsi" w:cstheme="majorHAnsi"/>
                <w:bCs/>
                <w:sz w:val="22"/>
              </w:rPr>
            </w:pPr>
            <w:r w:rsidRPr="00C12294">
              <w:rPr>
                <w:rFonts w:asciiTheme="majorHAnsi" w:hAnsiTheme="majorHAnsi" w:cstheme="majorHAnsi"/>
                <w:bCs/>
                <w:sz w:val="22"/>
              </w:rPr>
              <w:t>Develop guidelines on and responding to Human Wildlife Conflict and build skills on working local communities, especially with ethnic minority groups and integrating them into patrols.</w:t>
            </w:r>
          </w:p>
          <w:p w14:paraId="72DD5857" w14:textId="77777777" w:rsidR="00064064" w:rsidRPr="00C12294" w:rsidRDefault="00064064" w:rsidP="00064064">
            <w:pPr>
              <w:rPr>
                <w:rFonts w:asciiTheme="majorHAnsi" w:hAnsiTheme="majorHAnsi" w:cstheme="majorHAnsi"/>
                <w:sz w:val="22"/>
                <w:lang w:val="en-CA"/>
              </w:rPr>
            </w:pPr>
          </w:p>
        </w:tc>
      </w:tr>
      <w:tr w:rsidR="00143D31" w:rsidRPr="00C12294" w14:paraId="654A03EC" w14:textId="77777777" w:rsidTr="00156031">
        <w:trPr>
          <w:jc w:val="center"/>
        </w:trPr>
        <w:tc>
          <w:tcPr>
            <w:tcW w:w="1260" w:type="dxa"/>
          </w:tcPr>
          <w:p w14:paraId="26EC3FCC" w14:textId="1892D882" w:rsidR="00143D31" w:rsidRPr="00C12294" w:rsidRDefault="00143D31" w:rsidP="00156031">
            <w:pPr>
              <w:rPr>
                <w:rFonts w:asciiTheme="majorHAnsi" w:hAnsiTheme="majorHAnsi" w:cstheme="majorHAnsi"/>
                <w:sz w:val="22"/>
              </w:rPr>
            </w:pPr>
            <w:r w:rsidRPr="00C12294">
              <w:rPr>
                <w:rFonts w:asciiTheme="majorHAnsi" w:hAnsiTheme="majorHAnsi" w:cstheme="majorHAnsi"/>
                <w:sz w:val="22"/>
              </w:rPr>
              <w:lastRenderedPageBreak/>
              <w:t>2.3.8</w:t>
            </w:r>
          </w:p>
        </w:tc>
        <w:tc>
          <w:tcPr>
            <w:tcW w:w="8370" w:type="dxa"/>
          </w:tcPr>
          <w:p w14:paraId="50584488" w14:textId="5488C007" w:rsidR="00143D31" w:rsidRPr="00C12294" w:rsidRDefault="00143D31" w:rsidP="00143D31">
            <w:pPr>
              <w:jc w:val="both"/>
              <w:rPr>
                <w:rFonts w:asciiTheme="majorHAnsi" w:hAnsiTheme="majorHAnsi" w:cstheme="majorHAnsi"/>
                <w:bCs/>
                <w:sz w:val="22"/>
              </w:rPr>
            </w:pPr>
            <w:r w:rsidRPr="00C12294">
              <w:rPr>
                <w:rFonts w:asciiTheme="majorHAnsi" w:eastAsia="Calibri" w:hAnsiTheme="majorHAnsi" w:cstheme="majorHAnsi"/>
                <w:bCs/>
                <w:sz w:val="22"/>
              </w:rPr>
              <w:t>Planning of 3 corridors leveraging guidelines and management needs and the development of a feasibility study and supported by corridor management plans</w:t>
            </w:r>
          </w:p>
        </w:tc>
      </w:tr>
      <w:tr w:rsidR="002F0754" w:rsidRPr="00C12294" w14:paraId="46EF7483" w14:textId="77777777" w:rsidTr="00156031">
        <w:trPr>
          <w:jc w:val="center"/>
        </w:trPr>
        <w:tc>
          <w:tcPr>
            <w:tcW w:w="1260" w:type="dxa"/>
          </w:tcPr>
          <w:p w14:paraId="00CF006F" w14:textId="5FB2B340" w:rsidR="002F0754" w:rsidRPr="00C12294" w:rsidRDefault="002F0754" w:rsidP="00156031">
            <w:pPr>
              <w:rPr>
                <w:rFonts w:asciiTheme="majorHAnsi" w:hAnsiTheme="majorHAnsi" w:cstheme="majorHAnsi"/>
                <w:sz w:val="22"/>
              </w:rPr>
            </w:pPr>
            <w:r w:rsidRPr="00C12294">
              <w:rPr>
                <w:rFonts w:asciiTheme="majorHAnsi" w:hAnsiTheme="majorHAnsi" w:cstheme="majorHAnsi"/>
                <w:sz w:val="22"/>
              </w:rPr>
              <w:t>2.4.5</w:t>
            </w:r>
          </w:p>
        </w:tc>
        <w:tc>
          <w:tcPr>
            <w:tcW w:w="8370" w:type="dxa"/>
          </w:tcPr>
          <w:p w14:paraId="6B55B232" w14:textId="251C9A1E" w:rsidR="002F0754" w:rsidRPr="00C12294" w:rsidRDefault="002F0754" w:rsidP="002F0754">
            <w:pPr>
              <w:rPr>
                <w:rFonts w:asciiTheme="majorHAnsi" w:hAnsiTheme="majorHAnsi" w:cstheme="majorHAnsi"/>
                <w:bCs/>
                <w:sz w:val="22"/>
              </w:rPr>
            </w:pPr>
            <w:r w:rsidRPr="00C12294">
              <w:rPr>
                <w:rFonts w:asciiTheme="majorHAnsi" w:hAnsiTheme="majorHAnsi" w:cstheme="majorHAnsi"/>
                <w:bCs/>
                <w:sz w:val="22"/>
                <w:lang w:val="en-CA"/>
              </w:rPr>
              <w:t xml:space="preserve">Training on investigation and handling techniques, including criminal investigation skills, preparation of administrative dossiers to process violations, conflict de-escalation and defensive skills, </w:t>
            </w:r>
            <w:r w:rsidRPr="00C12294">
              <w:rPr>
                <w:rFonts w:asciiTheme="majorHAnsi" w:hAnsiTheme="majorHAnsi" w:cstheme="majorHAnsi"/>
                <w:bCs/>
                <w:sz w:val="22"/>
              </w:rPr>
              <w:t>training in the usage of tools by environmental police requested to ensure there is sufficient expertise and knowledge to identify violations and make arrests.</w:t>
            </w:r>
          </w:p>
          <w:p w14:paraId="205062EA" w14:textId="77777777" w:rsidR="002F0754" w:rsidRPr="00C12294" w:rsidRDefault="002F0754" w:rsidP="00143D31">
            <w:pPr>
              <w:jc w:val="both"/>
              <w:rPr>
                <w:rFonts w:asciiTheme="majorHAnsi" w:eastAsia="Calibri" w:hAnsiTheme="majorHAnsi" w:cstheme="majorHAnsi"/>
                <w:bCs/>
                <w:sz w:val="22"/>
              </w:rPr>
            </w:pPr>
          </w:p>
        </w:tc>
      </w:tr>
      <w:tr w:rsidR="00133F72" w:rsidRPr="00C12294" w14:paraId="52D16C60" w14:textId="77777777" w:rsidTr="00156031">
        <w:trPr>
          <w:jc w:val="center"/>
        </w:trPr>
        <w:tc>
          <w:tcPr>
            <w:tcW w:w="1260" w:type="dxa"/>
          </w:tcPr>
          <w:p w14:paraId="55E39E1B" w14:textId="68FFB324" w:rsidR="00133F72" w:rsidRPr="00C12294" w:rsidRDefault="00133F72" w:rsidP="00156031">
            <w:pPr>
              <w:rPr>
                <w:rFonts w:asciiTheme="majorHAnsi" w:hAnsiTheme="majorHAnsi" w:cstheme="majorHAnsi"/>
                <w:sz w:val="22"/>
              </w:rPr>
            </w:pPr>
            <w:r w:rsidRPr="00C12294">
              <w:rPr>
                <w:rFonts w:asciiTheme="majorHAnsi" w:hAnsiTheme="majorHAnsi" w:cstheme="majorHAnsi"/>
                <w:sz w:val="22"/>
              </w:rPr>
              <w:t>3.2.2</w:t>
            </w:r>
          </w:p>
        </w:tc>
        <w:tc>
          <w:tcPr>
            <w:tcW w:w="8370" w:type="dxa"/>
          </w:tcPr>
          <w:p w14:paraId="183560DB" w14:textId="47378F44" w:rsidR="00133F72" w:rsidRPr="00C12294" w:rsidRDefault="00133F72" w:rsidP="00D32389">
            <w:pPr>
              <w:tabs>
                <w:tab w:val="left" w:pos="709"/>
              </w:tabs>
              <w:jc w:val="both"/>
              <w:rPr>
                <w:rFonts w:asciiTheme="majorHAnsi" w:hAnsiTheme="majorHAnsi" w:cstheme="majorHAnsi"/>
                <w:bCs/>
                <w:sz w:val="22"/>
              </w:rPr>
            </w:pPr>
            <w:r w:rsidRPr="00C12294">
              <w:rPr>
                <w:rFonts w:asciiTheme="majorHAnsi" w:hAnsiTheme="majorHAnsi" w:cstheme="majorHAnsi"/>
                <w:sz w:val="22"/>
              </w:rPr>
              <w:t>Develop a</w:t>
            </w:r>
            <w:r w:rsidRPr="00C12294">
              <w:rPr>
                <w:rFonts w:asciiTheme="majorHAnsi" w:hAnsiTheme="majorHAnsi" w:cstheme="majorHAnsi"/>
                <w:sz w:val="22"/>
                <w:lang w:val="vi-VN"/>
              </w:rPr>
              <w:t xml:space="preserve"> strategy</w:t>
            </w:r>
            <w:r w:rsidRPr="00C12294">
              <w:rPr>
                <w:rFonts w:asciiTheme="majorHAnsi" w:hAnsiTheme="majorHAnsi" w:cstheme="majorHAnsi"/>
                <w:sz w:val="22"/>
              </w:rPr>
              <w:t xml:space="preserve"> </w:t>
            </w:r>
            <w:r w:rsidRPr="00C12294">
              <w:rPr>
                <w:rFonts w:asciiTheme="majorHAnsi" w:hAnsiTheme="majorHAnsi" w:cstheme="majorHAnsi"/>
                <w:sz w:val="22"/>
                <w:lang w:val="vi-VN"/>
              </w:rPr>
              <w:t xml:space="preserve">for </w:t>
            </w:r>
            <w:r w:rsidRPr="00C12294">
              <w:rPr>
                <w:rFonts w:asciiTheme="majorHAnsi" w:hAnsiTheme="majorHAnsi" w:cstheme="majorHAnsi"/>
                <w:sz w:val="22"/>
              </w:rPr>
              <w:t>c</w:t>
            </w:r>
            <w:r w:rsidRPr="00C12294">
              <w:rPr>
                <w:rFonts w:asciiTheme="majorHAnsi" w:hAnsiTheme="majorHAnsi" w:cstheme="majorHAnsi"/>
                <w:color w:val="000000"/>
                <w:sz w:val="22"/>
              </w:rPr>
              <w:t xml:space="preserve">hanging in social norms and </w:t>
            </w:r>
            <w:proofErr w:type="spellStart"/>
            <w:r w:rsidRPr="00C12294">
              <w:rPr>
                <w:rFonts w:asciiTheme="majorHAnsi" w:hAnsiTheme="majorHAnsi" w:cstheme="majorHAnsi"/>
                <w:color w:val="000000"/>
                <w:sz w:val="22"/>
              </w:rPr>
              <w:t>behaviour</w:t>
            </w:r>
            <w:proofErr w:type="spellEnd"/>
            <w:r w:rsidRPr="00C12294">
              <w:rPr>
                <w:rFonts w:asciiTheme="majorHAnsi" w:hAnsiTheme="majorHAnsi" w:cstheme="majorHAnsi"/>
                <w:color w:val="000000"/>
                <w:sz w:val="22"/>
              </w:rPr>
              <w:t xml:space="preserve"> promote society’s acceptance of a more sustainable approach to nature-based tourism that protects wildlife </w:t>
            </w:r>
            <w:r w:rsidRPr="00C12294">
              <w:rPr>
                <w:rFonts w:asciiTheme="majorHAnsi" w:hAnsiTheme="majorHAnsi" w:cstheme="majorHAnsi"/>
                <w:color w:val="000000"/>
                <w:sz w:val="22"/>
                <w:lang w:val="vi-VN"/>
              </w:rPr>
              <w:t>/</w:t>
            </w:r>
            <w:r w:rsidRPr="00C12294">
              <w:rPr>
                <w:rFonts w:asciiTheme="majorHAnsi" w:hAnsiTheme="majorHAnsi" w:cstheme="majorHAnsi"/>
                <w:color w:val="000000"/>
                <w:sz w:val="22"/>
              </w:rPr>
              <w:t xml:space="preserve"> biodiversity</w:t>
            </w:r>
          </w:p>
        </w:tc>
      </w:tr>
    </w:tbl>
    <w:p w14:paraId="4CDEFDB7" w14:textId="21B82176" w:rsidR="009560B6" w:rsidRDefault="009560B6" w:rsidP="00B22E43"/>
    <w:p w14:paraId="102126C5" w14:textId="77777777"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The SESA will be carried out by independent experts in accordance with UNDP’s SES policy and the </w:t>
      </w:r>
      <w:hyperlink r:id="rId12" w:history="1">
        <w:r w:rsidRPr="00C12294">
          <w:rPr>
            <w:rStyle w:val="Hyperlink"/>
            <w:rFonts w:asciiTheme="majorHAnsi" w:hAnsiTheme="majorHAnsi" w:cstheme="majorHAnsi"/>
            <w:sz w:val="22"/>
            <w:lang w:val="en-US"/>
          </w:rPr>
          <w:t>UNDP SES Guidance Note on Assessment and Management</w:t>
        </w:r>
      </w:hyperlink>
      <w:r w:rsidRPr="00C12294">
        <w:rPr>
          <w:rFonts w:asciiTheme="majorHAnsi" w:hAnsiTheme="majorHAnsi" w:cstheme="majorHAnsi"/>
          <w:color w:val="000000"/>
          <w:sz w:val="22"/>
          <w:lang w:val="en-US"/>
        </w:rPr>
        <w:t xml:space="preserve"> </w:t>
      </w:r>
      <w:r w:rsidRPr="00C12294">
        <w:rPr>
          <w:rFonts w:asciiTheme="majorHAnsi" w:hAnsiTheme="majorHAnsi" w:cstheme="majorHAnsi"/>
          <w:sz w:val="22"/>
          <w:lang w:val="en-US"/>
        </w:rPr>
        <w:t>to identify and assess social and environmental impacts associated with the proposed regulations in a participatory manner with stakeholders as follows:</w:t>
      </w:r>
    </w:p>
    <w:p w14:paraId="62D906F7" w14:textId="77777777" w:rsidR="00002BB9" w:rsidRPr="00C12294" w:rsidRDefault="00002BB9" w:rsidP="00002BB9">
      <w:pPr>
        <w:pStyle w:val="ListParagraph"/>
        <w:numPr>
          <w:ilvl w:val="1"/>
          <w:numId w:val="5"/>
        </w:numPr>
        <w:spacing w:before="120" w:line="240" w:lineRule="auto"/>
        <w:ind w:left="720"/>
        <w:jc w:val="both"/>
        <w:rPr>
          <w:rFonts w:asciiTheme="majorHAnsi" w:hAnsiTheme="majorHAnsi" w:cstheme="majorHAnsi"/>
          <w:sz w:val="22"/>
        </w:rPr>
      </w:pPr>
      <w:r w:rsidRPr="00C12294">
        <w:rPr>
          <w:rFonts w:asciiTheme="majorHAnsi" w:hAnsiTheme="majorHAnsi" w:cstheme="majorHAnsi"/>
          <w:sz w:val="22"/>
        </w:rPr>
        <w:t>Identify social and environmental priorities to be included in planning and policy processes</w:t>
      </w:r>
    </w:p>
    <w:p w14:paraId="3AED22CC" w14:textId="77777777" w:rsidR="00002BB9" w:rsidRPr="00C12294" w:rsidRDefault="00002BB9" w:rsidP="00002BB9">
      <w:pPr>
        <w:pStyle w:val="ListParagraph"/>
        <w:numPr>
          <w:ilvl w:val="1"/>
          <w:numId w:val="5"/>
        </w:numPr>
        <w:spacing w:before="120" w:line="240" w:lineRule="auto"/>
        <w:ind w:left="720"/>
        <w:jc w:val="both"/>
        <w:rPr>
          <w:rFonts w:asciiTheme="majorHAnsi" w:hAnsiTheme="majorHAnsi" w:cstheme="majorHAnsi"/>
          <w:sz w:val="22"/>
        </w:rPr>
      </w:pPr>
      <w:r w:rsidRPr="00C12294">
        <w:rPr>
          <w:rFonts w:asciiTheme="majorHAnsi" w:hAnsiTheme="majorHAnsi" w:cstheme="majorHAnsi"/>
          <w:sz w:val="22"/>
        </w:rPr>
        <w:t>Assess gaps in the institutional, policy, and legal frameworks to address these priorities</w:t>
      </w:r>
    </w:p>
    <w:p w14:paraId="365CC99F" w14:textId="77777777" w:rsidR="00002BB9" w:rsidRPr="00C12294" w:rsidRDefault="00002BB9" w:rsidP="00002BB9">
      <w:pPr>
        <w:pStyle w:val="ListParagraph"/>
        <w:numPr>
          <w:ilvl w:val="1"/>
          <w:numId w:val="5"/>
        </w:numPr>
        <w:spacing w:before="120" w:line="240" w:lineRule="auto"/>
        <w:ind w:left="720"/>
        <w:jc w:val="both"/>
        <w:rPr>
          <w:rFonts w:asciiTheme="majorHAnsi" w:hAnsiTheme="majorHAnsi" w:cstheme="majorHAnsi"/>
          <w:sz w:val="22"/>
        </w:rPr>
      </w:pPr>
      <w:r w:rsidRPr="00C12294">
        <w:rPr>
          <w:rFonts w:asciiTheme="majorHAnsi" w:hAnsiTheme="majorHAnsi" w:cstheme="majorHAnsi"/>
          <w:sz w:val="22"/>
        </w:rPr>
        <w:t>Identify potential adverse social and environmental impacts associated with policy options</w:t>
      </w:r>
    </w:p>
    <w:p w14:paraId="20AFA69D" w14:textId="77777777" w:rsidR="00002BB9" w:rsidRPr="00C12294" w:rsidRDefault="00002BB9" w:rsidP="00002BB9">
      <w:pPr>
        <w:pStyle w:val="ListParagraph"/>
        <w:numPr>
          <w:ilvl w:val="1"/>
          <w:numId w:val="5"/>
        </w:numPr>
        <w:spacing w:before="120" w:line="240" w:lineRule="auto"/>
        <w:ind w:left="720"/>
        <w:jc w:val="both"/>
        <w:rPr>
          <w:rFonts w:asciiTheme="majorHAnsi" w:hAnsiTheme="majorHAnsi" w:cstheme="majorHAnsi"/>
          <w:sz w:val="22"/>
        </w:rPr>
      </w:pPr>
      <w:r w:rsidRPr="00C12294">
        <w:rPr>
          <w:rFonts w:asciiTheme="majorHAnsi" w:hAnsiTheme="majorHAnsi" w:cstheme="majorHAnsi"/>
          <w:sz w:val="22"/>
        </w:rPr>
        <w:t>Engage decision makers and stakeholders to ensure a common understanding and broad support for implementation</w:t>
      </w:r>
    </w:p>
    <w:p w14:paraId="0D97A450" w14:textId="77777777" w:rsidR="00002BB9" w:rsidRPr="00C12294" w:rsidRDefault="00002BB9" w:rsidP="00002BB9">
      <w:pPr>
        <w:pStyle w:val="ListParagraph"/>
        <w:numPr>
          <w:ilvl w:val="1"/>
          <w:numId w:val="5"/>
        </w:numPr>
        <w:spacing w:before="120" w:line="240" w:lineRule="auto"/>
        <w:ind w:left="720"/>
        <w:jc w:val="both"/>
        <w:rPr>
          <w:rFonts w:asciiTheme="majorHAnsi" w:hAnsiTheme="majorHAnsi" w:cstheme="majorHAnsi"/>
          <w:sz w:val="22"/>
        </w:rPr>
      </w:pPr>
      <w:r w:rsidRPr="00C12294">
        <w:rPr>
          <w:rFonts w:asciiTheme="majorHAnsi" w:hAnsiTheme="majorHAnsi" w:cstheme="majorHAnsi"/>
          <w:sz w:val="22"/>
        </w:rPr>
        <w:t xml:space="preserve">Formulate policy and institutional measures needed to close policy and legal gaps, address institutional weaknesses, and avoid adverse social and environmental impacts. </w:t>
      </w:r>
    </w:p>
    <w:p w14:paraId="0D874B49" w14:textId="10A186E6"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color w:val="000000"/>
          <w:sz w:val="22"/>
        </w:rPr>
        <w:t xml:space="preserve">The SESA process will ensure that impacts to local communities, their livelihoods, rights, resources and the biophysical receptor environment are taken into consideration in the decision-making process while developing legislative tools and strategies. </w:t>
      </w:r>
      <w:r w:rsidRPr="00C12294">
        <w:rPr>
          <w:rFonts w:asciiTheme="majorHAnsi" w:hAnsiTheme="majorHAnsi" w:cstheme="majorHAnsi"/>
          <w:sz w:val="22"/>
          <w:lang w:val="en-US"/>
        </w:rPr>
        <w:t>Any institutional and capacity gaps identified during this process will be addressed through the training that will be conducted for the specified activities.</w:t>
      </w:r>
    </w:p>
    <w:p w14:paraId="1FC0D716" w14:textId="77777777" w:rsidR="00E74F84" w:rsidRPr="00C12294" w:rsidRDefault="00E74F84" w:rsidP="00002BB9">
      <w:pPr>
        <w:rPr>
          <w:rFonts w:asciiTheme="majorHAnsi" w:hAnsiTheme="majorHAnsi" w:cstheme="majorHAnsi"/>
          <w:sz w:val="22"/>
          <w:lang w:val="en-US"/>
        </w:rPr>
      </w:pPr>
    </w:p>
    <w:p w14:paraId="1A5FE82B" w14:textId="77777777"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color w:val="000000"/>
          <w:sz w:val="22"/>
        </w:rPr>
        <w:t>The SESA will be comprised of a concise report that summarizes the main findings and results of SESA, including (a) SESA stakeholder engagement process; (b) key social and environmental priorities and issues associated with chosen policy/strategy initiative; (c) institutional arrangements for coordinating integration of social and environmental issues into chosen policy/strategy initiative; (d) legal, regulatory, policy, institutional and capacity recommendations to address any identified gaps for managing the social and environmental priorities and implementing applicable social and environmental policies; (e) results of assessment of social and environmental risks/impacts associated with the implementation of the proposed regulations; (f) identification of measures (e.g. policies, institutional strengthening, governance reform) to address and manage anticipated adverse social and environmental risks and impacts, including a summary Action Matrix (and (g) where applicable, final or advanced draft of ESMF as framework for managing social and environmental risks during implementation of the proposed regulations or strategies.</w:t>
      </w:r>
    </w:p>
    <w:p w14:paraId="2FE86663" w14:textId="74C26DB7" w:rsidR="009560B6" w:rsidRDefault="009560B6" w:rsidP="00B22E43">
      <w:pPr>
        <w:rPr>
          <w:lang w:val="en-US"/>
        </w:rPr>
      </w:pPr>
    </w:p>
    <w:p w14:paraId="078394A9" w14:textId="77777777" w:rsidR="00002BB9" w:rsidRPr="00C12294" w:rsidRDefault="00002BB9" w:rsidP="00002BB9">
      <w:pPr>
        <w:pStyle w:val="Estilo1"/>
        <w:rPr>
          <w:rFonts w:asciiTheme="majorHAnsi" w:hAnsiTheme="majorHAnsi" w:cstheme="majorHAnsi"/>
          <w:sz w:val="22"/>
          <w:szCs w:val="22"/>
        </w:rPr>
      </w:pPr>
      <w:r w:rsidRPr="00002BB9">
        <w:lastRenderedPageBreak/>
        <w:t>7.</w:t>
      </w:r>
      <w:r w:rsidRPr="00C12294">
        <w:rPr>
          <w:rFonts w:asciiTheme="majorHAnsi" w:hAnsiTheme="majorHAnsi" w:cstheme="majorHAnsi"/>
          <w:sz w:val="22"/>
          <w:szCs w:val="22"/>
        </w:rPr>
        <w:t xml:space="preserve">2 Scoped Environmental and Social Impact Assessment (ESIA) and ESMPs for selected sites/downstream activities </w:t>
      </w:r>
    </w:p>
    <w:p w14:paraId="5DEABD15" w14:textId="6A95D1E1"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Four main project activities</w:t>
      </w:r>
      <w:r w:rsidR="004E05F2" w:rsidRPr="00C12294">
        <w:rPr>
          <w:rFonts w:asciiTheme="majorHAnsi" w:hAnsiTheme="majorHAnsi" w:cstheme="majorHAnsi"/>
          <w:sz w:val="22"/>
          <w:lang w:val="en-US"/>
        </w:rPr>
        <w:t xml:space="preserve">, and one </w:t>
      </w:r>
      <w:r w:rsidR="00E74F84" w:rsidRPr="00C12294">
        <w:rPr>
          <w:rFonts w:asciiTheme="majorHAnsi" w:hAnsiTheme="majorHAnsi" w:cstheme="majorHAnsi"/>
          <w:sz w:val="22"/>
          <w:lang w:val="en-US"/>
        </w:rPr>
        <w:t>project</w:t>
      </w:r>
      <w:r w:rsidR="004E05F2" w:rsidRPr="00C12294">
        <w:rPr>
          <w:rFonts w:asciiTheme="majorHAnsi" w:hAnsiTheme="majorHAnsi" w:cstheme="majorHAnsi"/>
          <w:sz w:val="22"/>
          <w:lang w:val="en-US"/>
        </w:rPr>
        <w:t xml:space="preserve"> output </w:t>
      </w:r>
      <w:r w:rsidR="004E05F2" w:rsidRPr="00C12294">
        <w:rPr>
          <w:rFonts w:asciiTheme="majorHAnsi" w:hAnsiTheme="majorHAnsi" w:cstheme="majorHAnsi"/>
          <w:sz w:val="22"/>
          <w:lang w:val="en-GB"/>
        </w:rPr>
        <w:t xml:space="preserve">(2.6) </w:t>
      </w:r>
      <w:r w:rsidRPr="00C12294">
        <w:rPr>
          <w:rFonts w:asciiTheme="majorHAnsi" w:hAnsiTheme="majorHAnsi" w:cstheme="majorHAnsi"/>
          <w:sz w:val="22"/>
          <w:lang w:val="en-US"/>
        </w:rPr>
        <w:t>will require scoped ESIAs, and shall not commence until such reports have been produced and disclosed (following UNDP SES requirements on information disclosure periods). Scoped ESIA’s will be required for:</w:t>
      </w:r>
    </w:p>
    <w:p w14:paraId="5AA20D2E" w14:textId="77777777" w:rsidR="00BC5B8B" w:rsidRPr="00C12294" w:rsidRDefault="00BC5B8B" w:rsidP="00002BB9">
      <w:pPr>
        <w:rPr>
          <w:rFonts w:asciiTheme="majorHAnsi" w:hAnsiTheme="majorHAnsi" w:cstheme="majorHAnsi"/>
          <w:sz w:val="22"/>
          <w:lang w:val="en-US"/>
        </w:rPr>
      </w:pPr>
    </w:p>
    <w:p w14:paraId="190B01D4" w14:textId="77777777" w:rsidR="000748F3" w:rsidRPr="00C12294" w:rsidRDefault="000748F3" w:rsidP="000748F3">
      <w:pPr>
        <w:tabs>
          <w:tab w:val="left" w:pos="709"/>
        </w:tabs>
        <w:spacing w:line="240" w:lineRule="auto"/>
        <w:ind w:left="360"/>
        <w:jc w:val="both"/>
        <w:rPr>
          <w:rFonts w:asciiTheme="majorHAnsi" w:hAnsiTheme="majorHAnsi" w:cstheme="majorHAnsi"/>
          <w:bCs/>
          <w:sz w:val="22"/>
        </w:rPr>
      </w:pPr>
      <w:r w:rsidRPr="00C12294">
        <w:rPr>
          <w:rFonts w:asciiTheme="majorHAnsi" w:hAnsiTheme="majorHAnsi" w:cstheme="majorHAnsi"/>
          <w:bCs/>
          <w:sz w:val="22"/>
          <w:lang w:val="en-CA"/>
        </w:rPr>
        <w:t xml:space="preserve">Activity 2.4.2 </w:t>
      </w:r>
      <w:r w:rsidRPr="00C12294">
        <w:rPr>
          <w:rFonts w:asciiTheme="majorHAnsi" w:hAnsiTheme="majorHAnsi" w:cstheme="majorHAnsi"/>
          <w:bCs/>
          <w:sz w:val="22"/>
        </w:rPr>
        <w:t>Technical support to renovate and/or set up visitor and education and rescue center facilities in the core zone of each national park to support nature-based tourism programs and capacity building.</w:t>
      </w:r>
    </w:p>
    <w:p w14:paraId="3C067592" w14:textId="5651CF45" w:rsidR="000748F3" w:rsidRPr="00C12294" w:rsidRDefault="000748F3" w:rsidP="0000560F">
      <w:pPr>
        <w:tabs>
          <w:tab w:val="left" w:pos="709"/>
        </w:tabs>
        <w:spacing w:line="240" w:lineRule="auto"/>
        <w:ind w:left="360"/>
        <w:jc w:val="both"/>
        <w:rPr>
          <w:rFonts w:asciiTheme="majorHAnsi" w:hAnsiTheme="majorHAnsi" w:cstheme="majorHAnsi"/>
          <w:bCs/>
          <w:sz w:val="22"/>
          <w:lang w:val="en-US"/>
        </w:rPr>
      </w:pPr>
    </w:p>
    <w:p w14:paraId="26E53F9C" w14:textId="1CD89630" w:rsidR="0000560F" w:rsidRPr="00C12294" w:rsidRDefault="0000560F" w:rsidP="0000560F">
      <w:pPr>
        <w:tabs>
          <w:tab w:val="left" w:pos="709"/>
        </w:tabs>
        <w:spacing w:line="240" w:lineRule="auto"/>
        <w:ind w:left="360"/>
        <w:jc w:val="both"/>
        <w:rPr>
          <w:rFonts w:asciiTheme="majorHAnsi" w:hAnsiTheme="majorHAnsi" w:cstheme="majorHAnsi"/>
          <w:bCs/>
          <w:sz w:val="22"/>
          <w:lang w:val="en-CA"/>
        </w:rPr>
      </w:pPr>
      <w:r w:rsidRPr="00C12294">
        <w:rPr>
          <w:rFonts w:asciiTheme="majorHAnsi" w:hAnsiTheme="majorHAnsi" w:cstheme="majorHAnsi"/>
          <w:bCs/>
          <w:sz w:val="22"/>
          <w:lang w:val="en-CA"/>
        </w:rPr>
        <w:t xml:space="preserve">Activity </w:t>
      </w:r>
      <w:r w:rsidR="00133F72" w:rsidRPr="00C12294">
        <w:rPr>
          <w:rFonts w:asciiTheme="majorHAnsi" w:hAnsiTheme="majorHAnsi" w:cstheme="majorHAnsi"/>
          <w:bCs/>
          <w:sz w:val="22"/>
          <w:lang w:val="en-CA"/>
        </w:rPr>
        <w:t>3</w:t>
      </w:r>
      <w:r w:rsidRPr="00C12294">
        <w:rPr>
          <w:rFonts w:asciiTheme="majorHAnsi" w:hAnsiTheme="majorHAnsi" w:cstheme="majorHAnsi"/>
          <w:bCs/>
          <w:sz w:val="22"/>
          <w:lang w:val="en-CA"/>
        </w:rPr>
        <w:t>.</w:t>
      </w:r>
      <w:r w:rsidR="00133F72" w:rsidRPr="00C12294">
        <w:rPr>
          <w:rFonts w:asciiTheme="majorHAnsi" w:hAnsiTheme="majorHAnsi" w:cstheme="majorHAnsi"/>
          <w:bCs/>
          <w:sz w:val="22"/>
          <w:lang w:val="en-CA"/>
        </w:rPr>
        <w:t>3</w:t>
      </w:r>
      <w:r w:rsidRPr="00C12294">
        <w:rPr>
          <w:rFonts w:asciiTheme="majorHAnsi" w:hAnsiTheme="majorHAnsi" w:cstheme="majorHAnsi"/>
          <w:bCs/>
          <w:sz w:val="22"/>
          <w:lang w:val="en-CA"/>
        </w:rPr>
        <w:t>.</w:t>
      </w:r>
      <w:r w:rsidR="00133F72" w:rsidRPr="00C12294">
        <w:rPr>
          <w:rFonts w:asciiTheme="majorHAnsi" w:hAnsiTheme="majorHAnsi" w:cstheme="majorHAnsi"/>
          <w:bCs/>
          <w:sz w:val="22"/>
          <w:lang w:val="en-CA"/>
        </w:rPr>
        <w:t>4</w:t>
      </w:r>
      <w:r w:rsidRPr="00C12294">
        <w:rPr>
          <w:rFonts w:asciiTheme="majorHAnsi" w:hAnsiTheme="majorHAnsi" w:cstheme="majorHAnsi"/>
          <w:bCs/>
          <w:sz w:val="22"/>
          <w:lang w:val="en-CA"/>
        </w:rPr>
        <w:t xml:space="preserve"> Trade-in program: guns and traps in exchange for fertilizer and seeds and technical knowledge.</w:t>
      </w:r>
    </w:p>
    <w:p w14:paraId="7A73EE17" w14:textId="70981375" w:rsidR="0000560F" w:rsidRPr="00C12294" w:rsidRDefault="0000560F" w:rsidP="0000560F">
      <w:pPr>
        <w:tabs>
          <w:tab w:val="left" w:pos="709"/>
        </w:tabs>
        <w:spacing w:line="240" w:lineRule="auto"/>
        <w:ind w:left="360"/>
        <w:jc w:val="both"/>
        <w:rPr>
          <w:rFonts w:asciiTheme="majorHAnsi" w:hAnsiTheme="majorHAnsi" w:cstheme="majorHAnsi"/>
          <w:bCs/>
          <w:sz w:val="22"/>
          <w:lang w:val="en-CA"/>
        </w:rPr>
      </w:pPr>
    </w:p>
    <w:p w14:paraId="16C9F37D" w14:textId="77777777" w:rsidR="00133F72" w:rsidRPr="00C12294" w:rsidRDefault="0000560F" w:rsidP="00133F72">
      <w:pPr>
        <w:tabs>
          <w:tab w:val="left" w:pos="709"/>
        </w:tabs>
        <w:spacing w:line="240" w:lineRule="auto"/>
        <w:ind w:left="360"/>
        <w:jc w:val="both"/>
        <w:rPr>
          <w:rFonts w:asciiTheme="majorHAnsi" w:hAnsiTheme="majorHAnsi" w:cstheme="majorHAnsi"/>
          <w:bCs/>
          <w:sz w:val="22"/>
          <w:lang w:val="en-CA"/>
        </w:rPr>
      </w:pPr>
      <w:r w:rsidRPr="00C12294">
        <w:rPr>
          <w:rFonts w:asciiTheme="majorHAnsi" w:hAnsiTheme="majorHAnsi" w:cstheme="majorHAnsi"/>
          <w:bCs/>
          <w:sz w:val="22"/>
          <w:lang w:val="en-CA"/>
        </w:rPr>
        <w:t>Activity 3.3.1 E</w:t>
      </w:r>
      <w:proofErr w:type="spellStart"/>
      <w:r w:rsidRPr="00C12294">
        <w:rPr>
          <w:rFonts w:asciiTheme="majorHAnsi" w:hAnsiTheme="majorHAnsi" w:cstheme="majorHAnsi"/>
          <w:iCs/>
          <w:sz w:val="22"/>
        </w:rPr>
        <w:t>ngage</w:t>
      </w:r>
      <w:proofErr w:type="spellEnd"/>
      <w:r w:rsidRPr="00C12294">
        <w:rPr>
          <w:rFonts w:asciiTheme="majorHAnsi" w:hAnsiTheme="majorHAnsi" w:cstheme="majorHAnsi"/>
          <w:iCs/>
          <w:sz w:val="22"/>
        </w:rPr>
        <w:t xml:space="preserve"> and work </w:t>
      </w:r>
      <w:r w:rsidRPr="00C12294">
        <w:rPr>
          <w:rFonts w:asciiTheme="majorHAnsi" w:hAnsiTheme="majorHAnsi" w:cstheme="majorHAnsi"/>
          <w:sz w:val="22"/>
        </w:rPr>
        <w:t>with local communities and rangers to raise awareness on the laws and penalties regarding poaching and trafficking of illegal wildlife.</w:t>
      </w:r>
    </w:p>
    <w:p w14:paraId="69941AC1" w14:textId="77777777" w:rsidR="00133F72" w:rsidRPr="00C12294" w:rsidRDefault="00133F72" w:rsidP="00133F72">
      <w:pPr>
        <w:tabs>
          <w:tab w:val="left" w:pos="709"/>
        </w:tabs>
        <w:spacing w:line="240" w:lineRule="auto"/>
        <w:ind w:left="360"/>
        <w:jc w:val="both"/>
        <w:rPr>
          <w:rFonts w:asciiTheme="majorHAnsi" w:hAnsiTheme="majorHAnsi" w:cstheme="majorHAnsi"/>
          <w:bCs/>
          <w:sz w:val="22"/>
          <w:lang w:val="en-CA"/>
        </w:rPr>
      </w:pPr>
    </w:p>
    <w:p w14:paraId="31DE2806" w14:textId="3EEAC3A1" w:rsidR="00133F72" w:rsidRPr="00C12294" w:rsidRDefault="00133F72" w:rsidP="00133F72">
      <w:pPr>
        <w:tabs>
          <w:tab w:val="left" w:pos="709"/>
        </w:tabs>
        <w:spacing w:line="240" w:lineRule="auto"/>
        <w:ind w:left="360"/>
        <w:jc w:val="both"/>
        <w:rPr>
          <w:rFonts w:asciiTheme="majorHAnsi" w:hAnsiTheme="majorHAnsi" w:cstheme="majorHAnsi"/>
          <w:bCs/>
          <w:sz w:val="22"/>
        </w:rPr>
      </w:pPr>
      <w:r w:rsidRPr="00C12294">
        <w:rPr>
          <w:rFonts w:asciiTheme="majorHAnsi" w:hAnsiTheme="majorHAnsi" w:cstheme="majorHAnsi"/>
          <w:bCs/>
          <w:sz w:val="22"/>
        </w:rPr>
        <w:t>Activity 3.2.4 Enhance law enforcement efforts targeting illegal wildlife traders and intermediaries with the objective of increasing detection rate, arrests and prosecution.</w:t>
      </w:r>
    </w:p>
    <w:p w14:paraId="4F5FD885" w14:textId="2B0248C6" w:rsidR="002F0754" w:rsidRPr="00C12294" w:rsidRDefault="002F0754" w:rsidP="00133F72">
      <w:pPr>
        <w:tabs>
          <w:tab w:val="left" w:pos="709"/>
        </w:tabs>
        <w:spacing w:line="240" w:lineRule="auto"/>
        <w:ind w:left="360"/>
        <w:jc w:val="both"/>
        <w:rPr>
          <w:rFonts w:asciiTheme="majorHAnsi" w:hAnsiTheme="majorHAnsi" w:cstheme="majorHAnsi"/>
          <w:bCs/>
          <w:sz w:val="22"/>
        </w:rPr>
      </w:pPr>
    </w:p>
    <w:p w14:paraId="11AEA155" w14:textId="34281F4A" w:rsidR="002F0754" w:rsidRPr="00C12294" w:rsidRDefault="002F0754" w:rsidP="00133F72">
      <w:pPr>
        <w:tabs>
          <w:tab w:val="left" w:pos="709"/>
        </w:tabs>
        <w:spacing w:line="240" w:lineRule="auto"/>
        <w:ind w:left="360"/>
        <w:jc w:val="both"/>
        <w:rPr>
          <w:rFonts w:asciiTheme="majorHAnsi" w:hAnsiTheme="majorHAnsi" w:cstheme="majorHAnsi"/>
          <w:bCs/>
          <w:sz w:val="22"/>
          <w:lang w:val="en-CA"/>
        </w:rPr>
      </w:pPr>
      <w:r w:rsidRPr="00C12294">
        <w:rPr>
          <w:rFonts w:asciiTheme="majorHAnsi" w:hAnsiTheme="majorHAnsi" w:cstheme="majorHAnsi"/>
          <w:bCs/>
          <w:sz w:val="22"/>
        </w:rPr>
        <w:t xml:space="preserve">Output 2.6  Demonstration of PMES in Nui Chua </w:t>
      </w:r>
    </w:p>
    <w:p w14:paraId="6A1E9244" w14:textId="77777777" w:rsidR="00133F72" w:rsidRPr="00C12294" w:rsidRDefault="00133F72" w:rsidP="00002BB9">
      <w:pPr>
        <w:rPr>
          <w:rFonts w:asciiTheme="majorHAnsi" w:eastAsia="Calibri" w:hAnsiTheme="majorHAnsi" w:cstheme="majorHAnsi"/>
          <w:color w:val="000000"/>
          <w:sz w:val="22"/>
          <w:lang w:val="en-US"/>
        </w:rPr>
      </w:pPr>
    </w:p>
    <w:p w14:paraId="3A9B2F69" w14:textId="77777777" w:rsidR="00BC5B8B" w:rsidRPr="00C12294" w:rsidRDefault="00BC5B8B" w:rsidP="00002BB9">
      <w:pPr>
        <w:rPr>
          <w:rFonts w:asciiTheme="majorHAnsi" w:eastAsia="Calibri" w:hAnsiTheme="majorHAnsi" w:cstheme="majorHAnsi"/>
          <w:color w:val="000000"/>
          <w:sz w:val="22"/>
        </w:rPr>
      </w:pPr>
    </w:p>
    <w:p w14:paraId="48EA5AF6" w14:textId="77777777"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Prior to the commencement of any of the above listed activities, a site-specific/scoped  environmental and social impact assessment (ESIA) will be conducted in accordance with UNDP’s SES policy and the </w:t>
      </w:r>
      <w:hyperlink r:id="rId13" w:history="1">
        <w:r w:rsidRPr="00C12294">
          <w:rPr>
            <w:rStyle w:val="Hyperlink"/>
            <w:rFonts w:asciiTheme="majorHAnsi" w:hAnsiTheme="majorHAnsi" w:cstheme="majorHAnsi"/>
            <w:sz w:val="22"/>
            <w:lang w:val="en-US"/>
          </w:rPr>
          <w:t>UNDP SES Guidance Note on Assessment and Management</w:t>
        </w:r>
      </w:hyperlink>
      <w:r w:rsidRPr="00C12294">
        <w:rPr>
          <w:rFonts w:asciiTheme="majorHAnsi" w:hAnsiTheme="majorHAnsi" w:cstheme="majorHAnsi"/>
          <w:sz w:val="22"/>
          <w:lang w:val="en-US"/>
        </w:rPr>
        <w:t xml:space="preserve">. </w:t>
      </w:r>
    </w:p>
    <w:p w14:paraId="61B07365" w14:textId="77777777"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Each ESIA will be developed and carried out by independent experts in a participatory manner with stakeholders. The ESIA will further identify and assess social and environmental impacts of the project and its area of influence; evaluate alternatives; and design appropriate avoidance, mitigation, management, and monitoring measures. </w:t>
      </w:r>
    </w:p>
    <w:p w14:paraId="4947D656" w14:textId="77777777" w:rsidR="00002BB9" w:rsidRPr="00C12294" w:rsidRDefault="00002BB9" w:rsidP="00002BB9">
      <w:pPr>
        <w:pStyle w:val="ListParagraph"/>
        <w:numPr>
          <w:ilvl w:val="0"/>
          <w:numId w:val="15"/>
        </w:numPr>
        <w:spacing w:before="120" w:line="240" w:lineRule="auto"/>
        <w:ind w:left="709" w:hanging="425"/>
        <w:jc w:val="both"/>
        <w:rPr>
          <w:rFonts w:asciiTheme="majorHAnsi" w:hAnsiTheme="majorHAnsi" w:cstheme="majorHAnsi"/>
          <w:sz w:val="22"/>
        </w:rPr>
      </w:pPr>
      <w:r w:rsidRPr="00C12294">
        <w:rPr>
          <w:rFonts w:asciiTheme="majorHAnsi" w:hAnsiTheme="majorHAnsi" w:cstheme="majorHAnsi"/>
          <w:sz w:val="22"/>
        </w:rPr>
        <w:t>Per the SES, the ESIA will assess project activities at the scale deemed appropriate for compliance with the SES.</w:t>
      </w:r>
    </w:p>
    <w:p w14:paraId="63F6899E" w14:textId="77777777" w:rsidR="00002BB9" w:rsidRPr="00C12294" w:rsidRDefault="00002BB9" w:rsidP="00002BB9">
      <w:pPr>
        <w:pStyle w:val="ListParagraph"/>
        <w:numPr>
          <w:ilvl w:val="0"/>
          <w:numId w:val="15"/>
        </w:numPr>
        <w:spacing w:before="120" w:line="240" w:lineRule="auto"/>
        <w:ind w:left="709" w:hanging="425"/>
        <w:jc w:val="both"/>
        <w:rPr>
          <w:rFonts w:asciiTheme="majorHAnsi" w:hAnsiTheme="majorHAnsi" w:cstheme="majorHAnsi"/>
          <w:sz w:val="22"/>
        </w:rPr>
      </w:pPr>
      <w:r w:rsidRPr="00C12294">
        <w:rPr>
          <w:rFonts w:asciiTheme="majorHAnsi" w:hAnsiTheme="majorHAnsi" w:cstheme="majorHAnsi"/>
          <w:sz w:val="22"/>
        </w:rPr>
        <w:t xml:space="preserve">The ESIA will identify </w:t>
      </w:r>
      <w:r w:rsidRPr="00C12294">
        <w:rPr>
          <w:rFonts w:asciiTheme="majorHAnsi" w:hAnsiTheme="majorHAnsi" w:cstheme="majorHAnsi"/>
          <w:bCs/>
          <w:sz w:val="22"/>
        </w:rPr>
        <w:t>environmental and social sensitive receptors within the activity’s area of influence.</w:t>
      </w:r>
    </w:p>
    <w:p w14:paraId="040A4D37" w14:textId="77777777" w:rsidR="00002BB9" w:rsidRPr="00C12294" w:rsidRDefault="00002BB9" w:rsidP="00002BB9">
      <w:pPr>
        <w:pStyle w:val="ListParagraph"/>
        <w:numPr>
          <w:ilvl w:val="0"/>
          <w:numId w:val="15"/>
        </w:numPr>
        <w:spacing w:before="120" w:line="240" w:lineRule="auto"/>
        <w:ind w:left="709" w:hanging="425"/>
        <w:jc w:val="both"/>
        <w:rPr>
          <w:rFonts w:asciiTheme="majorHAnsi" w:hAnsiTheme="majorHAnsi" w:cstheme="majorHAnsi"/>
          <w:sz w:val="22"/>
        </w:rPr>
      </w:pPr>
      <w:r w:rsidRPr="00C12294">
        <w:rPr>
          <w:rFonts w:asciiTheme="majorHAnsi" w:hAnsiTheme="majorHAnsi" w:cstheme="majorHAnsi"/>
          <w:sz w:val="22"/>
        </w:rPr>
        <w:t>It will address all relevant issues related to the SES Overarching Principles and Project-level Standards, as identified in the project’s SESP and any other issues identified in the course of the ESIA.</w:t>
      </w:r>
    </w:p>
    <w:p w14:paraId="18A7AD54" w14:textId="6FF166D5" w:rsidR="004E05F2" w:rsidRPr="00C12294" w:rsidRDefault="00002BB9" w:rsidP="00002BB9">
      <w:pPr>
        <w:rPr>
          <w:rFonts w:asciiTheme="majorHAnsi" w:hAnsiTheme="majorHAnsi" w:cstheme="majorHAnsi"/>
          <w:sz w:val="22"/>
        </w:rPr>
      </w:pPr>
      <w:r w:rsidRPr="00C12294">
        <w:rPr>
          <w:rFonts w:asciiTheme="majorHAnsi" w:hAnsiTheme="majorHAnsi" w:cstheme="majorHAnsi"/>
          <w:bCs/>
          <w:sz w:val="22"/>
          <w:lang w:val="en-US"/>
        </w:rPr>
        <w:t xml:space="preserve">The output of the scoped ESIA will be an ESIA report, and an environmental and social management plan (ESMP) for each activity. </w:t>
      </w:r>
      <w:r w:rsidRPr="00C12294">
        <w:rPr>
          <w:rFonts w:asciiTheme="majorHAnsi" w:hAnsiTheme="majorHAnsi" w:cstheme="majorHAnsi"/>
          <w:sz w:val="22"/>
        </w:rPr>
        <w:t xml:space="preserve">The ESMP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w:t>
      </w:r>
    </w:p>
    <w:p w14:paraId="1B02F77C" w14:textId="5BDD1E7F" w:rsidR="004E05F2" w:rsidRPr="00C12294" w:rsidRDefault="004E05F2" w:rsidP="00002BB9">
      <w:pPr>
        <w:rPr>
          <w:rFonts w:asciiTheme="majorHAnsi" w:hAnsiTheme="majorHAnsi" w:cstheme="majorHAnsi"/>
          <w:sz w:val="22"/>
        </w:rPr>
      </w:pPr>
    </w:p>
    <w:p w14:paraId="5A2E42B0" w14:textId="77D767E5" w:rsidR="009560B6" w:rsidRDefault="004E05F2" w:rsidP="00B22E43">
      <w:pPr>
        <w:rPr>
          <w:rFonts w:asciiTheme="majorHAnsi" w:hAnsiTheme="majorHAnsi" w:cstheme="majorHAnsi"/>
          <w:sz w:val="22"/>
        </w:rPr>
      </w:pPr>
      <w:r w:rsidRPr="00C12294">
        <w:rPr>
          <w:rFonts w:asciiTheme="majorHAnsi" w:hAnsiTheme="majorHAnsi" w:cstheme="majorHAnsi"/>
          <w:sz w:val="22"/>
        </w:rPr>
        <w:lastRenderedPageBreak/>
        <w:t xml:space="preserve">During the initiation of the scoped ESIAs, it may be determined that certain activities requiring </w:t>
      </w:r>
      <w:r w:rsidR="006D0D6A">
        <w:rPr>
          <w:rFonts w:asciiTheme="majorHAnsi" w:hAnsiTheme="majorHAnsi" w:cstheme="majorHAnsi"/>
          <w:sz w:val="22"/>
        </w:rPr>
        <w:t>s</w:t>
      </w:r>
      <w:r w:rsidRPr="00C12294">
        <w:rPr>
          <w:rFonts w:asciiTheme="majorHAnsi" w:hAnsiTheme="majorHAnsi" w:cstheme="majorHAnsi"/>
          <w:sz w:val="22"/>
        </w:rPr>
        <w:t xml:space="preserve">coped ESIA’s (as listed above) may be grouped together into one scoped ESIA. Any such decisions will be taken in compliance with UNDP SES requirements. </w:t>
      </w:r>
    </w:p>
    <w:p w14:paraId="1DB9B80D" w14:textId="78D687F0" w:rsidR="006D0D6A" w:rsidRDefault="006D0D6A" w:rsidP="00B22E43">
      <w:pPr>
        <w:rPr>
          <w:rFonts w:asciiTheme="majorHAnsi" w:hAnsiTheme="majorHAnsi" w:cstheme="majorHAnsi"/>
          <w:sz w:val="22"/>
        </w:rPr>
      </w:pPr>
    </w:p>
    <w:p w14:paraId="0E1D337E" w14:textId="77777777" w:rsidR="00CC6595" w:rsidRDefault="006D0D6A" w:rsidP="00CC6595">
      <w:pPr>
        <w:rPr>
          <w:rFonts w:asciiTheme="majorHAnsi" w:hAnsiTheme="majorHAnsi" w:cstheme="majorHAnsi"/>
          <w:sz w:val="22"/>
        </w:rPr>
      </w:pPr>
      <w:r>
        <w:rPr>
          <w:rFonts w:asciiTheme="majorHAnsi" w:hAnsiTheme="majorHAnsi" w:cstheme="majorHAnsi"/>
          <w:sz w:val="22"/>
        </w:rPr>
        <w:t>In addition, given the nature of the perceived impacts associated with above listed activities (</w:t>
      </w:r>
      <w:proofErr w:type="gramStart"/>
      <w:r>
        <w:rPr>
          <w:rFonts w:asciiTheme="majorHAnsi" w:hAnsiTheme="majorHAnsi" w:cstheme="majorHAnsi"/>
          <w:sz w:val="22"/>
        </w:rPr>
        <w:t>i.e.</w:t>
      </w:r>
      <w:proofErr w:type="gramEnd"/>
      <w:r>
        <w:rPr>
          <w:rFonts w:asciiTheme="majorHAnsi" w:hAnsiTheme="majorHAnsi" w:cstheme="majorHAnsi"/>
          <w:sz w:val="22"/>
        </w:rPr>
        <w:t xml:space="preserve"> mainly social/human rights in nature) it may be determined during the inception phase of this project to </w:t>
      </w:r>
      <w:r w:rsidR="00483628">
        <w:rPr>
          <w:rFonts w:asciiTheme="majorHAnsi" w:hAnsiTheme="majorHAnsi" w:cstheme="majorHAnsi"/>
          <w:sz w:val="22"/>
        </w:rPr>
        <w:t>undertake</w:t>
      </w:r>
      <w:r>
        <w:rPr>
          <w:rFonts w:asciiTheme="majorHAnsi" w:hAnsiTheme="majorHAnsi" w:cstheme="majorHAnsi"/>
          <w:sz w:val="22"/>
        </w:rPr>
        <w:t xml:space="preserve"> this “scoped ESIA” following the SAPA methodology (so long as this meets continues to meet the </w:t>
      </w:r>
      <w:r w:rsidR="00483628">
        <w:rPr>
          <w:rFonts w:asciiTheme="majorHAnsi" w:hAnsiTheme="majorHAnsi" w:cstheme="majorHAnsi"/>
          <w:sz w:val="22"/>
        </w:rPr>
        <w:t>requirements</w:t>
      </w:r>
      <w:r>
        <w:rPr>
          <w:rFonts w:asciiTheme="majorHAnsi" w:hAnsiTheme="majorHAnsi" w:cstheme="majorHAnsi"/>
          <w:sz w:val="22"/>
        </w:rPr>
        <w:t xml:space="preserve"> </w:t>
      </w:r>
      <w:r w:rsidR="00483628">
        <w:rPr>
          <w:rFonts w:asciiTheme="majorHAnsi" w:hAnsiTheme="majorHAnsi" w:cstheme="majorHAnsi"/>
          <w:sz w:val="22"/>
        </w:rPr>
        <w:t>of UNDP SES</w:t>
      </w:r>
      <w:r w:rsidR="00483628" w:rsidRPr="00CC6595">
        <w:rPr>
          <w:rFonts w:asciiTheme="majorHAnsi" w:hAnsiTheme="majorHAnsi" w:cstheme="majorHAnsi"/>
          <w:sz w:val="22"/>
        </w:rPr>
        <w:t xml:space="preserve">). </w:t>
      </w:r>
    </w:p>
    <w:p w14:paraId="582FFEAD" w14:textId="77777777" w:rsidR="00CC6595" w:rsidRDefault="00CC6595" w:rsidP="00CC6595">
      <w:pPr>
        <w:rPr>
          <w:rFonts w:asciiTheme="majorHAnsi" w:hAnsiTheme="majorHAnsi" w:cstheme="majorHAnsi"/>
          <w:sz w:val="22"/>
        </w:rPr>
      </w:pPr>
    </w:p>
    <w:p w14:paraId="28A717DE" w14:textId="5F5316D4" w:rsidR="00814DC9" w:rsidRPr="00814DC9" w:rsidRDefault="00CC6595" w:rsidP="00814DC9">
      <w:pPr>
        <w:rPr>
          <w:rFonts w:asciiTheme="majorHAnsi" w:eastAsia="Times New Roman" w:hAnsiTheme="majorHAnsi" w:cstheme="majorHAnsi"/>
          <w:color w:val="000000" w:themeColor="text1"/>
          <w:sz w:val="22"/>
          <w:lang w:val="en-GB"/>
        </w:rPr>
      </w:pPr>
      <w:r w:rsidRPr="00CC6595">
        <w:rPr>
          <w:rFonts w:asciiTheme="majorHAnsi" w:eastAsia="Times New Roman" w:hAnsiTheme="majorHAnsi" w:cstheme="majorHAnsi"/>
          <w:color w:val="000000" w:themeColor="text1"/>
          <w:sz w:val="22"/>
          <w:lang w:val="en-GB"/>
        </w:rPr>
        <w:t>The SAPA methodology is designed to help PA managers and other key stakeholder groups increase and more equitably share positive impacts, and reduce the negative impacts. It can be used at any type of PA – those owned/managed by communities, the private sector or the state – and uses a multi-stakeholder approach to ensure that the key stakeholders lead assessment, interpretation of the results and development of recommendations for action</w:t>
      </w:r>
      <w:r w:rsidR="00814DC9">
        <w:rPr>
          <w:rStyle w:val="FootnoteReference"/>
          <w:rFonts w:asciiTheme="majorHAnsi" w:eastAsia="Times New Roman" w:hAnsiTheme="majorHAnsi" w:cstheme="majorHAnsi"/>
          <w:color w:val="000000" w:themeColor="text1"/>
          <w:sz w:val="22"/>
          <w:lang w:val="en-GB"/>
        </w:rPr>
        <w:footnoteReference w:id="28"/>
      </w:r>
      <w:r w:rsidRPr="00CC6595">
        <w:rPr>
          <w:rFonts w:asciiTheme="majorHAnsi" w:eastAsia="Times New Roman" w:hAnsiTheme="majorHAnsi" w:cstheme="majorHAnsi"/>
          <w:color w:val="000000" w:themeColor="text1"/>
          <w:sz w:val="22"/>
          <w:lang w:val="en-GB"/>
        </w:rPr>
        <w:t>.</w:t>
      </w:r>
      <w:r w:rsidR="00814DC9">
        <w:rPr>
          <w:rFonts w:asciiTheme="majorHAnsi" w:eastAsia="Times New Roman" w:hAnsiTheme="majorHAnsi" w:cstheme="majorHAnsi"/>
          <w:color w:val="000000" w:themeColor="text1"/>
          <w:sz w:val="22"/>
          <w:lang w:val="en-GB"/>
        </w:rPr>
        <w:t xml:space="preserve"> </w:t>
      </w:r>
      <w:r w:rsidR="00814DC9" w:rsidRPr="00814DC9">
        <w:rPr>
          <w:rFonts w:asciiTheme="majorHAnsi" w:eastAsia="Times New Roman" w:hAnsiTheme="majorHAnsi" w:cstheme="majorHAnsi"/>
          <w:color w:val="000000" w:themeColor="text1"/>
          <w:sz w:val="22"/>
          <w:lang w:val="en-GB"/>
        </w:rPr>
        <w:t xml:space="preserve">The SAPA methodology uses a combination of </w:t>
      </w:r>
      <w:proofErr w:type="spellStart"/>
      <w:r w:rsidR="00814DC9" w:rsidRPr="00814DC9">
        <w:rPr>
          <w:rFonts w:asciiTheme="majorHAnsi" w:eastAsia="Times New Roman" w:hAnsiTheme="majorHAnsi" w:cstheme="majorHAnsi"/>
          <w:color w:val="000000" w:themeColor="text1"/>
          <w:sz w:val="22"/>
          <w:lang w:val="en-GB"/>
        </w:rPr>
        <w:t>i</w:t>
      </w:r>
      <w:proofErr w:type="spellEnd"/>
      <w:r w:rsidR="00814DC9" w:rsidRPr="00814DC9">
        <w:rPr>
          <w:rFonts w:asciiTheme="majorHAnsi" w:eastAsia="Times New Roman" w:hAnsiTheme="majorHAnsi" w:cstheme="majorHAnsi"/>
          <w:color w:val="000000" w:themeColor="text1"/>
          <w:sz w:val="22"/>
          <w:lang w:val="en-GB"/>
        </w:rPr>
        <w:t>) community meetings to identify the more significant social impacts, ii) a short household survey to explore in more depth these social impacts and related governance issues and iii) stakeholder workshops to discuss and interpret the survey results, explore other key issues and generate ideas for action to improve the situation.</w:t>
      </w:r>
    </w:p>
    <w:p w14:paraId="5929EB63" w14:textId="12DF1CDF" w:rsidR="006D0D6A" w:rsidRPr="00CC6595" w:rsidRDefault="006D0D6A" w:rsidP="00B22E43">
      <w:pPr>
        <w:rPr>
          <w:rFonts w:asciiTheme="majorHAnsi" w:hAnsiTheme="majorHAnsi" w:cstheme="majorHAnsi"/>
          <w:sz w:val="22"/>
          <w:lang w:val="en-GB"/>
        </w:rPr>
      </w:pPr>
    </w:p>
    <w:p w14:paraId="279574C9" w14:textId="100A589B" w:rsidR="00002BB9" w:rsidRPr="00C12294" w:rsidRDefault="00C12294" w:rsidP="00002BB9">
      <w:pPr>
        <w:pStyle w:val="Estilo1"/>
        <w:rPr>
          <w:rFonts w:asciiTheme="majorHAnsi" w:hAnsiTheme="majorHAnsi" w:cstheme="majorHAnsi"/>
          <w:sz w:val="22"/>
          <w:szCs w:val="22"/>
        </w:rPr>
      </w:pPr>
      <w:r w:rsidRPr="00C12294">
        <w:rPr>
          <w:rFonts w:asciiTheme="majorHAnsi" w:hAnsiTheme="majorHAnsi" w:cstheme="majorHAnsi"/>
          <w:sz w:val="22"/>
          <w:szCs w:val="22"/>
        </w:rPr>
        <w:t>7</w:t>
      </w:r>
      <w:r w:rsidR="00002BB9" w:rsidRPr="00C12294">
        <w:rPr>
          <w:rFonts w:asciiTheme="majorHAnsi" w:hAnsiTheme="majorHAnsi" w:cstheme="majorHAnsi"/>
          <w:sz w:val="22"/>
          <w:szCs w:val="22"/>
        </w:rPr>
        <w:t>.3 Further Screening, Assessment and Management</w:t>
      </w:r>
    </w:p>
    <w:p w14:paraId="57925C22" w14:textId="77777777" w:rsidR="00BF1CCB"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The SESP undertaken in PPG phase and its findings are based on the broad scope of activities, outputs and outcomes of the designed Project.  Thus, the potential impacts and management measures are designed to manage those impacts in their broadest sense, and the significance categorization of “Substantial” is based on an indication of three significant risks. The relevance of these risks may vary across sites or evolve in time, and the significance or likelihood of associated risks or impacts is not necessarily uniform in all demonstration experiences of the Project.  Further screening is required to identify site-specific magnitude and intensity of risks, in order to effectively manage them. </w:t>
      </w:r>
    </w:p>
    <w:p w14:paraId="0E38D107" w14:textId="77777777" w:rsidR="00BF1CCB" w:rsidRPr="00C12294" w:rsidRDefault="00BF1CCB" w:rsidP="00002BB9">
      <w:pPr>
        <w:rPr>
          <w:rFonts w:asciiTheme="majorHAnsi" w:hAnsiTheme="majorHAnsi" w:cstheme="majorHAnsi"/>
          <w:sz w:val="22"/>
          <w:lang w:val="en-US"/>
        </w:rPr>
      </w:pPr>
    </w:p>
    <w:p w14:paraId="2BADF932" w14:textId="593D092D"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Further screening, assessment and management will be undertaken as part either; (</w:t>
      </w:r>
      <w:proofErr w:type="spellStart"/>
      <w:r w:rsidRPr="00C12294">
        <w:rPr>
          <w:rFonts w:asciiTheme="majorHAnsi" w:hAnsiTheme="majorHAnsi" w:cstheme="majorHAnsi"/>
          <w:sz w:val="22"/>
          <w:lang w:val="en-US"/>
        </w:rPr>
        <w:t>i</w:t>
      </w:r>
      <w:proofErr w:type="spellEnd"/>
      <w:r w:rsidRPr="00C12294">
        <w:rPr>
          <w:rFonts w:asciiTheme="majorHAnsi" w:hAnsiTheme="majorHAnsi" w:cstheme="majorHAnsi"/>
          <w:sz w:val="22"/>
          <w:lang w:val="en-US"/>
        </w:rPr>
        <w:t xml:space="preserve">) SESA, for ‘upstream activities’ (see section </w:t>
      </w:r>
      <w:r w:rsidR="00BF1CCB" w:rsidRPr="00C12294">
        <w:rPr>
          <w:rFonts w:asciiTheme="majorHAnsi" w:hAnsiTheme="majorHAnsi" w:cstheme="majorHAnsi"/>
          <w:sz w:val="22"/>
          <w:lang w:val="en-US"/>
        </w:rPr>
        <w:t>7</w:t>
      </w:r>
      <w:r w:rsidRPr="00C12294">
        <w:rPr>
          <w:rFonts w:asciiTheme="majorHAnsi" w:hAnsiTheme="majorHAnsi" w:cstheme="majorHAnsi"/>
          <w:sz w:val="22"/>
          <w:lang w:val="en-US"/>
        </w:rPr>
        <w:t xml:space="preserve">.1) or (ii) the conduct of scoped ESIA(s), for downstream activities (see section </w:t>
      </w:r>
      <w:r w:rsidR="00BF1CCB" w:rsidRPr="00C12294">
        <w:rPr>
          <w:rFonts w:asciiTheme="majorHAnsi" w:hAnsiTheme="majorHAnsi" w:cstheme="majorHAnsi"/>
          <w:sz w:val="22"/>
          <w:lang w:val="en-US"/>
        </w:rPr>
        <w:t>7</w:t>
      </w:r>
      <w:r w:rsidRPr="00C12294">
        <w:rPr>
          <w:rFonts w:asciiTheme="majorHAnsi" w:hAnsiTheme="majorHAnsi" w:cstheme="majorHAnsi"/>
          <w:sz w:val="22"/>
          <w:lang w:val="en-US"/>
        </w:rPr>
        <w:t>.2).</w:t>
      </w:r>
    </w:p>
    <w:p w14:paraId="1595EB5A" w14:textId="77777777" w:rsidR="00BF1CCB" w:rsidRPr="00C12294" w:rsidRDefault="00BF1CCB" w:rsidP="00002BB9">
      <w:pPr>
        <w:rPr>
          <w:rFonts w:asciiTheme="majorHAnsi" w:hAnsiTheme="majorHAnsi" w:cstheme="majorHAnsi"/>
          <w:sz w:val="22"/>
          <w:lang w:val="en-US"/>
        </w:rPr>
      </w:pPr>
    </w:p>
    <w:p w14:paraId="4C3DB327" w14:textId="77777777" w:rsidR="00002BB9" w:rsidRPr="00C12294" w:rsidRDefault="00002BB9" w:rsidP="00002BB9">
      <w:pPr>
        <w:rPr>
          <w:rFonts w:asciiTheme="majorHAnsi" w:hAnsiTheme="majorHAnsi" w:cstheme="majorHAnsi"/>
          <w:sz w:val="22"/>
          <w:lang w:val="en-US"/>
        </w:rPr>
      </w:pPr>
      <w:r w:rsidRPr="00C12294">
        <w:rPr>
          <w:rFonts w:asciiTheme="majorHAnsi" w:hAnsiTheme="majorHAnsi" w:cstheme="majorHAnsi"/>
          <w:sz w:val="22"/>
          <w:lang w:val="en-US"/>
        </w:rPr>
        <w:t xml:space="preserve">Whilst the majority of project activities and demonstration sites are known at his time, there is the potential that certain project activities will need to change (either modality/focus or geographic location). This could be due to the evolving nature of the project/adaptive management, or if the project is unable to come to a mutually agreeable form of official consent (as required through UNDP’s SES requirements on FPIC). In such circumstances, any ‘new’/substantive changes to the project will require screening, assessment and management, using the SESP methodology to ensure that any impacts are </w:t>
      </w:r>
      <w:r w:rsidRPr="00C12294">
        <w:rPr>
          <w:rFonts w:asciiTheme="majorHAnsi" w:hAnsiTheme="majorHAnsi" w:cstheme="majorHAnsi"/>
          <w:sz w:val="22"/>
          <w:lang w:val="en-US"/>
        </w:rPr>
        <w:lastRenderedPageBreak/>
        <w:t>identified, their significance is assessed, and any required impact-specific management actions are developed and applied</w:t>
      </w:r>
    </w:p>
    <w:p w14:paraId="760EBDA6" w14:textId="77777777" w:rsidR="00002BB9" w:rsidRPr="00C12294" w:rsidRDefault="00002BB9" w:rsidP="00002BB9">
      <w:pPr>
        <w:rPr>
          <w:rFonts w:asciiTheme="majorHAnsi" w:hAnsiTheme="majorHAnsi" w:cstheme="majorHAnsi"/>
          <w:b/>
          <w:sz w:val="22"/>
          <w:u w:val="single"/>
          <w:lang w:val="en-US"/>
        </w:rPr>
      </w:pPr>
    </w:p>
    <w:p w14:paraId="2E8E8B62" w14:textId="77777777" w:rsidR="00002BB9" w:rsidRPr="00C12294" w:rsidRDefault="00002BB9" w:rsidP="00002BB9">
      <w:pPr>
        <w:pStyle w:val="ListParagraph"/>
        <w:numPr>
          <w:ilvl w:val="0"/>
          <w:numId w:val="16"/>
        </w:numPr>
        <w:spacing w:after="0" w:line="240" w:lineRule="auto"/>
        <w:contextualSpacing/>
        <w:jc w:val="both"/>
        <w:rPr>
          <w:rFonts w:asciiTheme="majorHAnsi" w:hAnsiTheme="majorHAnsi" w:cstheme="majorHAnsi"/>
          <w:sz w:val="22"/>
        </w:rPr>
      </w:pPr>
      <w:r w:rsidRPr="00C12294">
        <w:rPr>
          <w:rFonts w:asciiTheme="majorHAnsi" w:hAnsiTheme="majorHAnsi" w:cstheme="majorHAnsi"/>
          <w:b/>
          <w:sz w:val="22"/>
          <w:u w:val="single"/>
        </w:rPr>
        <w:t xml:space="preserve">Screening </w:t>
      </w:r>
      <w:r w:rsidRPr="00C12294">
        <w:rPr>
          <w:rFonts w:asciiTheme="majorHAnsi" w:hAnsiTheme="majorHAnsi" w:cstheme="majorHAnsi"/>
          <w:sz w:val="22"/>
        </w:rPr>
        <w:t xml:space="preserve">of further project activities that have not been included in the existing SESP, will take place as specific new activities are designed. Screening will use the SESP template, and rate foreseen impacts as “High”, “Substantial”, “Moderate” or “Low”.  </w:t>
      </w:r>
    </w:p>
    <w:p w14:paraId="2D85EEAB" w14:textId="77777777" w:rsidR="00002BB9" w:rsidRPr="00C12294" w:rsidRDefault="00002BB9" w:rsidP="00002BB9">
      <w:pPr>
        <w:pStyle w:val="ListParagraph"/>
        <w:numPr>
          <w:ilvl w:val="0"/>
          <w:numId w:val="16"/>
        </w:numPr>
        <w:spacing w:after="0" w:line="240" w:lineRule="auto"/>
        <w:contextualSpacing/>
        <w:jc w:val="both"/>
        <w:rPr>
          <w:rFonts w:asciiTheme="majorHAnsi" w:hAnsiTheme="majorHAnsi" w:cstheme="majorHAnsi"/>
          <w:sz w:val="22"/>
        </w:rPr>
      </w:pPr>
      <w:r w:rsidRPr="00C12294">
        <w:rPr>
          <w:rFonts w:asciiTheme="majorHAnsi" w:hAnsiTheme="majorHAnsi" w:cstheme="majorHAnsi"/>
          <w:b/>
          <w:sz w:val="22"/>
          <w:u w:val="single"/>
        </w:rPr>
        <w:t>Assessment</w:t>
      </w:r>
      <w:r w:rsidRPr="00C12294">
        <w:rPr>
          <w:rFonts w:asciiTheme="majorHAnsi" w:hAnsiTheme="majorHAnsi" w:cstheme="majorHAnsi"/>
          <w:sz w:val="22"/>
        </w:rPr>
        <w:t xml:space="preserve"> of further activities will be commensurate with the magnitude of the envisaged risk, and targeted specifically at the risk, especially taking into account risks to poor, vulnerable or marginalized communities and individuals.   Full stakeholder consultation will be required at all stages.</w:t>
      </w:r>
    </w:p>
    <w:p w14:paraId="0621D537" w14:textId="75ED97B4" w:rsidR="00002BB9" w:rsidRPr="00C12294" w:rsidRDefault="00002BB9" w:rsidP="00002BB9">
      <w:pPr>
        <w:pStyle w:val="ListParagraph"/>
        <w:numPr>
          <w:ilvl w:val="0"/>
          <w:numId w:val="16"/>
        </w:numPr>
        <w:spacing w:after="0" w:line="240" w:lineRule="auto"/>
        <w:contextualSpacing/>
        <w:jc w:val="both"/>
        <w:rPr>
          <w:rFonts w:asciiTheme="majorHAnsi" w:hAnsiTheme="majorHAnsi" w:cstheme="majorHAnsi"/>
          <w:sz w:val="22"/>
        </w:rPr>
      </w:pPr>
      <w:r w:rsidRPr="00C12294">
        <w:rPr>
          <w:rFonts w:asciiTheme="majorHAnsi" w:hAnsiTheme="majorHAnsi" w:cstheme="majorHAnsi"/>
          <w:b/>
          <w:sz w:val="22"/>
          <w:u w:val="single"/>
        </w:rPr>
        <w:t>Management</w:t>
      </w:r>
      <w:r w:rsidRPr="00C12294">
        <w:rPr>
          <w:rFonts w:asciiTheme="majorHAnsi" w:hAnsiTheme="majorHAnsi" w:cstheme="majorHAnsi"/>
          <w:sz w:val="22"/>
        </w:rPr>
        <w:t xml:space="preserve"> of identified risks will follow the “mitigation hierarchy” model.  Management of additional site-specific activities will be integrated into the future ESMP.  The ESMP is dynamic, and may require amendments as new project activities are identified, screened, assessed and implemented. When required, additional stand-alone plans for the activity may be developed, or addendums made to existing stand-alone plans, such as a Livelihood Action Plan or Indigenous Peoples’ Plan, or a site-specific addition to the Gender Action Plan.  </w:t>
      </w:r>
    </w:p>
    <w:p w14:paraId="36E1D618" w14:textId="77777777" w:rsidR="00BF1CCB" w:rsidRPr="00C12294" w:rsidRDefault="00BF1CCB" w:rsidP="00BF1CCB">
      <w:pPr>
        <w:pStyle w:val="ListParagraph"/>
        <w:numPr>
          <w:ilvl w:val="0"/>
          <w:numId w:val="0"/>
        </w:numPr>
        <w:spacing w:after="0" w:line="240" w:lineRule="auto"/>
        <w:ind w:left="720"/>
        <w:contextualSpacing/>
        <w:jc w:val="both"/>
        <w:rPr>
          <w:rFonts w:asciiTheme="majorHAnsi" w:hAnsiTheme="majorHAnsi" w:cstheme="majorHAnsi"/>
          <w:sz w:val="22"/>
        </w:rPr>
      </w:pPr>
    </w:p>
    <w:p w14:paraId="5AFD5035" w14:textId="4F6FC1C8" w:rsidR="00002BB9" w:rsidRPr="00C12294" w:rsidRDefault="00002BB9" w:rsidP="00002BB9">
      <w:pPr>
        <w:rPr>
          <w:rFonts w:asciiTheme="majorHAnsi" w:hAnsiTheme="majorHAnsi" w:cstheme="majorHAnsi"/>
          <w:sz w:val="22"/>
          <w:lang w:val="en-US" w:eastAsia="zh-CN"/>
        </w:rPr>
      </w:pPr>
      <w:r w:rsidRPr="00C12294">
        <w:rPr>
          <w:rFonts w:asciiTheme="majorHAnsi" w:hAnsiTheme="majorHAnsi" w:cstheme="majorHAnsi"/>
          <w:sz w:val="22"/>
          <w:lang w:val="en-US" w:eastAsia="zh-CN"/>
        </w:rPr>
        <w:t xml:space="preserve">After Project inception, and once the FPIC process with ethnic minorities is undertaken and are fully designed in detail, the current EMPF (Annex 8b of the UNDP Project Document) will be replaced by an Ethnic Minorities Plan (EMP) that reflect the findings and conclusions of the FPIC process. </w:t>
      </w:r>
    </w:p>
    <w:p w14:paraId="0D69ECE0" w14:textId="77777777" w:rsidR="007A7D98" w:rsidRPr="00C12294" w:rsidRDefault="007A7D98" w:rsidP="00002BB9">
      <w:pPr>
        <w:rPr>
          <w:rFonts w:asciiTheme="majorHAnsi" w:hAnsiTheme="majorHAnsi" w:cstheme="majorHAnsi"/>
          <w:b/>
          <w:sz w:val="22"/>
          <w:lang w:val="en-US" w:eastAsia="zh-CN"/>
        </w:rPr>
      </w:pPr>
    </w:p>
    <w:p w14:paraId="42FAE80E" w14:textId="77777777" w:rsidR="00002BB9" w:rsidRPr="00C12294" w:rsidRDefault="00002BB9" w:rsidP="00002BB9">
      <w:pPr>
        <w:rPr>
          <w:rFonts w:asciiTheme="majorHAnsi" w:hAnsiTheme="majorHAnsi" w:cstheme="majorHAnsi"/>
          <w:b/>
          <w:sz w:val="22"/>
          <w:lang w:val="en-US" w:eastAsia="zh-CN"/>
        </w:rPr>
      </w:pPr>
      <w:r w:rsidRPr="00C12294">
        <w:rPr>
          <w:rFonts w:asciiTheme="majorHAnsi" w:hAnsiTheme="majorHAnsi" w:cstheme="majorHAnsi"/>
          <w:sz w:val="22"/>
          <w:lang w:val="en-US" w:eastAsia="zh-CN"/>
        </w:rPr>
        <w:t xml:space="preserve">As part of the annual report of Project advances through the PIR’s, the Project SESP will be reviewed and adjusted as necessary if new social and environmental risks arise.  </w:t>
      </w:r>
    </w:p>
    <w:p w14:paraId="2EA54305" w14:textId="77777777" w:rsidR="00002BB9" w:rsidRPr="00C12294" w:rsidRDefault="00002BB9" w:rsidP="00002BB9">
      <w:pPr>
        <w:rPr>
          <w:rFonts w:asciiTheme="majorHAnsi" w:hAnsiTheme="majorHAnsi" w:cstheme="majorHAnsi"/>
          <w:sz w:val="22"/>
          <w:lang w:val="en-US" w:eastAsia="zh-CN"/>
        </w:rPr>
      </w:pPr>
      <w:r w:rsidRPr="00C12294">
        <w:rPr>
          <w:rFonts w:asciiTheme="majorHAnsi" w:hAnsiTheme="majorHAnsi" w:cstheme="majorHAnsi"/>
          <w:sz w:val="22"/>
          <w:lang w:val="en-US" w:eastAsia="zh-CN"/>
        </w:rPr>
        <w:t xml:space="preserve">Throughout the Project, participation of women and ethnic minorities will be ensured, through implementation and monitoring of the respective Ethnic Minorities and Gender plans. Depending on the implementation of these plans and the consultations with the participating communities, all necessary adjustments will be made to prevent or anticipate any new risks. </w:t>
      </w:r>
    </w:p>
    <w:p w14:paraId="1508D9CE" w14:textId="77777777" w:rsidR="00002BB9" w:rsidRPr="00C12294" w:rsidRDefault="00002BB9" w:rsidP="00002BB9">
      <w:pPr>
        <w:rPr>
          <w:rFonts w:asciiTheme="majorHAnsi" w:hAnsiTheme="majorHAnsi" w:cstheme="majorHAnsi"/>
          <w:sz w:val="22"/>
          <w:lang w:val="en-US" w:eastAsia="zh-CN"/>
        </w:rPr>
      </w:pPr>
      <w:r w:rsidRPr="00C12294">
        <w:rPr>
          <w:rFonts w:asciiTheme="majorHAnsi" w:hAnsiTheme="majorHAnsi" w:cstheme="majorHAnsi"/>
          <w:sz w:val="22"/>
          <w:lang w:val="en-US" w:eastAsia="zh-CN"/>
        </w:rPr>
        <w:t xml:space="preserve">During implementation, the project will be re-screened with the UNDP SESP: </w:t>
      </w:r>
    </w:p>
    <w:p w14:paraId="0F987627" w14:textId="77777777" w:rsidR="00002BB9" w:rsidRPr="00C12294" w:rsidRDefault="00002BB9" w:rsidP="00002BB9">
      <w:pPr>
        <w:numPr>
          <w:ilvl w:val="0"/>
          <w:numId w:val="17"/>
        </w:numPr>
        <w:spacing w:before="120" w:after="120" w:line="240" w:lineRule="auto"/>
        <w:jc w:val="both"/>
        <w:rPr>
          <w:rFonts w:asciiTheme="majorHAnsi" w:hAnsiTheme="majorHAnsi" w:cstheme="majorHAnsi"/>
          <w:sz w:val="22"/>
          <w:lang w:val="en-US" w:eastAsia="zh-CN"/>
        </w:rPr>
      </w:pPr>
      <w:r w:rsidRPr="00C12294">
        <w:rPr>
          <w:rFonts w:asciiTheme="majorHAnsi" w:hAnsiTheme="majorHAnsi" w:cstheme="majorHAnsi"/>
          <w:sz w:val="22"/>
          <w:lang w:val="en-US" w:eastAsia="zh-CN"/>
        </w:rPr>
        <w:t xml:space="preserve">as prescribed by the project’s SESAs and ESIAs/ESMPs; </w:t>
      </w:r>
    </w:p>
    <w:p w14:paraId="66F96020" w14:textId="77777777" w:rsidR="00002BB9" w:rsidRPr="00C12294" w:rsidRDefault="00002BB9" w:rsidP="00002BB9">
      <w:pPr>
        <w:pStyle w:val="ListParagraph"/>
        <w:numPr>
          <w:ilvl w:val="0"/>
          <w:numId w:val="17"/>
        </w:numPr>
        <w:spacing w:before="120" w:line="240" w:lineRule="auto"/>
        <w:jc w:val="both"/>
        <w:rPr>
          <w:rFonts w:asciiTheme="majorHAnsi" w:hAnsiTheme="majorHAnsi" w:cstheme="majorHAnsi"/>
          <w:sz w:val="22"/>
          <w:lang w:eastAsia="zh-CN"/>
        </w:rPr>
      </w:pPr>
      <w:r w:rsidRPr="00C12294">
        <w:rPr>
          <w:rFonts w:asciiTheme="majorHAnsi" w:hAnsiTheme="majorHAnsi" w:cstheme="majorHAnsi"/>
          <w:sz w:val="22"/>
          <w:lang w:eastAsia="zh-CN"/>
        </w:rPr>
        <w:t xml:space="preserve">when determined necessary by the Project Manager (after consideration of the advice from PMU staff with responsibility for safeguards), the Project Board, or UNDP; and/or </w:t>
      </w:r>
    </w:p>
    <w:p w14:paraId="407C4709" w14:textId="54B4195F" w:rsidR="00AE563E" w:rsidRPr="00C12294" w:rsidRDefault="00002BB9" w:rsidP="00B22E43">
      <w:pPr>
        <w:pStyle w:val="ListParagraph"/>
        <w:numPr>
          <w:ilvl w:val="0"/>
          <w:numId w:val="17"/>
        </w:numPr>
        <w:spacing w:before="120" w:line="240" w:lineRule="auto"/>
        <w:jc w:val="both"/>
        <w:rPr>
          <w:rFonts w:asciiTheme="majorHAnsi" w:hAnsiTheme="majorHAnsi" w:cstheme="majorHAnsi"/>
          <w:sz w:val="22"/>
          <w:lang w:eastAsia="zh-CN"/>
        </w:rPr>
      </w:pPr>
      <w:r w:rsidRPr="00C12294">
        <w:rPr>
          <w:rFonts w:asciiTheme="majorHAnsi" w:hAnsiTheme="majorHAnsi" w:cstheme="majorHAnsi"/>
          <w:sz w:val="22"/>
          <w:lang w:eastAsia="zh-CN"/>
        </w:rPr>
        <w:t xml:space="preserve">when project circumstances change in a substantive or relevant way. </w:t>
      </w:r>
    </w:p>
    <w:p w14:paraId="05021FF6" w14:textId="60836256" w:rsidR="00B22E43" w:rsidRPr="00AE563E" w:rsidRDefault="00B22E43" w:rsidP="009560B6">
      <w:pPr>
        <w:pStyle w:val="Heading1"/>
        <w:numPr>
          <w:ilvl w:val="0"/>
          <w:numId w:val="9"/>
        </w:numPr>
        <w:rPr>
          <w:color w:val="002060"/>
        </w:rPr>
      </w:pPr>
      <w:r w:rsidRPr="00AE563E">
        <w:rPr>
          <w:color w:val="002060"/>
        </w:rPr>
        <w:t xml:space="preserve"> </w:t>
      </w:r>
      <w:bookmarkStart w:id="171" w:name="_Toc104218395"/>
      <w:r w:rsidRPr="00AE563E">
        <w:rPr>
          <w:color w:val="002060"/>
        </w:rPr>
        <w:t>Stakeholder engagement and information disclosure process</w:t>
      </w:r>
      <w:bookmarkEnd w:id="171"/>
    </w:p>
    <w:p w14:paraId="17B3EB04" w14:textId="77777777" w:rsidR="00E74F84"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Discussions with project stakeholders, including local communities at project sites, commenced during the PPG phase.  A list of the stakeholders engaged in these consultations has been included Annex 9.4. The project also has an individual Stakeholder Engagement Plan (Annex 7 of UNDP Project Document) and Gender Action Plan (Annex 10 of UNDP Project Document). </w:t>
      </w:r>
    </w:p>
    <w:p w14:paraId="319072C9" w14:textId="77777777" w:rsidR="00E74F84" w:rsidRPr="00C12294" w:rsidRDefault="00E74F84" w:rsidP="00553CE8">
      <w:pPr>
        <w:rPr>
          <w:rFonts w:asciiTheme="majorHAnsi" w:hAnsiTheme="majorHAnsi" w:cstheme="majorHAnsi"/>
          <w:sz w:val="22"/>
        </w:rPr>
      </w:pPr>
    </w:p>
    <w:p w14:paraId="48124333" w14:textId="6C4BC34E"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These Plans will be followed to ensure that stakeholders are engaged in project implementation and particularly in the further assessment of social and environmental impacts and the development of </w:t>
      </w:r>
      <w:r w:rsidRPr="00C12294">
        <w:rPr>
          <w:rFonts w:asciiTheme="majorHAnsi" w:hAnsiTheme="majorHAnsi" w:cstheme="majorHAnsi"/>
          <w:sz w:val="22"/>
        </w:rPr>
        <w:lastRenderedPageBreak/>
        <w:t xml:space="preserve">appropriate management measures. Project Stakeholder Engagement Plans will be updated during project implementation based on the assessments and management plans conducted in line with this ESMF, as needed. </w:t>
      </w:r>
    </w:p>
    <w:p w14:paraId="7FA8C6AD"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 xml:space="preserve">Potentially affected stakeholders will be engaged during the implementation of this ESMF.  This will include FPIC consultations with ethnic minorities if applicable. </w:t>
      </w:r>
    </w:p>
    <w:p w14:paraId="08DAE22C"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50236742"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Stakeholder engagement plans and summary reports of stakeholder consultations</w:t>
      </w:r>
    </w:p>
    <w:p w14:paraId="793D2E6F"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Social and environmental screening reports with project documentation</w:t>
      </w:r>
    </w:p>
    <w:p w14:paraId="3B2B41E6"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Draft social and environmental assessments, including any draft management plans</w:t>
      </w:r>
    </w:p>
    <w:p w14:paraId="058BEBDA"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Final social and environmental assessments and associated management plans</w:t>
      </w:r>
    </w:p>
    <w:p w14:paraId="63E3AEC2" w14:textId="77777777" w:rsidR="00553CE8" w:rsidRPr="00C12294" w:rsidRDefault="00553CE8" w:rsidP="00553CE8">
      <w:pPr>
        <w:pStyle w:val="ListParagraph"/>
        <w:numPr>
          <w:ilvl w:val="0"/>
          <w:numId w:val="4"/>
        </w:numPr>
        <w:spacing w:before="120" w:line="240" w:lineRule="auto"/>
        <w:jc w:val="both"/>
        <w:rPr>
          <w:rFonts w:asciiTheme="majorHAnsi" w:hAnsiTheme="majorHAnsi" w:cstheme="majorHAnsi"/>
          <w:sz w:val="22"/>
        </w:rPr>
      </w:pPr>
      <w:r w:rsidRPr="00C12294">
        <w:rPr>
          <w:rFonts w:asciiTheme="majorHAnsi" w:hAnsiTheme="majorHAnsi" w:cstheme="majorHAnsi"/>
          <w:sz w:val="22"/>
        </w:rPr>
        <w:t>Any required social and environmental monitoring reports.</w:t>
      </w:r>
    </w:p>
    <w:p w14:paraId="30B43AE5" w14:textId="44081CF1"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064B1B00" w14:textId="77777777" w:rsidR="00E74F84" w:rsidRPr="00C12294" w:rsidRDefault="00E74F84" w:rsidP="00553CE8">
      <w:pPr>
        <w:rPr>
          <w:rFonts w:asciiTheme="majorHAnsi" w:hAnsiTheme="majorHAnsi" w:cstheme="majorHAnsi"/>
          <w:sz w:val="22"/>
        </w:rPr>
      </w:pPr>
    </w:p>
    <w:p w14:paraId="0D4424AF" w14:textId="3D2C3306"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This ESMF (and the project SESP) will be disclosed via the UNDP Vietnam website in accordance with UNDP SES policy.  The subsequent project ESMPs or stand-alone management plan(s) will also be publicly disclosed via the UNDP Vietnam website once drafted, and finalized and adopted only after the required time period for disclosure has elapsed.</w:t>
      </w:r>
    </w:p>
    <w:p w14:paraId="6625071C" w14:textId="0B01C75D" w:rsidR="00AE563E" w:rsidRPr="00C12294" w:rsidRDefault="00553CE8" w:rsidP="00AE563E">
      <w:pPr>
        <w:rPr>
          <w:rFonts w:asciiTheme="majorHAnsi" w:hAnsiTheme="majorHAnsi" w:cstheme="majorHAnsi"/>
          <w:sz w:val="22"/>
        </w:rPr>
      </w:pPr>
      <w:r w:rsidRPr="00C12294">
        <w:rPr>
          <w:rFonts w:asciiTheme="majorHAnsi" w:hAnsiTheme="majorHAnsi" w:cstheme="majorHAnsi"/>
          <w:sz w:val="22"/>
        </w:rPr>
        <w:t xml:space="preserve">These requirements for stakeholder engagement and disclosure will be adhered to during the implementation of this ESMF, and the subsequent implementation of the resulting ESMPs and any stand-alone management plans. </w:t>
      </w:r>
    </w:p>
    <w:p w14:paraId="49D807A3" w14:textId="4A9ABE76" w:rsidR="00B22E43" w:rsidRPr="008C6D5E" w:rsidRDefault="008C6D5E" w:rsidP="008C6D5E">
      <w:pPr>
        <w:pStyle w:val="Heading1"/>
        <w:ind w:left="360"/>
        <w:rPr>
          <w:color w:val="002060"/>
        </w:rPr>
      </w:pPr>
      <w:bookmarkStart w:id="172" w:name="_Toc104218396"/>
      <w:r w:rsidRPr="008C6D5E">
        <w:rPr>
          <w:color w:val="002060"/>
        </w:rPr>
        <w:t xml:space="preserve">9 </w:t>
      </w:r>
      <w:r w:rsidR="00B22E43" w:rsidRPr="008C6D5E">
        <w:rPr>
          <w:color w:val="002060"/>
        </w:rPr>
        <w:t>Grievance redress mechanism</w:t>
      </w:r>
      <w:bookmarkEnd w:id="172"/>
    </w:p>
    <w:p w14:paraId="6B4D43BF" w14:textId="7B7070C3" w:rsidR="00553CE8" w:rsidRDefault="00553CE8" w:rsidP="00553CE8">
      <w:pPr>
        <w:pStyle w:val="Heading2"/>
        <w:ind w:left="567" w:hanging="567"/>
      </w:pPr>
      <w:bookmarkStart w:id="173" w:name="_Toc35030085"/>
      <w:bookmarkStart w:id="174" w:name="_Toc66354269"/>
      <w:r>
        <w:t>9.1 UNDP’s Accountability Mechanisms</w:t>
      </w:r>
      <w:bookmarkEnd w:id="173"/>
      <w:bookmarkEnd w:id="174"/>
    </w:p>
    <w:p w14:paraId="0E2CD972"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UNDP’s SES recognize that even with strong planning and stakeholder engagement, unanticipated issues can still arise. Therefore, the SES are underpinned by an Accountability Mechanism with two key components:</w:t>
      </w:r>
    </w:p>
    <w:p w14:paraId="699EA2FC" w14:textId="77777777" w:rsidR="00553CE8" w:rsidRPr="00C12294" w:rsidRDefault="00553CE8" w:rsidP="00553CE8">
      <w:pPr>
        <w:pStyle w:val="ListParagraph"/>
        <w:numPr>
          <w:ilvl w:val="1"/>
          <w:numId w:val="5"/>
        </w:numPr>
        <w:spacing w:before="120" w:line="240" w:lineRule="auto"/>
        <w:ind w:left="900"/>
        <w:jc w:val="both"/>
        <w:rPr>
          <w:rFonts w:asciiTheme="majorHAnsi" w:hAnsiTheme="majorHAnsi" w:cstheme="majorHAnsi"/>
          <w:sz w:val="22"/>
        </w:rPr>
      </w:pPr>
      <w:r w:rsidRPr="00C12294">
        <w:rPr>
          <w:rFonts w:asciiTheme="majorHAnsi" w:hAnsiTheme="majorHAnsi" w:cstheme="majorHAnsi"/>
          <w:sz w:val="22"/>
        </w:rPr>
        <w:t>A Social and Environmental Compliance Review Unit (SECU) to respond to claims that UNDP is not in compliance with applicable environmental and social policies; and</w:t>
      </w:r>
    </w:p>
    <w:p w14:paraId="05DF7CB6" w14:textId="77777777" w:rsidR="00553CE8" w:rsidRPr="00C12294" w:rsidRDefault="00553CE8" w:rsidP="00553CE8">
      <w:pPr>
        <w:pStyle w:val="ListParagraph"/>
        <w:numPr>
          <w:ilvl w:val="1"/>
          <w:numId w:val="5"/>
        </w:numPr>
        <w:spacing w:before="120" w:line="240" w:lineRule="auto"/>
        <w:ind w:left="900"/>
        <w:jc w:val="both"/>
        <w:rPr>
          <w:rFonts w:asciiTheme="majorHAnsi" w:hAnsiTheme="majorHAnsi" w:cstheme="majorHAnsi"/>
          <w:sz w:val="22"/>
        </w:rPr>
      </w:pPr>
      <w:r w:rsidRPr="00C12294">
        <w:rPr>
          <w:rFonts w:asciiTheme="majorHAnsi" w:hAnsiTheme="majorHAnsi" w:cstheme="majorHAnsi"/>
          <w:sz w:val="22"/>
        </w:rPr>
        <w:t>A Stakeholder Response Mechanism (SRM) that ensures individuals, peoples, and communities affected by projects have access to appropriate grievance resolution procedures for hearing and addressing project-related complaints and disputes.</w:t>
      </w:r>
    </w:p>
    <w:p w14:paraId="69BFF974"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UNDP’s Accountability Mechanism is available to all of UNDP’s project stakeholders.</w:t>
      </w:r>
    </w:p>
    <w:p w14:paraId="04D1BED8"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lastRenderedPageBreak/>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D9326ED" w14:textId="77777777" w:rsidR="00553CE8" w:rsidRPr="00C12294" w:rsidRDefault="00553CE8" w:rsidP="00553CE8">
      <w:pPr>
        <w:rPr>
          <w:rFonts w:asciiTheme="majorHAnsi" w:hAnsiTheme="majorHAnsi" w:cstheme="majorHAnsi"/>
          <w:sz w:val="22"/>
        </w:rPr>
      </w:pPr>
      <w:r w:rsidRPr="00C12294">
        <w:rPr>
          <w:rFonts w:asciiTheme="majorHAnsi" w:hAnsiTheme="majorHAnsi" w:cstheme="majorHAnsi"/>
          <w:sz w:val="22"/>
        </w:rPr>
        <w:t>The Stakeholder Response Mechanism helps project-affected stakeholders, UNDP’s partners (governments, NGOs, businesses) and others jointly address grievances or disputes related to the social and/or environmental impacts of UNDP-supported projects.</w:t>
      </w:r>
    </w:p>
    <w:p w14:paraId="0C920276" w14:textId="5220BDDC" w:rsidR="00AE563E" w:rsidRPr="005048BA" w:rsidRDefault="00553CE8" w:rsidP="00AE563E">
      <w:pPr>
        <w:rPr>
          <w:lang w:val="en-US"/>
        </w:rPr>
      </w:pPr>
      <w:r w:rsidRPr="00C12294">
        <w:rPr>
          <w:rFonts w:asciiTheme="majorHAnsi" w:hAnsiTheme="majorHAnsi" w:cstheme="majorHAnsi"/>
          <w:sz w:val="22"/>
        </w:rPr>
        <w:t xml:space="preserve">Further information, including how to submit a request to SECU or SRM, is found on the UNDP website at: </w:t>
      </w:r>
      <w:hyperlink r:id="rId14" w:history="1">
        <w:r w:rsidRPr="00C12294">
          <w:rPr>
            <w:rStyle w:val="Hyperlink"/>
            <w:rFonts w:asciiTheme="majorHAnsi" w:hAnsiTheme="majorHAnsi" w:cstheme="majorHAnsi"/>
            <w:sz w:val="22"/>
          </w:rPr>
          <w:t>http://www.undp.org/content/undp/en/home/operations/accountability/secu-srm/</w:t>
        </w:r>
      </w:hyperlink>
      <w:r>
        <w:t xml:space="preserve"> </w:t>
      </w:r>
    </w:p>
    <w:p w14:paraId="23D3AFA7" w14:textId="0A5BA60C" w:rsidR="007D2A04" w:rsidRDefault="007D2A04" w:rsidP="007D2A04">
      <w:pPr>
        <w:pStyle w:val="Heading2"/>
      </w:pPr>
      <w:r>
        <w:t>9.1 Project-level Grievance Redress Mechanism</w:t>
      </w:r>
    </w:p>
    <w:p w14:paraId="3F333A38" w14:textId="7300F1C6"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MONRE will establish and </w:t>
      </w:r>
      <w:r w:rsidR="005048BA" w:rsidRPr="005048BA">
        <w:rPr>
          <w:rFonts w:asciiTheme="majorHAnsi" w:hAnsiTheme="majorHAnsi" w:cstheme="majorHAnsi"/>
          <w:sz w:val="22"/>
        </w:rPr>
        <w:t>implement,</w:t>
      </w:r>
      <w:r w:rsidRPr="005048BA">
        <w:rPr>
          <w:rFonts w:asciiTheme="majorHAnsi" w:hAnsiTheme="majorHAnsi" w:cstheme="majorHAnsi"/>
          <w:sz w:val="22"/>
        </w:rPr>
        <w:t xml:space="preserve"> as described in the Project Document, a transparent, fair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       </w:t>
      </w:r>
    </w:p>
    <w:p w14:paraId="2B4D4578"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The project must assign a staff who is responsible for operating and monitoring grievance redress from national to local level, and for reporting periodically on the project progress report. A standard procedure to handle grievance should be going through following steps:</w:t>
      </w:r>
    </w:p>
    <w:p w14:paraId="4E6EDF3D"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1:</w:t>
      </w:r>
      <w:r w:rsidRPr="005048BA">
        <w:rPr>
          <w:rFonts w:asciiTheme="majorHAnsi" w:hAnsiTheme="majorHAnsi" w:cstheme="majorHAnsi"/>
          <w:sz w:val="22"/>
        </w:rPr>
        <w:t xml:space="preserve"> Receive and register grievance (through email, letter, fax, phone, meetings;</w:t>
      </w:r>
    </w:p>
    <w:p w14:paraId="0E770E6A"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2:</w:t>
      </w:r>
      <w:r w:rsidRPr="005048BA">
        <w:rPr>
          <w:rFonts w:asciiTheme="majorHAnsi" w:hAnsiTheme="majorHAnsi" w:cstheme="majorHAnsi"/>
          <w:sz w:val="22"/>
        </w:rPr>
        <w:t xml:space="preserve"> Acknowledge, Assess, Assign:  Acknowledge receipt and outline how grievance will be processed, assess eligibility, and assign organizational responsibility for proposing a response;</w:t>
      </w:r>
    </w:p>
    <w:p w14:paraId="0870B787"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3:</w:t>
      </w:r>
      <w:r w:rsidRPr="005048BA">
        <w:rPr>
          <w:rFonts w:asciiTheme="majorHAnsi" w:hAnsiTheme="majorHAnsi" w:cstheme="majorHAnsi"/>
          <w:sz w:val="22"/>
        </w:rPr>
        <w:t xml:space="preserve"> Propose Response: There are often three types of responses including: (1) Direct action to resolve the complaint; (2) Further assessment and engagement with the complainant and other stakeholders to determine jointly the best way to resolve the complaint; (3) Determination that the complaint is not eligible for the GRM, either because it does not meet the basic eligibility criteria, or because another mechanism (within the organization or outside it) is the appropriate place for the complaint to go.</w:t>
      </w:r>
    </w:p>
    <w:p w14:paraId="673D604D"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4:</w:t>
      </w:r>
      <w:r w:rsidRPr="005048BA">
        <w:rPr>
          <w:rFonts w:asciiTheme="majorHAnsi" w:hAnsiTheme="majorHAnsi" w:cstheme="majorHAnsi"/>
          <w:sz w:val="22"/>
        </w:rPr>
        <w:t xml:space="preserve"> Communicate proposed response to complainant and seek agreement on the response: This step will deliver response back to the complainant in a timely fashion, in writing using language that is easily accessible to the complainant. Responders may also contact the complainant by telephone or set up a meeting to review and discuss the initial approach with the complainant. The response should include a clear explanation of what the complainant’s choices are, given the proposed response. Those choices may include agreement to proceed, request for a review of an eligibility decision or a referral decision, further dialogue on a proposed action, or participation in a proposed assessment and engagement process. In addition, the response should note any other organizational, judicial or non-judicial but official government avenues for redress that the complainant may wish to consider.</w:t>
      </w:r>
    </w:p>
    <w:p w14:paraId="38A454E5"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 xml:space="preserve">Step 5: </w:t>
      </w:r>
      <w:r w:rsidRPr="005048BA">
        <w:rPr>
          <w:rFonts w:asciiTheme="majorHAnsi" w:hAnsiTheme="majorHAnsi" w:cstheme="majorHAnsi"/>
          <w:sz w:val="22"/>
        </w:rPr>
        <w:t>Implement the response to resolve the grievance: at this step, there is an agreement between a complainant and the GRM staff to move forward with the proposed action or stakeholder process, then the response should be implemented.</w:t>
      </w:r>
    </w:p>
    <w:p w14:paraId="1359B6C0"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6:</w:t>
      </w:r>
      <w:r w:rsidRPr="005048BA">
        <w:rPr>
          <w:rFonts w:asciiTheme="majorHAnsi" w:hAnsiTheme="majorHAnsi" w:cstheme="majorHAnsi"/>
          <w:sz w:val="22"/>
        </w:rPr>
        <w:t xml:space="preserve"> Review the response if unsuccessful: the GRM staff should review the situation with the complainant, and see whether any modification of the response might meet the concerns of the complainant. If not, the GRM staff should inform the complainant about other alternatives that may be available, including the use of judicial or other administrative mechanisms for recourse. </w:t>
      </w:r>
      <w:r w:rsidRPr="005048BA">
        <w:rPr>
          <w:rFonts w:asciiTheme="majorHAnsi" w:hAnsiTheme="majorHAnsi" w:cstheme="majorHAnsi"/>
          <w:sz w:val="22"/>
        </w:rPr>
        <w:lastRenderedPageBreak/>
        <w:t>Whatever alternative the complainant chooses, it is important for GRM staff to document their discussion with the complainant and the complainant’s informed choice among alternatives</w:t>
      </w:r>
    </w:p>
    <w:p w14:paraId="73C4AA41" w14:textId="77777777" w:rsidR="007D2A04" w:rsidRPr="005048BA" w:rsidRDefault="007D2A04" w:rsidP="007D2A04">
      <w:pPr>
        <w:pStyle w:val="ListParagraph"/>
        <w:numPr>
          <w:ilvl w:val="0"/>
          <w:numId w:val="28"/>
        </w:numPr>
        <w:spacing w:before="120" w:line="240" w:lineRule="auto"/>
        <w:ind w:left="720"/>
        <w:contextualSpacing/>
        <w:jc w:val="both"/>
        <w:rPr>
          <w:rFonts w:asciiTheme="majorHAnsi" w:hAnsiTheme="majorHAnsi" w:cstheme="majorHAnsi"/>
          <w:sz w:val="22"/>
        </w:rPr>
      </w:pPr>
      <w:r w:rsidRPr="005048BA">
        <w:rPr>
          <w:rFonts w:asciiTheme="majorHAnsi" w:hAnsiTheme="majorHAnsi" w:cstheme="majorHAnsi"/>
          <w:b/>
          <w:sz w:val="22"/>
        </w:rPr>
        <w:t>Step 7:</w:t>
      </w:r>
      <w:r w:rsidRPr="005048BA">
        <w:rPr>
          <w:rFonts w:asciiTheme="majorHAnsi" w:hAnsiTheme="majorHAnsi" w:cstheme="majorHAnsi"/>
          <w:sz w:val="22"/>
        </w:rPr>
        <w:t xml:space="preserve"> Close out or refer the grievance</w:t>
      </w:r>
    </w:p>
    <w:p w14:paraId="5AC47CE4"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The Grievance Redress Mechanism set out in this ESMF encourages mutually acceptable resolution of issues as they arise. It has been designed to:</w:t>
      </w:r>
    </w:p>
    <w:p w14:paraId="3EF82BA4"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Be a legitimate process that assures stakeholders that their concerns will be assessed in a timely, fair and transparent manner;</w:t>
      </w:r>
    </w:p>
    <w:p w14:paraId="51AF133C"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 xml:space="preserve">Provide adequate assistance for those that may have faced barriers in the past to be able to raise their concerns; </w:t>
      </w:r>
    </w:p>
    <w:p w14:paraId="4481CAC6"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Provide clear and concise procedures for each stage of the Grievance Redress Mechanism process;</w:t>
      </w:r>
    </w:p>
    <w:p w14:paraId="424CEFF0"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Ensure equitable treatment to all individuals and groups through a consistent, formal approach that, is fair, informed and respectful to a concern, complaints and/or grievances;</w:t>
      </w:r>
    </w:p>
    <w:p w14:paraId="1C9D9425"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The GRM will be gender- and age-inclusive and responsive and address potential access barriers to ethnic minority peoples, women, the elderly, the disabled, youth and other potentially marginalized groups as appropriate to the Project. The GRM will not impede access to judicial and will be readily accessible to all stakeholders at no cost. Information about the Grievance Redress Mechanism and how to make a complaint and/or grievance must be communicated during the stakeholder engagement process and placed at appropriate places for the information of the key stakeholders. Eligibility criteria for this Grievance Redress Mechanism include: </w:t>
      </w:r>
    </w:p>
    <w:p w14:paraId="64490DA1" w14:textId="77777777" w:rsidR="007D2A04" w:rsidRPr="005048BA" w:rsidRDefault="007D2A04" w:rsidP="007D2A04">
      <w:pPr>
        <w:pStyle w:val="ListParagraph"/>
        <w:numPr>
          <w:ilvl w:val="0"/>
          <w:numId w:val="29"/>
        </w:numPr>
        <w:spacing w:after="160"/>
        <w:contextualSpacing/>
        <w:jc w:val="both"/>
        <w:rPr>
          <w:rFonts w:asciiTheme="majorHAnsi" w:hAnsiTheme="majorHAnsi" w:cstheme="majorHAnsi"/>
          <w:sz w:val="22"/>
        </w:rPr>
      </w:pPr>
      <w:r w:rsidRPr="005048BA">
        <w:rPr>
          <w:rFonts w:asciiTheme="majorHAnsi" w:hAnsiTheme="majorHAnsi" w:cstheme="majorHAnsi"/>
          <w:sz w:val="22"/>
        </w:rPr>
        <w:t>Perceived negative economic, social or environmental impact on an individual and/or group, or concern about the potential to cause an impact as result of the project;</w:t>
      </w:r>
    </w:p>
    <w:p w14:paraId="71173EDE" w14:textId="4744CEED"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Any kind of impacts that have occurred or likely to occur; and explanation of how the project caused or may cause such impacts;</w:t>
      </w:r>
    </w:p>
    <w:p w14:paraId="1C44D484"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 xml:space="preserve">this Project shall also follow the Vietnam government legislations namely Law on Complaint and Law on Denunciation which were approved by Vietnam National Assembly in 2011 and revised in 2018 respectively. These are legal platforms that provide an accessible, rapid, fair and effective response to concerned stakeholders. However, to assure vulnerable groups who often lack access to formal legal regimes, the Project must provide necessary support as they will be able to be treated fairly and their complaints may be resolved immediately. This GRM might be revised and updated if </w:t>
      </w:r>
      <w:proofErr w:type="gramStart"/>
      <w:r w:rsidRPr="005048BA">
        <w:rPr>
          <w:rFonts w:asciiTheme="majorHAnsi" w:hAnsiTheme="majorHAnsi" w:cstheme="majorHAnsi"/>
          <w:sz w:val="22"/>
        </w:rPr>
        <w:t>necessary</w:t>
      </w:r>
      <w:proofErr w:type="gramEnd"/>
      <w:r w:rsidRPr="005048BA">
        <w:rPr>
          <w:rFonts w:asciiTheme="majorHAnsi" w:hAnsiTheme="majorHAnsi" w:cstheme="majorHAnsi"/>
          <w:sz w:val="22"/>
        </w:rPr>
        <w:t xml:space="preserve"> depending actual situation of the project. It must be delivered to local communities and other interested stakeholders so as they will fully understand and will be able to raise a grievance/complaint regarding social and environmental issues at all times to local People’s Committee (PPC) for consideration</w:t>
      </w:r>
    </w:p>
    <w:p w14:paraId="1799A040" w14:textId="77777777" w:rsidR="007D2A04" w:rsidRPr="005048BA" w:rsidRDefault="007D2A04" w:rsidP="007D2A04">
      <w:pPr>
        <w:rPr>
          <w:rFonts w:asciiTheme="majorHAnsi" w:hAnsiTheme="majorHAnsi" w:cstheme="majorHAnsi"/>
          <w:sz w:val="22"/>
        </w:rPr>
      </w:pPr>
      <w:r w:rsidRPr="005048BA">
        <w:rPr>
          <w:rFonts w:asciiTheme="majorHAnsi" w:hAnsiTheme="majorHAnsi" w:cstheme="majorHAnsi"/>
          <w:sz w:val="22"/>
        </w:rPr>
        <w:t>Complaints and grievances related to any aspect of this Project will be first handled through negotiation aimed at achieving consensus. They should pass through three levels before they are taken to a court of law as a last resort. People will be free from any fees for complaints. The three levels include:</w:t>
      </w:r>
    </w:p>
    <w:p w14:paraId="7BA577FC" w14:textId="77777777" w:rsidR="007D2A04" w:rsidRPr="005048BA" w:rsidRDefault="007D2A04" w:rsidP="007D2A04">
      <w:pPr>
        <w:pStyle w:val="ListParagraph"/>
        <w:numPr>
          <w:ilvl w:val="0"/>
          <w:numId w:val="30"/>
        </w:numPr>
        <w:spacing w:after="160"/>
        <w:contextualSpacing/>
        <w:jc w:val="both"/>
        <w:rPr>
          <w:rFonts w:asciiTheme="majorHAnsi" w:hAnsiTheme="majorHAnsi" w:cstheme="majorHAnsi"/>
          <w:sz w:val="22"/>
        </w:rPr>
      </w:pPr>
      <w:r w:rsidRPr="005048BA">
        <w:rPr>
          <w:rFonts w:asciiTheme="majorHAnsi" w:hAnsiTheme="majorHAnsi" w:cstheme="majorHAnsi"/>
          <w:b/>
          <w:sz w:val="22"/>
        </w:rPr>
        <w:t>First level</w:t>
      </w:r>
      <w:r w:rsidRPr="005048BA">
        <w:rPr>
          <w:rFonts w:asciiTheme="majorHAnsi" w:hAnsiTheme="majorHAnsi" w:cstheme="majorHAnsi"/>
          <w:sz w:val="22"/>
        </w:rPr>
        <w:t xml:space="preserve"> - At Commune People’s Committee (CPC) people may bring his/her complaint to any member of the CPC, in writing or verbally. It is incumbent upon said member of CPC to notify the CPC about the complaint. The CPC will meet personally with the aggrieved person and will have 15 days following the lodging of the complaint to resolve it. The CPC secretariat is responsible for documenting and keeping file of all complaints awaiting at the CPC for settlement;</w:t>
      </w:r>
    </w:p>
    <w:p w14:paraId="15F8FC5B" w14:textId="77777777" w:rsidR="007D2A04" w:rsidRPr="005048BA" w:rsidRDefault="007D2A04" w:rsidP="007D2A04">
      <w:pPr>
        <w:pStyle w:val="ListParagraph"/>
        <w:numPr>
          <w:ilvl w:val="0"/>
          <w:numId w:val="30"/>
        </w:numPr>
        <w:spacing w:after="160"/>
        <w:contextualSpacing/>
        <w:jc w:val="both"/>
        <w:rPr>
          <w:rFonts w:asciiTheme="majorHAnsi" w:hAnsiTheme="majorHAnsi" w:cstheme="majorHAnsi"/>
          <w:sz w:val="22"/>
        </w:rPr>
      </w:pPr>
      <w:r w:rsidRPr="005048BA">
        <w:rPr>
          <w:rFonts w:asciiTheme="majorHAnsi" w:hAnsiTheme="majorHAnsi" w:cstheme="majorHAnsi"/>
          <w:b/>
          <w:sz w:val="22"/>
        </w:rPr>
        <w:lastRenderedPageBreak/>
        <w:t>Second Level</w:t>
      </w:r>
      <w:r w:rsidRPr="005048BA">
        <w:rPr>
          <w:rFonts w:asciiTheme="majorHAnsi" w:hAnsiTheme="majorHAnsi" w:cstheme="majorHAnsi"/>
          <w:sz w:val="22"/>
        </w:rPr>
        <w:t xml:space="preserve"> - At District People’s Committee (DPC) If after 15 days the aggrieved person does not hear from the CPC, or if the CPC gives its solutions, but s/he is not satisfied with the decision taken on his/her complaint, she/he may bring the case, either in writing or verbally, to any member of DPC or District. The </w:t>
      </w:r>
      <w:proofErr w:type="gramStart"/>
      <w:r w:rsidRPr="005048BA">
        <w:rPr>
          <w:rFonts w:asciiTheme="majorHAnsi" w:hAnsiTheme="majorHAnsi" w:cstheme="majorHAnsi"/>
          <w:sz w:val="22"/>
        </w:rPr>
        <w:t>District</w:t>
      </w:r>
      <w:proofErr w:type="gramEnd"/>
      <w:r w:rsidRPr="005048BA">
        <w:rPr>
          <w:rFonts w:asciiTheme="majorHAnsi" w:hAnsiTheme="majorHAnsi" w:cstheme="majorHAnsi"/>
          <w:sz w:val="22"/>
        </w:rPr>
        <w:t xml:space="preserve"> in turn will have 30 days to resolve the case. The District Committees responsible for documenting and keeping file of all complaints that it handles;</w:t>
      </w:r>
    </w:p>
    <w:p w14:paraId="35C3313D" w14:textId="0BF5E1A4" w:rsidR="007D2A04" w:rsidRPr="005048BA" w:rsidRDefault="007D2A04" w:rsidP="007D2A04">
      <w:pPr>
        <w:rPr>
          <w:rFonts w:asciiTheme="majorHAnsi" w:hAnsiTheme="majorHAnsi" w:cstheme="majorHAnsi"/>
          <w:sz w:val="22"/>
        </w:rPr>
      </w:pPr>
      <w:r w:rsidRPr="005048BA">
        <w:rPr>
          <w:rFonts w:asciiTheme="majorHAnsi" w:hAnsiTheme="majorHAnsi" w:cstheme="majorHAnsi"/>
          <w:b/>
          <w:sz w:val="22"/>
        </w:rPr>
        <w:t>Third Level</w:t>
      </w:r>
      <w:r w:rsidRPr="005048BA">
        <w:rPr>
          <w:rFonts w:asciiTheme="majorHAnsi" w:hAnsiTheme="majorHAnsi" w:cstheme="majorHAnsi"/>
          <w:sz w:val="22"/>
        </w:rPr>
        <w:t xml:space="preserve"> - At the Provincial People’s Committee (PPC) If after 30 days the aggrieved person does not hear from the District Committee, or if s/he is not satisfied with the decision taken on his/her complaint, s/he may bring the case, either in writing or verbally, to any member of the Provincial PC. The Provincial PC has 45 days within which to resolve the complaint to the satisfaction of all concerned. The PPC is also responsible for documenting and keeping file of all complaints that it handles; Final Stage - Court of Law If after 45 days following the lodging of the complaint with the PPC, the aggrieved DP does not hear from the PPC, or if he/she is not satisfied with the decision taken on his/her complaint, the case may be brought to a court of law. The judgment of the Court is the final results that the concerned parties have to comply with. In this project, legal judgment may refer to the Law on Complaint 2011, the Law on Biodiversity 2008, Land Laws 2013, the Law on Environmental Protection 2014 or the Forest Law 2017 as legal base for their decision</w:t>
      </w:r>
    </w:p>
    <w:p w14:paraId="65F4DA89" w14:textId="3A5EEC1B" w:rsidR="00071F3C" w:rsidRDefault="008C6D5E" w:rsidP="008C6D5E">
      <w:pPr>
        <w:pStyle w:val="Heading1"/>
        <w:rPr>
          <w:color w:val="002060"/>
        </w:rPr>
      </w:pPr>
      <w:bookmarkStart w:id="175" w:name="_Toc104218397"/>
      <w:r w:rsidRPr="008C6D5E">
        <w:rPr>
          <w:color w:val="002060"/>
        </w:rPr>
        <w:t xml:space="preserve">10 </w:t>
      </w:r>
      <w:r w:rsidR="00071F3C">
        <w:rPr>
          <w:color w:val="002060"/>
        </w:rPr>
        <w:t xml:space="preserve">Institutional arrangements and capacity building </w:t>
      </w:r>
    </w:p>
    <w:p w14:paraId="4B19FEEB" w14:textId="4FEA953B" w:rsidR="00B47835" w:rsidRPr="00551F6C" w:rsidRDefault="00B47835" w:rsidP="00B47835">
      <w:pPr>
        <w:pStyle w:val="Heading2"/>
        <w:rPr>
          <w:rFonts w:asciiTheme="majorHAnsi" w:hAnsiTheme="majorHAnsi" w:cstheme="majorHAnsi"/>
          <w:sz w:val="22"/>
          <w:szCs w:val="22"/>
        </w:rPr>
      </w:pPr>
      <w:bookmarkStart w:id="176" w:name="_Toc510762490"/>
      <w:bookmarkStart w:id="177" w:name="_Toc35030081"/>
      <w:bookmarkStart w:id="178" w:name="_Toc66354265"/>
      <w:r w:rsidRPr="00B47835">
        <w:t xml:space="preserve"> </w:t>
      </w:r>
      <w:r w:rsidRPr="00551F6C">
        <w:rPr>
          <w:rFonts w:asciiTheme="majorHAnsi" w:hAnsiTheme="majorHAnsi" w:cstheme="majorHAnsi"/>
          <w:sz w:val="22"/>
          <w:szCs w:val="22"/>
        </w:rPr>
        <w:t>Roles and responsibilities for implementing this ESMF</w:t>
      </w:r>
      <w:bookmarkEnd w:id="176"/>
      <w:bookmarkEnd w:id="177"/>
      <w:bookmarkEnd w:id="178"/>
    </w:p>
    <w:p w14:paraId="3F555A48" w14:textId="77777777" w:rsidR="00B47835" w:rsidRPr="00551F6C" w:rsidRDefault="00B47835" w:rsidP="00B47835">
      <w:pPr>
        <w:spacing w:after="160"/>
        <w:rPr>
          <w:rFonts w:asciiTheme="majorHAnsi" w:eastAsiaTheme="majorEastAsia" w:hAnsiTheme="majorHAnsi" w:cstheme="majorHAnsi"/>
          <w:sz w:val="22"/>
        </w:rPr>
      </w:pPr>
      <w:r w:rsidRPr="00551F6C">
        <w:rPr>
          <w:rFonts w:asciiTheme="majorHAnsi" w:eastAsiaTheme="majorEastAsia" w:hAnsiTheme="majorHAnsi" w:cstheme="majorHAnsi"/>
          <w:sz w:val="22"/>
        </w:rPr>
        <w:t>The roles and responsibilities of project staff and associated agencies in the implementation of this ESMF is as follows. This ESMF does not cover the roles and responsibilities associated with implementation of the subsequent ESMPs and/or stand-alone management plans; those will be defined for each PA’s subsequent management plan that is developed in the project inception phase, as required per this ESMF.</w:t>
      </w:r>
    </w:p>
    <w:p w14:paraId="48755EFD" w14:textId="77777777" w:rsidR="00B47835" w:rsidRPr="00551F6C" w:rsidRDefault="00B47835" w:rsidP="00B47835">
      <w:pPr>
        <w:autoSpaceDE w:val="0"/>
        <w:autoSpaceDN w:val="0"/>
        <w:adjustRightInd w:val="0"/>
        <w:spacing w:before="240"/>
        <w:rPr>
          <w:rFonts w:asciiTheme="majorHAnsi" w:hAnsiTheme="majorHAnsi" w:cstheme="majorHAnsi"/>
          <w:b/>
          <w:color w:val="000000"/>
          <w:sz w:val="22"/>
        </w:rPr>
      </w:pPr>
      <w:r w:rsidRPr="00551F6C">
        <w:rPr>
          <w:rFonts w:asciiTheme="majorHAnsi" w:hAnsiTheme="majorHAnsi" w:cstheme="majorHAnsi"/>
          <w:b/>
          <w:color w:val="000000"/>
          <w:sz w:val="22"/>
        </w:rPr>
        <w:t xml:space="preserve">Implementing Partner: </w:t>
      </w:r>
    </w:p>
    <w:p w14:paraId="59C9D9CA" w14:textId="108A165D" w:rsidR="00B47835" w:rsidRPr="00551F6C" w:rsidRDefault="00B47835" w:rsidP="00B47835">
      <w:pPr>
        <w:autoSpaceDE w:val="0"/>
        <w:autoSpaceDN w:val="0"/>
        <w:adjustRightInd w:val="0"/>
        <w:spacing w:before="240"/>
        <w:rPr>
          <w:rFonts w:asciiTheme="majorHAnsi" w:hAnsiTheme="majorHAnsi" w:cstheme="majorHAnsi"/>
          <w:color w:val="000000"/>
          <w:sz w:val="22"/>
        </w:rPr>
      </w:pPr>
      <w:r w:rsidRPr="00551F6C">
        <w:rPr>
          <w:rFonts w:asciiTheme="majorHAnsi" w:hAnsiTheme="majorHAnsi" w:cstheme="majorHAnsi"/>
          <w:color w:val="000000"/>
          <w:sz w:val="22"/>
        </w:rPr>
        <w:t xml:space="preserve">The national executing entity - also referred to as the national ‘Implementing Partner’ (IP) in UNDP terminology - </w:t>
      </w:r>
      <w:r w:rsidRPr="00551F6C">
        <w:rPr>
          <w:rFonts w:asciiTheme="majorHAnsi" w:hAnsiTheme="majorHAnsi" w:cstheme="majorHAnsi"/>
          <w:sz w:val="22"/>
        </w:rPr>
        <w:t>for this project is the Ministry of Natural Resources and Environment (MONRE), Vietnam Environment Administration (VEA), Nature and Biodiversity Conservation Agency (BCA)</w:t>
      </w:r>
      <w:r w:rsidRPr="00551F6C">
        <w:rPr>
          <w:rStyle w:val="FootnoteReference"/>
          <w:rFonts w:asciiTheme="majorHAnsi" w:hAnsiTheme="majorHAnsi" w:cstheme="majorHAnsi"/>
          <w:sz w:val="22"/>
        </w:rPr>
        <w:footnoteReference w:id="29"/>
      </w:r>
      <w:r w:rsidRPr="00551F6C">
        <w:rPr>
          <w:rFonts w:asciiTheme="majorHAnsi" w:hAnsiTheme="majorHAnsi" w:cstheme="majorHAnsi"/>
          <w:sz w:val="22"/>
        </w:rPr>
        <w:t>.</w:t>
      </w:r>
    </w:p>
    <w:p w14:paraId="2FB4F7F8" w14:textId="4434C96D" w:rsidR="00B47835" w:rsidRPr="00551F6C" w:rsidRDefault="00B47835" w:rsidP="00B47835">
      <w:pPr>
        <w:autoSpaceDE w:val="0"/>
        <w:autoSpaceDN w:val="0"/>
        <w:adjustRightInd w:val="0"/>
        <w:spacing w:before="240"/>
        <w:rPr>
          <w:rFonts w:asciiTheme="majorHAnsi" w:hAnsiTheme="majorHAnsi" w:cstheme="majorHAnsi"/>
          <w:color w:val="000000"/>
          <w:sz w:val="22"/>
        </w:rPr>
      </w:pPr>
      <w:r w:rsidRPr="00551F6C">
        <w:rPr>
          <w:rFonts w:asciiTheme="majorHAnsi" w:hAnsiTheme="majorHAnsi" w:cstheme="majorHAnsi"/>
          <w:color w:val="000000"/>
          <w:sz w:val="22"/>
        </w:rPr>
        <w:t>The MONRE</w:t>
      </w:r>
      <w:r w:rsidR="00107FB8">
        <w:rPr>
          <w:rFonts w:asciiTheme="majorHAnsi" w:hAnsiTheme="majorHAnsi" w:cstheme="majorHAnsi"/>
          <w:color w:val="000000"/>
          <w:sz w:val="22"/>
        </w:rPr>
        <w:t>/</w:t>
      </w:r>
      <w:r w:rsidRPr="00551F6C">
        <w:rPr>
          <w:rFonts w:asciiTheme="majorHAnsi" w:hAnsiTheme="majorHAnsi" w:cstheme="majorHAnsi"/>
          <w:color w:val="000000"/>
          <w:sz w:val="22"/>
        </w:rPr>
        <w:t xml:space="preserve">BCA is responsible for: </w:t>
      </w:r>
    </w:p>
    <w:p w14:paraId="4C99B9EA" w14:textId="7A5F0F24" w:rsidR="00B47835" w:rsidRPr="00551F6C" w:rsidRDefault="00B47835" w:rsidP="00B47835">
      <w:pPr>
        <w:pStyle w:val="ListParagraph"/>
        <w:numPr>
          <w:ilvl w:val="0"/>
          <w:numId w:val="22"/>
        </w:numPr>
        <w:autoSpaceDE w:val="0"/>
        <w:autoSpaceDN w:val="0"/>
        <w:adjustRightInd w:val="0"/>
        <w:spacing w:before="120" w:after="0" w:line="240" w:lineRule="auto"/>
        <w:ind w:left="714" w:hanging="357"/>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Ensuring that the required assessment (ESIA or targeted assessment</w:t>
      </w:r>
      <w:r w:rsidR="00AF2CA4">
        <w:rPr>
          <w:rFonts w:asciiTheme="majorHAnsi" w:hAnsiTheme="majorHAnsi" w:cstheme="majorHAnsi"/>
          <w:color w:val="000000"/>
          <w:sz w:val="22"/>
        </w:rPr>
        <w:t xml:space="preserve">) </w:t>
      </w:r>
      <w:r w:rsidRPr="00551F6C">
        <w:rPr>
          <w:rFonts w:asciiTheme="majorHAnsi" w:hAnsiTheme="majorHAnsi" w:cstheme="majorHAnsi"/>
          <w:color w:val="000000"/>
          <w:sz w:val="22"/>
        </w:rPr>
        <w:t>and assessment report and the required management plan(s) (an ESMP and/or stand-alone management plan, as above) are developed, disclosed for public consultation and approved, and management measures are adopted and integrated during project implementation;</w:t>
      </w:r>
    </w:p>
    <w:p w14:paraId="407E1129" w14:textId="77777777" w:rsidR="00B47835" w:rsidRPr="00551F6C" w:rsidRDefault="00B47835" w:rsidP="00B47835">
      <w:pPr>
        <w:numPr>
          <w:ilvl w:val="0"/>
          <w:numId w:val="22"/>
        </w:numPr>
        <w:autoSpaceDE w:val="0"/>
        <w:autoSpaceDN w:val="0"/>
        <w:adjustRightInd w:val="0"/>
        <w:spacing w:line="240" w:lineRule="auto"/>
        <w:ind w:left="714" w:hanging="357"/>
        <w:contextualSpacing/>
        <w:jc w:val="both"/>
        <w:rPr>
          <w:rFonts w:asciiTheme="majorHAnsi" w:hAnsiTheme="majorHAnsi" w:cstheme="majorHAnsi"/>
          <w:color w:val="000000"/>
          <w:sz w:val="22"/>
          <w:lang w:val="en-US"/>
        </w:rPr>
      </w:pPr>
      <w:r w:rsidRPr="00551F6C">
        <w:rPr>
          <w:rFonts w:asciiTheme="majorHAnsi" w:hAnsiTheme="majorHAnsi" w:cstheme="majorHAnsi"/>
          <w:sz w:val="22"/>
          <w:lang w:val="en-US"/>
        </w:rPr>
        <w:lastRenderedPageBreak/>
        <w:t xml:space="preserve">Project planning, coordination, management, monitoring, evaluation and reporting.  </w:t>
      </w:r>
    </w:p>
    <w:p w14:paraId="3F6532DA" w14:textId="77777777" w:rsidR="00B47835" w:rsidRPr="00551F6C" w:rsidRDefault="00B47835" w:rsidP="00B47835">
      <w:pPr>
        <w:numPr>
          <w:ilvl w:val="0"/>
          <w:numId w:val="22"/>
        </w:numPr>
        <w:autoSpaceDE w:val="0"/>
        <w:autoSpaceDN w:val="0"/>
        <w:adjustRightInd w:val="0"/>
        <w:spacing w:line="240" w:lineRule="auto"/>
        <w:ind w:left="714" w:hanging="357"/>
        <w:contextualSpacing/>
        <w:jc w:val="both"/>
        <w:rPr>
          <w:rFonts w:asciiTheme="majorHAnsi" w:hAnsiTheme="majorHAnsi" w:cstheme="majorHAnsi"/>
          <w:sz w:val="22"/>
          <w:lang w:val="en-US"/>
        </w:rPr>
      </w:pPr>
      <w:r w:rsidRPr="00551F6C">
        <w:rPr>
          <w:rFonts w:asciiTheme="majorHAnsi" w:hAnsiTheme="majorHAnsi" w:cstheme="majorHAnsi"/>
          <w:sz w:val="22"/>
          <w:lang w:val="en-US"/>
        </w:rPr>
        <w:t xml:space="preserve">Reporting, fairly and accurately, on project progress against agreed work plans in accordance with the reporting schedule and required formats; </w:t>
      </w:r>
    </w:p>
    <w:p w14:paraId="285CB0AF" w14:textId="77777777" w:rsidR="00B47835" w:rsidRPr="00551F6C" w:rsidRDefault="00B47835" w:rsidP="00B47835">
      <w:pPr>
        <w:numPr>
          <w:ilvl w:val="0"/>
          <w:numId w:val="22"/>
        </w:numPr>
        <w:autoSpaceDE w:val="0"/>
        <w:autoSpaceDN w:val="0"/>
        <w:adjustRightInd w:val="0"/>
        <w:spacing w:line="240" w:lineRule="auto"/>
        <w:ind w:left="714" w:hanging="357"/>
        <w:contextualSpacing/>
        <w:jc w:val="both"/>
        <w:rPr>
          <w:rFonts w:asciiTheme="majorHAnsi" w:hAnsiTheme="majorHAnsi" w:cstheme="majorHAnsi"/>
          <w:sz w:val="22"/>
          <w:lang w:val="en-US"/>
        </w:rPr>
      </w:pPr>
      <w:r w:rsidRPr="00551F6C">
        <w:rPr>
          <w:rFonts w:asciiTheme="majorHAnsi" w:hAnsiTheme="majorHAnsi" w:cstheme="majorHAnsi"/>
          <w:sz w:val="22"/>
          <w:lang w:val="en-US"/>
        </w:rPr>
        <w:t>Maintaining documentation and evidence that describes the proper and prudent use of project resources in conformity to the signed Project Document and in accordance with applicable regulations and procedures (</w:t>
      </w:r>
      <w:proofErr w:type="gramStart"/>
      <w:r w:rsidRPr="00551F6C">
        <w:rPr>
          <w:rFonts w:asciiTheme="majorHAnsi" w:hAnsiTheme="majorHAnsi" w:cstheme="majorHAnsi"/>
          <w:sz w:val="22"/>
          <w:lang w:val="en-US"/>
        </w:rPr>
        <w:t>e.g.</w:t>
      </w:r>
      <w:proofErr w:type="gramEnd"/>
      <w:r w:rsidRPr="00551F6C">
        <w:rPr>
          <w:rFonts w:asciiTheme="majorHAnsi" w:hAnsiTheme="majorHAnsi" w:cstheme="majorHAnsi"/>
          <w:sz w:val="22"/>
          <w:lang w:val="en-US"/>
        </w:rPr>
        <w:t xml:space="preserve"> SES);</w:t>
      </w:r>
    </w:p>
    <w:p w14:paraId="06F2FB1A" w14:textId="77777777" w:rsidR="00B47835" w:rsidRPr="00551F6C" w:rsidRDefault="00B47835" w:rsidP="00B47835">
      <w:pPr>
        <w:pStyle w:val="ListParagraph"/>
        <w:numPr>
          <w:ilvl w:val="0"/>
          <w:numId w:val="22"/>
        </w:numPr>
        <w:autoSpaceDE w:val="0"/>
        <w:autoSpaceDN w:val="0"/>
        <w:adjustRightInd w:val="0"/>
        <w:spacing w:before="120"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Ensuring all requirements of UNDP’s SES and national regulatory/policy frameworks and relevant international standards have been addressed (</w:t>
      </w:r>
      <w:proofErr w:type="gramStart"/>
      <w:r w:rsidRPr="00551F6C">
        <w:rPr>
          <w:rFonts w:asciiTheme="majorHAnsi" w:hAnsiTheme="majorHAnsi" w:cstheme="majorHAnsi"/>
          <w:color w:val="000000"/>
          <w:sz w:val="22"/>
        </w:rPr>
        <w:t>e.g.</w:t>
      </w:r>
      <w:proofErr w:type="gramEnd"/>
      <w:r w:rsidRPr="00551F6C">
        <w:rPr>
          <w:rFonts w:asciiTheme="majorHAnsi" w:hAnsiTheme="majorHAnsi" w:cstheme="majorHAnsi"/>
          <w:color w:val="000000"/>
          <w:sz w:val="22"/>
        </w:rPr>
        <w:t xml:space="preserve"> mitigation of identified adverse social and environmental impacts);</w:t>
      </w:r>
    </w:p>
    <w:p w14:paraId="3297B989" w14:textId="77777777" w:rsidR="00B47835" w:rsidRPr="00551F6C" w:rsidRDefault="00B47835" w:rsidP="00B47835">
      <w:pPr>
        <w:pStyle w:val="ListParagraph"/>
        <w:numPr>
          <w:ilvl w:val="0"/>
          <w:numId w:val="22"/>
        </w:numPr>
        <w:autoSpaceDE w:val="0"/>
        <w:autoSpaceDN w:val="0"/>
        <w:adjustRightInd w:val="0"/>
        <w:spacing w:before="120"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 xml:space="preserve">Procurement of goods and services, including human resources required to ensure compliance with this ESMF; </w:t>
      </w:r>
    </w:p>
    <w:p w14:paraId="01B5933E" w14:textId="77777777" w:rsidR="00B47835" w:rsidRPr="00551F6C" w:rsidRDefault="00B47835" w:rsidP="00B47835">
      <w:pPr>
        <w:rPr>
          <w:rFonts w:asciiTheme="majorHAnsi" w:eastAsia="Calibri" w:hAnsiTheme="majorHAnsi" w:cstheme="majorHAnsi"/>
          <w:color w:val="000000"/>
          <w:sz w:val="22"/>
          <w:u w:val="single"/>
        </w:rPr>
      </w:pPr>
    </w:p>
    <w:p w14:paraId="2DDE562A" w14:textId="77777777" w:rsidR="00B47835" w:rsidRPr="00551F6C" w:rsidRDefault="00B47835" w:rsidP="00B47835">
      <w:pPr>
        <w:rPr>
          <w:rFonts w:asciiTheme="majorHAnsi" w:eastAsia="Calibri" w:hAnsiTheme="majorHAnsi" w:cstheme="majorHAnsi"/>
          <w:b/>
          <w:bCs/>
          <w:color w:val="000000"/>
          <w:sz w:val="22"/>
        </w:rPr>
      </w:pPr>
      <w:r w:rsidRPr="00551F6C">
        <w:rPr>
          <w:rFonts w:asciiTheme="majorHAnsi" w:eastAsia="Calibri" w:hAnsiTheme="majorHAnsi" w:cstheme="majorHAnsi"/>
          <w:b/>
          <w:bCs/>
          <w:color w:val="000000"/>
          <w:sz w:val="22"/>
        </w:rPr>
        <w:t>Responsible Parties</w:t>
      </w:r>
    </w:p>
    <w:p w14:paraId="459C5C48" w14:textId="04C229D8" w:rsidR="00B47835" w:rsidRPr="00551F6C" w:rsidRDefault="00B47835" w:rsidP="00B47835">
      <w:pPr>
        <w:rPr>
          <w:rFonts w:asciiTheme="majorHAnsi" w:eastAsia="Calibri" w:hAnsiTheme="majorHAnsi" w:cstheme="majorHAnsi"/>
          <w:i/>
          <w:color w:val="000000"/>
          <w:sz w:val="22"/>
        </w:rPr>
      </w:pPr>
      <w:r w:rsidRPr="00551F6C">
        <w:rPr>
          <w:rFonts w:asciiTheme="majorHAnsi" w:eastAsia="Calibri" w:hAnsiTheme="majorHAnsi" w:cstheme="majorHAnsi"/>
          <w:color w:val="000000"/>
          <w:sz w:val="22"/>
        </w:rPr>
        <w:t>Consistent with Decree 114/2021/ND-CP</w:t>
      </w:r>
      <w:r w:rsidRPr="00551F6C">
        <w:rPr>
          <w:rStyle w:val="FootnoteReference"/>
          <w:rFonts w:asciiTheme="majorHAnsi" w:eastAsia="Calibri" w:hAnsiTheme="majorHAnsi" w:cstheme="majorHAnsi"/>
          <w:color w:val="000000"/>
          <w:sz w:val="22"/>
        </w:rPr>
        <w:footnoteReference w:id="30"/>
      </w:r>
      <w:r w:rsidRPr="00551F6C">
        <w:rPr>
          <w:rFonts w:asciiTheme="majorHAnsi" w:eastAsia="Calibri" w:hAnsiTheme="majorHAnsi" w:cstheme="majorHAnsi"/>
          <w:color w:val="000000"/>
          <w:sz w:val="22"/>
        </w:rPr>
        <w:t xml:space="preserve"> on management and use of Official Development Assistance and concessional loans of foreign donors, the Responsible Parties are (</w:t>
      </w:r>
      <w:proofErr w:type="spellStart"/>
      <w:r w:rsidRPr="00551F6C">
        <w:rPr>
          <w:rFonts w:asciiTheme="majorHAnsi" w:eastAsia="Calibri" w:hAnsiTheme="majorHAnsi" w:cstheme="majorHAnsi"/>
          <w:color w:val="000000"/>
          <w:sz w:val="22"/>
        </w:rPr>
        <w:t>i</w:t>
      </w:r>
      <w:proofErr w:type="spellEnd"/>
      <w:r w:rsidRPr="00551F6C">
        <w:rPr>
          <w:rFonts w:asciiTheme="majorHAnsi" w:eastAsia="Calibri" w:hAnsiTheme="majorHAnsi" w:cstheme="majorHAnsi"/>
          <w:color w:val="000000"/>
          <w:sz w:val="22"/>
        </w:rPr>
        <w:t xml:space="preserve">) the Ministry of Culture, Sport and Tourism (MOCST) that will nominate the Institute of Tourism Development Research under mandate of the Vietnam National Administration of Tourism (VNAT) to be directly responsible for implementation of the project activities; along with (ii) the PA Management Board of Nui Chua National Park; and (iii) the PA Management Board of </w:t>
      </w:r>
      <w:proofErr w:type="spellStart"/>
      <w:r w:rsidRPr="00551F6C">
        <w:rPr>
          <w:rFonts w:asciiTheme="majorHAnsi" w:eastAsia="Calibri" w:hAnsiTheme="majorHAnsi" w:cstheme="majorHAnsi"/>
          <w:color w:val="000000"/>
          <w:sz w:val="22"/>
        </w:rPr>
        <w:t>Phong</w:t>
      </w:r>
      <w:proofErr w:type="spellEnd"/>
      <w:r w:rsidRPr="00551F6C">
        <w:rPr>
          <w:rFonts w:asciiTheme="majorHAnsi" w:eastAsia="Calibri" w:hAnsiTheme="majorHAnsi" w:cstheme="majorHAnsi"/>
          <w:color w:val="000000"/>
          <w:sz w:val="22"/>
        </w:rPr>
        <w:t xml:space="preserve"> </w:t>
      </w:r>
      <w:proofErr w:type="spellStart"/>
      <w:r w:rsidRPr="00551F6C">
        <w:rPr>
          <w:rFonts w:asciiTheme="majorHAnsi" w:eastAsia="Calibri" w:hAnsiTheme="majorHAnsi" w:cstheme="majorHAnsi"/>
          <w:color w:val="000000"/>
          <w:sz w:val="22"/>
        </w:rPr>
        <w:t>Nha-Ke</w:t>
      </w:r>
      <w:proofErr w:type="spellEnd"/>
      <w:r w:rsidRPr="00551F6C">
        <w:rPr>
          <w:rFonts w:asciiTheme="majorHAnsi" w:eastAsia="Calibri" w:hAnsiTheme="majorHAnsi" w:cstheme="majorHAnsi"/>
          <w:color w:val="000000"/>
          <w:sz w:val="22"/>
        </w:rPr>
        <w:t xml:space="preserve"> Bang National Park.  </w:t>
      </w:r>
      <w:r w:rsidRPr="00551F6C">
        <w:rPr>
          <w:rFonts w:asciiTheme="majorHAnsi" w:hAnsiTheme="majorHAnsi" w:cstheme="majorHAnsi"/>
          <w:sz w:val="22"/>
        </w:rPr>
        <w:t xml:space="preserve">Protected Area Management Boards within the targeted landscapes in the two provinces will be responsible for nurturing nature-based tourism by also implementation of protected areas management and enforcement actions critical to the project’s success. </w:t>
      </w:r>
    </w:p>
    <w:p w14:paraId="1A8D0A87" w14:textId="77777777" w:rsidR="00B47835" w:rsidRPr="00551F6C" w:rsidRDefault="00B47835" w:rsidP="00B47835">
      <w:pPr>
        <w:autoSpaceDE w:val="0"/>
        <w:autoSpaceDN w:val="0"/>
        <w:adjustRightInd w:val="0"/>
        <w:ind w:left="360"/>
        <w:contextualSpacing/>
        <w:rPr>
          <w:rFonts w:asciiTheme="majorHAnsi" w:hAnsiTheme="majorHAnsi" w:cstheme="majorHAnsi"/>
          <w:color w:val="000000"/>
          <w:sz w:val="22"/>
        </w:rPr>
      </w:pPr>
    </w:p>
    <w:p w14:paraId="2FD9A4C0" w14:textId="77777777" w:rsidR="00B47835" w:rsidRPr="00551F6C" w:rsidRDefault="00B47835" w:rsidP="00B47835">
      <w:pPr>
        <w:rPr>
          <w:rFonts w:asciiTheme="majorHAnsi" w:hAnsiTheme="majorHAnsi" w:cstheme="majorHAnsi"/>
          <w:b/>
          <w:i/>
          <w:sz w:val="22"/>
          <w:lang w:val="en-US"/>
        </w:rPr>
      </w:pPr>
      <w:r w:rsidRPr="00551F6C">
        <w:rPr>
          <w:rFonts w:asciiTheme="majorHAnsi" w:hAnsiTheme="majorHAnsi" w:cstheme="majorHAnsi"/>
          <w:b/>
          <w:sz w:val="22"/>
          <w:u w:val="single"/>
          <w:lang w:val="en-US"/>
        </w:rPr>
        <w:t>Project stakeholders and target groups</w:t>
      </w:r>
      <w:r w:rsidRPr="00551F6C">
        <w:rPr>
          <w:rFonts w:asciiTheme="majorHAnsi" w:hAnsiTheme="majorHAnsi" w:cstheme="majorHAnsi"/>
          <w:b/>
          <w:sz w:val="22"/>
          <w:lang w:val="en-US"/>
        </w:rPr>
        <w:t xml:space="preserve">: </w:t>
      </w:r>
    </w:p>
    <w:p w14:paraId="4B922D12" w14:textId="77777777" w:rsidR="00B47835" w:rsidRPr="00551F6C" w:rsidRDefault="00B47835" w:rsidP="00B47835">
      <w:pPr>
        <w:rPr>
          <w:rFonts w:asciiTheme="majorHAnsi" w:hAnsiTheme="majorHAnsi" w:cstheme="majorHAnsi"/>
          <w:b/>
          <w:sz w:val="22"/>
          <w:lang w:val="en-US"/>
        </w:rPr>
      </w:pPr>
      <w:r w:rsidRPr="00551F6C">
        <w:rPr>
          <w:rFonts w:asciiTheme="majorHAnsi" w:hAnsiTheme="majorHAnsi" w:cstheme="majorHAnsi"/>
          <w:b/>
          <w:sz w:val="22"/>
          <w:u w:val="single"/>
          <w:lang w:val="en-US"/>
        </w:rPr>
        <w:t>UNDP:</w:t>
      </w:r>
      <w:r w:rsidRPr="00551F6C">
        <w:rPr>
          <w:rFonts w:asciiTheme="majorHAnsi" w:hAnsiTheme="majorHAnsi" w:cstheme="majorHAnsi"/>
          <w:b/>
          <w:sz w:val="22"/>
          <w:lang w:val="en-US"/>
        </w:rPr>
        <w:t xml:space="preserve"> </w:t>
      </w:r>
    </w:p>
    <w:p w14:paraId="41D7E4C7" w14:textId="77777777" w:rsidR="00B47835" w:rsidRPr="00551F6C" w:rsidRDefault="00B47835" w:rsidP="00B47835">
      <w:pPr>
        <w:rPr>
          <w:rFonts w:asciiTheme="majorHAnsi" w:hAnsiTheme="majorHAnsi" w:cstheme="majorHAnsi"/>
          <w:b/>
          <w:sz w:val="22"/>
          <w:lang w:val="en-US"/>
        </w:rPr>
      </w:pPr>
    </w:p>
    <w:p w14:paraId="12708CF3" w14:textId="77777777" w:rsidR="00B47835" w:rsidRPr="00551F6C" w:rsidRDefault="00B47835" w:rsidP="00B47835">
      <w:pPr>
        <w:ind w:left="357"/>
        <w:rPr>
          <w:rFonts w:asciiTheme="majorHAnsi" w:hAnsiTheme="majorHAnsi" w:cstheme="majorHAnsi"/>
          <w:sz w:val="22"/>
          <w:lang w:val="en-US"/>
        </w:rPr>
      </w:pPr>
      <w:r w:rsidRPr="00551F6C">
        <w:rPr>
          <w:rFonts w:asciiTheme="majorHAnsi" w:hAnsiTheme="majorHAnsi" w:cstheme="majorHAnsi"/>
          <w:sz w:val="22"/>
          <w:lang w:val="en-US"/>
        </w:rPr>
        <w:t xml:space="preserve">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Steering Committee.   UNDP’s role includes the following: </w:t>
      </w:r>
    </w:p>
    <w:p w14:paraId="02DBF3EA" w14:textId="77777777" w:rsidR="00B47835" w:rsidRPr="00551F6C" w:rsidRDefault="00B47835" w:rsidP="00B47835">
      <w:pPr>
        <w:ind w:left="720"/>
        <w:rPr>
          <w:rFonts w:asciiTheme="majorHAnsi" w:hAnsiTheme="majorHAnsi" w:cstheme="majorHAnsi"/>
          <w:sz w:val="22"/>
          <w:lang w:val="en-US"/>
        </w:rPr>
      </w:pPr>
    </w:p>
    <w:p w14:paraId="4B28FCDF" w14:textId="77777777" w:rsidR="00B47835" w:rsidRPr="00551F6C" w:rsidRDefault="00B47835" w:rsidP="00B47835">
      <w:pPr>
        <w:pStyle w:val="ListParagraph"/>
        <w:numPr>
          <w:ilvl w:val="0"/>
          <w:numId w:val="23"/>
        </w:numPr>
        <w:autoSpaceDE w:val="0"/>
        <w:autoSpaceDN w:val="0"/>
        <w:adjustRightInd w:val="0"/>
        <w:spacing w:after="0" w:line="240" w:lineRule="auto"/>
        <w:ind w:left="714" w:hanging="357"/>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Provide oversight on all matters related to safeguards;</w:t>
      </w:r>
    </w:p>
    <w:p w14:paraId="7E79DEF0"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Inform all the stakeholders and right-holders involved in, or potentially impacted, positively or negatively, by the GEF-financed projects, about the UNDP’s corporate Accountability Mechanism (described below);</w:t>
      </w:r>
    </w:p>
    <w:p w14:paraId="246A8B8F"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Ensure that the Compliance Review and the Stakeholder Response Mechanisms are operational during the lifetime of the projects;</w:t>
      </w:r>
    </w:p>
    <w:p w14:paraId="2678B5DB"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 xml:space="preserve">Ensure adherence to the SES for project activities implemented using funds </w:t>
      </w:r>
      <w:proofErr w:type="spellStart"/>
      <w:r w:rsidRPr="00551F6C">
        <w:rPr>
          <w:rFonts w:asciiTheme="majorHAnsi" w:hAnsiTheme="majorHAnsi" w:cstheme="majorHAnsi"/>
          <w:color w:val="000000"/>
          <w:sz w:val="22"/>
        </w:rPr>
        <w:t>channelled</w:t>
      </w:r>
      <w:proofErr w:type="spellEnd"/>
      <w:r w:rsidRPr="00551F6C">
        <w:rPr>
          <w:rFonts w:asciiTheme="majorHAnsi" w:hAnsiTheme="majorHAnsi" w:cstheme="majorHAnsi"/>
          <w:color w:val="000000"/>
          <w:sz w:val="22"/>
        </w:rPr>
        <w:t xml:space="preserve"> through UNDP’s accounts, and undertake appropriate measures to address any shortcomings;</w:t>
      </w:r>
    </w:p>
    <w:p w14:paraId="7FE56247"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lastRenderedPageBreak/>
        <w:t>Verify and document that all UNDP SES requirements have been addressed;</w:t>
      </w:r>
    </w:p>
    <w:p w14:paraId="1DF84830"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sz w:val="22"/>
        </w:rPr>
      </w:pPr>
      <w:r w:rsidRPr="00551F6C">
        <w:rPr>
          <w:rFonts w:asciiTheme="majorHAnsi" w:hAnsiTheme="majorHAnsi" w:cstheme="majorHAnsi"/>
          <w:sz w:val="22"/>
        </w:rPr>
        <w:t>Provide technical guidance on implementation of this ESMF and administrative assistance in recruiting and contracting expert safeguards services (as required), and monitor adherence of each project to the ESMF and UNDP policies and procedures.</w:t>
      </w:r>
    </w:p>
    <w:p w14:paraId="58F61FCB" w14:textId="77777777" w:rsidR="00B47835" w:rsidRPr="00551F6C" w:rsidRDefault="00B47835" w:rsidP="00B47835">
      <w:pPr>
        <w:rPr>
          <w:rFonts w:asciiTheme="majorHAnsi" w:eastAsia="Calibri" w:hAnsiTheme="majorHAnsi" w:cstheme="majorHAnsi"/>
          <w:b/>
          <w:bCs/>
          <w:sz w:val="22"/>
        </w:rPr>
      </w:pPr>
    </w:p>
    <w:p w14:paraId="752E9E16" w14:textId="77777777" w:rsidR="00B47835" w:rsidRPr="00551F6C" w:rsidRDefault="00B47835" w:rsidP="00B47835">
      <w:pPr>
        <w:rPr>
          <w:rFonts w:asciiTheme="majorHAnsi" w:eastAsia="Calibri" w:hAnsiTheme="majorHAnsi" w:cstheme="majorHAnsi"/>
          <w:b/>
          <w:bCs/>
          <w:sz w:val="22"/>
        </w:rPr>
      </w:pPr>
      <w:r w:rsidRPr="00551F6C">
        <w:rPr>
          <w:rFonts w:asciiTheme="majorHAnsi" w:eastAsia="Calibri" w:hAnsiTheme="majorHAnsi" w:cstheme="majorHAnsi"/>
          <w:b/>
          <w:bCs/>
          <w:sz w:val="22"/>
        </w:rPr>
        <w:t>Second line of defense</w:t>
      </w:r>
    </w:p>
    <w:p w14:paraId="1873AF0D" w14:textId="77777777" w:rsidR="00B47835" w:rsidRPr="00551F6C" w:rsidRDefault="00B47835" w:rsidP="00B47835">
      <w:pPr>
        <w:rPr>
          <w:rFonts w:asciiTheme="majorHAnsi" w:eastAsia="Calibri" w:hAnsiTheme="majorHAnsi" w:cstheme="majorHAnsi"/>
          <w:b/>
          <w:bCs/>
          <w:sz w:val="22"/>
        </w:rPr>
      </w:pPr>
    </w:p>
    <w:p w14:paraId="290F3F58" w14:textId="77777777" w:rsidR="00B47835" w:rsidRPr="00551F6C" w:rsidRDefault="00B47835" w:rsidP="00B47835">
      <w:pPr>
        <w:pStyle w:val="ListParagraph"/>
        <w:numPr>
          <w:ilvl w:val="1"/>
          <w:numId w:val="25"/>
        </w:numPr>
        <w:spacing w:after="0" w:line="240" w:lineRule="auto"/>
        <w:rPr>
          <w:rFonts w:asciiTheme="majorHAnsi" w:hAnsiTheme="majorHAnsi" w:cstheme="majorHAnsi"/>
          <w:sz w:val="22"/>
        </w:rPr>
      </w:pPr>
      <w:r w:rsidRPr="00551F6C">
        <w:rPr>
          <w:rFonts w:asciiTheme="majorHAnsi" w:hAnsiTheme="majorHAnsi" w:cstheme="majorHAnsi"/>
          <w:sz w:val="22"/>
        </w:rPr>
        <w:t>Regional Bureau oversees RR and Country Office compliance at portfolio level</w:t>
      </w:r>
    </w:p>
    <w:p w14:paraId="48FDE098" w14:textId="77777777" w:rsidR="00B47835" w:rsidRPr="00551F6C" w:rsidRDefault="00B47835" w:rsidP="00B47835">
      <w:pPr>
        <w:pStyle w:val="ListParagraph"/>
        <w:numPr>
          <w:ilvl w:val="1"/>
          <w:numId w:val="25"/>
        </w:numPr>
        <w:spacing w:after="0" w:line="240" w:lineRule="auto"/>
        <w:rPr>
          <w:rFonts w:asciiTheme="majorHAnsi" w:hAnsiTheme="majorHAnsi" w:cstheme="majorHAnsi"/>
          <w:sz w:val="22"/>
        </w:rPr>
      </w:pPr>
      <w:r w:rsidRPr="00551F6C">
        <w:rPr>
          <w:rFonts w:asciiTheme="majorHAnsi" w:hAnsiTheme="majorHAnsi" w:cstheme="majorHAnsi"/>
          <w:sz w:val="22"/>
        </w:rPr>
        <w:t>BPPS NCE RTA oversees technical quality assurance and GEF compliance. BPPS NCE PTA oversees RTA function</w:t>
      </w:r>
    </w:p>
    <w:p w14:paraId="4E9E07F3" w14:textId="77777777" w:rsidR="00B47835" w:rsidRPr="00551F6C" w:rsidRDefault="00B47835" w:rsidP="00B47835">
      <w:pPr>
        <w:pStyle w:val="ListParagraph"/>
        <w:numPr>
          <w:ilvl w:val="1"/>
          <w:numId w:val="25"/>
        </w:numPr>
        <w:spacing w:after="0" w:line="240" w:lineRule="auto"/>
        <w:rPr>
          <w:rFonts w:asciiTheme="majorHAnsi" w:hAnsiTheme="majorHAnsi" w:cstheme="majorHAnsi"/>
          <w:sz w:val="22"/>
        </w:rPr>
      </w:pPr>
      <w:r w:rsidRPr="00551F6C">
        <w:rPr>
          <w:rFonts w:asciiTheme="majorHAnsi" w:hAnsiTheme="majorHAnsi" w:cstheme="majorHAnsi"/>
          <w:sz w:val="22"/>
        </w:rPr>
        <w:t>UNDP GEF Executive Coordinator and Regional Bureau Deputy Director can evoke DOA/cancel/suspend project or provide enhanced oversight.</w:t>
      </w:r>
    </w:p>
    <w:p w14:paraId="1FA3E23A" w14:textId="77777777" w:rsidR="00B47835" w:rsidRPr="00551F6C" w:rsidRDefault="00B47835" w:rsidP="00B47835">
      <w:pPr>
        <w:rPr>
          <w:rFonts w:asciiTheme="majorHAnsi" w:hAnsiTheme="majorHAnsi" w:cstheme="majorHAnsi"/>
          <w:sz w:val="22"/>
        </w:rPr>
      </w:pPr>
    </w:p>
    <w:p w14:paraId="6D2A8297" w14:textId="77777777" w:rsidR="00B47835" w:rsidRPr="00551F6C" w:rsidRDefault="00B47835" w:rsidP="00B47835">
      <w:pPr>
        <w:rPr>
          <w:rFonts w:asciiTheme="majorHAnsi" w:hAnsiTheme="majorHAnsi" w:cstheme="majorHAnsi"/>
          <w:sz w:val="22"/>
        </w:rPr>
      </w:pPr>
      <w:r w:rsidRPr="00551F6C">
        <w:rPr>
          <w:rFonts w:asciiTheme="majorHAnsi" w:hAnsiTheme="majorHAnsi" w:cstheme="majorHAnsi"/>
          <w:sz w:val="22"/>
        </w:rPr>
        <w:t xml:space="preserve">The UNDP Resident Representative assumes full </w:t>
      </w:r>
      <w:r w:rsidRPr="00551F6C">
        <w:rPr>
          <w:rFonts w:asciiTheme="majorHAnsi" w:hAnsiTheme="majorHAnsi" w:cstheme="majorHAnsi"/>
          <w:color w:val="000000"/>
          <w:sz w:val="22"/>
        </w:rPr>
        <w:t>responsibility and accountability for oversight and quality assurance of this Project and ensures its timely implementation in compliance with the GEF-specific requirements and UNDP’s Program and Operations Policies and Procedures (POPP), its Financial Regulations and Rules and Internal Control Framework.</w:t>
      </w:r>
      <w:r w:rsidRPr="00551F6C">
        <w:rPr>
          <w:rFonts w:asciiTheme="majorHAnsi" w:hAnsiTheme="majorHAnsi" w:cstheme="majorHAnsi"/>
          <w:sz w:val="22"/>
        </w:rPr>
        <w:t xml:space="preserve"> A representative of the UNDP Country Office will assume the assurance role and will present assurance findings to the Project Board, and therefore attends Project Board meetings as a non-voting member.  </w:t>
      </w:r>
    </w:p>
    <w:p w14:paraId="12E0CB8D" w14:textId="77777777" w:rsidR="00B47835" w:rsidRPr="00551F6C" w:rsidRDefault="00B47835" w:rsidP="00B47835">
      <w:pPr>
        <w:autoSpaceDE w:val="0"/>
        <w:autoSpaceDN w:val="0"/>
        <w:adjustRightInd w:val="0"/>
        <w:spacing w:before="240"/>
        <w:rPr>
          <w:rFonts w:asciiTheme="majorHAnsi" w:hAnsiTheme="majorHAnsi" w:cstheme="majorHAnsi"/>
          <w:b/>
          <w:color w:val="000000"/>
          <w:sz w:val="22"/>
        </w:rPr>
      </w:pPr>
      <w:r w:rsidRPr="00551F6C">
        <w:rPr>
          <w:rFonts w:asciiTheme="majorHAnsi" w:hAnsiTheme="majorHAnsi" w:cstheme="majorHAnsi"/>
          <w:b/>
          <w:color w:val="000000"/>
          <w:sz w:val="22"/>
        </w:rPr>
        <w:t>Project Management Unit:</w:t>
      </w:r>
    </w:p>
    <w:p w14:paraId="54ED9AE4" w14:textId="77777777" w:rsidR="00B47835" w:rsidRPr="00551F6C" w:rsidRDefault="00B47835" w:rsidP="00B47835">
      <w:pPr>
        <w:pStyle w:val="ListParagraph"/>
        <w:numPr>
          <w:ilvl w:val="0"/>
          <w:numId w:val="24"/>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Supervise and manage implementation of measures defined in this ESMF;</w:t>
      </w:r>
    </w:p>
    <w:p w14:paraId="3A5BFF49"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Assign specific responsibilities for implementation of this ESMF, including monitoring, and community consultations on the draft management plans to a staff member(s) of the PMU;</w:t>
      </w:r>
    </w:p>
    <w:p w14:paraId="765D60EB"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sz w:val="22"/>
        </w:rPr>
        <w:t>Maintain relevant records associated with management of environmental and social risks, including updated SESPs, impact assessments, a log of grievances together with documentation of management measures implemented;</w:t>
      </w:r>
    </w:p>
    <w:p w14:paraId="775C098F"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color w:val="000000"/>
          <w:sz w:val="22"/>
        </w:rPr>
      </w:pPr>
      <w:r w:rsidRPr="00551F6C">
        <w:rPr>
          <w:rFonts w:asciiTheme="majorHAnsi" w:hAnsiTheme="majorHAnsi" w:cstheme="majorHAnsi"/>
          <w:color w:val="000000"/>
          <w:sz w:val="22"/>
        </w:rPr>
        <w:t>Report to the Implementing Partner, the Project Steering Committee, and UNDP CO on the implementation of the ESMF;</w:t>
      </w:r>
    </w:p>
    <w:p w14:paraId="20E7AC43" w14:textId="77777777" w:rsidR="00B47835" w:rsidRPr="00551F6C" w:rsidRDefault="00B47835" w:rsidP="00B47835">
      <w:pPr>
        <w:pStyle w:val="ListParagraph"/>
        <w:numPr>
          <w:ilvl w:val="0"/>
          <w:numId w:val="23"/>
        </w:numPr>
        <w:autoSpaceDE w:val="0"/>
        <w:autoSpaceDN w:val="0"/>
        <w:adjustRightInd w:val="0"/>
        <w:spacing w:after="0" w:line="240" w:lineRule="auto"/>
        <w:contextualSpacing/>
        <w:jc w:val="both"/>
        <w:rPr>
          <w:rFonts w:asciiTheme="majorHAnsi" w:hAnsiTheme="majorHAnsi" w:cstheme="majorHAnsi"/>
          <w:sz w:val="22"/>
        </w:rPr>
      </w:pPr>
      <w:r w:rsidRPr="00551F6C">
        <w:rPr>
          <w:rFonts w:asciiTheme="majorHAnsi" w:hAnsiTheme="majorHAnsi" w:cstheme="majorHAnsi"/>
          <w:color w:val="000000"/>
          <w:sz w:val="22"/>
        </w:rPr>
        <w:t>Ensure</w:t>
      </w:r>
      <w:r w:rsidRPr="00551F6C">
        <w:rPr>
          <w:rFonts w:asciiTheme="majorHAnsi" w:hAnsiTheme="majorHAnsi" w:cstheme="majorHAnsi"/>
          <w:sz w:val="22"/>
        </w:rPr>
        <w:t xml:space="preserve"> that all service providers are informed of their responsibilities for the day-to-day compliance with the ESMF.</w:t>
      </w:r>
    </w:p>
    <w:p w14:paraId="72C83CCF" w14:textId="77777777" w:rsidR="00B47835" w:rsidRPr="00551F6C" w:rsidRDefault="00B47835" w:rsidP="00FC6876">
      <w:pPr>
        <w:pStyle w:val="ListParagraph"/>
        <w:numPr>
          <w:ilvl w:val="0"/>
          <w:numId w:val="0"/>
        </w:numPr>
        <w:autoSpaceDE w:val="0"/>
        <w:autoSpaceDN w:val="0"/>
        <w:adjustRightInd w:val="0"/>
        <w:spacing w:after="0"/>
        <w:ind w:left="720"/>
        <w:contextualSpacing/>
        <w:rPr>
          <w:rFonts w:asciiTheme="majorHAnsi" w:hAnsiTheme="majorHAnsi" w:cstheme="majorHAnsi"/>
          <w:sz w:val="22"/>
        </w:rPr>
      </w:pPr>
    </w:p>
    <w:p w14:paraId="5A4D69AE" w14:textId="78639B37" w:rsidR="00071F3C" w:rsidRPr="0094519E" w:rsidRDefault="00B47835" w:rsidP="0094519E">
      <w:pPr>
        <w:rPr>
          <w:rFonts w:asciiTheme="majorHAnsi" w:hAnsiTheme="majorHAnsi" w:cstheme="majorHAnsi"/>
          <w:sz w:val="22"/>
          <w:lang w:val="en-US"/>
        </w:rPr>
      </w:pPr>
      <w:r w:rsidRPr="00551F6C">
        <w:rPr>
          <w:rFonts w:asciiTheme="majorHAnsi" w:hAnsiTheme="majorHAnsi" w:cstheme="majorHAnsi"/>
          <w:sz w:val="22"/>
        </w:rPr>
        <w:t>As noted above, the projects’ subsequent ESMPs</w:t>
      </w:r>
      <w:r w:rsidRPr="00551F6C">
        <w:rPr>
          <w:rFonts w:asciiTheme="majorHAnsi" w:hAnsiTheme="majorHAnsi" w:cstheme="majorHAnsi"/>
          <w:b/>
          <w:bCs/>
          <w:sz w:val="22"/>
        </w:rPr>
        <w:t xml:space="preserve"> </w:t>
      </w:r>
      <w:r w:rsidRPr="00551F6C">
        <w:rPr>
          <w:rFonts w:asciiTheme="majorHAnsi" w:hAnsiTheme="majorHAnsi" w:cstheme="majorHAnsi"/>
          <w:sz w:val="22"/>
        </w:rPr>
        <w:t>and stand-alone management plan</w:t>
      </w:r>
      <w:r w:rsidRPr="00551F6C">
        <w:rPr>
          <w:rFonts w:asciiTheme="majorHAnsi" w:hAnsiTheme="majorHAnsi" w:cstheme="majorHAnsi"/>
          <w:b/>
          <w:bCs/>
          <w:sz w:val="22"/>
        </w:rPr>
        <w:t>s</w:t>
      </w:r>
      <w:r w:rsidRPr="00551F6C">
        <w:rPr>
          <w:rFonts w:asciiTheme="majorHAnsi" w:hAnsiTheme="majorHAnsi" w:cstheme="majorHAnsi"/>
          <w:sz w:val="22"/>
        </w:rPr>
        <w:t xml:space="preserve"> as required</w:t>
      </w:r>
      <w:r w:rsidRPr="00551F6C">
        <w:rPr>
          <w:rFonts w:asciiTheme="majorHAnsi" w:hAnsiTheme="majorHAnsi" w:cstheme="majorHAnsi"/>
          <w:b/>
          <w:bCs/>
          <w:sz w:val="22"/>
        </w:rPr>
        <w:t>,</w:t>
      </w:r>
      <w:r w:rsidRPr="00551F6C">
        <w:rPr>
          <w:rFonts w:asciiTheme="majorHAnsi" w:hAnsiTheme="majorHAnsi" w:cstheme="majorHAnsi"/>
          <w:sz w:val="22"/>
        </w:rPr>
        <w:t xml:space="preserve"> will describe the roles and responsibilities in the implementation of those plans. Those new roles and responsibilities will be assessed and integrated, as appropriate, as part of the participatory decision making and implementation proceedings of the project. </w:t>
      </w:r>
      <w:r w:rsidRPr="00551F6C">
        <w:rPr>
          <w:rFonts w:asciiTheme="majorHAnsi" w:hAnsiTheme="majorHAnsi" w:cstheme="majorHAnsi"/>
          <w:sz w:val="22"/>
          <w:lang w:val="en-US"/>
        </w:rPr>
        <w:t xml:space="preserve">The project organization structure is shown below.  </w:t>
      </w:r>
    </w:p>
    <w:bookmarkEnd w:id="175"/>
    <w:p w14:paraId="499F3A25" w14:textId="10E95A4D" w:rsidR="00B22E43" w:rsidRPr="00B22E43" w:rsidRDefault="0094519E" w:rsidP="00512B7D">
      <w:pPr>
        <w:ind w:left="720" w:hanging="360"/>
      </w:pPr>
      <w:r>
        <w:rPr>
          <w:noProof/>
        </w:rPr>
        <w:lastRenderedPageBreak/>
        <w:drawing>
          <wp:inline distT="0" distB="0" distL="0" distR="0" wp14:anchorId="6339F6DD" wp14:editId="720B5A1D">
            <wp:extent cx="5943600" cy="4695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943600" cy="4695825"/>
                    </a:xfrm>
                    <a:prstGeom prst="rect">
                      <a:avLst/>
                    </a:prstGeom>
                  </pic:spPr>
                </pic:pic>
              </a:graphicData>
            </a:graphic>
          </wp:inline>
        </w:drawing>
      </w:r>
    </w:p>
    <w:p w14:paraId="35BC0C9F" w14:textId="2B86163C" w:rsidR="00B22E43" w:rsidRDefault="00B22E43">
      <w:pPr>
        <w:rPr>
          <w:lang w:val="en-US"/>
        </w:rPr>
      </w:pPr>
    </w:p>
    <w:p w14:paraId="7CF20E41" w14:textId="679C55DF" w:rsidR="0094519E" w:rsidRDefault="0094519E">
      <w:pPr>
        <w:rPr>
          <w:lang w:val="en-US"/>
        </w:rPr>
      </w:pPr>
    </w:p>
    <w:p w14:paraId="27FC6306" w14:textId="77777777" w:rsidR="00B04383" w:rsidRPr="007D2A04" w:rsidRDefault="00B04383" w:rsidP="00B04383">
      <w:pPr>
        <w:shd w:val="clear" w:color="auto" w:fill="FFFFFF"/>
        <w:rPr>
          <w:rFonts w:ascii="Calibri" w:hAnsi="Calibri"/>
          <w:b/>
          <w:noProof/>
          <w:sz w:val="22"/>
          <w:lang w:val="en-US" w:eastAsia="zh-CN"/>
        </w:rPr>
      </w:pPr>
      <w:r w:rsidRPr="007D2A04">
        <w:rPr>
          <w:rFonts w:ascii="Calibri" w:hAnsi="Calibri"/>
          <w:b/>
          <w:noProof/>
          <w:sz w:val="22"/>
          <w:u w:val="single"/>
          <w:lang w:val="en-US" w:eastAsia="zh-CN"/>
        </w:rPr>
        <w:t>Project Steering Committee</w:t>
      </w:r>
      <w:r w:rsidRPr="007D2A04">
        <w:rPr>
          <w:rFonts w:ascii="Calibri" w:hAnsi="Calibri"/>
          <w:b/>
          <w:noProof/>
          <w:sz w:val="22"/>
          <w:lang w:val="en-US" w:eastAsia="zh-CN"/>
        </w:rPr>
        <w:t>:</w:t>
      </w:r>
    </w:p>
    <w:p w14:paraId="186FAAA9" w14:textId="77777777" w:rsidR="00B04383" w:rsidRPr="007D2A04" w:rsidRDefault="00B04383" w:rsidP="00B04383">
      <w:pPr>
        <w:shd w:val="clear" w:color="auto" w:fill="FFFFFF"/>
        <w:rPr>
          <w:rFonts w:ascii="Calibri" w:hAnsi="Calibri"/>
          <w:b/>
          <w:noProof/>
          <w:sz w:val="22"/>
          <w:lang w:val="en-US" w:eastAsia="zh-CN"/>
        </w:rPr>
      </w:pPr>
    </w:p>
    <w:p w14:paraId="0EF2C1D5" w14:textId="77777777" w:rsidR="00B04383" w:rsidRPr="007D2A04" w:rsidRDefault="00B04383" w:rsidP="00B04383">
      <w:pPr>
        <w:shd w:val="clear" w:color="auto" w:fill="FFFFFF"/>
        <w:autoSpaceDE w:val="0"/>
        <w:autoSpaceDN w:val="0"/>
        <w:adjustRightInd w:val="0"/>
        <w:ind w:left="360"/>
        <w:rPr>
          <w:rFonts w:ascii="Calibri" w:hAnsi="Calibri" w:cs="Calibri"/>
          <w:noProof/>
          <w:sz w:val="22"/>
          <w:lang w:val="en-US" w:eastAsia="zh-CN"/>
        </w:rPr>
      </w:pPr>
      <w:r w:rsidRPr="007D2A04">
        <w:rPr>
          <w:rFonts w:ascii="Calibri" w:hAnsi="Calibri" w:cs="Calibri"/>
          <w:color w:val="000000"/>
          <w:sz w:val="22"/>
        </w:rPr>
        <w:t xml:space="preserve">The Project Steering Committee provides strategic guidance to implementation of the project including oversight for safeguards and the implementation of this ESMF.  It is </w:t>
      </w:r>
      <w:r w:rsidRPr="007D2A04">
        <w:rPr>
          <w:rFonts w:ascii="Calibri" w:hAnsi="Calibri" w:cs="Calibri"/>
          <w:noProof/>
          <w:sz w:val="22"/>
          <w:lang w:val="en-US" w:eastAsia="zh-CN"/>
        </w:rPr>
        <w:t xml:space="preserve">also responsible for taking </w:t>
      </w:r>
      <w:r w:rsidRPr="007D2A04">
        <w:rPr>
          <w:rFonts w:ascii="Calibri" w:hAnsi="Calibri" w:cs="Calibri"/>
          <w:sz w:val="22"/>
          <w:lang w:val="en-US"/>
        </w:rPr>
        <w:t xml:space="preserve">corrective action as needed to ensure the project achieves the desired results. </w:t>
      </w:r>
      <w:r w:rsidRPr="007D2A04">
        <w:rPr>
          <w:rFonts w:ascii="Calibri" w:hAnsi="Calibri" w:cs="Calibri"/>
          <w:noProof/>
          <w:sz w:val="22"/>
          <w:lang w:val="en-US" w:eastAsia="zh-CN"/>
        </w:rPr>
        <w:t xml:space="preserve">In order to ensure UNDP’s ultimate accountability, Project Steering Committee decisions should be made in accordance with standards that shall ensure management for development results, best value money, fairness, integrity, transparency and effective international competition. </w:t>
      </w:r>
    </w:p>
    <w:p w14:paraId="1202B0D8" w14:textId="77777777" w:rsidR="00B04383" w:rsidRPr="007D2A04" w:rsidRDefault="00B04383" w:rsidP="00B04383">
      <w:pPr>
        <w:shd w:val="clear" w:color="auto" w:fill="FFFFFF"/>
        <w:rPr>
          <w:rFonts w:ascii="Calibri" w:hAnsi="Calibri" w:cs="Calibri"/>
          <w:noProof/>
          <w:sz w:val="22"/>
          <w:u w:val="single"/>
          <w:lang w:val="en-US" w:eastAsia="zh-CN"/>
        </w:rPr>
      </w:pPr>
    </w:p>
    <w:p w14:paraId="0C47053F" w14:textId="77777777" w:rsidR="00B04383" w:rsidRPr="007D2A04" w:rsidRDefault="00B04383" w:rsidP="00B04383">
      <w:pPr>
        <w:shd w:val="clear" w:color="auto" w:fill="FFFFFF"/>
        <w:ind w:left="360"/>
        <w:rPr>
          <w:rFonts w:ascii="Calibri" w:hAnsi="Calibri" w:cs="Calibri"/>
          <w:noProof/>
          <w:sz w:val="22"/>
          <w:lang w:val="en-US" w:eastAsia="zh-CN"/>
        </w:rPr>
      </w:pPr>
      <w:r w:rsidRPr="007D2A04">
        <w:rPr>
          <w:rFonts w:ascii="Calibri" w:hAnsi="Calibri" w:cs="Calibri"/>
          <w:noProof/>
          <w:sz w:val="22"/>
          <w:lang w:val="en-US" w:eastAsia="zh-CN"/>
        </w:rPr>
        <w:t xml:space="preserve"> Specific responsibilities of the Project Steering Committee include:</w:t>
      </w:r>
    </w:p>
    <w:p w14:paraId="1BA0ECE6" w14:textId="77777777" w:rsidR="00B04383" w:rsidRPr="007D2A04" w:rsidRDefault="00B04383" w:rsidP="00B04383">
      <w:pPr>
        <w:shd w:val="clear" w:color="auto" w:fill="FFFFFF"/>
        <w:ind w:left="360"/>
        <w:rPr>
          <w:rFonts w:ascii="Calibri" w:hAnsi="Calibri" w:cs="Calibri"/>
          <w:noProof/>
          <w:sz w:val="22"/>
          <w:lang w:val="en-US" w:eastAsia="zh-CN"/>
        </w:rPr>
      </w:pPr>
    </w:p>
    <w:p w14:paraId="07ACF113"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t>Provide overall guidance and direction to the project, ensuring it remains within any specified constraints;</w:t>
      </w:r>
    </w:p>
    <w:p w14:paraId="10A91E40"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t>Address project issues as raised by the project manager;</w:t>
      </w:r>
    </w:p>
    <w:p w14:paraId="42FA4781"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t xml:space="preserve">Provide guidance on new project risks, and agree on possible mitigation and management actions to address specific risks; </w:t>
      </w:r>
    </w:p>
    <w:p w14:paraId="1695F9EE"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lastRenderedPageBreak/>
        <w:t>Agree on project manager’s tolerances as required, within the parameters set by UNDP-GEF, and provide direction and advice for exceptional situations when the project manager’s tolerances are exceeded;</w:t>
      </w:r>
    </w:p>
    <w:p w14:paraId="12A1DFAD"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t>Advise on major and minor amendments to the project within the parameters set by UNDP-GEF;</w:t>
      </w:r>
    </w:p>
    <w:p w14:paraId="670EBCDF" w14:textId="77777777" w:rsidR="00B04383" w:rsidRPr="007D2A04" w:rsidRDefault="00B04383" w:rsidP="00B04383">
      <w:pPr>
        <w:numPr>
          <w:ilvl w:val="0"/>
          <w:numId w:val="27"/>
        </w:numPr>
        <w:spacing w:line="240" w:lineRule="auto"/>
        <w:jc w:val="both"/>
        <w:rPr>
          <w:rFonts w:ascii="Calibri" w:hAnsi="Calibri"/>
          <w:sz w:val="22"/>
        </w:rPr>
      </w:pPr>
      <w:r w:rsidRPr="007D2A04">
        <w:rPr>
          <w:rFonts w:ascii="Calibri" w:hAnsi="Calibri"/>
          <w:sz w:val="22"/>
        </w:rPr>
        <w:t xml:space="preserve">Ensure coordination with various government agencies and their participation in project activities; </w:t>
      </w:r>
    </w:p>
    <w:p w14:paraId="3B70ACBA" w14:textId="77777777" w:rsidR="00B04383" w:rsidRPr="007D2A04" w:rsidRDefault="00B04383" w:rsidP="00B04383">
      <w:pPr>
        <w:numPr>
          <w:ilvl w:val="0"/>
          <w:numId w:val="27"/>
        </w:numPr>
        <w:spacing w:line="240" w:lineRule="auto"/>
        <w:jc w:val="both"/>
        <w:rPr>
          <w:rFonts w:ascii="Calibri" w:eastAsia="Times New Roman" w:hAnsi="Calibri" w:cs="Calibri"/>
          <w:color w:val="000000"/>
          <w:sz w:val="22"/>
          <w:lang w:val="en-US"/>
        </w:rPr>
      </w:pPr>
      <w:r w:rsidRPr="007D2A04">
        <w:rPr>
          <w:rFonts w:ascii="Calibri" w:eastAsia="Times New Roman" w:hAnsi="Calibri" w:cs="Calibri"/>
          <w:color w:val="000000"/>
          <w:sz w:val="22"/>
          <w:lang w:val="en-US"/>
        </w:rPr>
        <w:t>Review combined delivery reports prior to certification by the implementing partner;</w:t>
      </w:r>
    </w:p>
    <w:p w14:paraId="6C9F1CC1" w14:textId="77777777" w:rsidR="00B04383" w:rsidRPr="007D2A04" w:rsidRDefault="00B04383" w:rsidP="00B04383">
      <w:pPr>
        <w:numPr>
          <w:ilvl w:val="0"/>
          <w:numId w:val="27"/>
        </w:numPr>
        <w:spacing w:line="240" w:lineRule="auto"/>
        <w:jc w:val="both"/>
        <w:rPr>
          <w:rFonts w:ascii="Calibri" w:hAnsi="Calibri" w:cs="Times New Roman"/>
          <w:sz w:val="22"/>
          <w:lang w:val="en-US"/>
        </w:rPr>
      </w:pPr>
      <w:r w:rsidRPr="007D2A04">
        <w:rPr>
          <w:rFonts w:ascii="Calibri" w:hAnsi="Calibri" w:cs="Times New Roman"/>
          <w:sz w:val="22"/>
          <w:lang w:val="en-US"/>
        </w:rPr>
        <w:t>Address project-level grievances;</w:t>
      </w:r>
    </w:p>
    <w:p w14:paraId="2F1F195E" w14:textId="77777777" w:rsidR="00B04383" w:rsidRPr="007D2A04" w:rsidRDefault="00B04383" w:rsidP="00B04383">
      <w:pPr>
        <w:numPr>
          <w:ilvl w:val="0"/>
          <w:numId w:val="27"/>
        </w:numPr>
        <w:spacing w:line="240" w:lineRule="auto"/>
        <w:jc w:val="both"/>
        <w:rPr>
          <w:rFonts w:ascii="Calibri" w:hAnsi="Calibri" w:cs="Calibri"/>
          <w:sz w:val="22"/>
          <w:lang w:val="en-US"/>
        </w:rPr>
      </w:pPr>
      <w:r w:rsidRPr="007D2A04">
        <w:rPr>
          <w:rFonts w:ascii="Calibri" w:hAnsi="Calibri" w:cs="Calibri"/>
          <w:sz w:val="22"/>
          <w:lang w:val="en-US"/>
        </w:rPr>
        <w:t xml:space="preserve">Review the final project report package during an end-of-project review meeting to discuss lesson learned and opportunities for scaling up.    </w:t>
      </w:r>
    </w:p>
    <w:p w14:paraId="571CEB5C" w14:textId="77777777" w:rsidR="00B04383" w:rsidRPr="007D2A04" w:rsidRDefault="00B04383" w:rsidP="00B04383">
      <w:pPr>
        <w:pStyle w:val="ListParagraph"/>
        <w:numPr>
          <w:ilvl w:val="0"/>
          <w:numId w:val="26"/>
        </w:numPr>
        <w:autoSpaceDE w:val="0"/>
        <w:autoSpaceDN w:val="0"/>
        <w:adjustRightInd w:val="0"/>
        <w:spacing w:before="120" w:after="0" w:line="240" w:lineRule="auto"/>
        <w:ind w:left="714" w:hanging="357"/>
        <w:contextualSpacing/>
        <w:jc w:val="both"/>
        <w:rPr>
          <w:rFonts w:ascii="Calibri" w:hAnsi="Calibri" w:cs="Calibri"/>
          <w:color w:val="000000"/>
          <w:sz w:val="22"/>
        </w:rPr>
      </w:pPr>
      <w:r w:rsidRPr="007D2A04">
        <w:rPr>
          <w:rFonts w:ascii="Calibri" w:hAnsi="Calibri" w:cs="Calibri"/>
          <w:color w:val="000000"/>
          <w:sz w:val="22"/>
        </w:rPr>
        <w:t xml:space="preserve">Monitor implementation of this ESMF and compliance with national and international regulations, and UNDP social and environmental standards; </w:t>
      </w:r>
    </w:p>
    <w:p w14:paraId="0B7E1BD1" w14:textId="77777777" w:rsidR="00B04383" w:rsidRPr="007D2A04" w:rsidRDefault="00B04383" w:rsidP="00B04383">
      <w:pPr>
        <w:pStyle w:val="ListParagraph"/>
        <w:numPr>
          <w:ilvl w:val="0"/>
          <w:numId w:val="26"/>
        </w:numPr>
        <w:autoSpaceDE w:val="0"/>
        <w:autoSpaceDN w:val="0"/>
        <w:adjustRightInd w:val="0"/>
        <w:spacing w:after="0" w:line="240" w:lineRule="auto"/>
        <w:contextualSpacing/>
        <w:jc w:val="both"/>
        <w:rPr>
          <w:rFonts w:ascii="Calibri" w:hAnsi="Calibri" w:cs="Calibri"/>
          <w:color w:val="000000"/>
          <w:sz w:val="22"/>
        </w:rPr>
      </w:pPr>
      <w:r w:rsidRPr="007D2A04">
        <w:rPr>
          <w:rFonts w:ascii="Calibri" w:hAnsi="Calibri" w:cs="Calibri"/>
          <w:color w:val="000000"/>
          <w:sz w:val="22"/>
        </w:rPr>
        <w:t>Decision making for the adoption of necessary measures including full integration of management measures within project Outputs and annual work plans;</w:t>
      </w:r>
    </w:p>
    <w:p w14:paraId="7FFDC9E8" w14:textId="77777777" w:rsidR="00B04383" w:rsidRPr="007D2A04" w:rsidRDefault="00B04383" w:rsidP="00B04383">
      <w:pPr>
        <w:pStyle w:val="ListParagraph"/>
        <w:numPr>
          <w:ilvl w:val="0"/>
          <w:numId w:val="26"/>
        </w:numPr>
        <w:autoSpaceDE w:val="0"/>
        <w:autoSpaceDN w:val="0"/>
        <w:adjustRightInd w:val="0"/>
        <w:spacing w:after="0" w:line="240" w:lineRule="auto"/>
        <w:contextualSpacing/>
        <w:jc w:val="both"/>
        <w:rPr>
          <w:rFonts w:ascii="Calibri" w:hAnsi="Calibri" w:cs="Calibri"/>
          <w:color w:val="000000"/>
          <w:sz w:val="22"/>
        </w:rPr>
      </w:pPr>
      <w:r w:rsidRPr="007D2A04">
        <w:rPr>
          <w:rFonts w:ascii="Calibri" w:hAnsi="Calibri" w:cs="Calibri"/>
          <w:color w:val="000000"/>
          <w:sz w:val="22"/>
        </w:rPr>
        <w:t>Establish and support GRM mechanism to address any grievances.</w:t>
      </w:r>
    </w:p>
    <w:p w14:paraId="3D9B2172" w14:textId="283B5A63" w:rsidR="00071F3C" w:rsidRDefault="00071F3C">
      <w:pPr>
        <w:rPr>
          <w:lang w:val="en-US"/>
        </w:rPr>
      </w:pPr>
    </w:p>
    <w:p w14:paraId="08074842" w14:textId="1A6BB99C" w:rsidR="00B04383" w:rsidRDefault="00B04383">
      <w:pPr>
        <w:rPr>
          <w:lang w:val="en-US"/>
        </w:rPr>
      </w:pPr>
    </w:p>
    <w:p w14:paraId="0BE300D8" w14:textId="157FCDF2" w:rsidR="007D2A04" w:rsidRDefault="00B04383">
      <w:pPr>
        <w:rPr>
          <w:b/>
          <w:bCs/>
          <w:color w:val="002060"/>
          <w:sz w:val="32"/>
          <w:szCs w:val="32"/>
          <w:lang w:val="en-US"/>
        </w:rPr>
      </w:pPr>
      <w:r w:rsidRPr="00B04383">
        <w:rPr>
          <w:b/>
          <w:bCs/>
          <w:color w:val="002060"/>
          <w:sz w:val="32"/>
          <w:szCs w:val="32"/>
          <w:lang w:val="en-US"/>
        </w:rPr>
        <w:t>Budget</w:t>
      </w:r>
    </w:p>
    <w:p w14:paraId="151DDBF0" w14:textId="5744DD4B" w:rsidR="007D2A04" w:rsidRDefault="007D2A04" w:rsidP="007D2A04">
      <w:pPr>
        <w:pStyle w:val="BodyText1"/>
        <w:ind w:left="0"/>
        <w:rPr>
          <w:rFonts w:asciiTheme="majorHAnsi" w:hAnsiTheme="majorHAnsi" w:cstheme="majorHAnsi"/>
          <w:sz w:val="22"/>
        </w:rPr>
      </w:pPr>
      <w:r w:rsidRPr="007D2A04">
        <w:rPr>
          <w:rFonts w:asciiTheme="majorHAnsi" w:hAnsiTheme="majorHAnsi" w:cstheme="majorHAnsi"/>
          <w:sz w:val="22"/>
        </w:rPr>
        <w:t xml:space="preserve">Funding for implementation of the ESMF is included in the Project budget. The estimated costs are indicated in </w:t>
      </w:r>
      <w:r w:rsidR="006166D8">
        <w:rPr>
          <w:rFonts w:asciiTheme="majorHAnsi" w:hAnsiTheme="majorHAnsi" w:cstheme="majorHAnsi"/>
          <w:sz w:val="22"/>
        </w:rPr>
        <w:t xml:space="preserve">the Table </w:t>
      </w:r>
      <w:r w:rsidRPr="007D2A04">
        <w:rPr>
          <w:rFonts w:asciiTheme="majorHAnsi" w:hAnsiTheme="majorHAnsi" w:cstheme="majorHAnsi"/>
          <w:sz w:val="22"/>
        </w:rPr>
        <w:t>below. Costs associated with the time of Project Management Unit Staff coordinating the implementation of this ESMF or UNDP support are not shown. It should also be noted that the budget presented in Table 6 does not include the costs associated with undertaking any primary ecological or social studies required as part of ESIA.</w:t>
      </w:r>
    </w:p>
    <w:p w14:paraId="1C2EFA3E" w14:textId="77777777" w:rsidR="005048BA" w:rsidRPr="007D2A04" w:rsidRDefault="005048BA" w:rsidP="007D2A04">
      <w:pPr>
        <w:pStyle w:val="BodyText1"/>
        <w:ind w:left="0"/>
        <w:rPr>
          <w:rFonts w:asciiTheme="majorHAnsi" w:hAnsiTheme="majorHAnsi" w:cstheme="majorHAnsi"/>
          <w:sz w:val="22"/>
        </w:rPr>
      </w:pPr>
    </w:p>
    <w:tbl>
      <w:tblPr>
        <w:tblStyle w:val="TableGrid"/>
        <w:tblW w:w="8056" w:type="dxa"/>
        <w:jc w:val="center"/>
        <w:tblLook w:val="04A0" w:firstRow="1" w:lastRow="0" w:firstColumn="1" w:lastColumn="0" w:noHBand="0" w:noVBand="1"/>
      </w:tblPr>
      <w:tblGrid>
        <w:gridCol w:w="6171"/>
        <w:gridCol w:w="1885"/>
      </w:tblGrid>
      <w:tr w:rsidR="007D2A04" w:rsidRPr="007D2A04" w14:paraId="287EE9BA" w14:textId="77777777" w:rsidTr="00156031">
        <w:trPr>
          <w:jc w:val="center"/>
        </w:trPr>
        <w:tc>
          <w:tcPr>
            <w:tcW w:w="6171" w:type="dxa"/>
            <w:vAlign w:val="center"/>
          </w:tcPr>
          <w:p w14:paraId="7288B63A" w14:textId="77777777" w:rsidR="007D2A04" w:rsidRPr="006166D8" w:rsidRDefault="007D2A04" w:rsidP="00156031">
            <w:pPr>
              <w:rPr>
                <w:rFonts w:asciiTheme="majorHAnsi" w:hAnsiTheme="majorHAnsi" w:cstheme="majorHAnsi"/>
                <w:sz w:val="22"/>
              </w:rPr>
            </w:pPr>
            <w:bookmarkStart w:id="179" w:name="_Hlk32240166"/>
            <w:r w:rsidRPr="006166D8">
              <w:rPr>
                <w:rFonts w:asciiTheme="majorHAnsi" w:hAnsiTheme="majorHAnsi" w:cstheme="majorHAnsi"/>
                <w:sz w:val="22"/>
              </w:rPr>
              <w:t xml:space="preserve">National ESIA/ESMP specialist/s for scoped ESIAs/ESMPs </w:t>
            </w:r>
          </w:p>
          <w:p w14:paraId="01C3CA8E" w14:textId="691CC8C5" w:rsidR="007D2A04" w:rsidRPr="006166D8" w:rsidRDefault="00E93008" w:rsidP="00156031">
            <w:pPr>
              <w:rPr>
                <w:rFonts w:asciiTheme="majorHAnsi" w:hAnsiTheme="majorHAnsi" w:cstheme="majorHAnsi"/>
                <w:sz w:val="22"/>
              </w:rPr>
            </w:pPr>
            <w:r w:rsidRPr="006166D8">
              <w:rPr>
                <w:rFonts w:asciiTheme="majorHAnsi" w:hAnsiTheme="majorHAnsi" w:cstheme="majorHAnsi"/>
                <w:sz w:val="22"/>
              </w:rPr>
              <w:t xml:space="preserve">50 </w:t>
            </w:r>
            <w:r w:rsidR="007D2A04" w:rsidRPr="006166D8">
              <w:rPr>
                <w:rFonts w:asciiTheme="majorHAnsi" w:hAnsiTheme="majorHAnsi" w:cstheme="majorHAnsi"/>
                <w:sz w:val="22"/>
              </w:rPr>
              <w:t xml:space="preserve"> Days @ 192 USD/Day </w:t>
            </w:r>
          </w:p>
        </w:tc>
        <w:tc>
          <w:tcPr>
            <w:tcW w:w="1885" w:type="dxa"/>
            <w:vAlign w:val="center"/>
          </w:tcPr>
          <w:p w14:paraId="4F3E6A40" w14:textId="5B662F33" w:rsidR="007D2A04" w:rsidRPr="007D2A04" w:rsidRDefault="007D2A04" w:rsidP="00156031">
            <w:pPr>
              <w:jc w:val="right"/>
              <w:rPr>
                <w:sz w:val="22"/>
              </w:rPr>
            </w:pPr>
            <w:r w:rsidRPr="007D2A04">
              <w:rPr>
                <w:sz w:val="22"/>
              </w:rPr>
              <w:t>$</w:t>
            </w:r>
            <w:r w:rsidR="00E93008">
              <w:rPr>
                <w:sz w:val="22"/>
              </w:rPr>
              <w:t>9, 600</w:t>
            </w:r>
          </w:p>
        </w:tc>
      </w:tr>
      <w:tr w:rsidR="007D2A04" w:rsidRPr="007D2A04" w14:paraId="12220A9A" w14:textId="77777777" w:rsidTr="00156031">
        <w:trPr>
          <w:jc w:val="center"/>
        </w:trPr>
        <w:tc>
          <w:tcPr>
            <w:tcW w:w="6171" w:type="dxa"/>
            <w:vAlign w:val="center"/>
          </w:tcPr>
          <w:p w14:paraId="27D95233" w14:textId="1718F9CF" w:rsidR="007D2A04" w:rsidRPr="006166D8" w:rsidRDefault="007D2A04" w:rsidP="00156031">
            <w:pPr>
              <w:rPr>
                <w:rFonts w:asciiTheme="majorHAnsi" w:hAnsiTheme="majorHAnsi" w:cstheme="majorHAnsi"/>
                <w:sz w:val="22"/>
              </w:rPr>
            </w:pPr>
            <w:r w:rsidRPr="006166D8">
              <w:rPr>
                <w:rFonts w:asciiTheme="majorHAnsi" w:hAnsiTheme="majorHAnsi" w:cstheme="majorHAnsi"/>
                <w:sz w:val="22"/>
              </w:rPr>
              <w:t xml:space="preserve">National IPP Specialist (for turning EMPF to an EMPP/IPP) </w:t>
            </w:r>
            <w:r w:rsidR="00E93008" w:rsidRPr="006166D8">
              <w:rPr>
                <w:rFonts w:asciiTheme="majorHAnsi" w:hAnsiTheme="majorHAnsi" w:cstheme="majorHAnsi"/>
                <w:sz w:val="22"/>
              </w:rPr>
              <w:t xml:space="preserve">and undertaking further FPIC consultations during implementation </w:t>
            </w:r>
          </w:p>
          <w:p w14:paraId="573328E5" w14:textId="4FF18138" w:rsidR="007D2A04" w:rsidRPr="006166D8" w:rsidRDefault="00E93008" w:rsidP="00156031">
            <w:pPr>
              <w:rPr>
                <w:rFonts w:asciiTheme="majorHAnsi" w:hAnsiTheme="majorHAnsi" w:cstheme="majorHAnsi"/>
                <w:sz w:val="22"/>
              </w:rPr>
            </w:pPr>
            <w:r w:rsidRPr="006166D8">
              <w:rPr>
                <w:rFonts w:asciiTheme="majorHAnsi" w:hAnsiTheme="majorHAnsi" w:cstheme="majorHAnsi"/>
                <w:sz w:val="22"/>
              </w:rPr>
              <w:t>3</w:t>
            </w:r>
            <w:r w:rsidR="007D2A04" w:rsidRPr="006166D8">
              <w:rPr>
                <w:rFonts w:asciiTheme="majorHAnsi" w:hAnsiTheme="majorHAnsi" w:cstheme="majorHAnsi"/>
                <w:sz w:val="22"/>
              </w:rPr>
              <w:t xml:space="preserve">0 Days @ 192 USD/Day </w:t>
            </w:r>
          </w:p>
        </w:tc>
        <w:tc>
          <w:tcPr>
            <w:tcW w:w="1885" w:type="dxa"/>
            <w:vAlign w:val="center"/>
          </w:tcPr>
          <w:p w14:paraId="60B4C623" w14:textId="377341DB" w:rsidR="007D2A04" w:rsidRPr="007D2A04" w:rsidRDefault="007D2A04" w:rsidP="00156031">
            <w:pPr>
              <w:jc w:val="right"/>
              <w:rPr>
                <w:sz w:val="22"/>
              </w:rPr>
            </w:pPr>
            <w:r w:rsidRPr="007D2A04">
              <w:rPr>
                <w:sz w:val="22"/>
              </w:rPr>
              <w:t>$</w:t>
            </w:r>
            <w:r w:rsidR="00E93008">
              <w:rPr>
                <w:sz w:val="22"/>
              </w:rPr>
              <w:t>5</w:t>
            </w:r>
            <w:r w:rsidRPr="007D2A04">
              <w:rPr>
                <w:sz w:val="22"/>
              </w:rPr>
              <w:t>,</w:t>
            </w:r>
            <w:r w:rsidR="00E93008">
              <w:rPr>
                <w:sz w:val="22"/>
              </w:rPr>
              <w:t>76</w:t>
            </w:r>
            <w:r w:rsidRPr="007D2A04">
              <w:rPr>
                <w:sz w:val="22"/>
              </w:rPr>
              <w:t>0</w:t>
            </w:r>
          </w:p>
        </w:tc>
      </w:tr>
      <w:tr w:rsidR="007D2A04" w:rsidRPr="007D2A04" w14:paraId="6D6C388D" w14:textId="77777777" w:rsidTr="00156031">
        <w:trPr>
          <w:jc w:val="center"/>
        </w:trPr>
        <w:tc>
          <w:tcPr>
            <w:tcW w:w="6171" w:type="dxa"/>
            <w:vAlign w:val="center"/>
          </w:tcPr>
          <w:p w14:paraId="3EFD8046" w14:textId="77777777" w:rsidR="007D2A04" w:rsidRPr="006166D8" w:rsidRDefault="007D2A04" w:rsidP="00156031">
            <w:pPr>
              <w:rPr>
                <w:rFonts w:asciiTheme="majorHAnsi" w:hAnsiTheme="majorHAnsi" w:cstheme="majorHAnsi"/>
                <w:sz w:val="22"/>
              </w:rPr>
            </w:pPr>
            <w:r w:rsidRPr="006166D8">
              <w:rPr>
                <w:rFonts w:asciiTheme="majorHAnsi" w:hAnsiTheme="majorHAnsi" w:cstheme="majorHAnsi"/>
                <w:sz w:val="22"/>
              </w:rPr>
              <w:t xml:space="preserve">International SESA Specialist </w:t>
            </w:r>
          </w:p>
          <w:p w14:paraId="1E2EDE77" w14:textId="61CF7FE1" w:rsidR="007D2A04" w:rsidRPr="006166D8" w:rsidRDefault="00E93008" w:rsidP="00156031">
            <w:pPr>
              <w:rPr>
                <w:rFonts w:asciiTheme="majorHAnsi" w:hAnsiTheme="majorHAnsi" w:cstheme="majorHAnsi"/>
                <w:sz w:val="22"/>
              </w:rPr>
            </w:pPr>
            <w:r w:rsidRPr="006166D8">
              <w:rPr>
                <w:rFonts w:asciiTheme="majorHAnsi" w:hAnsiTheme="majorHAnsi" w:cstheme="majorHAnsi"/>
                <w:sz w:val="22"/>
              </w:rPr>
              <w:t>5</w:t>
            </w:r>
            <w:r w:rsidR="007D2A04" w:rsidRPr="006166D8">
              <w:rPr>
                <w:rFonts w:asciiTheme="majorHAnsi" w:hAnsiTheme="majorHAnsi" w:cstheme="majorHAnsi"/>
                <w:sz w:val="22"/>
              </w:rPr>
              <w:t xml:space="preserve">0 Days at 800 USD/Day </w:t>
            </w:r>
          </w:p>
        </w:tc>
        <w:tc>
          <w:tcPr>
            <w:tcW w:w="1885" w:type="dxa"/>
            <w:vAlign w:val="center"/>
          </w:tcPr>
          <w:p w14:paraId="07193754" w14:textId="3217237F" w:rsidR="007D2A04" w:rsidRPr="007D2A04" w:rsidRDefault="007D2A04" w:rsidP="00156031">
            <w:pPr>
              <w:jc w:val="right"/>
              <w:rPr>
                <w:sz w:val="22"/>
              </w:rPr>
            </w:pPr>
            <w:r w:rsidRPr="007D2A04">
              <w:rPr>
                <w:sz w:val="22"/>
              </w:rPr>
              <w:t>$</w:t>
            </w:r>
            <w:r w:rsidR="006166D8">
              <w:rPr>
                <w:sz w:val="22"/>
              </w:rPr>
              <w:t>40</w:t>
            </w:r>
            <w:r w:rsidRPr="007D2A04">
              <w:rPr>
                <w:sz w:val="22"/>
              </w:rPr>
              <w:t>,000</w:t>
            </w:r>
          </w:p>
        </w:tc>
      </w:tr>
      <w:tr w:rsidR="007D2A04" w:rsidRPr="007D2A04" w14:paraId="4492EE60" w14:textId="77777777" w:rsidTr="00156031">
        <w:trPr>
          <w:jc w:val="center"/>
        </w:trPr>
        <w:tc>
          <w:tcPr>
            <w:tcW w:w="6171" w:type="dxa"/>
            <w:vAlign w:val="center"/>
          </w:tcPr>
          <w:p w14:paraId="0BDD6394" w14:textId="77777777" w:rsidR="007D2A04" w:rsidRPr="006166D8" w:rsidRDefault="007D2A04" w:rsidP="00156031">
            <w:pPr>
              <w:rPr>
                <w:rFonts w:asciiTheme="majorHAnsi" w:hAnsiTheme="majorHAnsi" w:cstheme="majorHAnsi"/>
                <w:sz w:val="22"/>
              </w:rPr>
            </w:pPr>
            <w:r w:rsidRPr="006166D8">
              <w:rPr>
                <w:rFonts w:asciiTheme="majorHAnsi" w:hAnsiTheme="majorHAnsi" w:cstheme="majorHAnsi"/>
                <w:sz w:val="22"/>
              </w:rPr>
              <w:t xml:space="preserve">Travel expenses for consultations (national consultants) </w:t>
            </w:r>
          </w:p>
        </w:tc>
        <w:tc>
          <w:tcPr>
            <w:tcW w:w="1885" w:type="dxa"/>
            <w:vAlign w:val="center"/>
          </w:tcPr>
          <w:p w14:paraId="4741DB9D" w14:textId="77777777" w:rsidR="007D2A04" w:rsidRPr="007D2A04" w:rsidRDefault="007D2A04" w:rsidP="00156031">
            <w:pPr>
              <w:jc w:val="right"/>
              <w:rPr>
                <w:sz w:val="22"/>
              </w:rPr>
            </w:pPr>
            <w:r w:rsidRPr="007D2A04">
              <w:rPr>
                <w:sz w:val="22"/>
              </w:rPr>
              <w:t>$3,000</w:t>
            </w:r>
          </w:p>
        </w:tc>
      </w:tr>
      <w:bookmarkEnd w:id="179"/>
      <w:tr w:rsidR="007D2A04" w:rsidRPr="007D2A04" w14:paraId="6C1CA6EB" w14:textId="77777777" w:rsidTr="00156031">
        <w:trPr>
          <w:jc w:val="center"/>
        </w:trPr>
        <w:tc>
          <w:tcPr>
            <w:tcW w:w="6171" w:type="dxa"/>
            <w:vAlign w:val="center"/>
          </w:tcPr>
          <w:p w14:paraId="53CFB8A2" w14:textId="77777777" w:rsidR="007D2A04" w:rsidRPr="006166D8" w:rsidRDefault="007D2A04" w:rsidP="00156031">
            <w:pPr>
              <w:rPr>
                <w:rFonts w:asciiTheme="majorHAnsi" w:hAnsiTheme="majorHAnsi" w:cstheme="majorHAnsi"/>
                <w:sz w:val="22"/>
              </w:rPr>
            </w:pPr>
            <w:r w:rsidRPr="006166D8">
              <w:rPr>
                <w:rFonts w:asciiTheme="majorHAnsi" w:hAnsiTheme="majorHAnsi" w:cstheme="majorHAnsi"/>
                <w:sz w:val="22"/>
              </w:rPr>
              <w:t>Awareness raising and capacity development around GRM</w:t>
            </w:r>
          </w:p>
        </w:tc>
        <w:tc>
          <w:tcPr>
            <w:tcW w:w="1885" w:type="dxa"/>
            <w:vAlign w:val="center"/>
          </w:tcPr>
          <w:p w14:paraId="62EAFDEF" w14:textId="77777777" w:rsidR="007D2A04" w:rsidRPr="007D2A04" w:rsidRDefault="007D2A04" w:rsidP="00156031">
            <w:pPr>
              <w:jc w:val="right"/>
              <w:rPr>
                <w:sz w:val="22"/>
              </w:rPr>
            </w:pPr>
            <w:r w:rsidRPr="007D2A04">
              <w:rPr>
                <w:sz w:val="22"/>
              </w:rPr>
              <w:t>$6,000</w:t>
            </w:r>
          </w:p>
        </w:tc>
      </w:tr>
      <w:tr w:rsidR="007D2A04" w:rsidRPr="007D2A04" w14:paraId="42D651E7" w14:textId="77777777" w:rsidTr="00156031">
        <w:trPr>
          <w:jc w:val="center"/>
        </w:trPr>
        <w:tc>
          <w:tcPr>
            <w:tcW w:w="6171" w:type="dxa"/>
            <w:vAlign w:val="center"/>
          </w:tcPr>
          <w:p w14:paraId="223C7132" w14:textId="77777777" w:rsidR="007D2A04" w:rsidRPr="006166D8" w:rsidRDefault="007D2A04" w:rsidP="00156031">
            <w:pPr>
              <w:rPr>
                <w:rFonts w:asciiTheme="majorHAnsi" w:hAnsiTheme="majorHAnsi" w:cstheme="majorHAnsi"/>
                <w:sz w:val="22"/>
              </w:rPr>
            </w:pPr>
            <w:r w:rsidRPr="006166D8">
              <w:rPr>
                <w:rFonts w:asciiTheme="majorHAnsi" w:hAnsiTheme="majorHAnsi" w:cstheme="majorHAnsi"/>
                <w:sz w:val="22"/>
              </w:rPr>
              <w:t xml:space="preserve">Total (USD) </w:t>
            </w:r>
          </w:p>
        </w:tc>
        <w:tc>
          <w:tcPr>
            <w:tcW w:w="1885" w:type="dxa"/>
            <w:vAlign w:val="center"/>
          </w:tcPr>
          <w:p w14:paraId="03CF4D54" w14:textId="4C88E223" w:rsidR="007D2A04" w:rsidRPr="007D2A04" w:rsidRDefault="007D2A04" w:rsidP="00156031">
            <w:pPr>
              <w:jc w:val="right"/>
              <w:rPr>
                <w:sz w:val="22"/>
              </w:rPr>
            </w:pPr>
            <w:r w:rsidRPr="007D2A04">
              <w:rPr>
                <w:sz w:val="22"/>
              </w:rPr>
              <w:t>$</w:t>
            </w:r>
            <w:r w:rsidR="006166D8">
              <w:rPr>
                <w:sz w:val="22"/>
              </w:rPr>
              <w:t>64</w:t>
            </w:r>
            <w:r w:rsidRPr="007D2A04">
              <w:rPr>
                <w:sz w:val="22"/>
              </w:rPr>
              <w:t>,</w:t>
            </w:r>
            <w:r w:rsidR="006166D8">
              <w:rPr>
                <w:sz w:val="22"/>
              </w:rPr>
              <w:t>360</w:t>
            </w:r>
          </w:p>
        </w:tc>
      </w:tr>
    </w:tbl>
    <w:p w14:paraId="18398AA6" w14:textId="77777777" w:rsidR="007D2A04" w:rsidRPr="007D2A04" w:rsidRDefault="007D2A04">
      <w:pPr>
        <w:rPr>
          <w:b/>
          <w:bCs/>
          <w:color w:val="002060"/>
          <w:sz w:val="22"/>
          <w:lang w:val="en-GB"/>
        </w:rPr>
      </w:pPr>
    </w:p>
    <w:sectPr w:rsidR="007D2A04" w:rsidRPr="007D2A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AD2C" w14:textId="77777777" w:rsidR="0055772B" w:rsidRDefault="0055772B" w:rsidP="00053BC1">
      <w:pPr>
        <w:spacing w:line="240" w:lineRule="auto"/>
      </w:pPr>
      <w:r>
        <w:separator/>
      </w:r>
    </w:p>
  </w:endnote>
  <w:endnote w:type="continuationSeparator" w:id="0">
    <w:p w14:paraId="1370C353" w14:textId="77777777" w:rsidR="0055772B" w:rsidRDefault="0055772B" w:rsidP="00053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3F45" w14:textId="462DFC9D" w:rsidR="00C822E2" w:rsidRPr="00D70835" w:rsidRDefault="00C822E2" w:rsidP="000C1864">
    <w:pPr>
      <w:pStyle w:val="Footer"/>
      <w:pBdr>
        <w:top w:val="single" w:sz="8" w:space="4" w:color="215868" w:themeColor="accent5" w:themeShade="80"/>
      </w:pBdr>
      <w:tabs>
        <w:tab w:val="left" w:pos="3381"/>
        <w:tab w:val="right" w:pos="9900"/>
      </w:tabs>
      <w:ind w:right="-2"/>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C942" w14:textId="77777777" w:rsidR="00C822E2" w:rsidRPr="001571A3" w:rsidRDefault="00C822E2"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iv</w:t>
    </w:r>
    <w:r>
      <w:rPr>
        <w:noProof/>
      </w:rPr>
      <w:fldChar w:fldCharType="end"/>
    </w:r>
    <w:r>
      <w:t xml:space="preserve"> | </w:t>
    </w:r>
    <w:r w:rsidRPr="00DD472A">
      <w:rPr>
        <w:color w:val="7F7F7F"/>
        <w:spacing w:val="60"/>
      </w:rPr>
      <w:t>Pa</w:t>
    </w:r>
    <w:r>
      <w:rPr>
        <w:color w:val="7F7F7F"/>
        <w:spacing w:val="6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6E8F" w14:textId="77777777" w:rsidR="0055772B" w:rsidRDefault="0055772B" w:rsidP="00053BC1">
      <w:pPr>
        <w:spacing w:line="240" w:lineRule="auto"/>
      </w:pPr>
      <w:r>
        <w:separator/>
      </w:r>
    </w:p>
  </w:footnote>
  <w:footnote w:type="continuationSeparator" w:id="0">
    <w:p w14:paraId="4D071B9E" w14:textId="77777777" w:rsidR="0055772B" w:rsidRDefault="0055772B" w:rsidP="00053BC1">
      <w:pPr>
        <w:spacing w:line="240" w:lineRule="auto"/>
      </w:pPr>
      <w:r>
        <w:continuationSeparator/>
      </w:r>
    </w:p>
  </w:footnote>
  <w:footnote w:id="1">
    <w:p w14:paraId="30B642D8" w14:textId="171750AF" w:rsidR="006766F1" w:rsidRPr="006766F1" w:rsidRDefault="006766F1" w:rsidP="006766F1">
      <w:pPr>
        <w:pStyle w:val="FootnoteText"/>
        <w:rPr>
          <w:lang w:val="en-GB"/>
        </w:rPr>
      </w:pPr>
      <w:r>
        <w:rPr>
          <w:rStyle w:val="FootnoteReference"/>
        </w:rPr>
        <w:footnoteRef/>
      </w:r>
      <w:r>
        <w:t xml:space="preserve"> i.e., </w:t>
      </w:r>
      <w:r w:rsidRPr="006766F1">
        <w:rPr>
          <w:lang w:val="en-GB"/>
        </w:rPr>
        <w:t>1.2.2, 1.2.4, 1.3.3, 1.4.3, 1.4.7, 1.5.4, 2.1.5, Output 2.2, Output 2.3, 2.4.3, 2.5.3.</w:t>
      </w:r>
    </w:p>
    <w:p w14:paraId="4A96C4A1" w14:textId="5B2F21D2" w:rsidR="006766F1" w:rsidRPr="006766F1" w:rsidRDefault="006766F1">
      <w:pPr>
        <w:pStyle w:val="FootnoteText"/>
        <w:rPr>
          <w:lang w:val="en-GB"/>
        </w:rPr>
      </w:pPr>
    </w:p>
  </w:footnote>
  <w:footnote w:id="2">
    <w:p w14:paraId="028ED409" w14:textId="4D209883" w:rsidR="00483628" w:rsidRPr="00483628" w:rsidRDefault="00483628">
      <w:pPr>
        <w:pStyle w:val="FootnoteText"/>
      </w:pPr>
      <w:r>
        <w:rPr>
          <w:rStyle w:val="FootnoteReference"/>
        </w:rPr>
        <w:footnoteRef/>
      </w:r>
      <w:r>
        <w:t xml:space="preserve"> </w:t>
      </w:r>
      <w:r>
        <w:rPr>
          <w:rFonts w:asciiTheme="majorHAnsi" w:hAnsiTheme="majorHAnsi" w:cstheme="majorHAnsi"/>
          <w:sz w:val="22"/>
        </w:rPr>
        <w:t xml:space="preserve">it may be determined during the inception phase of this project to undertake the “scoped ESIA” following the SAPA methodology (so long as this continues to meet the requirements of UNDP SES). See section 7.2 for further details. </w:t>
      </w:r>
    </w:p>
  </w:footnote>
  <w:footnote w:id="3">
    <w:p w14:paraId="7E6023A8" w14:textId="77777777" w:rsidR="00727B72" w:rsidRPr="006766F1" w:rsidRDefault="00727B72" w:rsidP="00727B72">
      <w:pPr>
        <w:pStyle w:val="FootnoteText"/>
        <w:rPr>
          <w:lang w:val="en-GB"/>
        </w:rPr>
      </w:pPr>
      <w:r>
        <w:rPr>
          <w:rStyle w:val="FootnoteReference"/>
        </w:rPr>
        <w:footnoteRef/>
      </w:r>
      <w:r>
        <w:t xml:space="preserve"> </w:t>
      </w:r>
      <w:hyperlink r:id="rId1" w:history="1">
        <w:r w:rsidRPr="00F24B6C">
          <w:rPr>
            <w:rStyle w:val="Hyperlink"/>
          </w:rPr>
          <w:t>https://www.ilo.org/hanoi/Areasofwork/child-labour/lang--</w:t>
        </w:r>
        <w:proofErr w:type="spellStart"/>
        <w:r w:rsidRPr="00F24B6C">
          <w:rPr>
            <w:rStyle w:val="Hyperlink"/>
          </w:rPr>
          <w:t>en</w:t>
        </w:r>
        <w:proofErr w:type="spellEnd"/>
        <w:r w:rsidRPr="00F24B6C">
          <w:rPr>
            <w:rStyle w:val="Hyperlink"/>
          </w:rPr>
          <w:t>/index.htm</w:t>
        </w:r>
      </w:hyperlink>
    </w:p>
  </w:footnote>
  <w:footnote w:id="4">
    <w:p w14:paraId="21187B27" w14:textId="302BF52B" w:rsidR="009070C2" w:rsidRPr="00B4003E" w:rsidRDefault="009070C2" w:rsidP="009070C2">
      <w:pPr>
        <w:pStyle w:val="FootnoteText"/>
        <w:rPr>
          <w:rFonts w:ascii="Calibri" w:hAnsi="Calibri" w:cs="Calibri"/>
        </w:rPr>
      </w:pPr>
      <w:r w:rsidRPr="00B4003E">
        <w:rPr>
          <w:rStyle w:val="FootnoteReference"/>
          <w:rFonts w:ascii="Calibri" w:hAnsi="Calibri" w:cs="Calibri"/>
        </w:rPr>
        <w:footnoteRef/>
      </w:r>
      <w:r w:rsidRPr="00B4003E">
        <w:rPr>
          <w:rFonts w:ascii="Calibri" w:hAnsi="Calibri" w:cs="Calibri"/>
        </w:rPr>
        <w:t xml:space="preserve"> </w:t>
      </w:r>
      <w:r w:rsidR="00804A3C" w:rsidRPr="00323A27">
        <w:rPr>
          <w:rFonts w:ascii="Times New Roman" w:hAnsi="Times New Roman" w:cs="Times New Roman"/>
        </w:rPr>
        <w:t>Law No. 17/2008/QH dated June 3, 2008</w:t>
      </w:r>
      <w:r w:rsidR="00804A3C">
        <w:rPr>
          <w:rFonts w:ascii="Times New Roman" w:hAnsi="Times New Roman" w:cs="Times New Roman"/>
        </w:rPr>
        <w:t xml:space="preserve"> on the </w:t>
      </w:r>
      <w:r w:rsidRPr="00323A27">
        <w:rPr>
          <w:rFonts w:ascii="Times New Roman" w:hAnsi="Times New Roman" w:cs="Times New Roman"/>
        </w:rPr>
        <w:t>promulgation of legal documents</w:t>
      </w:r>
      <w:r w:rsidR="00804A3C">
        <w:rPr>
          <w:rFonts w:ascii="Times New Roman" w:hAnsi="Times New Roman" w:cs="Times New Roman"/>
        </w:rPr>
        <w:t xml:space="preserve">, Article 2 </w:t>
      </w:r>
    </w:p>
  </w:footnote>
  <w:footnote w:id="5">
    <w:p w14:paraId="43395CF6" w14:textId="77777777" w:rsidR="009070C2" w:rsidRPr="00783D4D" w:rsidRDefault="009070C2" w:rsidP="009070C2">
      <w:pPr>
        <w:pStyle w:val="FootnoteText"/>
        <w:rPr>
          <w:rFonts w:ascii="Times New Roman" w:hAnsi="Times New Roman" w:cs="Times New Roman"/>
        </w:rPr>
      </w:pPr>
      <w:r w:rsidRPr="00783D4D">
        <w:rPr>
          <w:rStyle w:val="FootnoteReference"/>
          <w:rFonts w:ascii="Times New Roman" w:hAnsi="Times New Roman" w:cs="Times New Roman"/>
        </w:rPr>
        <w:footnoteRef/>
      </w:r>
      <w:r w:rsidRPr="00783D4D">
        <w:rPr>
          <w:rFonts w:ascii="Times New Roman" w:hAnsi="Times New Roman" w:cs="Times New Roman"/>
        </w:rPr>
        <w:t xml:space="preserve"> Article 1 of the 2004 Law on Promulgation of Legal Documents of the People's Council and the People's Committee (Law No. 31/2004/QH 11 dated December 3, 2004).</w:t>
      </w:r>
    </w:p>
  </w:footnote>
  <w:footnote w:id="6">
    <w:p w14:paraId="0AB02263" w14:textId="77777777" w:rsidR="009070C2" w:rsidRDefault="009070C2" w:rsidP="009070C2">
      <w:pPr>
        <w:pStyle w:val="FootnoteText"/>
      </w:pPr>
      <w:r w:rsidRPr="00783D4D">
        <w:rPr>
          <w:rStyle w:val="FootnoteReference"/>
          <w:rFonts w:ascii="Times New Roman" w:hAnsi="Times New Roman" w:cs="Times New Roman"/>
        </w:rPr>
        <w:footnoteRef/>
      </w:r>
      <w:r w:rsidRPr="00783D4D">
        <w:rPr>
          <w:rFonts w:ascii="Times New Roman" w:hAnsi="Times New Roman" w:cs="Times New Roman"/>
        </w:rPr>
        <w:t xml:space="preserve"> Updated 06 October 2015</w:t>
      </w:r>
    </w:p>
  </w:footnote>
  <w:footnote w:id="7">
    <w:p w14:paraId="180641BE" w14:textId="2907EB22" w:rsidR="00DC0AC7" w:rsidRPr="003F39DD" w:rsidRDefault="00DC0AC7">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Order No.18/2013/L-CTN </w:t>
      </w:r>
      <w:r w:rsidR="005B6E78" w:rsidRPr="003F39DD">
        <w:rPr>
          <w:rFonts w:ascii="Times New Roman" w:hAnsi="Times New Roman" w:cs="Times New Roman"/>
        </w:rPr>
        <w:t>8</w:t>
      </w:r>
      <w:r w:rsidRPr="003F39DD">
        <w:rPr>
          <w:rFonts w:ascii="Times New Roman" w:hAnsi="Times New Roman" w:cs="Times New Roman"/>
        </w:rPr>
        <w:t xml:space="preserve"> December, 2013</w:t>
      </w:r>
      <w:r w:rsidR="00BF699C" w:rsidRPr="003F39DD">
        <w:rPr>
          <w:rFonts w:ascii="Times New Roman" w:hAnsi="Times New Roman" w:cs="Times New Roman"/>
        </w:rPr>
        <w:t>:</w:t>
      </w:r>
      <w:r w:rsidRPr="003F39DD">
        <w:rPr>
          <w:rFonts w:ascii="Times New Roman" w:hAnsi="Times New Roman" w:cs="Times New Roman"/>
        </w:rPr>
        <w:t xml:space="preserve"> </w:t>
      </w:r>
      <w:r w:rsidR="00BF699C" w:rsidRPr="003F39DD">
        <w:rPr>
          <w:rFonts w:ascii="Times New Roman" w:hAnsi="Times New Roman" w:cs="Times New Roman"/>
        </w:rPr>
        <w:t>O</w:t>
      </w:r>
      <w:r w:rsidRPr="003F39DD">
        <w:rPr>
          <w:rFonts w:ascii="Times New Roman" w:hAnsi="Times New Roman" w:cs="Times New Roman"/>
        </w:rPr>
        <w:t>n the promulgation of the Constitution, Article 5(2) and (3).</w:t>
      </w:r>
    </w:p>
  </w:footnote>
  <w:footnote w:id="8">
    <w:p w14:paraId="01A71EEC" w14:textId="0015872C" w:rsidR="00BF699C" w:rsidRPr="003F39DD" w:rsidRDefault="00BF699C">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100/2015/QH13, 27 November, 2015: The Criminal Code of Vietnam, Article 116(1)(b)</w:t>
      </w:r>
    </w:p>
  </w:footnote>
  <w:footnote w:id="9">
    <w:p w14:paraId="37AD3E0F" w14:textId="6D49A104" w:rsidR="00D26D80" w:rsidRPr="003F39DD" w:rsidRDefault="00D26D80">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91/2015/QH13, 24 November, 2015: The Civil Code of Vietnam, Article 3(1)</w:t>
      </w:r>
    </w:p>
  </w:footnote>
  <w:footnote w:id="10">
    <w:p w14:paraId="16E52760" w14:textId="1E3AC743" w:rsidR="00D26D80" w:rsidRPr="003F39DD" w:rsidRDefault="00D26D80">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91/2015/QH13, 24 November, 2015: The Civil Code of Vietnam, Article</w:t>
      </w:r>
      <w:r w:rsidR="00BB3AEA" w:rsidRPr="003F39DD">
        <w:rPr>
          <w:rFonts w:ascii="Times New Roman" w:hAnsi="Times New Roman" w:cs="Times New Roman"/>
          <w:lang w:val="en-CA"/>
        </w:rPr>
        <w:t>s 33(1) and</w:t>
      </w:r>
      <w:r w:rsidRPr="003F39DD">
        <w:rPr>
          <w:rFonts w:ascii="Times New Roman" w:hAnsi="Times New Roman" w:cs="Times New Roman"/>
          <w:lang w:val="en-CA"/>
        </w:rPr>
        <w:t xml:space="preserve"> 29(1)</w:t>
      </w:r>
    </w:p>
  </w:footnote>
  <w:footnote w:id="11">
    <w:p w14:paraId="4EA674A2" w14:textId="720D3D48" w:rsidR="00BB3AEA" w:rsidRPr="003F39DD" w:rsidRDefault="00BB3AEA">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91/2015/QH13, 24 November, 2015: The Civil Code of Vietnam, Article 38(1)</w:t>
      </w:r>
    </w:p>
  </w:footnote>
  <w:footnote w:id="12">
    <w:p w14:paraId="1C03A6BB" w14:textId="057F58A2" w:rsidR="00D63D6B" w:rsidRPr="003F39DD" w:rsidRDefault="00D63D6B">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Which “includes intangible and tangible cultural heritages which are spiritual and material products having historical, cultural or scientific value…” – Law No. 18/2001/QH10 29 June, 2001: On Cultural Heritage, Article 1</w:t>
      </w:r>
    </w:p>
  </w:footnote>
  <w:footnote w:id="13">
    <w:p w14:paraId="56F6AE6B" w14:textId="786B54DB" w:rsidR="00D63D6B" w:rsidRPr="003F39DD" w:rsidRDefault="00D63D6B">
      <w:pPr>
        <w:pStyle w:val="FootnoteText"/>
        <w:rPr>
          <w:rFonts w:ascii="Times New Roman" w:hAnsi="Times New Roman" w:cs="Times New Roman"/>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18/2001/QH10 29 June, 2001: On Cultural Heritage, Article 5</w:t>
      </w:r>
    </w:p>
  </w:footnote>
  <w:footnote w:id="14">
    <w:p w14:paraId="44DAAD87" w14:textId="2707FC6B" w:rsidR="00721C99" w:rsidRPr="00721C99" w:rsidRDefault="00721C99">
      <w:pPr>
        <w:pStyle w:val="FootnoteText"/>
        <w:rPr>
          <w:lang w:val="en-CA"/>
        </w:rPr>
      </w:pPr>
      <w:r w:rsidRPr="003F39DD">
        <w:rPr>
          <w:rStyle w:val="FootnoteReference"/>
          <w:rFonts w:ascii="Times New Roman" w:hAnsi="Times New Roman" w:cs="Times New Roman"/>
        </w:rPr>
        <w:footnoteRef/>
      </w:r>
      <w:r w:rsidRPr="003F39DD">
        <w:rPr>
          <w:rFonts w:ascii="Times New Roman" w:hAnsi="Times New Roman" w:cs="Times New Roman"/>
        </w:rPr>
        <w:t xml:space="preserve"> </w:t>
      </w:r>
      <w:r w:rsidRPr="003F39DD">
        <w:rPr>
          <w:rFonts w:ascii="Times New Roman" w:hAnsi="Times New Roman" w:cs="Times New Roman"/>
          <w:lang w:val="en-CA"/>
        </w:rPr>
        <w:t>Law No. 18/2001/QH10 29 June, 2001: On Cultural Heritage, Article 3</w:t>
      </w:r>
    </w:p>
  </w:footnote>
  <w:footnote w:id="15">
    <w:p w14:paraId="3FB69DBA" w14:textId="1269A9FE" w:rsidR="00063894" w:rsidRPr="0029654F" w:rsidRDefault="00063894">
      <w:pPr>
        <w:pStyle w:val="FootnoteText"/>
        <w:rPr>
          <w:rFonts w:ascii="Times New Roman" w:hAnsi="Times New Roman" w:cs="Times New Roman"/>
          <w:lang w:val="en-CA"/>
        </w:rPr>
      </w:pPr>
      <w:r w:rsidRPr="0029654F">
        <w:rPr>
          <w:rStyle w:val="FootnoteReference"/>
          <w:rFonts w:ascii="Times New Roman" w:hAnsi="Times New Roman" w:cs="Times New Roman"/>
        </w:rPr>
        <w:footnoteRef/>
      </w:r>
      <w:r w:rsidRPr="0029654F">
        <w:rPr>
          <w:rFonts w:ascii="Times New Roman" w:hAnsi="Times New Roman" w:cs="Times New Roman"/>
        </w:rPr>
        <w:t xml:space="preserve"> Law No.16/2017/QH14 15 November, 2017: Forestry Law, Article 7</w:t>
      </w:r>
    </w:p>
  </w:footnote>
  <w:footnote w:id="16">
    <w:p w14:paraId="1E2CC618" w14:textId="4A298BFE" w:rsidR="00553FDE" w:rsidRPr="00553FDE" w:rsidRDefault="00553FDE">
      <w:pPr>
        <w:pStyle w:val="FootnoteText"/>
        <w:rPr>
          <w:lang w:val="en-CA"/>
        </w:rPr>
      </w:pPr>
      <w:r>
        <w:rPr>
          <w:rStyle w:val="FootnoteReference"/>
        </w:rPr>
        <w:footnoteRef/>
      </w:r>
      <w:r>
        <w:t xml:space="preserve"> </w:t>
      </w:r>
      <w:r w:rsidRPr="003F39DD">
        <w:rPr>
          <w:rFonts w:ascii="Times New Roman" w:hAnsi="Times New Roman" w:cs="Times New Roman"/>
        </w:rPr>
        <w:t>Order No.18/2013/L-CTN 8 December, 2013: On the promulgation of the Constitution</w:t>
      </w:r>
      <w:r>
        <w:rPr>
          <w:rFonts w:ascii="Times New Roman" w:hAnsi="Times New Roman" w:cs="Times New Roman"/>
        </w:rPr>
        <w:t>, Article 43</w:t>
      </w:r>
    </w:p>
  </w:footnote>
  <w:footnote w:id="17">
    <w:p w14:paraId="267E1892" w14:textId="5478CE3E" w:rsidR="00553FDE" w:rsidRPr="00553FDE" w:rsidRDefault="00553FDE">
      <w:pPr>
        <w:pStyle w:val="FootnoteText"/>
        <w:rPr>
          <w:lang w:val="en-CA"/>
        </w:rPr>
      </w:pPr>
      <w:r>
        <w:rPr>
          <w:rStyle w:val="FootnoteReference"/>
        </w:rPr>
        <w:footnoteRef/>
      </w:r>
      <w:r>
        <w:t xml:space="preserve"> </w:t>
      </w:r>
      <w:r w:rsidRPr="003F39DD">
        <w:rPr>
          <w:rFonts w:ascii="Times New Roman" w:hAnsi="Times New Roman" w:cs="Times New Roman"/>
        </w:rPr>
        <w:t>Order No.18/2013/L-CTN 8 December, 2013: On the promulgation of the Constitution</w:t>
      </w:r>
      <w:r>
        <w:rPr>
          <w:rFonts w:ascii="Times New Roman" w:hAnsi="Times New Roman" w:cs="Times New Roman"/>
        </w:rPr>
        <w:t>, Article 63(1)</w:t>
      </w:r>
    </w:p>
  </w:footnote>
  <w:footnote w:id="18">
    <w:p w14:paraId="31D730DC" w14:textId="3762E357" w:rsidR="00553FDE" w:rsidRPr="00553FDE" w:rsidRDefault="00553FDE">
      <w:pPr>
        <w:pStyle w:val="FootnoteText"/>
        <w:rPr>
          <w:lang w:val="en-CA"/>
        </w:rPr>
      </w:pPr>
      <w:r>
        <w:rPr>
          <w:rStyle w:val="FootnoteReference"/>
        </w:rPr>
        <w:footnoteRef/>
      </w:r>
      <w:r>
        <w:t xml:space="preserve"> </w:t>
      </w:r>
      <w:r w:rsidRPr="003F39DD">
        <w:rPr>
          <w:rFonts w:ascii="Times New Roman" w:hAnsi="Times New Roman" w:cs="Times New Roman"/>
        </w:rPr>
        <w:t>Order No.18/2013/L-CTN 8 December, 2013: On the promulgation of the Constitution</w:t>
      </w:r>
      <w:r>
        <w:rPr>
          <w:rFonts w:ascii="Times New Roman" w:hAnsi="Times New Roman" w:cs="Times New Roman"/>
        </w:rPr>
        <w:t>, Article 63(2)</w:t>
      </w:r>
    </w:p>
  </w:footnote>
  <w:footnote w:id="19">
    <w:p w14:paraId="7B5AE49F" w14:textId="77777777" w:rsidR="00E44F7D" w:rsidRPr="00987272" w:rsidRDefault="00E44F7D" w:rsidP="00E44F7D">
      <w:pPr>
        <w:pStyle w:val="FootnoteText"/>
        <w:rPr>
          <w:rFonts w:ascii="Times New Roman" w:hAnsi="Times New Roman" w:cs="Times New Roman"/>
        </w:rPr>
      </w:pPr>
      <w:r w:rsidRPr="00987272">
        <w:rPr>
          <w:rStyle w:val="FootnoteReference"/>
          <w:rFonts w:ascii="Times New Roman" w:hAnsi="Times New Roman" w:cs="Times New Roman"/>
        </w:rPr>
        <w:footnoteRef/>
      </w:r>
      <w:r w:rsidRPr="00987272">
        <w:rPr>
          <w:rFonts w:ascii="Times New Roman" w:hAnsi="Times New Roman" w:cs="Times New Roman"/>
        </w:rPr>
        <w:t xml:space="preserve"> Law No. 72/2020/QH14, November 17, 2020 and documents guiding the implementation of the Law. </w:t>
      </w:r>
    </w:p>
  </w:footnote>
  <w:footnote w:id="20">
    <w:p w14:paraId="6420B8A6" w14:textId="77777777" w:rsidR="001B4D42" w:rsidRPr="00987272" w:rsidRDefault="001B4D42" w:rsidP="001B4D42">
      <w:pPr>
        <w:pStyle w:val="FootnoteText"/>
        <w:rPr>
          <w:rFonts w:ascii="Times New Roman" w:hAnsi="Times New Roman" w:cs="Times New Roman"/>
        </w:rPr>
      </w:pPr>
      <w:r w:rsidRPr="00987272">
        <w:rPr>
          <w:rStyle w:val="FootnoteReference"/>
          <w:rFonts w:ascii="Times New Roman" w:hAnsi="Times New Roman" w:cs="Times New Roman"/>
        </w:rPr>
        <w:footnoteRef/>
      </w:r>
      <w:r w:rsidRPr="00987272">
        <w:rPr>
          <w:rFonts w:ascii="Times New Roman" w:hAnsi="Times New Roman" w:cs="Times New Roman"/>
        </w:rPr>
        <w:t xml:space="preserve"> Decree No. 08/2022/ND-CP dated 10 January 2022.</w:t>
      </w:r>
    </w:p>
  </w:footnote>
  <w:footnote w:id="21">
    <w:p w14:paraId="5658A95F" w14:textId="4A4FC913" w:rsidR="001B4D42" w:rsidRPr="00987272" w:rsidRDefault="001B4D42" w:rsidP="001B4D42">
      <w:pPr>
        <w:pStyle w:val="FootnoteText"/>
        <w:rPr>
          <w:rFonts w:ascii="Times New Roman" w:hAnsi="Times New Roman" w:cs="Times New Roman"/>
        </w:rPr>
      </w:pPr>
      <w:r w:rsidRPr="00987272">
        <w:rPr>
          <w:rStyle w:val="FootnoteReference"/>
          <w:rFonts w:ascii="Times New Roman" w:hAnsi="Times New Roman" w:cs="Times New Roman"/>
        </w:rPr>
        <w:footnoteRef/>
      </w:r>
      <w:r w:rsidRPr="00987272">
        <w:rPr>
          <w:rFonts w:ascii="Times New Roman" w:hAnsi="Times New Roman" w:cs="Times New Roman"/>
        </w:rPr>
        <w:t xml:space="preserve"> </w:t>
      </w:r>
      <w:r w:rsidRPr="00987272">
        <w:rPr>
          <w:rFonts w:ascii="Times New Roman" w:eastAsia="Times New Roman" w:hAnsi="Times New Roman" w:cs="Times New Roman"/>
          <w:color w:val="000000"/>
        </w:rPr>
        <w:t>Decree No.08/2022/ND-CP</w:t>
      </w:r>
      <w:r w:rsidR="00987272">
        <w:rPr>
          <w:rFonts w:ascii="Times New Roman" w:eastAsia="Times New Roman" w:hAnsi="Times New Roman" w:cs="Times New Roman"/>
          <w:color w:val="000000"/>
        </w:rPr>
        <w:t>, Article 121</w:t>
      </w:r>
    </w:p>
  </w:footnote>
  <w:footnote w:id="22">
    <w:p w14:paraId="22667F06" w14:textId="2C804B98" w:rsidR="001B4D42" w:rsidRPr="00552393" w:rsidRDefault="001B4D42" w:rsidP="001B4D42">
      <w:pPr>
        <w:pStyle w:val="FootnoteText"/>
      </w:pPr>
      <w:r w:rsidRPr="00987272">
        <w:rPr>
          <w:rStyle w:val="FootnoteReference"/>
          <w:rFonts w:ascii="Times New Roman" w:hAnsi="Times New Roman" w:cs="Times New Roman"/>
        </w:rPr>
        <w:footnoteRef/>
      </w:r>
      <w:r w:rsidRPr="00987272">
        <w:rPr>
          <w:rFonts w:ascii="Times New Roman" w:hAnsi="Times New Roman" w:cs="Times New Roman"/>
        </w:rPr>
        <w:t xml:space="preserve"> </w:t>
      </w:r>
      <w:r w:rsidR="00987272">
        <w:rPr>
          <w:rFonts w:ascii="Times New Roman" w:hAnsi="Times New Roman" w:cs="Times New Roman"/>
        </w:rPr>
        <w:t xml:space="preserve">Draft </w:t>
      </w:r>
      <w:r w:rsidRPr="00987272">
        <w:rPr>
          <w:rFonts w:ascii="Times New Roman" w:hAnsi="Times New Roman" w:cs="Times New Roman"/>
        </w:rPr>
        <w:t>decision on forthcoming national environmental protection strategy to 2030, vision to 2050</w:t>
      </w:r>
      <w:r w:rsidR="00987272">
        <w:rPr>
          <w:rFonts w:ascii="Times New Roman" w:hAnsi="Times New Roman" w:cs="Times New Roman"/>
        </w:rPr>
        <w:t xml:space="preserve">, </w:t>
      </w:r>
      <w:r w:rsidR="00987272" w:rsidRPr="00987272">
        <w:rPr>
          <w:rFonts w:ascii="Times New Roman" w:hAnsi="Times New Roman" w:cs="Times New Roman"/>
        </w:rPr>
        <w:t>Article 1, 3(b)</w:t>
      </w:r>
    </w:p>
  </w:footnote>
  <w:footnote w:id="23">
    <w:p w14:paraId="3804248C" w14:textId="77777777" w:rsidR="00053BC1" w:rsidRPr="00CF1B17" w:rsidRDefault="00053BC1" w:rsidP="00053BC1">
      <w:pPr>
        <w:pStyle w:val="FootnoteText"/>
        <w:rPr>
          <w:rFonts w:ascii="Times New Roman" w:hAnsi="Times New Roman" w:cs="Times New Roman"/>
        </w:rPr>
      </w:pPr>
      <w:r w:rsidRPr="00CF1B17">
        <w:rPr>
          <w:rStyle w:val="FootnoteReference"/>
          <w:rFonts w:ascii="Times New Roman" w:hAnsi="Times New Roman" w:cs="Times New Roman"/>
        </w:rPr>
        <w:footnoteRef/>
      </w:r>
      <w:r w:rsidRPr="00CF1B17">
        <w:rPr>
          <w:rFonts w:ascii="Times New Roman" w:hAnsi="Times New Roman" w:cs="Times New Roman"/>
        </w:rPr>
        <w:t xml:space="preserve"> </w:t>
      </w:r>
      <w:r w:rsidRPr="00CF1B17">
        <w:rPr>
          <w:rFonts w:ascii="Times New Roman" w:hAnsi="Times New Roman" w:cs="Times New Roman"/>
          <w:color w:val="000000"/>
        </w:rPr>
        <w:t>Law No. 20/2008/QH12, dated 13 November 2008</w:t>
      </w:r>
    </w:p>
  </w:footnote>
  <w:footnote w:id="24">
    <w:p w14:paraId="35FFA48E" w14:textId="77777777" w:rsidR="00053BC1" w:rsidRPr="00CF1B17" w:rsidRDefault="00053BC1" w:rsidP="00053BC1">
      <w:pPr>
        <w:pStyle w:val="FootnoteText"/>
        <w:rPr>
          <w:rFonts w:ascii="Times New Roman" w:hAnsi="Times New Roman" w:cs="Times New Roman"/>
        </w:rPr>
      </w:pPr>
      <w:r w:rsidRPr="00CF1B17">
        <w:rPr>
          <w:rStyle w:val="FootnoteReference"/>
          <w:rFonts w:ascii="Times New Roman" w:hAnsi="Times New Roman" w:cs="Times New Roman"/>
        </w:rPr>
        <w:footnoteRef/>
      </w:r>
      <w:r w:rsidRPr="00CF1B17">
        <w:rPr>
          <w:rFonts w:ascii="Times New Roman" w:hAnsi="Times New Roman" w:cs="Times New Roman"/>
        </w:rPr>
        <w:t xml:space="preserve"> Law No: 16/2017/QH14, dated 15 November 2017</w:t>
      </w:r>
    </w:p>
  </w:footnote>
  <w:footnote w:id="25">
    <w:p w14:paraId="31141479" w14:textId="77777777" w:rsidR="00053BC1" w:rsidRPr="00CF1B17" w:rsidRDefault="00053BC1" w:rsidP="00053BC1">
      <w:pPr>
        <w:pStyle w:val="FootnoteText"/>
        <w:rPr>
          <w:rFonts w:ascii="Times New Roman" w:hAnsi="Times New Roman" w:cs="Times New Roman"/>
        </w:rPr>
      </w:pPr>
      <w:r w:rsidRPr="00CF1B17">
        <w:rPr>
          <w:rStyle w:val="FootnoteReference"/>
          <w:rFonts w:ascii="Times New Roman" w:hAnsi="Times New Roman" w:cs="Times New Roman"/>
        </w:rPr>
        <w:footnoteRef/>
      </w:r>
      <w:r w:rsidRPr="00CF1B17">
        <w:rPr>
          <w:rFonts w:ascii="Times New Roman" w:hAnsi="Times New Roman" w:cs="Times New Roman"/>
        </w:rPr>
        <w:t xml:space="preserve"> Dated 01 April 2021</w:t>
      </w:r>
    </w:p>
  </w:footnote>
  <w:footnote w:id="26">
    <w:p w14:paraId="6A624484" w14:textId="77777777" w:rsidR="00053BC1" w:rsidRDefault="00053BC1" w:rsidP="00053BC1">
      <w:pPr>
        <w:pStyle w:val="FootnoteText"/>
      </w:pPr>
      <w:r w:rsidRPr="00CF1B17">
        <w:rPr>
          <w:rStyle w:val="FootnoteReference"/>
          <w:rFonts w:ascii="Times New Roman" w:hAnsi="Times New Roman" w:cs="Times New Roman"/>
        </w:rPr>
        <w:footnoteRef/>
      </w:r>
      <w:r w:rsidRPr="00CF1B17">
        <w:rPr>
          <w:rFonts w:ascii="Times New Roman" w:hAnsi="Times New Roman" w:cs="Times New Roman"/>
        </w:rPr>
        <w:t xml:space="preserve"> PPC of Quang Binh (2020): Report on conservation of world natural heritage Phong Nha-Ke Bang National Park</w:t>
      </w:r>
    </w:p>
  </w:footnote>
  <w:footnote w:id="27">
    <w:p w14:paraId="56EB6A22" w14:textId="77777777" w:rsidR="00053BC1" w:rsidRPr="00CF1B17" w:rsidRDefault="00053BC1" w:rsidP="00053BC1">
      <w:pPr>
        <w:pStyle w:val="FootnoteText"/>
        <w:rPr>
          <w:rFonts w:ascii="Times New Roman" w:hAnsi="Times New Roman" w:cs="Times New Roman"/>
        </w:rPr>
      </w:pPr>
      <w:r w:rsidRPr="00CF1B17">
        <w:rPr>
          <w:rStyle w:val="FootnoteReference"/>
          <w:rFonts w:ascii="Times New Roman" w:hAnsi="Times New Roman" w:cs="Times New Roman"/>
        </w:rPr>
        <w:footnoteRef/>
      </w:r>
      <w:r w:rsidRPr="00CF1B17">
        <w:rPr>
          <w:rFonts w:ascii="Times New Roman" w:hAnsi="Times New Roman" w:cs="Times New Roman"/>
        </w:rPr>
        <w:t xml:space="preserve"> Ninh Thuan Provincial People Committee (2020): Dosier for Proposed Nui Chua Biosphere Reserve</w:t>
      </w:r>
    </w:p>
  </w:footnote>
  <w:footnote w:id="28">
    <w:p w14:paraId="25DEA158" w14:textId="35EBE7E2" w:rsidR="00814DC9" w:rsidRPr="00814DC9" w:rsidRDefault="00814DC9">
      <w:pPr>
        <w:pStyle w:val="FootnoteText"/>
      </w:pPr>
      <w:r>
        <w:rPr>
          <w:rStyle w:val="FootnoteReference"/>
        </w:rPr>
        <w:footnoteRef/>
      </w:r>
      <w:r>
        <w:t xml:space="preserve"> </w:t>
      </w:r>
      <w:hyperlink r:id="rId2" w:history="1">
        <w:r w:rsidRPr="00814DC9">
          <w:rPr>
            <w:rStyle w:val="Hyperlink"/>
          </w:rPr>
          <w:t>https://www.sprep.org/attachments/VirLib/Global/sapa-report.pdf</w:t>
        </w:r>
      </w:hyperlink>
    </w:p>
  </w:footnote>
  <w:footnote w:id="29">
    <w:p w14:paraId="1B66B5BD" w14:textId="77777777" w:rsidR="00B47835" w:rsidRPr="00780747" w:rsidRDefault="00B47835" w:rsidP="00B47835">
      <w:pPr>
        <w:pStyle w:val="FootnoteText"/>
        <w:rPr>
          <w:rFonts w:cstheme="minorHAnsi"/>
          <w:lang w:val="en-CA"/>
        </w:rPr>
      </w:pPr>
      <w:r w:rsidRPr="00780747">
        <w:rPr>
          <w:rStyle w:val="FootnoteReference"/>
          <w:rFonts w:cstheme="minorHAnsi"/>
        </w:rPr>
        <w:footnoteRef/>
      </w:r>
      <w:r w:rsidRPr="00780747">
        <w:rPr>
          <w:rFonts w:cstheme="minorHAnsi"/>
        </w:rPr>
        <w:t xml:space="preserve"> BCA is a functional agency under the Vietnam Environment Administration under the Ministry of Natural Resources and Environment of Vietnam. BCA provides the advisory function to help the Director General of the VEA in government management and law enforcement for nationwide nature and biodiversity conservation.</w:t>
      </w:r>
    </w:p>
  </w:footnote>
  <w:footnote w:id="30">
    <w:p w14:paraId="498E6FB6" w14:textId="77777777" w:rsidR="00B47835" w:rsidRPr="00944D35" w:rsidRDefault="00B47835" w:rsidP="00B47835">
      <w:pPr>
        <w:pStyle w:val="FootnoteText"/>
        <w:rPr>
          <w:lang w:val="en-CA"/>
        </w:rPr>
      </w:pPr>
      <w:r>
        <w:rPr>
          <w:rStyle w:val="FootnoteReference"/>
        </w:rPr>
        <w:footnoteRef/>
      </w:r>
      <w:r>
        <w:t xml:space="preserve"> </w:t>
      </w:r>
      <w:r w:rsidRPr="00DF6CD2">
        <w:t xml:space="preserve">On December 16, 2021, the Government </w:t>
      </w:r>
      <w:r>
        <w:t xml:space="preserve">of Vietnam </w:t>
      </w:r>
      <w:r w:rsidRPr="00DF6CD2">
        <w:t>issue</w:t>
      </w:r>
      <w:r>
        <w:t>d</w:t>
      </w:r>
      <w:r w:rsidRPr="00DF6CD2">
        <w:t xml:space="preserve"> </w:t>
      </w:r>
      <w:hyperlink r:id="rId3" w:anchor=":~:text=Decree%20114%2F2021%2FND%2DCP%20on%20management%20and%20use,concessional%20loans%20of%20foreign%20donors&amp;text=On%20December%2016%2C%202021%2C%20the,concessional%20loans%20of%20foreign%20donors." w:history="1">
        <w:r w:rsidRPr="00A224E0">
          <w:rPr>
            <w:rStyle w:val="Hyperlink"/>
          </w:rPr>
          <w:t>Decree No. 114/2021/ND-CP</w:t>
        </w:r>
      </w:hyperlink>
      <w:r w:rsidRPr="00DF6CD2">
        <w:t xml:space="preserve"> on management and use of official development assistance and concessional loans of foreign donors.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17E1" w14:textId="77777777" w:rsidR="00C822E2" w:rsidRDefault="00C822E2">
    <w:pPr>
      <w:pStyle w:val="Header"/>
    </w:pPr>
    <w:r>
      <w:rPr>
        <w:rFonts w:cstheme="minorHAnsi"/>
        <w:bCs/>
        <w:i/>
        <w:color w:val="000000"/>
        <w:lang w:bidi="hi-IN"/>
      </w:rPr>
      <w:t>Environmental and Social Management Framework                                                                                           Annex 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5C4B44"/>
    <w:lvl w:ilvl="0">
      <w:start w:val="1"/>
      <w:numFmt w:val="lowerRoman"/>
      <w:pStyle w:val="ListNumber2"/>
      <w:lvlText w:val="(%1)"/>
      <w:lvlJc w:val="left"/>
      <w:pPr>
        <w:ind w:left="720" w:hanging="360"/>
      </w:pPr>
      <w:rPr>
        <w:rFonts w:hint="default"/>
      </w:rPr>
    </w:lvl>
  </w:abstractNum>
  <w:abstractNum w:abstractNumId="1" w15:restartNumberingAfterBreak="0">
    <w:nsid w:val="FFFFFF83"/>
    <w:multiLevelType w:val="singleLevel"/>
    <w:tmpl w:val="EADCA44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2E7BD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F3247268"/>
    <w:lvl w:ilvl="0">
      <w:start w:val="5"/>
      <w:numFmt w:val="bullet"/>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2D97401"/>
    <w:multiLevelType w:val="hybridMultilevel"/>
    <w:tmpl w:val="4782C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4C17FC"/>
    <w:multiLevelType w:val="hybridMultilevel"/>
    <w:tmpl w:val="E9F02EC8"/>
    <w:lvl w:ilvl="0" w:tplc="21BEF176">
      <w:start w:val="6"/>
      <w:numFmt w:val="bullet"/>
      <w:pStyle w:val="listlettered"/>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57CBC"/>
    <w:multiLevelType w:val="hybridMultilevel"/>
    <w:tmpl w:val="5FCA27C8"/>
    <w:lvl w:ilvl="0" w:tplc="04090017">
      <w:start w:val="1"/>
      <w:numFmt w:val="lowerLetter"/>
      <w:pStyle w:val="ListParagraph"/>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2147F"/>
    <w:multiLevelType w:val="hybridMultilevel"/>
    <w:tmpl w:val="04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8A553F"/>
    <w:multiLevelType w:val="hybridMultilevel"/>
    <w:tmpl w:val="60A88518"/>
    <w:lvl w:ilvl="0" w:tplc="0409000F">
      <w:start w:val="7"/>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A637B"/>
    <w:multiLevelType w:val="hybridMultilevel"/>
    <w:tmpl w:val="7A8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02387"/>
    <w:multiLevelType w:val="hybridMultilevel"/>
    <w:tmpl w:val="59E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E76153"/>
    <w:multiLevelType w:val="hybridMultilevel"/>
    <w:tmpl w:val="394C84C6"/>
    <w:lvl w:ilvl="0" w:tplc="38D8300C">
      <w:start w:val="1"/>
      <w:numFmt w:val="lowerLetter"/>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E57BB3"/>
    <w:multiLevelType w:val="multilevel"/>
    <w:tmpl w:val="C54A62D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C48B1"/>
    <w:multiLevelType w:val="hybridMultilevel"/>
    <w:tmpl w:val="C69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A2156C"/>
    <w:multiLevelType w:val="hybridMultilevel"/>
    <w:tmpl w:val="E2F8D076"/>
    <w:lvl w:ilvl="0" w:tplc="1FB4BE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EF566C"/>
    <w:multiLevelType w:val="multilevel"/>
    <w:tmpl w:val="C13482F4"/>
    <w:lvl w:ilvl="0">
      <w:start w:val="4"/>
      <w:numFmt w:val="decimal"/>
      <w:lvlText w:val="%1"/>
      <w:lvlJc w:val="left"/>
      <w:pPr>
        <w:ind w:left="938" w:hanging="360"/>
      </w:pPr>
      <w:rPr>
        <w:rFonts w:hint="default"/>
      </w:rPr>
    </w:lvl>
    <w:lvl w:ilvl="1">
      <w:start w:val="1"/>
      <w:numFmt w:val="decimal"/>
      <w:isLgl/>
      <w:lvlText w:val="%1.%2"/>
      <w:lvlJc w:val="left"/>
      <w:pPr>
        <w:ind w:left="129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2738" w:hanging="72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3818" w:hanging="1080"/>
      </w:pPr>
      <w:rPr>
        <w:rFonts w:hint="default"/>
      </w:rPr>
    </w:lvl>
    <w:lvl w:ilvl="7">
      <w:start w:val="1"/>
      <w:numFmt w:val="decimal"/>
      <w:isLgl/>
      <w:lvlText w:val="%1.%2.%3.%4.%5.%6.%7.%8"/>
      <w:lvlJc w:val="left"/>
      <w:pPr>
        <w:ind w:left="4538" w:hanging="1440"/>
      </w:pPr>
      <w:rPr>
        <w:rFonts w:hint="default"/>
      </w:rPr>
    </w:lvl>
    <w:lvl w:ilvl="8">
      <w:start w:val="1"/>
      <w:numFmt w:val="decimal"/>
      <w:isLgl/>
      <w:lvlText w:val="%1.%2.%3.%4.%5.%6.%7.%8.%9"/>
      <w:lvlJc w:val="left"/>
      <w:pPr>
        <w:ind w:left="4898" w:hanging="1440"/>
      </w:pPr>
      <w:rPr>
        <w:rFonts w:hint="default"/>
      </w:rPr>
    </w:lvl>
  </w:abstractNum>
  <w:abstractNum w:abstractNumId="19"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626AA"/>
    <w:multiLevelType w:val="multilevel"/>
    <w:tmpl w:val="FF667324"/>
    <w:lvl w:ilvl="0">
      <w:start w:val="6"/>
      <w:numFmt w:val="decimal"/>
      <w:pStyle w:val="listbulletsSESP"/>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70B1714"/>
    <w:multiLevelType w:val="hybridMultilevel"/>
    <w:tmpl w:val="002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BD401B"/>
    <w:multiLevelType w:val="hybridMultilevel"/>
    <w:tmpl w:val="32F42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E6BE4"/>
    <w:multiLevelType w:val="hybridMultilevel"/>
    <w:tmpl w:val="B21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350B47"/>
    <w:multiLevelType w:val="multilevel"/>
    <w:tmpl w:val="20A2644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Calibri" w:hAnsi="Calibri" w:cs="Calibr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20B1932"/>
    <w:multiLevelType w:val="hybridMultilevel"/>
    <w:tmpl w:val="0F024516"/>
    <w:lvl w:ilvl="0" w:tplc="DB4EFCE6">
      <w:start w:val="1"/>
      <w:numFmt w:val="lowerRoman"/>
      <w:lvlText w:val="(%1)"/>
      <w:lvlJc w:val="left"/>
      <w:pPr>
        <w:ind w:left="1080" w:hanging="720"/>
      </w:pPr>
      <w:rPr>
        <w:rFonts w:cs="Times New Roman" w:hint="default"/>
        <w:b w:val="0"/>
        <w:i w:val="0"/>
      </w:rPr>
    </w:lvl>
    <w:lvl w:ilvl="1" w:tplc="5432798C">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2F227EA"/>
    <w:multiLevelType w:val="hybridMultilevel"/>
    <w:tmpl w:val="D64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0B0456"/>
    <w:multiLevelType w:val="hybridMultilevel"/>
    <w:tmpl w:val="EB9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1C157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610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36CB58F1"/>
    <w:multiLevelType w:val="hybridMultilevel"/>
    <w:tmpl w:val="C5CE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52106B"/>
    <w:multiLevelType w:val="hybridMultilevel"/>
    <w:tmpl w:val="8D243C22"/>
    <w:lvl w:ilvl="0" w:tplc="7F2E78BE">
      <w:start w:val="1"/>
      <w:numFmt w:val="lowerRoman"/>
      <w:pStyle w:val="outlineSEQS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A13E3B"/>
    <w:multiLevelType w:val="hybridMultilevel"/>
    <w:tmpl w:val="3EA6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B33827"/>
    <w:multiLevelType w:val="hybridMultilevel"/>
    <w:tmpl w:val="239A371A"/>
    <w:lvl w:ilvl="0" w:tplc="6B981956">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161B1"/>
    <w:multiLevelType w:val="multilevel"/>
    <w:tmpl w:val="DB886F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70764E"/>
    <w:multiLevelType w:val="hybridMultilevel"/>
    <w:tmpl w:val="C358BB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176CF8"/>
    <w:multiLevelType w:val="multilevel"/>
    <w:tmpl w:val="4DC4F0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Calibri" w:hAnsi="Calibri" w:cs="Calibr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675782"/>
    <w:multiLevelType w:val="multilevel"/>
    <w:tmpl w:val="8E5600D6"/>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DA21A2"/>
    <w:multiLevelType w:val="multilevel"/>
    <w:tmpl w:val="62FCCAE4"/>
    <w:lvl w:ilvl="0">
      <w:start w:val="3"/>
      <w:numFmt w:val="decimal"/>
      <w:lvlText w:val="%1"/>
      <w:lvlJc w:val="left"/>
      <w:pPr>
        <w:ind w:left="405" w:hanging="405"/>
      </w:pPr>
      <w:rPr>
        <w:rFonts w:eastAsia="Times New Roman" w:hint="default"/>
      </w:rPr>
    </w:lvl>
    <w:lvl w:ilvl="1">
      <w:start w:val="2"/>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01B4340"/>
    <w:multiLevelType w:val="hybridMultilevel"/>
    <w:tmpl w:val="7176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43470F"/>
    <w:multiLevelType w:val="hybridMultilevel"/>
    <w:tmpl w:val="9DDA5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AD4506"/>
    <w:multiLevelType w:val="hybridMultilevel"/>
    <w:tmpl w:val="18607BC6"/>
    <w:lvl w:ilvl="0" w:tplc="B62424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2B05164"/>
    <w:multiLevelType w:val="hybridMultilevel"/>
    <w:tmpl w:val="8042C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6546274"/>
    <w:multiLevelType w:val="hybridMultilevel"/>
    <w:tmpl w:val="83D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197483"/>
    <w:multiLevelType w:val="hybridMultilevel"/>
    <w:tmpl w:val="150AA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82C34F5"/>
    <w:multiLevelType w:val="hybridMultilevel"/>
    <w:tmpl w:val="39CC9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D02AA72"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D26FE1"/>
    <w:multiLevelType w:val="hybridMultilevel"/>
    <w:tmpl w:val="D8EA00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353F8E"/>
    <w:multiLevelType w:val="multilevel"/>
    <w:tmpl w:val="F58ED6F8"/>
    <w:lvl w:ilvl="0">
      <w:start w:val="1"/>
      <w:numFmt w:val="decimal"/>
      <w:pStyle w:val="ECC-7Gachkh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4D68C5"/>
    <w:multiLevelType w:val="hybridMultilevel"/>
    <w:tmpl w:val="368C2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2DE7763"/>
    <w:multiLevelType w:val="hybridMultilevel"/>
    <w:tmpl w:val="B12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510D1D"/>
    <w:multiLevelType w:val="hybridMultilevel"/>
    <w:tmpl w:val="9254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DB6B4C"/>
    <w:multiLevelType w:val="hybridMultilevel"/>
    <w:tmpl w:val="055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7C090E"/>
    <w:multiLevelType w:val="hybridMultilevel"/>
    <w:tmpl w:val="5ED21322"/>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07392D"/>
    <w:multiLevelType w:val="hybridMultilevel"/>
    <w:tmpl w:val="888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DAE4EAD"/>
    <w:multiLevelType w:val="hybridMultilevel"/>
    <w:tmpl w:val="2BD6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96426">
    <w:abstractNumId w:val="0"/>
  </w:num>
  <w:num w:numId="2" w16cid:durableId="100074737">
    <w:abstractNumId w:val="0"/>
    <w:lvlOverride w:ilvl="0">
      <w:startOverride w:val="1"/>
    </w:lvlOverride>
  </w:num>
  <w:num w:numId="3" w16cid:durableId="943610325">
    <w:abstractNumId w:val="29"/>
  </w:num>
  <w:num w:numId="4" w16cid:durableId="1689256577">
    <w:abstractNumId w:val="19"/>
  </w:num>
  <w:num w:numId="5" w16cid:durableId="469254307">
    <w:abstractNumId w:val="6"/>
  </w:num>
  <w:num w:numId="6" w16cid:durableId="1641768760">
    <w:abstractNumId w:val="20"/>
  </w:num>
  <w:num w:numId="7" w16cid:durableId="426387759">
    <w:abstractNumId w:val="30"/>
  </w:num>
  <w:num w:numId="8" w16cid:durableId="2030400607">
    <w:abstractNumId w:val="5"/>
  </w:num>
  <w:num w:numId="9" w16cid:durableId="1925256634">
    <w:abstractNumId w:val="8"/>
  </w:num>
  <w:num w:numId="10" w16cid:durableId="454326641">
    <w:abstractNumId w:val="49"/>
  </w:num>
  <w:num w:numId="11" w16cid:durableId="10381606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21722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26399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55822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911591">
    <w:abstractNumId w:val="14"/>
  </w:num>
  <w:num w:numId="16" w16cid:durableId="465663031">
    <w:abstractNumId w:val="43"/>
  </w:num>
  <w:num w:numId="17" w16cid:durableId="1690641925">
    <w:abstractNumId w:val="37"/>
  </w:num>
  <w:num w:numId="18" w16cid:durableId="1150437827">
    <w:abstractNumId w:val="13"/>
  </w:num>
  <w:num w:numId="19" w16cid:durableId="426853153">
    <w:abstractNumId w:val="24"/>
  </w:num>
  <w:num w:numId="20" w16cid:durableId="730075708">
    <w:abstractNumId w:val="36"/>
  </w:num>
  <w:num w:numId="21" w16cid:durableId="569585132">
    <w:abstractNumId w:val="39"/>
  </w:num>
  <w:num w:numId="22" w16cid:durableId="1124154120">
    <w:abstractNumId w:val="12"/>
  </w:num>
  <w:num w:numId="23" w16cid:durableId="1514344920">
    <w:abstractNumId w:val="38"/>
  </w:num>
  <w:num w:numId="24" w16cid:durableId="769206378">
    <w:abstractNumId w:val="16"/>
  </w:num>
  <w:num w:numId="25" w16cid:durableId="660931278">
    <w:abstractNumId w:val="26"/>
  </w:num>
  <w:num w:numId="26" w16cid:durableId="1959139175">
    <w:abstractNumId w:val="48"/>
  </w:num>
  <w:num w:numId="27" w16cid:durableId="1827697898">
    <w:abstractNumId w:val="32"/>
  </w:num>
  <w:num w:numId="28" w16cid:durableId="1635983735">
    <w:abstractNumId w:val="50"/>
  </w:num>
  <w:num w:numId="29" w16cid:durableId="280303888">
    <w:abstractNumId w:val="27"/>
  </w:num>
  <w:num w:numId="30" w16cid:durableId="819035623">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1F"/>
    <w:rsid w:val="00002BB9"/>
    <w:rsid w:val="000049E8"/>
    <w:rsid w:val="0000560F"/>
    <w:rsid w:val="00036443"/>
    <w:rsid w:val="00040594"/>
    <w:rsid w:val="00053BC1"/>
    <w:rsid w:val="00063894"/>
    <w:rsid w:val="00064064"/>
    <w:rsid w:val="00071F3C"/>
    <w:rsid w:val="00073CFA"/>
    <w:rsid w:val="000748F3"/>
    <w:rsid w:val="000851E3"/>
    <w:rsid w:val="00097E6B"/>
    <w:rsid w:val="000D2221"/>
    <w:rsid w:val="000D4010"/>
    <w:rsid w:val="00102720"/>
    <w:rsid w:val="00107FB8"/>
    <w:rsid w:val="00127121"/>
    <w:rsid w:val="00133F72"/>
    <w:rsid w:val="00143D31"/>
    <w:rsid w:val="00160DAD"/>
    <w:rsid w:val="001814D2"/>
    <w:rsid w:val="001A7C65"/>
    <w:rsid w:val="001B4D42"/>
    <w:rsid w:val="001D4FA9"/>
    <w:rsid w:val="00213C39"/>
    <w:rsid w:val="002310C9"/>
    <w:rsid w:val="00280B04"/>
    <w:rsid w:val="00295735"/>
    <w:rsid w:val="002958D8"/>
    <w:rsid w:val="0029654F"/>
    <w:rsid w:val="002A0E2E"/>
    <w:rsid w:val="002A1B1F"/>
    <w:rsid w:val="002E320D"/>
    <w:rsid w:val="002F0754"/>
    <w:rsid w:val="002F3598"/>
    <w:rsid w:val="002F61C1"/>
    <w:rsid w:val="00304326"/>
    <w:rsid w:val="00316915"/>
    <w:rsid w:val="00323A27"/>
    <w:rsid w:val="00334BDD"/>
    <w:rsid w:val="003373F3"/>
    <w:rsid w:val="003851E3"/>
    <w:rsid w:val="003941CC"/>
    <w:rsid w:val="00396BB3"/>
    <w:rsid w:val="003C0941"/>
    <w:rsid w:val="003E365C"/>
    <w:rsid w:val="003F138E"/>
    <w:rsid w:val="003F39DD"/>
    <w:rsid w:val="00435973"/>
    <w:rsid w:val="004426BC"/>
    <w:rsid w:val="00457205"/>
    <w:rsid w:val="0046095C"/>
    <w:rsid w:val="00483628"/>
    <w:rsid w:val="004926E6"/>
    <w:rsid w:val="004A4276"/>
    <w:rsid w:val="004B05B1"/>
    <w:rsid w:val="004E05F2"/>
    <w:rsid w:val="005048BA"/>
    <w:rsid w:val="00512B7D"/>
    <w:rsid w:val="00541D5C"/>
    <w:rsid w:val="00551F6C"/>
    <w:rsid w:val="00553CE8"/>
    <w:rsid w:val="00553FDE"/>
    <w:rsid w:val="0055772B"/>
    <w:rsid w:val="00596D09"/>
    <w:rsid w:val="005B6E78"/>
    <w:rsid w:val="005E7136"/>
    <w:rsid w:val="0061518B"/>
    <w:rsid w:val="006166D8"/>
    <w:rsid w:val="006758E7"/>
    <w:rsid w:val="006766F1"/>
    <w:rsid w:val="00680121"/>
    <w:rsid w:val="0069286C"/>
    <w:rsid w:val="006D0D6A"/>
    <w:rsid w:val="00703C93"/>
    <w:rsid w:val="00721C99"/>
    <w:rsid w:val="00727B72"/>
    <w:rsid w:val="00774F9B"/>
    <w:rsid w:val="00776642"/>
    <w:rsid w:val="0077728A"/>
    <w:rsid w:val="00783D4D"/>
    <w:rsid w:val="007A2126"/>
    <w:rsid w:val="007A7D98"/>
    <w:rsid w:val="007D2A04"/>
    <w:rsid w:val="007F2133"/>
    <w:rsid w:val="00804A3C"/>
    <w:rsid w:val="008067FB"/>
    <w:rsid w:val="0081359D"/>
    <w:rsid w:val="00814DC9"/>
    <w:rsid w:val="00835962"/>
    <w:rsid w:val="00841E77"/>
    <w:rsid w:val="00863BC2"/>
    <w:rsid w:val="008826E3"/>
    <w:rsid w:val="008B0619"/>
    <w:rsid w:val="008B5494"/>
    <w:rsid w:val="008C6D5E"/>
    <w:rsid w:val="008C7926"/>
    <w:rsid w:val="008D1612"/>
    <w:rsid w:val="008E2ED6"/>
    <w:rsid w:val="008E41CE"/>
    <w:rsid w:val="009070C2"/>
    <w:rsid w:val="0091120C"/>
    <w:rsid w:val="00942953"/>
    <w:rsid w:val="0094404A"/>
    <w:rsid w:val="0094519E"/>
    <w:rsid w:val="009506BC"/>
    <w:rsid w:val="009529C9"/>
    <w:rsid w:val="009560B6"/>
    <w:rsid w:val="00961668"/>
    <w:rsid w:val="00981A27"/>
    <w:rsid w:val="009859EC"/>
    <w:rsid w:val="00987272"/>
    <w:rsid w:val="009E27C3"/>
    <w:rsid w:val="00A135A7"/>
    <w:rsid w:val="00A40D2A"/>
    <w:rsid w:val="00A41F68"/>
    <w:rsid w:val="00A42473"/>
    <w:rsid w:val="00A51428"/>
    <w:rsid w:val="00A540D0"/>
    <w:rsid w:val="00A55640"/>
    <w:rsid w:val="00A872B9"/>
    <w:rsid w:val="00AA3270"/>
    <w:rsid w:val="00AA431B"/>
    <w:rsid w:val="00AB19A7"/>
    <w:rsid w:val="00AC6DAF"/>
    <w:rsid w:val="00AE563E"/>
    <w:rsid w:val="00AF2CA4"/>
    <w:rsid w:val="00B000AB"/>
    <w:rsid w:val="00B04383"/>
    <w:rsid w:val="00B1382B"/>
    <w:rsid w:val="00B14913"/>
    <w:rsid w:val="00B153F0"/>
    <w:rsid w:val="00B2178B"/>
    <w:rsid w:val="00B22E43"/>
    <w:rsid w:val="00B47835"/>
    <w:rsid w:val="00B61323"/>
    <w:rsid w:val="00B70B5C"/>
    <w:rsid w:val="00B86523"/>
    <w:rsid w:val="00B91E44"/>
    <w:rsid w:val="00BB3AEA"/>
    <w:rsid w:val="00BC5B8B"/>
    <w:rsid w:val="00BC6040"/>
    <w:rsid w:val="00BC61F7"/>
    <w:rsid w:val="00BF1CCB"/>
    <w:rsid w:val="00BF3C02"/>
    <w:rsid w:val="00BF699C"/>
    <w:rsid w:val="00C12294"/>
    <w:rsid w:val="00C322DA"/>
    <w:rsid w:val="00C822E2"/>
    <w:rsid w:val="00C90404"/>
    <w:rsid w:val="00CC6595"/>
    <w:rsid w:val="00CD4369"/>
    <w:rsid w:val="00CD4A84"/>
    <w:rsid w:val="00CF1B17"/>
    <w:rsid w:val="00CF1B1C"/>
    <w:rsid w:val="00D17579"/>
    <w:rsid w:val="00D26D80"/>
    <w:rsid w:val="00D32389"/>
    <w:rsid w:val="00D57813"/>
    <w:rsid w:val="00D60BCF"/>
    <w:rsid w:val="00D63D6B"/>
    <w:rsid w:val="00D743C6"/>
    <w:rsid w:val="00D8733C"/>
    <w:rsid w:val="00DA18F1"/>
    <w:rsid w:val="00DB5B9F"/>
    <w:rsid w:val="00DC0AC7"/>
    <w:rsid w:val="00DC24E5"/>
    <w:rsid w:val="00E01715"/>
    <w:rsid w:val="00E44F7D"/>
    <w:rsid w:val="00E56AD7"/>
    <w:rsid w:val="00E74F84"/>
    <w:rsid w:val="00E92271"/>
    <w:rsid w:val="00E93008"/>
    <w:rsid w:val="00E9499C"/>
    <w:rsid w:val="00E96CF1"/>
    <w:rsid w:val="00EB2DF9"/>
    <w:rsid w:val="00EC6082"/>
    <w:rsid w:val="00ED594B"/>
    <w:rsid w:val="00ED63C1"/>
    <w:rsid w:val="00F25AA1"/>
    <w:rsid w:val="00F72D1B"/>
    <w:rsid w:val="00F916D8"/>
    <w:rsid w:val="00F9365A"/>
    <w:rsid w:val="00FB7065"/>
    <w:rsid w:val="00FC6876"/>
    <w:rsid w:val="00FC7105"/>
    <w:rsid w:val="00FD6CB0"/>
    <w:rsid w:val="00FF09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59FE"/>
  <w15:docId w15:val="{2B64E1F6-D06C-DB41-BA50-692499EE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C1"/>
    <w:rPr>
      <w:rFonts w:ascii="Times New Roman" w:hAnsi="Times New Roman"/>
      <w:sz w:val="24"/>
    </w:rPr>
  </w:style>
  <w:style w:type="paragraph" w:styleId="Heading1">
    <w:name w:val="heading 1"/>
    <w:aliases w:val="Report Title,h1,Titre1"/>
    <w:basedOn w:val="Normal"/>
    <w:next w:val="Normal"/>
    <w:link w:val="Heading1Char"/>
    <w:uiPriority w:val="99"/>
    <w:qFormat/>
    <w:rsid w:val="00053BC1"/>
    <w:pPr>
      <w:keepNext/>
      <w:keepLines/>
      <w:spacing w:before="400" w:after="120"/>
      <w:outlineLvl w:val="0"/>
    </w:pPr>
    <w:rPr>
      <w:b/>
      <w:sz w:val="32"/>
      <w:szCs w:val="40"/>
    </w:rPr>
  </w:style>
  <w:style w:type="paragraph" w:styleId="Heading2">
    <w:name w:val="heading 2"/>
    <w:aliases w:val="H2,Report Sub-Title,h2,Titre 1.2.1.,Annex2 Char,Major Char,A Head Char,Main header Char,Tên thứ tự chương,dau muc,(suindext),Heading 2_MucCap1,7.1,8.4.1 Heading 2,H 2 Char Char,H 2 Char Char Char Char Char Char,Tua2,l2,HeadB,H 2,tuan2"/>
    <w:basedOn w:val="Normal"/>
    <w:next w:val="Normal"/>
    <w:link w:val="Heading2Char"/>
    <w:uiPriority w:val="99"/>
    <w:unhideWhenUsed/>
    <w:qFormat/>
    <w:rsid w:val="00053BC1"/>
    <w:pPr>
      <w:keepNext/>
      <w:keepLines/>
      <w:spacing w:before="360" w:after="120"/>
      <w:outlineLvl w:val="1"/>
    </w:pPr>
    <w:rPr>
      <w:b/>
      <w:sz w:val="28"/>
      <w:szCs w:val="32"/>
    </w:rPr>
  </w:style>
  <w:style w:type="paragraph" w:styleId="Heading3">
    <w:name w:val="heading 3"/>
    <w:aliases w:val="Ü3,Heading3bis,Report Cover Page Date,h3,RE Heading 3,Section Header3,AGDA Letter,H-3,Heading 3 Char1,Heading 3 Char Char,Heading 3 Char2,Heading 3 Char Char1,TOC3,TOC31,TOC32,TOC33,TOC34,TOC35,TOC36,TOC37,TOC38,TOC39,TOC310,TOC311,TOC312"/>
    <w:basedOn w:val="Normal"/>
    <w:next w:val="Normal"/>
    <w:link w:val="Heading3Char"/>
    <w:uiPriority w:val="99"/>
    <w:unhideWhenUsed/>
    <w:qFormat/>
    <w:rsid w:val="00053BC1"/>
    <w:pPr>
      <w:keepNext/>
      <w:keepLines/>
      <w:spacing w:before="320" w:after="80"/>
      <w:outlineLvl w:val="2"/>
    </w:pPr>
    <w:rPr>
      <w:b/>
      <w:i/>
      <w:color w:val="000000" w:themeColor="text1"/>
      <w:szCs w:val="28"/>
    </w:rPr>
  </w:style>
  <w:style w:type="paragraph" w:styleId="Heading4">
    <w:name w:val="heading 4"/>
    <w:basedOn w:val="Normal"/>
    <w:next w:val="Normal"/>
    <w:link w:val="Heading4Char"/>
    <w:uiPriority w:val="9"/>
    <w:unhideWhenUsed/>
    <w:qFormat/>
    <w:rsid w:val="00053BC1"/>
    <w:pPr>
      <w:keepNext/>
      <w:keepLines/>
      <w:spacing w:before="280" w:after="80"/>
      <w:outlineLvl w:val="3"/>
    </w:pPr>
    <w:rPr>
      <w:color w:val="000000" w:themeColor="text1"/>
      <w:szCs w:val="24"/>
      <w:u w:val="single"/>
    </w:rPr>
  </w:style>
  <w:style w:type="paragraph" w:styleId="Heading5">
    <w:name w:val="heading 5"/>
    <w:basedOn w:val="Normal"/>
    <w:next w:val="Normal"/>
    <w:link w:val="Heading5Char"/>
    <w:uiPriority w:val="99"/>
    <w:unhideWhenUsed/>
    <w:qFormat/>
    <w:pPr>
      <w:keepNext/>
      <w:keepLines/>
      <w:spacing w:before="240" w:after="80"/>
      <w:outlineLvl w:val="4"/>
    </w:pPr>
    <w:rPr>
      <w:color w:val="666666"/>
      <w:sz w:val="22"/>
    </w:rPr>
  </w:style>
  <w:style w:type="paragraph" w:styleId="Heading6">
    <w:name w:val="heading 6"/>
    <w:basedOn w:val="Normal"/>
    <w:next w:val="Normal"/>
    <w:link w:val="Heading6Char"/>
    <w:uiPriority w:val="99"/>
    <w:unhideWhenUsed/>
    <w:qFormat/>
    <w:pPr>
      <w:keepNext/>
      <w:keepLines/>
      <w:spacing w:before="240" w:after="80"/>
      <w:outlineLvl w:val="5"/>
    </w:pPr>
    <w:rPr>
      <w:i/>
      <w:color w:val="666666"/>
      <w:sz w:val="22"/>
    </w:rPr>
  </w:style>
  <w:style w:type="paragraph" w:styleId="Heading7">
    <w:name w:val="heading 7"/>
    <w:basedOn w:val="Normal"/>
    <w:next w:val="Normal"/>
    <w:link w:val="Heading7Char"/>
    <w:uiPriority w:val="99"/>
    <w:unhideWhenUsed/>
    <w:qFormat/>
    <w:rsid w:val="00C822E2"/>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0"/>
      <w:lang w:val="en-GB"/>
    </w:rPr>
  </w:style>
  <w:style w:type="paragraph" w:styleId="Heading8">
    <w:name w:val="heading 8"/>
    <w:basedOn w:val="Normal"/>
    <w:next w:val="Normal"/>
    <w:link w:val="Heading8Char"/>
    <w:uiPriority w:val="99"/>
    <w:unhideWhenUsed/>
    <w:qFormat/>
    <w:rsid w:val="00C822E2"/>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C822E2"/>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Bullets,List Paragraph1,Heading,Dot pt,F5 List Paragraph,No Spacing1,List Paragraph Char Char Char,Indicator Text,Numbered Para 1,Bullet 1,Bullet Points,List Paragraph2,MAIN CONTENT,Normal numbered,List Bullet Mary,Title Style 1,WB Para,L"/>
    <w:basedOn w:val="Normal"/>
    <w:link w:val="ListParagraphChar"/>
    <w:uiPriority w:val="34"/>
    <w:qFormat/>
    <w:rsid w:val="00053BC1"/>
    <w:pPr>
      <w:numPr>
        <w:numId w:val="5"/>
      </w:numPr>
      <w:spacing w:after="120" w:line="259" w:lineRule="auto"/>
    </w:pPr>
    <w:rPr>
      <w:rFonts w:eastAsia="Calibri"/>
      <w:sz w:val="20"/>
      <w:lang w:val="en-US"/>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Bullet 1 Char,Bullet Points Char,List Paragraph2 Char"/>
    <w:link w:val="ListParagraph"/>
    <w:uiPriority w:val="34"/>
    <w:qFormat/>
    <w:locked/>
    <w:rsid w:val="00053BC1"/>
    <w:rPr>
      <w:rFonts w:ascii="Times New Roman" w:eastAsia="Calibri" w:hAnsi="Times New Roman"/>
      <w:sz w:val="20"/>
      <w:lang w:val="en-US"/>
    </w:rPr>
  </w:style>
  <w:style w:type="table" w:styleId="TableGrid">
    <w:name w:val="Table Grid"/>
    <w:aliases w:val="tableau PC,HocTable,bang,表格样式,Muc lon"/>
    <w:basedOn w:val="TableNormal"/>
    <w:uiPriority w:val="59"/>
    <w:qFormat/>
    <w:rsid w:val="00053BC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NECG) Footnote Text,Geneva 9,Font: Geneva 9,Boston 10,f,single space,footnote text,Footnote,otnote Text,Footnote Text Char1 Char,Footnote Text Char Char Char,Footnote Text Char1 Char Char Char,Footnote Text Char Char Char Char Char,Cha"/>
    <w:basedOn w:val="Normal"/>
    <w:link w:val="FootnoteTextChar"/>
    <w:uiPriority w:val="99"/>
    <w:unhideWhenUsed/>
    <w:qFormat/>
    <w:rsid w:val="00053BC1"/>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aliases w:val="ft Char,(NECG) Footnote Text Char,Geneva 9 Char,Font: Geneva 9 Char,Boston 10 Char,f Char,single space Char,footnote text Char,Footnote Char,otnote Text Char,Footnote Text Char1 Char Char,Footnote Text Char Char Char Char,Cha Char"/>
    <w:basedOn w:val="DefaultParagraphFont"/>
    <w:link w:val="FootnoteText"/>
    <w:uiPriority w:val="99"/>
    <w:qFormat/>
    <w:rsid w:val="00053BC1"/>
    <w:rPr>
      <w:rFonts w:asciiTheme="minorHAnsi" w:eastAsiaTheme="minorHAnsi" w:hAnsiTheme="minorHAnsi" w:cstheme="minorBidi"/>
      <w:sz w:val="20"/>
      <w:szCs w:val="20"/>
      <w:lang w:val="en-US"/>
    </w:rPr>
  </w:style>
  <w:style w:type="character" w:styleId="FootnoteReference">
    <w:name w:val="footnote reference"/>
    <w:aliases w:val="ftref,16 Point,Superscript 6 Point,Superscript 6 Point + 11 pt,(NECG) Footnote Reference,Fußnotenzeichen DISS,fr,Footnote Ref in FtNote,BVI fnr,E FNZ,-E Fußnotenzeichen,Footnote#, BVI fnr, BVI fnr Car Car,BVI fnr Car,Footnote text,o"/>
    <w:basedOn w:val="DefaultParagraphFont"/>
    <w:link w:val="CharCharCharCharCarChar"/>
    <w:uiPriority w:val="99"/>
    <w:unhideWhenUsed/>
    <w:qFormat/>
    <w:rsid w:val="00053BC1"/>
    <w:rPr>
      <w:vertAlign w:val="superscript"/>
    </w:rPr>
  </w:style>
  <w:style w:type="paragraph" w:styleId="NoSpacing">
    <w:name w:val="No Spacing"/>
    <w:link w:val="NoSpacingChar"/>
    <w:uiPriority w:val="1"/>
    <w:qFormat/>
    <w:rsid w:val="00053BC1"/>
    <w:pPr>
      <w:spacing w:line="240" w:lineRule="auto"/>
    </w:pPr>
    <w:rPr>
      <w:rFonts w:asciiTheme="minorHAnsi" w:eastAsiaTheme="minorHAnsi" w:hAnsiTheme="minorHAnsi" w:cstheme="minorBidi"/>
      <w:lang w:val="en-US"/>
    </w:rPr>
  </w:style>
  <w:style w:type="paragraph" w:customStyle="1" w:styleId="ECC-7Gachkhung">
    <w:name w:val="ECC-7.Gachkhung"/>
    <w:basedOn w:val="Normal"/>
    <w:qFormat/>
    <w:rsid w:val="009859EC"/>
    <w:pPr>
      <w:widowControl w:val="0"/>
      <w:numPr>
        <w:numId w:val="10"/>
      </w:numPr>
      <w:spacing w:before="60" w:after="60" w:line="240" w:lineRule="auto"/>
      <w:jc w:val="both"/>
    </w:pPr>
    <w:rPr>
      <w:rFonts w:eastAsiaTheme="minorEastAsia" w:cs="Times New Roman"/>
      <w:bCs/>
      <w:sz w:val="22"/>
      <w:szCs w:val="24"/>
      <w:lang w:val="en-US"/>
    </w:rPr>
  </w:style>
  <w:style w:type="character" w:styleId="CommentReference">
    <w:name w:val="annotation reference"/>
    <w:basedOn w:val="DefaultParagraphFont"/>
    <w:uiPriority w:val="99"/>
    <w:unhideWhenUsed/>
    <w:rsid w:val="00DC0AC7"/>
    <w:rPr>
      <w:sz w:val="16"/>
      <w:szCs w:val="16"/>
    </w:rPr>
  </w:style>
  <w:style w:type="paragraph" w:styleId="CommentText">
    <w:name w:val="annotation text"/>
    <w:basedOn w:val="Normal"/>
    <w:link w:val="CommentTextChar"/>
    <w:uiPriority w:val="99"/>
    <w:unhideWhenUsed/>
    <w:rsid w:val="00DC0AC7"/>
    <w:pPr>
      <w:spacing w:line="240" w:lineRule="auto"/>
    </w:pPr>
    <w:rPr>
      <w:sz w:val="20"/>
      <w:szCs w:val="20"/>
    </w:rPr>
  </w:style>
  <w:style w:type="character" w:customStyle="1" w:styleId="CommentTextChar">
    <w:name w:val="Comment Text Char"/>
    <w:basedOn w:val="DefaultParagraphFont"/>
    <w:link w:val="CommentText"/>
    <w:uiPriority w:val="99"/>
    <w:rsid w:val="00DC0AC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0AC7"/>
    <w:rPr>
      <w:b/>
      <w:bCs/>
    </w:rPr>
  </w:style>
  <w:style w:type="character" w:customStyle="1" w:styleId="CommentSubjectChar">
    <w:name w:val="Comment Subject Char"/>
    <w:basedOn w:val="CommentTextChar"/>
    <w:link w:val="CommentSubject"/>
    <w:uiPriority w:val="99"/>
    <w:semiHidden/>
    <w:rsid w:val="00DC0AC7"/>
    <w:rPr>
      <w:rFonts w:ascii="Times New Roman" w:hAnsi="Times New Roman"/>
      <w:b/>
      <w:bCs/>
      <w:sz w:val="20"/>
      <w:szCs w:val="20"/>
    </w:rPr>
  </w:style>
  <w:style w:type="character" w:styleId="Emphasis">
    <w:name w:val="Emphasis"/>
    <w:basedOn w:val="DefaultParagraphFont"/>
    <w:uiPriority w:val="20"/>
    <w:qFormat/>
    <w:rsid w:val="009070C2"/>
    <w:rPr>
      <w:i/>
      <w:iCs/>
    </w:rPr>
  </w:style>
  <w:style w:type="paragraph" w:customStyle="1" w:styleId="Default">
    <w:name w:val="Default"/>
    <w:rsid w:val="00BC61F7"/>
    <w:pPr>
      <w:autoSpaceDE w:val="0"/>
      <w:autoSpaceDN w:val="0"/>
      <w:adjustRightInd w:val="0"/>
      <w:spacing w:line="240" w:lineRule="auto"/>
    </w:pPr>
    <w:rPr>
      <w:rFonts w:ascii="Myriad Pro" w:eastAsia="SimSun" w:hAnsi="Myriad Pro" w:cs="Myriad Pro"/>
      <w:color w:val="000000"/>
      <w:sz w:val="24"/>
      <w:szCs w:val="24"/>
      <w:lang w:val="en-US"/>
    </w:rPr>
  </w:style>
  <w:style w:type="character" w:customStyle="1" w:styleId="ms-rtethemefontface-1">
    <w:name w:val="ms-rtethemefontface-1"/>
    <w:basedOn w:val="DefaultParagraphFont"/>
    <w:rsid w:val="00BC61F7"/>
  </w:style>
  <w:style w:type="character" w:customStyle="1" w:styleId="ms-rtethemeforecolor-4-5">
    <w:name w:val="ms-rtethemeforecolor-4-5"/>
    <w:basedOn w:val="DefaultParagraphFont"/>
    <w:rsid w:val="00BC61F7"/>
  </w:style>
  <w:style w:type="paragraph" w:styleId="Caption">
    <w:name w:val="caption"/>
    <w:aliases w:val="Beschriftung Table,Figure,Table Caption,ECC-8.CAP-B1,ECC-8.CAP-B,Char Char Char Char1,Char Char Char Char1 Char Char1,Char Char Char Char1 Char Char Char,Caption Char Char Char,Caption Char Char Char Char Char Char Char Char,1.Caption,HINH"/>
    <w:basedOn w:val="Normal"/>
    <w:next w:val="Normal"/>
    <w:link w:val="CaptionChar"/>
    <w:uiPriority w:val="35"/>
    <w:unhideWhenUsed/>
    <w:qFormat/>
    <w:rsid w:val="00E92271"/>
    <w:pPr>
      <w:spacing w:after="60" w:line="240" w:lineRule="auto"/>
      <w:jc w:val="center"/>
    </w:pPr>
    <w:rPr>
      <w:rFonts w:asciiTheme="minorHAnsi" w:eastAsia="SimSun" w:hAnsiTheme="minorHAnsi" w:cstheme="minorBidi"/>
      <w:i/>
      <w:iCs/>
      <w:sz w:val="18"/>
      <w:szCs w:val="18"/>
      <w:lang w:val="en-GB"/>
    </w:rPr>
  </w:style>
  <w:style w:type="character" w:customStyle="1" w:styleId="CaptionChar">
    <w:name w:val="Caption Char"/>
    <w:aliases w:val="Beschriftung Table Char,Figure Char,Table Caption Char,ECC-8.CAP-B1 Char,ECC-8.CAP-B Char,Char Char Char Char1 Char,Char Char Char Char1 Char Char1 Char,Char Char Char Char1 Char Char Char Char,Caption Char Char Char Char,1.Caption Char"/>
    <w:basedOn w:val="DefaultParagraphFont"/>
    <w:link w:val="Caption"/>
    <w:uiPriority w:val="35"/>
    <w:rsid w:val="00E92271"/>
    <w:rPr>
      <w:rFonts w:asciiTheme="minorHAnsi" w:eastAsia="SimSun" w:hAnsiTheme="minorHAnsi" w:cstheme="minorBidi"/>
      <w:i/>
      <w:iCs/>
      <w:sz w:val="18"/>
      <w:szCs w:val="18"/>
      <w:lang w:val="en-GB"/>
    </w:rPr>
  </w:style>
  <w:style w:type="character" w:customStyle="1" w:styleId="Heading7Char">
    <w:name w:val="Heading 7 Char"/>
    <w:basedOn w:val="DefaultParagraphFont"/>
    <w:link w:val="Heading7"/>
    <w:uiPriority w:val="99"/>
    <w:rsid w:val="00C822E2"/>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9"/>
    <w:rsid w:val="00C822E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C822E2"/>
    <w:rPr>
      <w:rFonts w:asciiTheme="majorHAnsi" w:eastAsiaTheme="majorEastAsia" w:hAnsiTheme="majorHAnsi" w:cstheme="majorBidi"/>
      <w:i/>
      <w:iCs/>
      <w:color w:val="404040" w:themeColor="text1" w:themeTint="BF"/>
      <w:sz w:val="20"/>
      <w:szCs w:val="20"/>
      <w:lang w:val="en-GB"/>
    </w:rPr>
  </w:style>
  <w:style w:type="character" w:customStyle="1" w:styleId="Heading1Char">
    <w:name w:val="Heading 1 Char"/>
    <w:aliases w:val="Report Title Char,h1 Char,Titre1 Char"/>
    <w:basedOn w:val="DefaultParagraphFont"/>
    <w:link w:val="Heading1"/>
    <w:uiPriority w:val="99"/>
    <w:rsid w:val="00C822E2"/>
    <w:rPr>
      <w:rFonts w:ascii="Times New Roman" w:hAnsi="Times New Roman"/>
      <w:b/>
      <w:sz w:val="32"/>
      <w:szCs w:val="40"/>
    </w:rPr>
  </w:style>
  <w:style w:type="character" w:customStyle="1" w:styleId="Heading2Char">
    <w:name w:val="Heading 2 Char"/>
    <w:aliases w:val="H2 Char,Report Sub-Title Char,h2 Char,Titre 1.2.1. Char,Annex2 Char Char,Major Char Char,A Head Char Char,Main header Char Char,Tên thứ tự chương Char,dau muc Char,(suindext) Char,Heading 2_MucCap1 Char,7.1 Char,8.4.1 Heading 2 Char"/>
    <w:basedOn w:val="DefaultParagraphFont"/>
    <w:link w:val="Heading2"/>
    <w:uiPriority w:val="99"/>
    <w:rsid w:val="00C822E2"/>
    <w:rPr>
      <w:rFonts w:ascii="Times New Roman" w:hAnsi="Times New Roman"/>
      <w:b/>
      <w:sz w:val="28"/>
      <w:szCs w:val="32"/>
    </w:rPr>
  </w:style>
  <w:style w:type="character" w:customStyle="1" w:styleId="Heading3Char">
    <w:name w:val="Heading 3 Char"/>
    <w:aliases w:val="Ü3 Char,Heading3bis Char,Report Cover Page Date Char,h3 Char,RE Heading 3 Char,Section Header3 Char,AGDA Letter Char,H-3 Char,Heading 3 Char1 Char,Heading 3 Char Char Char,Heading 3 Char2 Char,Heading 3 Char Char1 Char,TOC3 Char"/>
    <w:basedOn w:val="DefaultParagraphFont"/>
    <w:link w:val="Heading3"/>
    <w:uiPriority w:val="99"/>
    <w:rsid w:val="00C822E2"/>
    <w:rPr>
      <w:rFonts w:ascii="Times New Roman" w:hAnsi="Times New Roman"/>
      <w:b/>
      <w:i/>
      <w:color w:val="000000" w:themeColor="text1"/>
      <w:sz w:val="24"/>
      <w:szCs w:val="28"/>
    </w:rPr>
  </w:style>
  <w:style w:type="character" w:customStyle="1" w:styleId="Heading4Char">
    <w:name w:val="Heading 4 Char"/>
    <w:basedOn w:val="DefaultParagraphFont"/>
    <w:link w:val="Heading4"/>
    <w:uiPriority w:val="9"/>
    <w:rsid w:val="00C822E2"/>
    <w:rPr>
      <w:rFonts w:ascii="Times New Roman" w:hAnsi="Times New Roman"/>
      <w:color w:val="000000" w:themeColor="text1"/>
      <w:sz w:val="24"/>
      <w:szCs w:val="24"/>
      <w:u w:val="single"/>
    </w:rPr>
  </w:style>
  <w:style w:type="character" w:customStyle="1" w:styleId="Heading5Char">
    <w:name w:val="Heading 5 Char"/>
    <w:basedOn w:val="DefaultParagraphFont"/>
    <w:link w:val="Heading5"/>
    <w:uiPriority w:val="99"/>
    <w:rsid w:val="00C822E2"/>
    <w:rPr>
      <w:rFonts w:ascii="Times New Roman" w:hAnsi="Times New Roman"/>
      <w:color w:val="666666"/>
    </w:rPr>
  </w:style>
  <w:style w:type="character" w:customStyle="1" w:styleId="Heading6Char">
    <w:name w:val="Heading 6 Char"/>
    <w:basedOn w:val="DefaultParagraphFont"/>
    <w:link w:val="Heading6"/>
    <w:uiPriority w:val="99"/>
    <w:rsid w:val="00C822E2"/>
    <w:rPr>
      <w:rFonts w:ascii="Times New Roman" w:hAnsi="Times New Roman"/>
      <w:i/>
      <w:color w:val="666666"/>
    </w:rPr>
  </w:style>
  <w:style w:type="character" w:customStyle="1" w:styleId="TitleChar">
    <w:name w:val="Title Char"/>
    <w:basedOn w:val="DefaultParagraphFont"/>
    <w:link w:val="Title"/>
    <w:uiPriority w:val="10"/>
    <w:rsid w:val="00C822E2"/>
    <w:rPr>
      <w:rFonts w:ascii="Times New Roman" w:hAnsi="Times New Roman"/>
      <w:sz w:val="52"/>
      <w:szCs w:val="52"/>
    </w:rPr>
  </w:style>
  <w:style w:type="paragraph" w:styleId="TOCHeading">
    <w:name w:val="TOC Heading"/>
    <w:basedOn w:val="Heading1"/>
    <w:next w:val="Normal"/>
    <w:uiPriority w:val="39"/>
    <w:unhideWhenUsed/>
    <w:qFormat/>
    <w:rsid w:val="00C822E2"/>
    <w:pPr>
      <w:spacing w:before="480" w:after="0"/>
      <w:jc w:val="both"/>
      <w:outlineLvl w:val="9"/>
    </w:pPr>
    <w:rPr>
      <w:rFonts w:asciiTheme="majorHAnsi" w:eastAsiaTheme="majorEastAsia" w:hAnsiTheme="majorHAnsi" w:cstheme="majorBidi"/>
      <w:bCs/>
      <w:color w:val="365F91" w:themeColor="accent1" w:themeShade="BF"/>
      <w:sz w:val="28"/>
      <w:szCs w:val="28"/>
      <w:lang w:val="en-GB" w:eastAsia="ja-JP"/>
    </w:rPr>
  </w:style>
  <w:style w:type="paragraph" w:styleId="TOC1">
    <w:name w:val="toc 1"/>
    <w:basedOn w:val="Normal"/>
    <w:next w:val="Normal"/>
    <w:autoRedefine/>
    <w:uiPriority w:val="39"/>
    <w:unhideWhenUsed/>
    <w:rsid w:val="00C822E2"/>
    <w:pPr>
      <w:tabs>
        <w:tab w:val="right" w:leader="dot" w:pos="9017"/>
      </w:tabs>
      <w:spacing w:before="120" w:after="100" w:line="240" w:lineRule="auto"/>
    </w:pPr>
    <w:rPr>
      <w:rFonts w:asciiTheme="minorHAnsi" w:eastAsia="SimSun" w:hAnsiTheme="minorHAnsi" w:cstheme="minorBidi"/>
      <w:sz w:val="20"/>
      <w:lang w:val="en-GB"/>
    </w:rPr>
  </w:style>
  <w:style w:type="paragraph" w:styleId="TOC2">
    <w:name w:val="toc 2"/>
    <w:basedOn w:val="Normal"/>
    <w:next w:val="Normal"/>
    <w:autoRedefine/>
    <w:uiPriority w:val="39"/>
    <w:unhideWhenUsed/>
    <w:rsid w:val="00C822E2"/>
    <w:pPr>
      <w:spacing w:before="120" w:after="100" w:line="240" w:lineRule="auto"/>
      <w:ind w:left="220"/>
      <w:jc w:val="both"/>
    </w:pPr>
    <w:rPr>
      <w:rFonts w:asciiTheme="minorHAnsi" w:eastAsia="SimSun" w:hAnsiTheme="minorHAnsi" w:cstheme="minorBidi"/>
      <w:sz w:val="20"/>
      <w:lang w:val="en-GB"/>
    </w:rPr>
  </w:style>
  <w:style w:type="paragraph" w:styleId="TOC3">
    <w:name w:val="toc 3"/>
    <w:basedOn w:val="Normal"/>
    <w:next w:val="Normal"/>
    <w:autoRedefine/>
    <w:uiPriority w:val="39"/>
    <w:unhideWhenUsed/>
    <w:rsid w:val="00C822E2"/>
    <w:pPr>
      <w:spacing w:before="120" w:after="100" w:line="240" w:lineRule="auto"/>
      <w:ind w:left="440"/>
      <w:jc w:val="both"/>
    </w:pPr>
    <w:rPr>
      <w:rFonts w:asciiTheme="minorHAnsi" w:eastAsia="SimSun" w:hAnsiTheme="minorHAnsi" w:cstheme="minorBidi"/>
      <w:sz w:val="20"/>
      <w:lang w:val="en-GB"/>
    </w:rPr>
  </w:style>
  <w:style w:type="character" w:styleId="Hyperlink">
    <w:name w:val="Hyperlink"/>
    <w:basedOn w:val="DefaultParagraphFont"/>
    <w:uiPriority w:val="99"/>
    <w:unhideWhenUsed/>
    <w:rsid w:val="00C822E2"/>
    <w:rPr>
      <w:color w:val="0000FF" w:themeColor="hyperlink"/>
      <w:u w:val="single"/>
    </w:rPr>
  </w:style>
  <w:style w:type="paragraph" w:styleId="BalloonText">
    <w:name w:val="Balloon Text"/>
    <w:basedOn w:val="Normal"/>
    <w:link w:val="BalloonTextChar"/>
    <w:uiPriority w:val="99"/>
    <w:semiHidden/>
    <w:unhideWhenUsed/>
    <w:rsid w:val="00C822E2"/>
    <w:pPr>
      <w:spacing w:line="240" w:lineRule="auto"/>
      <w:jc w:val="both"/>
    </w:pPr>
    <w:rPr>
      <w:rFonts w:ascii="Tahoma" w:eastAsia="SimSun" w:hAnsi="Tahoma" w:cs="Tahoma"/>
      <w:sz w:val="16"/>
      <w:szCs w:val="16"/>
      <w:lang w:val="en-GB"/>
    </w:rPr>
  </w:style>
  <w:style w:type="character" w:customStyle="1" w:styleId="BalloonTextChar">
    <w:name w:val="Balloon Text Char"/>
    <w:basedOn w:val="DefaultParagraphFont"/>
    <w:link w:val="BalloonText"/>
    <w:uiPriority w:val="99"/>
    <w:semiHidden/>
    <w:rsid w:val="00C822E2"/>
    <w:rPr>
      <w:rFonts w:ascii="Tahoma" w:eastAsia="SimSun" w:hAnsi="Tahoma" w:cs="Tahoma"/>
      <w:sz w:val="16"/>
      <w:szCs w:val="16"/>
      <w:lang w:val="en-GB"/>
    </w:rPr>
  </w:style>
  <w:style w:type="paragraph" w:styleId="Header">
    <w:name w:val="header"/>
    <w:basedOn w:val="Normal"/>
    <w:link w:val="Head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lang w:val="en-GB"/>
    </w:rPr>
  </w:style>
  <w:style w:type="character" w:customStyle="1" w:styleId="HeaderChar">
    <w:name w:val="Header Char"/>
    <w:basedOn w:val="DefaultParagraphFont"/>
    <w:link w:val="Header"/>
    <w:uiPriority w:val="99"/>
    <w:rsid w:val="00C822E2"/>
    <w:rPr>
      <w:rFonts w:asciiTheme="minorHAnsi" w:eastAsia="SimSun" w:hAnsiTheme="minorHAnsi" w:cstheme="minorBidi"/>
      <w:sz w:val="20"/>
      <w:lang w:val="en-GB"/>
    </w:rPr>
  </w:style>
  <w:style w:type="paragraph" w:styleId="Footer">
    <w:name w:val="footer"/>
    <w:basedOn w:val="Normal"/>
    <w:link w:val="FooterChar"/>
    <w:uiPriority w:val="99"/>
    <w:unhideWhenUsed/>
    <w:rsid w:val="00C822E2"/>
    <w:pPr>
      <w:tabs>
        <w:tab w:val="center" w:pos="4703"/>
        <w:tab w:val="right" w:pos="9406"/>
      </w:tabs>
      <w:spacing w:line="240" w:lineRule="auto"/>
      <w:jc w:val="both"/>
    </w:pPr>
    <w:rPr>
      <w:rFonts w:asciiTheme="minorHAnsi" w:eastAsia="SimSun" w:hAnsiTheme="minorHAnsi" w:cstheme="minorBidi"/>
      <w:sz w:val="20"/>
      <w:lang w:val="en-GB"/>
    </w:rPr>
  </w:style>
  <w:style w:type="character" w:customStyle="1" w:styleId="FooterChar">
    <w:name w:val="Footer Char"/>
    <w:basedOn w:val="DefaultParagraphFont"/>
    <w:link w:val="Footer"/>
    <w:uiPriority w:val="99"/>
    <w:rsid w:val="00C822E2"/>
    <w:rPr>
      <w:rFonts w:asciiTheme="minorHAnsi" w:eastAsia="SimSun" w:hAnsiTheme="minorHAnsi" w:cstheme="minorBidi"/>
      <w:sz w:val="20"/>
      <w:lang w:val="en-GB"/>
    </w:rPr>
  </w:style>
  <w:style w:type="character" w:customStyle="1" w:styleId="NoSpacingChar">
    <w:name w:val="No Spacing Char"/>
    <w:basedOn w:val="DefaultParagraphFont"/>
    <w:link w:val="NoSpacing"/>
    <w:uiPriority w:val="1"/>
    <w:rsid w:val="00C822E2"/>
    <w:rPr>
      <w:rFonts w:asciiTheme="minorHAnsi" w:eastAsiaTheme="minorHAnsi" w:hAnsiTheme="minorHAnsi" w:cstheme="minorBidi"/>
      <w:lang w:val="en-US"/>
    </w:rPr>
  </w:style>
  <w:style w:type="paragraph" w:customStyle="1" w:styleId="BodyText1">
    <w:name w:val="Body Text1"/>
    <w:basedOn w:val="Normal"/>
    <w:link w:val="BodyText1Char"/>
    <w:autoRedefine/>
    <w:qFormat/>
    <w:rsid w:val="00C822E2"/>
    <w:pPr>
      <w:spacing w:line="240" w:lineRule="auto"/>
      <w:ind w:left="357"/>
      <w:jc w:val="both"/>
    </w:pPr>
    <w:rPr>
      <w:rFonts w:asciiTheme="minorHAnsi" w:eastAsiaTheme="minorEastAsia" w:hAnsiTheme="minorHAnsi"/>
      <w:sz w:val="20"/>
      <w:lang w:val="en-GB"/>
    </w:rPr>
  </w:style>
  <w:style w:type="character" w:customStyle="1" w:styleId="BodyText1Char">
    <w:name w:val="Body Text1 Char"/>
    <w:basedOn w:val="DefaultParagraphFont"/>
    <w:link w:val="BodyText1"/>
    <w:rsid w:val="00C822E2"/>
    <w:rPr>
      <w:rFonts w:asciiTheme="minorHAnsi" w:eastAsiaTheme="minorEastAsia" w:hAnsiTheme="minorHAnsi"/>
      <w:sz w:val="20"/>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C822E2"/>
    <w:pPr>
      <w:spacing w:after="40" w:line="240" w:lineRule="auto"/>
      <w:jc w:val="both"/>
    </w:pPr>
    <w:rPr>
      <w:rFonts w:ascii="Arial" w:hAnsi="Arial"/>
      <w:sz w:val="22"/>
      <w:vertAlign w:val="superscript"/>
    </w:rPr>
  </w:style>
  <w:style w:type="paragraph" w:styleId="Revision">
    <w:name w:val="Revision"/>
    <w:hidden/>
    <w:uiPriority w:val="99"/>
    <w:semiHidden/>
    <w:rsid w:val="00C822E2"/>
    <w:pPr>
      <w:spacing w:line="240" w:lineRule="auto"/>
    </w:pPr>
    <w:rPr>
      <w:rFonts w:asciiTheme="minorHAnsi" w:eastAsia="SimSun" w:hAnsiTheme="minorHAnsi" w:cstheme="minorBidi"/>
      <w:sz w:val="20"/>
      <w:lang w:val="en-GB"/>
    </w:rPr>
  </w:style>
  <w:style w:type="paragraph" w:styleId="NormalWeb">
    <w:name w:val="Normal (Web)"/>
    <w:basedOn w:val="Normal"/>
    <w:uiPriority w:val="99"/>
    <w:semiHidden/>
    <w:unhideWhenUsed/>
    <w:rsid w:val="00C822E2"/>
    <w:pPr>
      <w:spacing w:before="100" w:beforeAutospacing="1" w:after="100" w:afterAutospacing="1" w:line="240" w:lineRule="auto"/>
    </w:pPr>
    <w:rPr>
      <w:rFonts w:eastAsia="Times New Roman" w:cs="Times New Roman"/>
      <w:szCs w:val="24"/>
      <w:lang w:val="en-US"/>
    </w:rPr>
  </w:style>
  <w:style w:type="character" w:customStyle="1" w:styleId="A7">
    <w:name w:val="A7"/>
    <w:uiPriority w:val="99"/>
    <w:rsid w:val="00C822E2"/>
    <w:rPr>
      <w:color w:val="221E1F"/>
      <w:sz w:val="13"/>
      <w:szCs w:val="13"/>
    </w:rPr>
  </w:style>
  <w:style w:type="character" w:customStyle="1" w:styleId="UnresolvedMention1">
    <w:name w:val="Unresolved Mention1"/>
    <w:basedOn w:val="DefaultParagraphFont"/>
    <w:uiPriority w:val="99"/>
    <w:semiHidden/>
    <w:unhideWhenUsed/>
    <w:rsid w:val="00C822E2"/>
    <w:rPr>
      <w:color w:val="808080"/>
      <w:shd w:val="clear" w:color="auto" w:fill="E6E6E6"/>
    </w:rPr>
  </w:style>
  <w:style w:type="paragraph" w:styleId="TableofFigures">
    <w:name w:val="table of figures"/>
    <w:basedOn w:val="Normal"/>
    <w:next w:val="Normal"/>
    <w:uiPriority w:val="99"/>
    <w:unhideWhenUsed/>
    <w:rsid w:val="00C822E2"/>
    <w:pPr>
      <w:spacing w:before="120" w:line="240" w:lineRule="auto"/>
      <w:jc w:val="both"/>
    </w:pPr>
    <w:rPr>
      <w:rFonts w:asciiTheme="minorHAnsi" w:eastAsia="SimSun" w:hAnsiTheme="minorHAnsi" w:cstheme="minorBidi"/>
      <w:sz w:val="20"/>
      <w:lang w:val="en-GB"/>
    </w:rPr>
  </w:style>
  <w:style w:type="character" w:customStyle="1" w:styleId="UnresolvedMention2">
    <w:name w:val="Unresolved Mention2"/>
    <w:basedOn w:val="DefaultParagraphFont"/>
    <w:uiPriority w:val="99"/>
    <w:semiHidden/>
    <w:unhideWhenUsed/>
    <w:rsid w:val="00C822E2"/>
    <w:rPr>
      <w:color w:val="808080"/>
      <w:shd w:val="clear" w:color="auto" w:fill="E6E6E6"/>
    </w:rPr>
  </w:style>
  <w:style w:type="character" w:styleId="FollowedHyperlink">
    <w:name w:val="FollowedHyperlink"/>
    <w:basedOn w:val="DefaultParagraphFont"/>
    <w:uiPriority w:val="99"/>
    <w:semiHidden/>
    <w:unhideWhenUsed/>
    <w:rsid w:val="00C822E2"/>
    <w:rPr>
      <w:color w:val="800080" w:themeColor="followedHyperlink"/>
      <w:u w:val="single"/>
    </w:rPr>
  </w:style>
  <w:style w:type="character" w:customStyle="1" w:styleId="UnresolvedMention3">
    <w:name w:val="Unresolved Mention3"/>
    <w:basedOn w:val="DefaultParagraphFont"/>
    <w:uiPriority w:val="99"/>
    <w:semiHidden/>
    <w:unhideWhenUsed/>
    <w:rsid w:val="00C822E2"/>
    <w:rPr>
      <w:color w:val="808080"/>
      <w:shd w:val="clear" w:color="auto" w:fill="E6E6E6"/>
    </w:rPr>
  </w:style>
  <w:style w:type="paragraph" w:customStyle="1" w:styleId="caption1">
    <w:name w:val="caption 1"/>
    <w:basedOn w:val="Normal"/>
    <w:qFormat/>
    <w:rsid w:val="00C822E2"/>
    <w:pPr>
      <w:spacing w:after="120" w:line="240" w:lineRule="auto"/>
      <w:ind w:left="274"/>
      <w:jc w:val="both"/>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C822E2"/>
    <w:pPr>
      <w:numPr>
        <w:numId w:val="6"/>
      </w:numPr>
      <w:tabs>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C822E2"/>
    <w:pPr>
      <w:numPr>
        <w:numId w:val="9"/>
      </w:numPr>
      <w:tabs>
        <w:tab w:val="num" w:pos="360"/>
      </w:tabs>
      <w:spacing w:line="240" w:lineRule="auto"/>
      <w:ind w:left="0" w:firstLine="0"/>
      <w:contextualSpacing/>
    </w:pPr>
    <w:rPr>
      <w:rFonts w:asciiTheme="majorHAnsi" w:eastAsiaTheme="minorEastAsia" w:hAnsiTheme="majorHAnsi" w:cstheme="minorBidi"/>
      <w:sz w:val="20"/>
      <w:szCs w:val="24"/>
      <w:lang w:val="en-US" w:eastAsia="ja-JP"/>
    </w:rPr>
  </w:style>
  <w:style w:type="paragraph" w:customStyle="1" w:styleId="Heading1a">
    <w:name w:val="Heading 1a"/>
    <w:basedOn w:val="Normal"/>
    <w:next w:val="Normal"/>
    <w:qFormat/>
    <w:rsid w:val="00C822E2"/>
    <w:pPr>
      <w:suppressAutoHyphens/>
      <w:spacing w:line="288" w:lineRule="auto"/>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C822E2"/>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C822E2"/>
    <w:pPr>
      <w:spacing w:line="240" w:lineRule="auto"/>
    </w:pPr>
    <w:rPr>
      <w:rFonts w:ascii="Gill Sans" w:eastAsia="Times New Roman" w:hAnsi="Gill Sans" w:cs="Times New Roman"/>
      <w:sz w:val="16"/>
      <w:szCs w:val="24"/>
      <w:lang w:eastAsia="ja-JP"/>
    </w:rPr>
  </w:style>
  <w:style w:type="character" w:customStyle="1" w:styleId="EndnoteTextChar1">
    <w:name w:val="Endnote Text Char1"/>
    <w:basedOn w:val="DefaultParagraphFont"/>
    <w:uiPriority w:val="99"/>
    <w:semiHidden/>
    <w:rsid w:val="00C822E2"/>
    <w:rPr>
      <w:rFonts w:ascii="Times New Roman" w:hAnsi="Times New Roman"/>
      <w:sz w:val="20"/>
      <w:szCs w:val="20"/>
    </w:rPr>
  </w:style>
  <w:style w:type="paragraph" w:customStyle="1" w:styleId="outlineSEQSs">
    <w:name w:val="outline SEQSs"/>
    <w:autoRedefine/>
    <w:qFormat/>
    <w:rsid w:val="00C822E2"/>
    <w:pPr>
      <w:numPr>
        <w:numId w:val="7"/>
      </w:numPr>
      <w:tabs>
        <w:tab w:val="num" w:pos="360"/>
        <w:tab w:val="left" w:pos="2880"/>
      </w:tabs>
      <w:spacing w:before="60" w:after="60" w:line="360" w:lineRule="auto"/>
      <w:ind w:left="0" w:firstLine="0"/>
    </w:pPr>
    <w:rPr>
      <w:rFonts w:ascii="Calibri" w:eastAsia="MS Mincho" w:hAnsi="Calibri" w:cs="Times New Roman"/>
      <w:b/>
      <w:sz w:val="24"/>
      <w:szCs w:val="24"/>
      <w:lang w:val="en-US" w:eastAsia="ja-JP"/>
    </w:rPr>
  </w:style>
  <w:style w:type="paragraph" w:customStyle="1" w:styleId="SEQSbodynumbered">
    <w:name w:val="SEQS body numbered"/>
    <w:basedOn w:val="Normal"/>
    <w:autoRedefine/>
    <w:qFormat/>
    <w:rsid w:val="00C822E2"/>
    <w:pPr>
      <w:tabs>
        <w:tab w:val="left" w:pos="360"/>
      </w:tabs>
      <w:spacing w:before="120" w:after="120" w:line="300" w:lineRule="auto"/>
    </w:pPr>
    <w:rPr>
      <w:rFonts w:ascii="Calibri" w:eastAsia="MS Mincho" w:hAnsi="Calibri" w:cs="Times New Roman"/>
      <w:bCs/>
      <w:sz w:val="20"/>
      <w:szCs w:val="24"/>
      <w:lang w:val="en-US" w:eastAsia="ja-JP"/>
    </w:rPr>
  </w:style>
  <w:style w:type="paragraph" w:customStyle="1" w:styleId="listlettered">
    <w:name w:val="list lettered"/>
    <w:basedOn w:val="listbulletsSESP"/>
    <w:qFormat/>
    <w:rsid w:val="00C822E2"/>
    <w:pPr>
      <w:numPr>
        <w:numId w:val="8"/>
      </w:numPr>
      <w:tabs>
        <w:tab w:val="num" w:pos="360"/>
      </w:tabs>
      <w:spacing w:before="60" w:after="60" w:line="300" w:lineRule="auto"/>
      <w:ind w:left="972" w:hanging="270"/>
    </w:pPr>
    <w:rPr>
      <w:rFonts w:ascii="Calibri" w:hAnsi="Calibri"/>
      <w:szCs w:val="20"/>
    </w:rPr>
  </w:style>
  <w:style w:type="paragraph" w:customStyle="1" w:styleId="SESPbody">
    <w:name w:val="SESP body"/>
    <w:basedOn w:val="SEQSbodynumbered"/>
    <w:qFormat/>
    <w:rsid w:val="00C822E2"/>
    <w:pPr>
      <w:spacing w:line="264" w:lineRule="auto"/>
    </w:pPr>
    <w:rPr>
      <w:bCs w:val="0"/>
      <w:szCs w:val="20"/>
    </w:rPr>
  </w:style>
  <w:style w:type="paragraph" w:styleId="TOC4">
    <w:name w:val="toc 4"/>
    <w:basedOn w:val="Normal"/>
    <w:next w:val="Normal"/>
    <w:autoRedefine/>
    <w:uiPriority w:val="39"/>
    <w:unhideWhenUsed/>
    <w:rsid w:val="00C822E2"/>
    <w:pPr>
      <w:spacing w:line="240" w:lineRule="auto"/>
      <w:ind w:left="600"/>
    </w:pPr>
    <w:rPr>
      <w:rFonts w:asciiTheme="majorHAnsi" w:eastAsiaTheme="minorEastAsia" w:hAnsiTheme="majorHAnsi" w:cstheme="minorBidi"/>
      <w:sz w:val="20"/>
      <w:szCs w:val="24"/>
      <w:lang w:val="en-US" w:eastAsia="ja-JP"/>
    </w:rPr>
  </w:style>
  <w:style w:type="paragraph" w:styleId="TOC5">
    <w:name w:val="toc 5"/>
    <w:basedOn w:val="Normal"/>
    <w:next w:val="Normal"/>
    <w:autoRedefine/>
    <w:uiPriority w:val="39"/>
    <w:unhideWhenUsed/>
    <w:rsid w:val="00C822E2"/>
    <w:pPr>
      <w:spacing w:line="240" w:lineRule="auto"/>
      <w:ind w:left="800"/>
    </w:pPr>
    <w:rPr>
      <w:rFonts w:asciiTheme="majorHAnsi" w:eastAsiaTheme="minorEastAsia" w:hAnsiTheme="majorHAnsi" w:cstheme="minorBidi"/>
      <w:sz w:val="20"/>
      <w:szCs w:val="24"/>
      <w:lang w:val="en-US" w:eastAsia="ja-JP"/>
    </w:rPr>
  </w:style>
  <w:style w:type="paragraph" w:styleId="TOC6">
    <w:name w:val="toc 6"/>
    <w:basedOn w:val="Normal"/>
    <w:next w:val="Normal"/>
    <w:autoRedefine/>
    <w:uiPriority w:val="39"/>
    <w:unhideWhenUsed/>
    <w:rsid w:val="00C822E2"/>
    <w:pPr>
      <w:spacing w:line="240" w:lineRule="auto"/>
      <w:ind w:left="1000"/>
    </w:pPr>
    <w:rPr>
      <w:rFonts w:asciiTheme="majorHAnsi" w:eastAsiaTheme="minorEastAsia" w:hAnsiTheme="majorHAnsi" w:cstheme="minorBidi"/>
      <w:sz w:val="20"/>
      <w:szCs w:val="24"/>
      <w:lang w:val="en-US" w:eastAsia="ja-JP"/>
    </w:rPr>
  </w:style>
  <w:style w:type="paragraph" w:styleId="TOC7">
    <w:name w:val="toc 7"/>
    <w:basedOn w:val="Normal"/>
    <w:next w:val="Normal"/>
    <w:autoRedefine/>
    <w:uiPriority w:val="39"/>
    <w:unhideWhenUsed/>
    <w:rsid w:val="00C822E2"/>
    <w:pPr>
      <w:spacing w:line="240" w:lineRule="auto"/>
      <w:ind w:left="1200"/>
    </w:pPr>
    <w:rPr>
      <w:rFonts w:asciiTheme="majorHAnsi" w:eastAsiaTheme="minorEastAsia" w:hAnsiTheme="majorHAnsi" w:cstheme="minorBidi"/>
      <w:sz w:val="20"/>
      <w:szCs w:val="24"/>
      <w:lang w:val="en-US" w:eastAsia="ja-JP"/>
    </w:rPr>
  </w:style>
  <w:style w:type="paragraph" w:styleId="TOC8">
    <w:name w:val="toc 8"/>
    <w:basedOn w:val="Normal"/>
    <w:next w:val="Normal"/>
    <w:autoRedefine/>
    <w:uiPriority w:val="39"/>
    <w:unhideWhenUsed/>
    <w:rsid w:val="00C822E2"/>
    <w:pPr>
      <w:spacing w:line="240" w:lineRule="auto"/>
      <w:ind w:left="1400"/>
    </w:pPr>
    <w:rPr>
      <w:rFonts w:asciiTheme="majorHAnsi" w:eastAsiaTheme="minorEastAsia" w:hAnsiTheme="majorHAnsi" w:cstheme="minorBidi"/>
      <w:sz w:val="20"/>
      <w:szCs w:val="24"/>
      <w:lang w:val="en-US" w:eastAsia="ja-JP"/>
    </w:rPr>
  </w:style>
  <w:style w:type="paragraph" w:styleId="TOC9">
    <w:name w:val="toc 9"/>
    <w:basedOn w:val="Normal"/>
    <w:next w:val="Normal"/>
    <w:autoRedefine/>
    <w:uiPriority w:val="39"/>
    <w:unhideWhenUsed/>
    <w:rsid w:val="00C822E2"/>
    <w:pPr>
      <w:spacing w:line="240" w:lineRule="auto"/>
      <w:ind w:left="1600"/>
    </w:pPr>
    <w:rPr>
      <w:rFonts w:asciiTheme="majorHAnsi" w:eastAsiaTheme="minorEastAsia" w:hAnsiTheme="majorHAnsi" w:cstheme="minorBidi"/>
      <w:sz w:val="20"/>
      <w:szCs w:val="24"/>
      <w:lang w:val="en-US" w:eastAsia="ja-JP"/>
    </w:rPr>
  </w:style>
  <w:style w:type="paragraph" w:customStyle="1" w:styleId="SESPbodynumbered">
    <w:name w:val="SESP body numbered"/>
    <w:basedOn w:val="SESPbody"/>
    <w:qFormat/>
    <w:rsid w:val="00C822E2"/>
    <w:pPr>
      <w:tabs>
        <w:tab w:val="num" w:pos="720"/>
      </w:tabs>
      <w:ind w:left="720" w:hanging="720"/>
    </w:pPr>
  </w:style>
  <w:style w:type="paragraph" w:customStyle="1" w:styleId="listbullets1">
    <w:name w:val="list bullets 1"/>
    <w:basedOn w:val="Normal"/>
    <w:autoRedefine/>
    <w:qFormat/>
    <w:rsid w:val="00C822E2"/>
    <w:pPr>
      <w:tabs>
        <w:tab w:val="num" w:pos="720"/>
      </w:tabs>
      <w:spacing w:before="60" w:after="60" w:line="300" w:lineRule="auto"/>
      <w:ind w:left="720" w:hanging="720"/>
    </w:pPr>
    <w:rPr>
      <w:rFonts w:ascii="Calibri" w:eastAsia="ヒラギノ角ゴ Pro W3" w:hAnsi="Calibri" w:cs="Times New Roman"/>
      <w:color w:val="000000"/>
      <w:sz w:val="20"/>
      <w:szCs w:val="20"/>
      <w:lang w:val="en-US" w:eastAsia="ja-JP"/>
    </w:rPr>
  </w:style>
  <w:style w:type="paragraph" w:customStyle="1" w:styleId="TableParagraph">
    <w:name w:val="Table Paragraph"/>
    <w:basedOn w:val="Normal"/>
    <w:uiPriority w:val="1"/>
    <w:qFormat/>
    <w:rsid w:val="00C822E2"/>
    <w:pPr>
      <w:widowControl w:val="0"/>
      <w:spacing w:line="240" w:lineRule="auto"/>
    </w:pPr>
    <w:rPr>
      <w:rFonts w:asciiTheme="minorHAnsi" w:eastAsia="SimSun" w:hAnsiTheme="minorHAnsi" w:cstheme="minorBidi"/>
      <w:sz w:val="22"/>
      <w:lang w:val="en-US"/>
    </w:rPr>
  </w:style>
  <w:style w:type="character" w:customStyle="1" w:styleId="A2">
    <w:name w:val="A2"/>
    <w:uiPriority w:val="99"/>
    <w:rsid w:val="00C822E2"/>
    <w:rPr>
      <w:rFonts w:cs="Myriad Pro"/>
      <w:i/>
      <w:iCs/>
      <w:color w:val="221E1F"/>
      <w:sz w:val="18"/>
      <w:szCs w:val="18"/>
    </w:rPr>
  </w:style>
  <w:style w:type="character" w:customStyle="1" w:styleId="A12">
    <w:name w:val="A12"/>
    <w:uiPriority w:val="99"/>
    <w:rsid w:val="00C822E2"/>
    <w:rPr>
      <w:rFonts w:ascii="DRMXJP+ZapfDingbatsITC" w:eastAsia="DRMXJP+ZapfDingbatsITC" w:cs="DRMXJP+ZapfDingbatsITC"/>
      <w:color w:val="6A5C67"/>
      <w:sz w:val="12"/>
      <w:szCs w:val="12"/>
    </w:rPr>
  </w:style>
  <w:style w:type="character" w:customStyle="1" w:styleId="A16">
    <w:name w:val="A16"/>
    <w:uiPriority w:val="99"/>
    <w:rsid w:val="00C822E2"/>
    <w:rPr>
      <w:rFonts w:cs="Myriad Pro"/>
      <w:i/>
      <w:iCs/>
      <w:color w:val="221E1F"/>
      <w:sz w:val="10"/>
      <w:szCs w:val="10"/>
    </w:rPr>
  </w:style>
  <w:style w:type="table" w:styleId="MediumList2-Accent4">
    <w:name w:val="Medium List 2 Accent 4"/>
    <w:basedOn w:val="TableNormal"/>
    <w:uiPriority w:val="66"/>
    <w:rsid w:val="00C822E2"/>
    <w:pPr>
      <w:spacing w:line="240" w:lineRule="auto"/>
    </w:pPr>
    <w:rPr>
      <w:rFonts w:asciiTheme="majorHAnsi" w:eastAsiaTheme="majorEastAsia" w:hAnsiTheme="majorHAnsi" w:cstheme="majorBidi"/>
      <w:color w:val="000000" w:themeColor="text1"/>
      <w:sz w:val="24"/>
      <w:szCs w:val="24"/>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C822E2"/>
  </w:style>
  <w:style w:type="table" w:customStyle="1" w:styleId="TableGrid1">
    <w:name w:val="Table Grid1"/>
    <w:basedOn w:val="TableNormal"/>
    <w:next w:val="TableGrid"/>
    <w:uiPriority w:val="59"/>
    <w:rsid w:val="00C822E2"/>
    <w:pPr>
      <w:spacing w:line="240" w:lineRule="auto"/>
    </w:pPr>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C822E2"/>
    <w:pPr>
      <w:widowControl w:val="0"/>
      <w:adjustRightInd w:val="0"/>
      <w:snapToGrid w:val="0"/>
      <w:spacing w:line="240" w:lineRule="auto"/>
      <w:jc w:val="both"/>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C822E2"/>
    <w:rPr>
      <w:rFonts w:ascii="Calibri" w:eastAsia="SimSun" w:hAnsi="Calibri" w:cs="Times New Roman"/>
      <w:bCs/>
      <w:kern w:val="44"/>
      <w:sz w:val="18"/>
      <w:szCs w:val="18"/>
      <w:lang w:val="en-US" w:eastAsia="zh-CN"/>
    </w:rPr>
  </w:style>
  <w:style w:type="table" w:customStyle="1" w:styleId="TableGrid3">
    <w:name w:val="Table Grid3"/>
    <w:basedOn w:val="TableNormal"/>
    <w:next w:val="TableGrid"/>
    <w:uiPriority w:val="39"/>
    <w:qFormat/>
    <w:rsid w:val="00C822E2"/>
    <w:pPr>
      <w:spacing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C822E2"/>
    <w:pPr>
      <w:spacing w:line="240" w:lineRule="auto"/>
    </w:pPr>
    <w:rPr>
      <w:rFonts w:ascii="Arial" w:eastAsia="SimSun" w:hAnsi="Arial"/>
      <w:sz w:val="18"/>
      <w:szCs w:val="18"/>
      <w:lang w:val="en-US"/>
    </w:rPr>
  </w:style>
  <w:style w:type="paragraph" w:customStyle="1" w:styleId="p2">
    <w:name w:val="p2"/>
    <w:basedOn w:val="Normal"/>
    <w:rsid w:val="00C822E2"/>
    <w:pPr>
      <w:spacing w:line="240" w:lineRule="auto"/>
    </w:pPr>
    <w:rPr>
      <w:rFonts w:ascii="Arial" w:eastAsia="SimSun" w:hAnsi="Arial"/>
      <w:sz w:val="15"/>
      <w:szCs w:val="15"/>
      <w:lang w:val="en-US"/>
    </w:rPr>
  </w:style>
  <w:style w:type="character" w:customStyle="1" w:styleId="apple-converted-space">
    <w:name w:val="apple-converted-space"/>
    <w:basedOn w:val="DefaultParagraphFont"/>
    <w:rsid w:val="00C822E2"/>
  </w:style>
  <w:style w:type="paragraph" w:customStyle="1" w:styleId="BVIfnrCharChar">
    <w:name w:val="BVI fnr Char Char"/>
    <w:aliases w:val="BVI fnr Car Car Char Char,BVI fnr Car Char Char,BVI fnr Car Car Car Car Char Char,BVI fnr Car Car Car Car Char Char Char1"/>
    <w:basedOn w:val="Normal"/>
    <w:uiPriority w:val="99"/>
    <w:rsid w:val="00C822E2"/>
    <w:pPr>
      <w:spacing w:after="160" w:line="240" w:lineRule="exact"/>
      <w:jc w:val="both"/>
    </w:pPr>
    <w:rPr>
      <w:rFonts w:asciiTheme="minorHAnsi" w:eastAsiaTheme="minorEastAsia" w:hAnsiTheme="minorHAnsi" w:cstheme="minorBidi"/>
      <w:sz w:val="20"/>
      <w:szCs w:val="20"/>
      <w:vertAlign w:val="superscript"/>
      <w:lang w:val="nl-NL"/>
    </w:rPr>
  </w:style>
  <w:style w:type="character" w:customStyle="1" w:styleId="ms-rtethemeforecolor-1-0">
    <w:name w:val="ms-rtethemeforecolor-1-0"/>
    <w:basedOn w:val="DefaultParagraphFont"/>
    <w:rsid w:val="00C822E2"/>
  </w:style>
  <w:style w:type="character" w:styleId="Strong">
    <w:name w:val="Strong"/>
    <w:basedOn w:val="DefaultParagraphFont"/>
    <w:uiPriority w:val="22"/>
    <w:qFormat/>
    <w:rsid w:val="00C822E2"/>
    <w:rPr>
      <w:b/>
      <w:bCs/>
    </w:rPr>
  </w:style>
  <w:style w:type="paragraph" w:customStyle="1" w:styleId="GEFFieldtoFillout">
    <w:name w:val="GEF Field to Fill out"/>
    <w:basedOn w:val="Normal"/>
    <w:link w:val="GEFFieldtoFilloutChar"/>
    <w:uiPriority w:val="99"/>
    <w:qFormat/>
    <w:rsid w:val="00C822E2"/>
    <w:pPr>
      <w:spacing w:line="240" w:lineRule="auto"/>
      <w:ind w:left="-720"/>
    </w:pPr>
    <w:rPr>
      <w:rFonts w:eastAsia="Times New Roman" w:cs="Times New Roman"/>
      <w:color w:val="000000"/>
      <w:sz w:val="22"/>
      <w:lang w:val="en-US"/>
    </w:rPr>
  </w:style>
  <w:style w:type="character" w:customStyle="1" w:styleId="GEFFieldtoFilloutChar">
    <w:name w:val="GEF Field to Fill out Char"/>
    <w:link w:val="GEFFieldtoFillout"/>
    <w:uiPriority w:val="99"/>
    <w:rsid w:val="00C822E2"/>
    <w:rPr>
      <w:rFonts w:ascii="Times New Roman" w:eastAsia="Times New Roman" w:hAnsi="Times New Roman" w:cs="Times New Roman"/>
      <w:color w:val="000000"/>
      <w:lang w:val="en-US"/>
    </w:rPr>
  </w:style>
  <w:style w:type="paragraph" w:customStyle="1" w:styleId="a0">
    <w:name w:val="основной"/>
    <w:basedOn w:val="Normal"/>
    <w:link w:val="a1"/>
    <w:qFormat/>
    <w:rsid w:val="00C822E2"/>
    <w:pPr>
      <w:spacing w:before="60" w:after="60" w:line="240" w:lineRule="auto"/>
      <w:jc w:val="both"/>
    </w:pPr>
    <w:rPr>
      <w:rFonts w:ascii="Arial" w:eastAsia="Arial Unicode MS" w:hAnsi="Arial" w:cs="Times New Roman"/>
      <w:sz w:val="20"/>
      <w:szCs w:val="20"/>
      <w:lang w:val="en-US"/>
    </w:rPr>
  </w:style>
  <w:style w:type="character" w:customStyle="1" w:styleId="a1">
    <w:name w:val="основной Знак"/>
    <w:link w:val="a0"/>
    <w:rsid w:val="00C822E2"/>
    <w:rPr>
      <w:rFonts w:eastAsia="Arial Unicode MS" w:cs="Times New Roman"/>
      <w:sz w:val="20"/>
      <w:szCs w:val="20"/>
      <w:lang w:val="en-US"/>
    </w:rPr>
  </w:style>
  <w:style w:type="character" w:customStyle="1" w:styleId="a3">
    <w:name w:val="Сноска_"/>
    <w:link w:val="a4"/>
    <w:uiPriority w:val="99"/>
    <w:rsid w:val="00C822E2"/>
    <w:rPr>
      <w:rFonts w:ascii="Times New Roman" w:hAnsi="Times New Roman" w:cs="Times New Roman"/>
      <w:sz w:val="17"/>
      <w:szCs w:val="17"/>
      <w:shd w:val="clear" w:color="auto" w:fill="FFFFFF"/>
    </w:rPr>
  </w:style>
  <w:style w:type="character" w:customStyle="1" w:styleId="8">
    <w:name w:val="Основной текст + Полужирный8"/>
    <w:uiPriority w:val="99"/>
    <w:rsid w:val="00C822E2"/>
    <w:rPr>
      <w:rFonts w:ascii="Times New Roman" w:hAnsi="Times New Roman" w:cs="Times New Roman"/>
      <w:b/>
      <w:bCs/>
      <w:spacing w:val="0"/>
      <w:sz w:val="22"/>
      <w:szCs w:val="22"/>
    </w:rPr>
  </w:style>
  <w:style w:type="paragraph" w:customStyle="1" w:styleId="a4">
    <w:name w:val="Сноска"/>
    <w:basedOn w:val="Normal"/>
    <w:link w:val="a3"/>
    <w:uiPriority w:val="99"/>
    <w:rsid w:val="00C822E2"/>
    <w:pPr>
      <w:shd w:val="clear" w:color="auto" w:fill="FFFFFF"/>
      <w:spacing w:line="221" w:lineRule="exact"/>
    </w:pPr>
    <w:rPr>
      <w:rFonts w:cs="Times New Roman"/>
      <w:sz w:val="17"/>
      <w:szCs w:val="17"/>
    </w:rPr>
  </w:style>
  <w:style w:type="paragraph" w:styleId="BodyText3">
    <w:name w:val="Body Text 3"/>
    <w:basedOn w:val="Normal"/>
    <w:link w:val="BodyText3Char"/>
    <w:rsid w:val="00C822E2"/>
    <w:pPr>
      <w:spacing w:after="60" w:line="240" w:lineRule="auto"/>
      <w:jc w:val="both"/>
    </w:pPr>
    <w:rPr>
      <w:rFonts w:ascii="Calibri" w:eastAsia="SimSun" w:hAnsi="Calibri" w:cs="Times New Roman"/>
      <w:sz w:val="20"/>
      <w:szCs w:val="20"/>
      <w:lang w:val="en-US"/>
    </w:rPr>
  </w:style>
  <w:style w:type="character" w:customStyle="1" w:styleId="BodyText3Char">
    <w:name w:val="Body Text 3 Char"/>
    <w:basedOn w:val="DefaultParagraphFont"/>
    <w:link w:val="BodyText3"/>
    <w:rsid w:val="00C822E2"/>
    <w:rPr>
      <w:rFonts w:ascii="Calibri" w:eastAsia="SimSun" w:hAnsi="Calibri" w:cs="Times New Roman"/>
      <w:sz w:val="20"/>
      <w:szCs w:val="20"/>
      <w:lang w:val="en-US"/>
    </w:rPr>
  </w:style>
  <w:style w:type="paragraph" w:customStyle="1" w:styleId="ECC-7KBT">
    <w:name w:val="ECC-7.K.BT"/>
    <w:basedOn w:val="Normal"/>
    <w:next w:val="Normal"/>
    <w:qFormat/>
    <w:rsid w:val="00C822E2"/>
    <w:pPr>
      <w:spacing w:before="60" w:after="60" w:line="240" w:lineRule="auto"/>
      <w:jc w:val="both"/>
    </w:pPr>
    <w:rPr>
      <w:rFonts w:eastAsiaTheme="minorEastAsia" w:cs="Times New Roman"/>
      <w:sz w:val="22"/>
      <w:szCs w:val="20"/>
      <w:lang w:val="en-US"/>
    </w:rPr>
  </w:style>
  <w:style w:type="paragraph" w:customStyle="1" w:styleId="ECC-7KCenter">
    <w:name w:val="ECC-7.K.Center"/>
    <w:basedOn w:val="Normal"/>
    <w:next w:val="ECC-7KBT"/>
    <w:qFormat/>
    <w:rsid w:val="00C822E2"/>
    <w:pPr>
      <w:spacing w:before="60" w:after="60" w:line="240" w:lineRule="auto"/>
      <w:jc w:val="center"/>
    </w:pPr>
    <w:rPr>
      <w:rFonts w:eastAsiaTheme="minorEastAsia" w:cs="Times New Roman"/>
      <w:sz w:val="22"/>
      <w:szCs w:val="20"/>
      <w:lang w:val="en-US"/>
    </w:rPr>
  </w:style>
  <w:style w:type="character" w:customStyle="1" w:styleId="jlqj4b">
    <w:name w:val="jlqj4b"/>
    <w:basedOn w:val="DefaultParagraphFont"/>
    <w:rsid w:val="00C822E2"/>
  </w:style>
  <w:style w:type="character" w:customStyle="1" w:styleId="viiyi">
    <w:name w:val="viiyi"/>
    <w:basedOn w:val="DefaultParagraphFont"/>
    <w:rsid w:val="00C822E2"/>
  </w:style>
  <w:style w:type="paragraph" w:customStyle="1" w:styleId="Estilo1">
    <w:name w:val="Estilo1"/>
    <w:basedOn w:val="Heading2"/>
    <w:link w:val="Estilo1Car"/>
    <w:qFormat/>
    <w:rsid w:val="00C822E2"/>
    <w:pPr>
      <w:spacing w:before="200" w:after="0"/>
    </w:pPr>
    <w:rPr>
      <w:rFonts w:asciiTheme="minorHAnsi" w:eastAsiaTheme="majorEastAsia" w:hAnsiTheme="minorHAnsi" w:cstheme="majorBidi"/>
      <w:bCs/>
      <w:sz w:val="20"/>
      <w:szCs w:val="26"/>
      <w:lang w:val="en-GB"/>
    </w:rPr>
  </w:style>
  <w:style w:type="character" w:customStyle="1" w:styleId="Estilo1Car">
    <w:name w:val="Estilo1 Car"/>
    <w:basedOn w:val="DefaultParagraphFont"/>
    <w:link w:val="Estilo1"/>
    <w:rsid w:val="00C822E2"/>
    <w:rPr>
      <w:rFonts w:asciiTheme="minorHAnsi" w:eastAsiaTheme="majorEastAsia" w:hAnsiTheme="minorHAnsi" w:cstheme="majorBidi"/>
      <w:b/>
      <w:bCs/>
      <w:sz w:val="20"/>
      <w:szCs w:val="26"/>
      <w:lang w:val="en-GB"/>
    </w:rPr>
  </w:style>
  <w:style w:type="character" w:styleId="UnresolvedMention">
    <w:name w:val="Unresolved Mention"/>
    <w:basedOn w:val="DefaultParagraphFont"/>
    <w:uiPriority w:val="99"/>
    <w:semiHidden/>
    <w:unhideWhenUsed/>
    <w:rsid w:val="00C822E2"/>
    <w:rPr>
      <w:color w:val="605E5C"/>
      <w:shd w:val="clear" w:color="auto" w:fill="E1DFDD"/>
    </w:rPr>
  </w:style>
  <w:style w:type="paragraph" w:styleId="ListBullet2">
    <w:name w:val="List Bullet 2"/>
    <w:basedOn w:val="Normal"/>
    <w:uiPriority w:val="99"/>
    <w:semiHidden/>
    <w:unhideWhenUsed/>
    <w:rsid w:val="00E56AD7"/>
    <w:pPr>
      <w:tabs>
        <w:tab w:val="num" w:pos="720"/>
      </w:tabs>
      <w:ind w:left="720" w:hanging="720"/>
      <w:contextualSpacing/>
    </w:pPr>
  </w:style>
  <w:style w:type="paragraph" w:styleId="ListNumber2">
    <w:name w:val="List Number 2"/>
    <w:uiPriority w:val="99"/>
    <w:rsid w:val="00E56AD7"/>
    <w:pPr>
      <w:numPr>
        <w:numId w:val="1"/>
      </w:numPr>
      <w:spacing w:before="80" w:after="160" w:line="300" w:lineRule="auto"/>
      <w:ind w:left="1080" w:hanging="720"/>
      <w:contextualSpacing/>
    </w:pPr>
    <w:rPr>
      <w:rFonts w:asciiTheme="majorHAnsi" w:eastAsia="Times New Roman" w:hAnsiTheme="majorHAnsi" w:cs="Times New Roman"/>
      <w:szCs w:val="20"/>
      <w:lang w:val="en-GB"/>
    </w:rPr>
  </w:style>
  <w:style w:type="character" w:customStyle="1" w:styleId="FootnoteTextChar2">
    <w:name w:val="Footnote Text Char2"/>
    <w:aliases w:val="Geneva 9 Char1,Font: Geneva 9 Char1,Boston 10 Char1,f Char1,single space Char1,footnote text Char1,Footnote Char1,otnote Text Char1,Footnote Text Char Char Char Char2,Footnote Text Char Char Char Char Char Char Char Char2,fn Char"/>
    <w:basedOn w:val="DefaultParagraphFont"/>
    <w:uiPriority w:val="99"/>
    <w:rsid w:val="00B47835"/>
    <w:rPr>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7324">
      <w:bodyDiv w:val="1"/>
      <w:marLeft w:val="0"/>
      <w:marRight w:val="0"/>
      <w:marTop w:val="0"/>
      <w:marBottom w:val="0"/>
      <w:divBdr>
        <w:top w:val="none" w:sz="0" w:space="0" w:color="auto"/>
        <w:left w:val="none" w:sz="0" w:space="0" w:color="auto"/>
        <w:bottom w:val="none" w:sz="0" w:space="0" w:color="auto"/>
        <w:right w:val="none" w:sz="0" w:space="0" w:color="auto"/>
      </w:divBdr>
    </w:div>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1097678107">
      <w:bodyDiv w:val="1"/>
      <w:marLeft w:val="0"/>
      <w:marRight w:val="0"/>
      <w:marTop w:val="0"/>
      <w:marBottom w:val="0"/>
      <w:divBdr>
        <w:top w:val="none" w:sz="0" w:space="0" w:color="auto"/>
        <w:left w:val="none" w:sz="0" w:space="0" w:color="auto"/>
        <w:bottom w:val="none" w:sz="0" w:space="0" w:color="auto"/>
        <w:right w:val="none" w:sz="0" w:space="0" w:color="auto"/>
      </w:divBdr>
    </w:div>
    <w:div w:id="181405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undp.org/sites/bpps/SES_Toolkit/SES%20Document%20Library/Uploaded%20October%202016/UNDP%20SES%20Assessment%20and%20Management%20GN%20-%20FInal%20Nov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ndp.org/sites/bpps/SES_Toolkit/SES%20Document%20Library/Uploaded%20October%202016/UNDP%20SES%20Assessment%20and%20Management%20GN%20-%20FInal%20Nov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dp.org/content/undp/en/home/operations/accountability/secu-s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glish.luatvietnam.vn/decision-no-114-2021-nd-cp-dated-december-16-2021-of-the-government-on-management-and-use-of-official-development-assistance-oda-and-concessional-214346-Doc1.html" TargetMode="External"/><Relationship Id="rId2" Type="http://schemas.openxmlformats.org/officeDocument/2006/relationships/hyperlink" Target="https://www.sprep.org/attachments/VirLib/Global/sapa-report.pdf" TargetMode="External"/><Relationship Id="rId1" Type="http://schemas.openxmlformats.org/officeDocument/2006/relationships/hyperlink" Target="https://www.ilo.org/hanoi/Areasofwork/child-labour/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C77F-F644-EC4F-9D21-7641FECE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17206</Words>
  <Characters>98076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DRAFT Environmental and Social Framework (ESMF)</vt:lpstr>
    </vt:vector>
  </TitlesOfParts>
  <Company/>
  <LinksUpToDate>false</LinksUpToDate>
  <CharactersWithSpaces>115052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Framework (ESMF)</dc:title>
  <dc:subject/>
  <dc:creator>ANNANDALE Ivan</dc:creator>
  <cp:keywords/>
  <dc:description/>
  <cp:lastModifiedBy>Bipin Pokharel</cp:lastModifiedBy>
  <cp:revision>5</cp:revision>
  <dcterms:created xsi:type="dcterms:W3CDTF">2022-06-24T14:42:00Z</dcterms:created>
  <dcterms:modified xsi:type="dcterms:W3CDTF">2022-07-04T03:34:00Z</dcterms:modified>
</cp:coreProperties>
</file>