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C141" w14:textId="77777777" w:rsidR="00666505" w:rsidRPr="00420A86" w:rsidRDefault="00227335" w:rsidP="00420A86">
      <w:pPr>
        <w:pStyle w:val="SEQSbodynumbered"/>
        <w:spacing w:before="0" w:after="0" w:line="240" w:lineRule="auto"/>
        <w:rPr>
          <w:rFonts w:cs="Calibri"/>
          <w:sz w:val="22"/>
          <w:szCs w:val="22"/>
        </w:rPr>
      </w:pPr>
      <w:r>
        <w:rPr>
          <w:rFonts w:cs="Calibri"/>
          <w:sz w:val="22"/>
          <w:szCs w:val="22"/>
        </w:rPr>
        <w:t>Annex 9: Environmental and Social Management Framework</w:t>
      </w:r>
    </w:p>
    <w:tbl>
      <w:tblPr>
        <w:tblW w:w="0" w:type="auto"/>
        <w:jc w:val="center"/>
        <w:tblLook w:val="04A0" w:firstRow="1" w:lastRow="0" w:firstColumn="1" w:lastColumn="0" w:noHBand="0" w:noVBand="1"/>
      </w:tblPr>
      <w:tblGrid>
        <w:gridCol w:w="1560"/>
        <w:gridCol w:w="7228"/>
        <w:gridCol w:w="239"/>
      </w:tblGrid>
      <w:tr w:rsidR="00AC2F3E" w:rsidRPr="00420A86" w14:paraId="24FC3C99" w14:textId="77777777" w:rsidTr="006767FE">
        <w:trPr>
          <w:trHeight w:val="1290"/>
          <w:jc w:val="center"/>
        </w:trPr>
        <w:tc>
          <w:tcPr>
            <w:tcW w:w="1560" w:type="dxa"/>
            <w:tcBorders>
              <w:bottom w:val="single" w:sz="24" w:space="0" w:color="215868"/>
            </w:tcBorders>
            <w:shd w:val="clear" w:color="auto" w:fill="auto"/>
          </w:tcPr>
          <w:p w14:paraId="0731B282" w14:textId="77777777" w:rsidR="00AC2F3E" w:rsidRPr="00420A86" w:rsidRDefault="00C3006B" w:rsidP="00420A86">
            <w:pPr>
              <w:pStyle w:val="NoSpacing"/>
              <w:rPr>
                <w:rFonts w:cs="Calibri"/>
              </w:rPr>
            </w:pPr>
            <w:r w:rsidRPr="00420A86">
              <w:rPr>
                <w:rFonts w:cs="Calibri"/>
                <w:b/>
                <w:noProof/>
                <w:lang w:eastAsia="zh-CN"/>
              </w:rPr>
              <w:drawing>
                <wp:inline distT="0" distB="0" distL="0" distR="0" wp14:anchorId="51170E21" wp14:editId="7C85EFB0">
                  <wp:extent cx="822960" cy="124523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1245235"/>
                          </a:xfrm>
                          <a:prstGeom prst="rect">
                            <a:avLst/>
                          </a:prstGeom>
                          <a:noFill/>
                          <a:ln>
                            <a:noFill/>
                          </a:ln>
                        </pic:spPr>
                      </pic:pic>
                    </a:graphicData>
                  </a:graphic>
                </wp:inline>
              </w:drawing>
            </w:r>
          </w:p>
        </w:tc>
        <w:tc>
          <w:tcPr>
            <w:tcW w:w="7228" w:type="dxa"/>
            <w:tcBorders>
              <w:bottom w:val="single" w:sz="24" w:space="0" w:color="215868"/>
            </w:tcBorders>
            <w:shd w:val="clear" w:color="auto" w:fill="auto"/>
            <w:vAlign w:val="center"/>
          </w:tcPr>
          <w:p w14:paraId="1899DB2D" w14:textId="76CBE952" w:rsidR="00AC2F3E" w:rsidRPr="00296E36" w:rsidRDefault="00BA6346" w:rsidP="00420A86">
            <w:pPr>
              <w:pStyle w:val="NoSpacing"/>
              <w:jc w:val="center"/>
              <w:rPr>
                <w:rFonts w:cs="Calibri"/>
                <w:b/>
                <w:bCs/>
              </w:rPr>
            </w:pPr>
            <w:r>
              <w:rPr>
                <w:rFonts w:cs="Calibri"/>
                <w:b/>
                <w:bCs/>
                <w:sz w:val="24"/>
                <w:szCs w:val="24"/>
              </w:rPr>
              <w:t xml:space="preserve">Draft </w:t>
            </w:r>
            <w:r w:rsidR="00EF4B03" w:rsidRPr="00296E36">
              <w:rPr>
                <w:rFonts w:cs="Calibri"/>
                <w:b/>
                <w:bCs/>
                <w:sz w:val="24"/>
                <w:szCs w:val="24"/>
              </w:rPr>
              <w:t>Environmental and Social Management Framework (ESMF)</w:t>
            </w:r>
          </w:p>
        </w:tc>
        <w:tc>
          <w:tcPr>
            <w:tcW w:w="239" w:type="dxa"/>
            <w:tcBorders>
              <w:bottom w:val="single" w:sz="24" w:space="0" w:color="215868"/>
            </w:tcBorders>
            <w:shd w:val="clear" w:color="auto" w:fill="auto"/>
          </w:tcPr>
          <w:p w14:paraId="617A1ECB" w14:textId="77777777" w:rsidR="00AC2F3E" w:rsidRPr="00420A86" w:rsidRDefault="00AC2F3E" w:rsidP="00420A86">
            <w:pPr>
              <w:pStyle w:val="NoSpacing"/>
              <w:jc w:val="right"/>
              <w:rPr>
                <w:rFonts w:cs="Calibri"/>
              </w:rPr>
            </w:pPr>
          </w:p>
        </w:tc>
      </w:tr>
    </w:tbl>
    <w:p w14:paraId="7BAD6DCE" w14:textId="77777777" w:rsidR="00B0088E" w:rsidRPr="00420A86" w:rsidRDefault="00B0088E" w:rsidP="00420A86">
      <w:pPr>
        <w:spacing w:before="0" w:after="0"/>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0"/>
        <w:gridCol w:w="989"/>
        <w:gridCol w:w="888"/>
      </w:tblGrid>
      <w:tr w:rsidR="007D67D8" w:rsidRPr="00420A86" w14:paraId="3373CAC9" w14:textId="77777777" w:rsidTr="00FC537F">
        <w:tc>
          <w:tcPr>
            <w:tcW w:w="7225" w:type="dxa"/>
            <w:shd w:val="clear" w:color="auto" w:fill="auto"/>
          </w:tcPr>
          <w:p w14:paraId="475A68D4" w14:textId="77777777" w:rsidR="007D67D8" w:rsidRPr="00420A86" w:rsidRDefault="007D67D8" w:rsidP="00420A86">
            <w:pPr>
              <w:spacing w:before="0" w:after="0"/>
              <w:jc w:val="center"/>
              <w:rPr>
                <w:rFonts w:cs="Calibri"/>
                <w:b/>
                <w:sz w:val="22"/>
              </w:rPr>
            </w:pPr>
            <w:r w:rsidRPr="00420A86">
              <w:rPr>
                <w:rFonts w:cs="Calibri"/>
                <w:b/>
                <w:sz w:val="22"/>
              </w:rPr>
              <w:t xml:space="preserve">Project </w:t>
            </w:r>
            <w:r w:rsidR="00296E36">
              <w:rPr>
                <w:rFonts w:cs="Calibri"/>
                <w:b/>
                <w:sz w:val="22"/>
              </w:rPr>
              <w:t>T</w:t>
            </w:r>
            <w:r w:rsidRPr="00420A86">
              <w:rPr>
                <w:rFonts w:cs="Calibri"/>
                <w:b/>
                <w:sz w:val="22"/>
              </w:rPr>
              <w:t>itle</w:t>
            </w:r>
          </w:p>
        </w:tc>
        <w:tc>
          <w:tcPr>
            <w:tcW w:w="992" w:type="dxa"/>
            <w:shd w:val="clear" w:color="auto" w:fill="auto"/>
          </w:tcPr>
          <w:p w14:paraId="7274638E" w14:textId="77777777" w:rsidR="007D67D8" w:rsidRPr="00420A86" w:rsidRDefault="007D67D8" w:rsidP="00420A86">
            <w:pPr>
              <w:spacing w:before="0" w:after="0"/>
              <w:jc w:val="center"/>
              <w:rPr>
                <w:rFonts w:cs="Calibri"/>
                <w:b/>
                <w:sz w:val="22"/>
              </w:rPr>
            </w:pPr>
            <w:r w:rsidRPr="00420A86">
              <w:rPr>
                <w:rFonts w:cs="Calibri"/>
                <w:b/>
                <w:sz w:val="22"/>
              </w:rPr>
              <w:t>UNDP ID</w:t>
            </w:r>
          </w:p>
        </w:tc>
        <w:tc>
          <w:tcPr>
            <w:tcW w:w="891" w:type="dxa"/>
            <w:shd w:val="clear" w:color="auto" w:fill="auto"/>
          </w:tcPr>
          <w:p w14:paraId="761C36EB" w14:textId="77777777" w:rsidR="007D67D8" w:rsidRPr="00420A86" w:rsidRDefault="007D67D8" w:rsidP="00420A86">
            <w:pPr>
              <w:spacing w:before="0" w:after="0"/>
              <w:jc w:val="center"/>
              <w:rPr>
                <w:rFonts w:cs="Calibri"/>
                <w:b/>
                <w:sz w:val="22"/>
              </w:rPr>
            </w:pPr>
            <w:r w:rsidRPr="00420A86">
              <w:rPr>
                <w:rFonts w:cs="Calibri"/>
                <w:b/>
                <w:sz w:val="22"/>
              </w:rPr>
              <w:t>GEF ID</w:t>
            </w:r>
          </w:p>
        </w:tc>
      </w:tr>
      <w:tr w:rsidR="00557418" w:rsidRPr="00420A86" w14:paraId="498CBB98" w14:textId="77777777" w:rsidTr="00FC537F">
        <w:tc>
          <w:tcPr>
            <w:tcW w:w="7225" w:type="dxa"/>
            <w:shd w:val="clear" w:color="auto" w:fill="auto"/>
          </w:tcPr>
          <w:p w14:paraId="7C374CC5" w14:textId="77777777" w:rsidR="00557418" w:rsidRPr="00420A86" w:rsidRDefault="00134F8E" w:rsidP="00420A86">
            <w:pPr>
              <w:spacing w:before="0" w:after="0"/>
              <w:jc w:val="left"/>
              <w:rPr>
                <w:rFonts w:cs="Calibri"/>
                <w:sz w:val="22"/>
              </w:rPr>
            </w:pPr>
            <w:r w:rsidRPr="00134F8E">
              <w:rPr>
                <w:rFonts w:cs="Calibri"/>
                <w:sz w:val="22"/>
              </w:rPr>
              <w:t>Facilitating Cleaner and Energy Efficient Phosphate Chemicals Industry in China (</w:t>
            </w:r>
            <w:proofErr w:type="spellStart"/>
            <w:r w:rsidR="005E4849">
              <w:rPr>
                <w:rFonts w:cs="Calibri"/>
                <w:sz w:val="22"/>
              </w:rPr>
              <w:t>PhosChemEE</w:t>
            </w:r>
            <w:proofErr w:type="spellEnd"/>
            <w:r w:rsidRPr="00134F8E">
              <w:rPr>
                <w:rFonts w:cs="Calibri"/>
                <w:sz w:val="22"/>
              </w:rPr>
              <w:t>) Project</w:t>
            </w:r>
          </w:p>
        </w:tc>
        <w:tc>
          <w:tcPr>
            <w:tcW w:w="992" w:type="dxa"/>
            <w:shd w:val="clear" w:color="auto" w:fill="auto"/>
            <w:vAlign w:val="center"/>
          </w:tcPr>
          <w:p w14:paraId="708913E8" w14:textId="00292645" w:rsidR="00557418" w:rsidRPr="00420A86" w:rsidRDefault="00134F8E" w:rsidP="00FC537F">
            <w:pPr>
              <w:spacing w:before="0" w:after="0"/>
              <w:jc w:val="center"/>
              <w:rPr>
                <w:rFonts w:cs="Calibri"/>
                <w:sz w:val="22"/>
              </w:rPr>
            </w:pPr>
            <w:r w:rsidRPr="003A2C6A">
              <w:t xml:space="preserve">PIMS </w:t>
            </w:r>
            <w:r w:rsidR="005B6C7C">
              <w:t>6618</w:t>
            </w:r>
          </w:p>
        </w:tc>
        <w:tc>
          <w:tcPr>
            <w:tcW w:w="891" w:type="dxa"/>
            <w:shd w:val="clear" w:color="auto" w:fill="auto"/>
            <w:vAlign w:val="center"/>
          </w:tcPr>
          <w:p w14:paraId="55CD8C50" w14:textId="77777777" w:rsidR="00557418" w:rsidRPr="00420A86" w:rsidRDefault="005E4849" w:rsidP="00FC537F">
            <w:pPr>
              <w:spacing w:before="0" w:after="0"/>
              <w:jc w:val="center"/>
              <w:rPr>
                <w:rFonts w:cs="Calibri"/>
                <w:sz w:val="22"/>
              </w:rPr>
            </w:pPr>
            <w:r>
              <w:rPr>
                <w:color w:val="000000"/>
                <w:szCs w:val="20"/>
              </w:rPr>
              <w:t>10722</w:t>
            </w:r>
          </w:p>
        </w:tc>
      </w:tr>
    </w:tbl>
    <w:p w14:paraId="448655D9" w14:textId="77777777" w:rsidR="004D4888" w:rsidRDefault="004D4888" w:rsidP="00420A86">
      <w:pPr>
        <w:spacing w:before="0" w:after="0"/>
        <w:rPr>
          <w:rFonts w:cs="Calibri"/>
          <w:sz w:val="22"/>
        </w:rPr>
      </w:pPr>
    </w:p>
    <w:p w14:paraId="37058A97" w14:textId="724F8BED" w:rsidR="007D67D8" w:rsidRDefault="00BA6346" w:rsidP="001E2AAE">
      <w:pPr>
        <w:spacing w:before="0" w:after="0"/>
        <w:jc w:val="center"/>
        <w:rPr>
          <w:rFonts w:cs="Calibri"/>
          <w:sz w:val="22"/>
          <w:lang w:eastAsia="zh-CN"/>
        </w:rPr>
      </w:pPr>
      <w:r>
        <w:rPr>
          <w:rFonts w:cs="Calibri"/>
          <w:sz w:val="22"/>
        </w:rPr>
        <w:t xml:space="preserve">ESMF </w:t>
      </w:r>
      <w:r w:rsidR="00BC58D9" w:rsidRPr="00420A86">
        <w:rPr>
          <w:rFonts w:cs="Calibri"/>
          <w:sz w:val="22"/>
        </w:rPr>
        <w:t>for public disclosure via UNDP China websi</w:t>
      </w:r>
      <w:r w:rsidR="00B375D6">
        <w:rPr>
          <w:rFonts w:cs="Calibri"/>
          <w:sz w:val="22"/>
        </w:rPr>
        <w:t>t</w:t>
      </w:r>
      <w:r w:rsidR="004D4888">
        <w:rPr>
          <w:rFonts w:cs="Calibri" w:hint="eastAsia"/>
          <w:sz w:val="22"/>
          <w:lang w:eastAsia="zh-CN"/>
        </w:rPr>
        <w:t>e</w:t>
      </w:r>
    </w:p>
    <w:p w14:paraId="6AA28A8F" w14:textId="5BFC4E65" w:rsidR="00DD110C" w:rsidRDefault="00DD110C" w:rsidP="00420A86">
      <w:pPr>
        <w:spacing w:before="0" w:after="0"/>
        <w:rPr>
          <w:rFonts w:cs="Calibri"/>
          <w:sz w:val="22"/>
          <w:lang w:eastAsia="zh-CN"/>
        </w:rPr>
      </w:pPr>
    </w:p>
    <w:p w14:paraId="77EBE6E7" w14:textId="77777777" w:rsidR="00A53C87" w:rsidRDefault="00A53C87" w:rsidP="00420A86">
      <w:pPr>
        <w:spacing w:before="0" w:after="0"/>
        <w:rPr>
          <w:rFonts w:cs="Calibri"/>
          <w:sz w:val="22"/>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5420"/>
      </w:tblGrid>
      <w:tr w:rsidR="00A53C87" w:rsidRPr="00227232" w14:paraId="1B637FE9" w14:textId="77777777" w:rsidTr="001E2AAE">
        <w:trPr>
          <w:trHeight w:val="386"/>
          <w:jc w:val="center"/>
        </w:trPr>
        <w:tc>
          <w:tcPr>
            <w:tcW w:w="9017" w:type="dxa"/>
            <w:gridSpan w:val="2"/>
            <w:tcBorders>
              <w:top w:val="single" w:sz="4" w:space="0" w:color="auto"/>
              <w:left w:val="single" w:sz="4" w:space="0" w:color="auto"/>
              <w:right w:val="single" w:sz="4" w:space="0" w:color="auto"/>
            </w:tcBorders>
            <w:vAlign w:val="center"/>
          </w:tcPr>
          <w:p w14:paraId="57B0240A" w14:textId="77777777" w:rsidR="00A53C87" w:rsidRPr="00EB26B1" w:rsidRDefault="00A53C87" w:rsidP="001E2AAE">
            <w:pPr>
              <w:spacing w:before="60" w:after="60"/>
              <w:jc w:val="center"/>
              <w:rPr>
                <w:b/>
                <w:sz w:val="22"/>
                <w:u w:val="single"/>
              </w:rPr>
            </w:pPr>
            <w:bookmarkStart w:id="0" w:name="_Toc506792061"/>
            <w:r w:rsidRPr="00EB26B1">
              <w:rPr>
                <w:b/>
                <w:sz w:val="24"/>
                <w:u w:val="single"/>
              </w:rPr>
              <w:t>Public Consultation/Disclosure Notice</w:t>
            </w:r>
            <w:bookmarkEnd w:id="0"/>
          </w:p>
        </w:tc>
      </w:tr>
      <w:tr w:rsidR="00A53C87" w:rsidRPr="00DE2B62" w14:paraId="441B0F47" w14:textId="77777777" w:rsidTr="001E2AAE">
        <w:trPr>
          <w:trHeight w:val="351"/>
          <w:jc w:val="center"/>
        </w:trPr>
        <w:tc>
          <w:tcPr>
            <w:tcW w:w="9017" w:type="dxa"/>
            <w:gridSpan w:val="2"/>
            <w:tcBorders>
              <w:left w:val="single" w:sz="4" w:space="0" w:color="auto"/>
              <w:right w:val="single" w:sz="4" w:space="0" w:color="auto"/>
            </w:tcBorders>
            <w:vAlign w:val="center"/>
          </w:tcPr>
          <w:p w14:paraId="532EC3D1" w14:textId="6D90FED4" w:rsidR="00A53C87" w:rsidRPr="00DE2B62" w:rsidRDefault="00A53C87" w:rsidP="001E2AAE">
            <w:pPr>
              <w:spacing w:before="60" w:after="60"/>
            </w:pPr>
            <w:bookmarkStart w:id="1" w:name="_Toc506792062"/>
            <w:r w:rsidRPr="00DE2B62">
              <w:t xml:space="preserve">Date: </w:t>
            </w:r>
            <w:bookmarkEnd w:id="1"/>
            <w:r w:rsidR="00C8679E">
              <w:t>16</w:t>
            </w:r>
            <w:r w:rsidR="00C8679E" w:rsidRPr="00C8679E">
              <w:rPr>
                <w:vertAlign w:val="superscript"/>
              </w:rPr>
              <w:t>th</w:t>
            </w:r>
            <w:r w:rsidR="00C8679E">
              <w:t xml:space="preserve"> June, 2022</w:t>
            </w:r>
          </w:p>
        </w:tc>
      </w:tr>
      <w:tr w:rsidR="00A53C87" w:rsidRPr="00DE2B62" w14:paraId="6331BB4A" w14:textId="77777777" w:rsidTr="001E2AAE">
        <w:trPr>
          <w:trHeight w:val="496"/>
          <w:jc w:val="center"/>
        </w:trPr>
        <w:tc>
          <w:tcPr>
            <w:tcW w:w="9017" w:type="dxa"/>
            <w:gridSpan w:val="2"/>
            <w:tcBorders>
              <w:left w:val="single" w:sz="4" w:space="0" w:color="auto"/>
              <w:right w:val="single" w:sz="4" w:space="0" w:color="auto"/>
            </w:tcBorders>
            <w:vAlign w:val="center"/>
          </w:tcPr>
          <w:p w14:paraId="5D25F547" w14:textId="25E54B9A" w:rsidR="00A53C87" w:rsidRPr="00DE2B62" w:rsidRDefault="00A53C87" w:rsidP="001E2AAE">
            <w:pPr>
              <w:spacing w:before="60" w:after="60"/>
            </w:pPr>
            <w:bookmarkStart w:id="2" w:name="_Toc506792063"/>
            <w:r w:rsidRPr="00DE2B62">
              <w:t>The United Nations Development Programme (UNDP) launched today a public consultation on the</w:t>
            </w:r>
            <w:r>
              <w:t xml:space="preserve"> attached draft </w:t>
            </w:r>
            <w:r w:rsidRPr="00DE2B62">
              <w:t>Environmental and Social Management Framework</w:t>
            </w:r>
            <w:r>
              <w:t xml:space="preserve"> and associated Social and Environmental Screening Procedures</w:t>
            </w:r>
            <w:r w:rsidRPr="00DE2B62">
              <w:t xml:space="preserve"> </w:t>
            </w:r>
            <w:r>
              <w:t xml:space="preserve">for the UNDP-GEF Supported </w:t>
            </w:r>
            <w:proofErr w:type="spellStart"/>
            <w:r>
              <w:t>PhosChemEE</w:t>
            </w:r>
            <w:proofErr w:type="spellEnd"/>
            <w:r>
              <w:t xml:space="preserve"> </w:t>
            </w:r>
            <w:r w:rsidR="00E56659">
              <w:t>project</w:t>
            </w:r>
            <w:r>
              <w:t xml:space="preserve">. </w:t>
            </w:r>
            <w:bookmarkEnd w:id="2"/>
          </w:p>
          <w:p w14:paraId="143F8082" w14:textId="77777777" w:rsidR="00A53C87" w:rsidRPr="00DE2B62" w:rsidRDefault="00A53C87" w:rsidP="001E2AAE">
            <w:pPr>
              <w:spacing w:before="60" w:after="60"/>
            </w:pPr>
            <w:bookmarkStart w:id="3" w:name="_Toc506792064"/>
            <w:r w:rsidRPr="00DE2B62">
              <w:t>Comments to this consultation can be sent to the following address:</w:t>
            </w:r>
            <w:bookmarkEnd w:id="3"/>
          </w:p>
        </w:tc>
      </w:tr>
      <w:tr w:rsidR="00A53C87" w:rsidRPr="00D63176" w14:paraId="2F12E72F" w14:textId="77777777" w:rsidTr="001E2AAE">
        <w:trPr>
          <w:trHeight w:val="496"/>
          <w:jc w:val="center"/>
        </w:trPr>
        <w:tc>
          <w:tcPr>
            <w:tcW w:w="9017" w:type="dxa"/>
            <w:gridSpan w:val="2"/>
            <w:tcBorders>
              <w:left w:val="single" w:sz="4" w:space="0" w:color="auto"/>
              <w:right w:val="single" w:sz="4" w:space="0" w:color="auto"/>
            </w:tcBorders>
            <w:vAlign w:val="center"/>
          </w:tcPr>
          <w:p w14:paraId="05EAEB57" w14:textId="77777777" w:rsidR="00A53C87" w:rsidRPr="008D3117" w:rsidRDefault="00A53C87" w:rsidP="001E2AAE">
            <w:pPr>
              <w:spacing w:before="0" w:after="0"/>
              <w:jc w:val="center"/>
            </w:pPr>
            <w:bookmarkStart w:id="4" w:name="_Toc506792065"/>
            <w:r w:rsidRPr="008D3117">
              <w:t>United Nations Development Programme</w:t>
            </w:r>
            <w:bookmarkEnd w:id="4"/>
          </w:p>
          <w:p w14:paraId="205319D6" w14:textId="77777777" w:rsidR="00A53C87" w:rsidRPr="00D63176" w:rsidRDefault="00A53C87" w:rsidP="001E2AAE">
            <w:pPr>
              <w:spacing w:before="0" w:after="0"/>
              <w:rPr>
                <w:sz w:val="22"/>
              </w:rPr>
            </w:pPr>
            <w:bookmarkStart w:id="5" w:name="_Toc506792066"/>
            <w:r w:rsidRPr="008D3117">
              <w:t xml:space="preserve">2 </w:t>
            </w:r>
            <w:proofErr w:type="spellStart"/>
            <w:r w:rsidRPr="008D3117">
              <w:t>Liangmahe</w:t>
            </w:r>
            <w:proofErr w:type="spellEnd"/>
            <w:r w:rsidRPr="008D3117">
              <w:t xml:space="preserve"> </w:t>
            </w:r>
            <w:proofErr w:type="spellStart"/>
            <w:r w:rsidRPr="008D3117">
              <w:t>Nanlu</w:t>
            </w:r>
            <w:proofErr w:type="spellEnd"/>
            <w:r w:rsidRPr="008D3117">
              <w:t>, Beijing, China, 100600; Tel: +86 1085320800; FAX: +86 1085320900;</w:t>
            </w:r>
            <w:r>
              <w:t xml:space="preserve"> </w:t>
            </w:r>
            <w:hyperlink r:id="rId12" w:history="1">
              <w:r w:rsidRPr="00AD5C57">
                <w:rPr>
                  <w:rStyle w:val="Hyperlink"/>
                  <w:lang w:eastAsia="zh-CN"/>
                </w:rPr>
                <w:t>xinhua.zhao@undp.org</w:t>
              </w:r>
            </w:hyperlink>
            <w:r>
              <w:rPr>
                <w:lang w:eastAsia="zh-CN"/>
              </w:rPr>
              <w:t xml:space="preserve"> </w:t>
            </w:r>
            <w:r>
              <w:t>;</w:t>
            </w:r>
            <w:r w:rsidRPr="008D3117">
              <w:t xml:space="preserve"> </w:t>
            </w:r>
            <w:hyperlink r:id="rId13" w:history="1">
              <w:r w:rsidRPr="0083407E">
                <w:rPr>
                  <w:rStyle w:val="Hyperlink"/>
                  <w:bCs/>
                  <w:iCs/>
                </w:rPr>
                <w:t>www.undp.org.cn</w:t>
              </w:r>
              <w:bookmarkEnd w:id="5"/>
            </w:hyperlink>
            <w:r>
              <w:rPr>
                <w:rStyle w:val="Hyperlink"/>
                <w:bCs/>
                <w:iCs/>
              </w:rPr>
              <w:t xml:space="preserve">; </w:t>
            </w:r>
          </w:p>
        </w:tc>
      </w:tr>
      <w:tr w:rsidR="00A53C87" w:rsidRPr="00DE2B62" w14:paraId="32C171C7" w14:textId="77777777" w:rsidTr="001E2AAE">
        <w:trPr>
          <w:trHeight w:val="396"/>
          <w:jc w:val="center"/>
        </w:trPr>
        <w:tc>
          <w:tcPr>
            <w:tcW w:w="3597" w:type="dxa"/>
            <w:tcBorders>
              <w:left w:val="single" w:sz="4" w:space="0" w:color="auto"/>
              <w:bottom w:val="single" w:sz="4" w:space="0" w:color="auto"/>
            </w:tcBorders>
            <w:vAlign w:val="center"/>
          </w:tcPr>
          <w:p w14:paraId="033BB1A5" w14:textId="77777777" w:rsidR="00A53C87" w:rsidRPr="0070250E" w:rsidRDefault="00A53C87" w:rsidP="001E2AAE">
            <w:pPr>
              <w:spacing w:before="60" w:after="60"/>
              <w:rPr>
                <w:b/>
              </w:rPr>
            </w:pPr>
            <w:bookmarkStart w:id="6" w:name="_Toc506792067"/>
            <w:r w:rsidRPr="0070250E">
              <w:rPr>
                <w:b/>
              </w:rPr>
              <w:t>Deadline for submission of comments:</w:t>
            </w:r>
            <w:bookmarkEnd w:id="6"/>
          </w:p>
        </w:tc>
        <w:tc>
          <w:tcPr>
            <w:tcW w:w="5420" w:type="dxa"/>
            <w:tcBorders>
              <w:bottom w:val="single" w:sz="4" w:space="0" w:color="auto"/>
              <w:right w:val="single" w:sz="4" w:space="0" w:color="auto"/>
            </w:tcBorders>
            <w:vAlign w:val="center"/>
          </w:tcPr>
          <w:p w14:paraId="241AC9EE" w14:textId="601959C2" w:rsidR="00A53C87" w:rsidRPr="0070250E" w:rsidRDefault="00C8679E" w:rsidP="001E2AAE">
            <w:pPr>
              <w:spacing w:before="60" w:after="60"/>
              <w:rPr>
                <w:b/>
              </w:rPr>
            </w:pPr>
            <w:r>
              <w:rPr>
                <w:b/>
              </w:rPr>
              <w:t>October 17</w:t>
            </w:r>
            <w:r w:rsidRPr="00C8679E">
              <w:rPr>
                <w:b/>
                <w:vertAlign w:val="superscript"/>
              </w:rPr>
              <w:t>th</w:t>
            </w:r>
            <w:r>
              <w:rPr>
                <w:b/>
              </w:rPr>
              <w:t>, 2022</w:t>
            </w:r>
          </w:p>
        </w:tc>
      </w:tr>
    </w:tbl>
    <w:p w14:paraId="78AA89A1" w14:textId="77777777" w:rsidR="00DD110C" w:rsidRPr="00420A86" w:rsidRDefault="00DD110C" w:rsidP="00420A86">
      <w:pPr>
        <w:spacing w:before="0" w:after="0"/>
        <w:rPr>
          <w:rFonts w:cs="Calibri"/>
          <w:sz w:val="22"/>
        </w:rPr>
      </w:pPr>
    </w:p>
    <w:p w14:paraId="76CEFEE7" w14:textId="77777777" w:rsidR="00A53C87" w:rsidRDefault="00A53C87" w:rsidP="00420A86">
      <w:pPr>
        <w:pStyle w:val="TOCHeading"/>
        <w:spacing w:before="0" w:line="240" w:lineRule="auto"/>
        <w:rPr>
          <w:rStyle w:val="Emphasis"/>
          <w:rFonts w:ascii="Calibri" w:hAnsi="Calibri" w:cs="Calibri"/>
          <w:sz w:val="22"/>
          <w:szCs w:val="22"/>
        </w:rPr>
      </w:pPr>
    </w:p>
    <w:p w14:paraId="292AE798" w14:textId="77777777" w:rsidR="00A53C87" w:rsidRDefault="00A53C87" w:rsidP="00420A86">
      <w:pPr>
        <w:pStyle w:val="TOCHeading"/>
        <w:spacing w:before="0" w:line="240" w:lineRule="auto"/>
        <w:rPr>
          <w:rStyle w:val="Emphasis"/>
          <w:rFonts w:ascii="Calibri" w:hAnsi="Calibri" w:cs="Calibri"/>
          <w:sz w:val="22"/>
          <w:szCs w:val="22"/>
        </w:rPr>
      </w:pPr>
    </w:p>
    <w:p w14:paraId="15FC1156" w14:textId="77777777" w:rsidR="00A53C87" w:rsidRDefault="00A53C87" w:rsidP="00420A86">
      <w:pPr>
        <w:pStyle w:val="TOCHeading"/>
        <w:spacing w:before="0" w:line="240" w:lineRule="auto"/>
        <w:rPr>
          <w:rStyle w:val="Emphasis"/>
          <w:rFonts w:ascii="Calibri" w:hAnsi="Calibri" w:cs="Calibri"/>
          <w:sz w:val="22"/>
          <w:szCs w:val="22"/>
        </w:rPr>
      </w:pPr>
    </w:p>
    <w:p w14:paraId="4A95B6DC" w14:textId="77777777" w:rsidR="00A53C87" w:rsidRDefault="00A53C87" w:rsidP="00420A86">
      <w:pPr>
        <w:pStyle w:val="TOCHeading"/>
        <w:spacing w:before="0" w:line="240" w:lineRule="auto"/>
        <w:rPr>
          <w:rStyle w:val="Emphasis"/>
          <w:rFonts w:ascii="Calibri" w:hAnsi="Calibri" w:cs="Calibri"/>
          <w:sz w:val="22"/>
          <w:szCs w:val="22"/>
        </w:rPr>
      </w:pPr>
    </w:p>
    <w:p w14:paraId="29712C80" w14:textId="77777777" w:rsidR="00A53C87" w:rsidRDefault="00A53C87" w:rsidP="00420A86">
      <w:pPr>
        <w:pStyle w:val="TOCHeading"/>
        <w:spacing w:before="0" w:line="240" w:lineRule="auto"/>
        <w:rPr>
          <w:rStyle w:val="Emphasis"/>
          <w:rFonts w:ascii="Calibri" w:hAnsi="Calibri" w:cs="Calibri"/>
          <w:sz w:val="22"/>
          <w:szCs w:val="22"/>
        </w:rPr>
      </w:pPr>
    </w:p>
    <w:p w14:paraId="1D0E8B49" w14:textId="77777777" w:rsidR="00A53C87" w:rsidRDefault="00A53C87" w:rsidP="00420A86">
      <w:pPr>
        <w:pStyle w:val="TOCHeading"/>
        <w:spacing w:before="0" w:line="240" w:lineRule="auto"/>
        <w:rPr>
          <w:rStyle w:val="Emphasis"/>
          <w:rFonts w:ascii="Calibri" w:hAnsi="Calibri" w:cs="Calibri"/>
          <w:sz w:val="22"/>
          <w:szCs w:val="22"/>
        </w:rPr>
      </w:pPr>
    </w:p>
    <w:p w14:paraId="3BD3AAF5" w14:textId="77777777" w:rsidR="00A53C87" w:rsidRDefault="00A53C87" w:rsidP="00420A86">
      <w:pPr>
        <w:pStyle w:val="TOCHeading"/>
        <w:spacing w:before="0" w:line="240" w:lineRule="auto"/>
        <w:rPr>
          <w:rStyle w:val="Emphasis"/>
          <w:rFonts w:ascii="Calibri" w:hAnsi="Calibri" w:cs="Calibri"/>
          <w:sz w:val="22"/>
          <w:szCs w:val="22"/>
        </w:rPr>
      </w:pPr>
    </w:p>
    <w:p w14:paraId="6B52395D" w14:textId="77777777" w:rsidR="00A53C87" w:rsidRDefault="00A53C87" w:rsidP="00420A86">
      <w:pPr>
        <w:pStyle w:val="TOCHeading"/>
        <w:spacing w:before="0" w:line="240" w:lineRule="auto"/>
        <w:rPr>
          <w:rStyle w:val="Emphasis"/>
          <w:rFonts w:ascii="Calibri" w:hAnsi="Calibri" w:cs="Calibri"/>
          <w:sz w:val="22"/>
          <w:szCs w:val="22"/>
        </w:rPr>
      </w:pPr>
    </w:p>
    <w:p w14:paraId="6E537B1C" w14:textId="77777777" w:rsidR="00A53C87" w:rsidRDefault="00A53C87" w:rsidP="00420A86">
      <w:pPr>
        <w:pStyle w:val="TOCHeading"/>
        <w:spacing w:before="0" w:line="240" w:lineRule="auto"/>
        <w:rPr>
          <w:rStyle w:val="Emphasis"/>
          <w:rFonts w:ascii="Calibri" w:hAnsi="Calibri" w:cs="Calibri"/>
          <w:sz w:val="22"/>
          <w:szCs w:val="22"/>
        </w:rPr>
      </w:pPr>
    </w:p>
    <w:p w14:paraId="7FE54273" w14:textId="77777777" w:rsidR="00A53C87" w:rsidRDefault="00A53C87" w:rsidP="00420A86">
      <w:pPr>
        <w:pStyle w:val="TOCHeading"/>
        <w:spacing w:before="0" w:line="240" w:lineRule="auto"/>
        <w:rPr>
          <w:rStyle w:val="Emphasis"/>
          <w:rFonts w:ascii="Calibri" w:hAnsi="Calibri" w:cs="Calibri"/>
          <w:sz w:val="22"/>
          <w:szCs w:val="22"/>
        </w:rPr>
      </w:pPr>
    </w:p>
    <w:p w14:paraId="5BCD59F6" w14:textId="77777777" w:rsidR="00A53C87" w:rsidRDefault="00A53C87" w:rsidP="00420A86">
      <w:pPr>
        <w:pStyle w:val="TOCHeading"/>
        <w:spacing w:before="0" w:line="240" w:lineRule="auto"/>
        <w:rPr>
          <w:rStyle w:val="Emphasis"/>
          <w:rFonts w:ascii="Calibri" w:hAnsi="Calibri" w:cs="Calibri"/>
          <w:sz w:val="22"/>
          <w:szCs w:val="22"/>
        </w:rPr>
      </w:pPr>
    </w:p>
    <w:p w14:paraId="76D315AB" w14:textId="77777777" w:rsidR="00A53C87" w:rsidRDefault="00A53C87" w:rsidP="00420A86">
      <w:pPr>
        <w:pStyle w:val="TOCHeading"/>
        <w:spacing w:before="0" w:line="240" w:lineRule="auto"/>
        <w:rPr>
          <w:rStyle w:val="Emphasis"/>
          <w:rFonts w:ascii="Calibri" w:hAnsi="Calibri" w:cs="Calibri"/>
          <w:sz w:val="22"/>
          <w:szCs w:val="22"/>
        </w:rPr>
      </w:pPr>
    </w:p>
    <w:p w14:paraId="7F85B143" w14:textId="77777777" w:rsidR="00A53C87" w:rsidRDefault="00A53C87" w:rsidP="00420A86">
      <w:pPr>
        <w:pStyle w:val="TOCHeading"/>
        <w:spacing w:before="0" w:line="240" w:lineRule="auto"/>
        <w:rPr>
          <w:rStyle w:val="Emphasis"/>
          <w:rFonts w:ascii="Calibri" w:hAnsi="Calibri" w:cs="Calibri"/>
          <w:sz w:val="22"/>
          <w:szCs w:val="22"/>
        </w:rPr>
      </w:pPr>
    </w:p>
    <w:p w14:paraId="3D514752" w14:textId="77777777" w:rsidR="00A53C87" w:rsidRDefault="00A53C87" w:rsidP="00420A86">
      <w:pPr>
        <w:pStyle w:val="TOCHeading"/>
        <w:spacing w:before="0" w:line="240" w:lineRule="auto"/>
        <w:rPr>
          <w:rStyle w:val="Emphasis"/>
          <w:rFonts w:ascii="Calibri" w:hAnsi="Calibri" w:cs="Calibri"/>
          <w:sz w:val="22"/>
          <w:szCs w:val="22"/>
        </w:rPr>
      </w:pPr>
    </w:p>
    <w:p w14:paraId="4BDA1D80" w14:textId="77777777" w:rsidR="00A53C87" w:rsidRDefault="00A53C87" w:rsidP="00420A86">
      <w:pPr>
        <w:pStyle w:val="TOCHeading"/>
        <w:spacing w:before="0" w:line="240" w:lineRule="auto"/>
        <w:rPr>
          <w:rStyle w:val="Emphasis"/>
          <w:rFonts w:ascii="Calibri" w:hAnsi="Calibri" w:cs="Calibri"/>
          <w:sz w:val="22"/>
          <w:szCs w:val="22"/>
        </w:rPr>
      </w:pPr>
    </w:p>
    <w:p w14:paraId="6DF2DB28" w14:textId="77777777" w:rsidR="00A53C87" w:rsidRDefault="00A53C87" w:rsidP="00420A86">
      <w:pPr>
        <w:pStyle w:val="TOCHeading"/>
        <w:spacing w:before="0" w:line="240" w:lineRule="auto"/>
        <w:rPr>
          <w:rStyle w:val="Emphasis"/>
          <w:rFonts w:ascii="Calibri" w:hAnsi="Calibri" w:cs="Calibri"/>
          <w:sz w:val="22"/>
          <w:szCs w:val="22"/>
        </w:rPr>
      </w:pPr>
    </w:p>
    <w:p w14:paraId="453D4CC5" w14:textId="77777777" w:rsidR="00A53C87" w:rsidRDefault="00A53C87" w:rsidP="00420A86">
      <w:pPr>
        <w:pStyle w:val="TOCHeading"/>
        <w:spacing w:before="0" w:line="240" w:lineRule="auto"/>
        <w:rPr>
          <w:rStyle w:val="Emphasis"/>
          <w:rFonts w:ascii="Calibri" w:hAnsi="Calibri" w:cs="Calibri"/>
          <w:sz w:val="22"/>
          <w:szCs w:val="22"/>
        </w:rPr>
      </w:pPr>
    </w:p>
    <w:p w14:paraId="1716A81A" w14:textId="77777777" w:rsidR="00A53C87" w:rsidRDefault="00A53C87" w:rsidP="00420A86">
      <w:pPr>
        <w:pStyle w:val="TOCHeading"/>
        <w:spacing w:before="0" w:line="240" w:lineRule="auto"/>
        <w:rPr>
          <w:rStyle w:val="Emphasis"/>
          <w:rFonts w:ascii="Calibri" w:hAnsi="Calibri" w:cs="Calibri"/>
          <w:sz w:val="22"/>
          <w:szCs w:val="22"/>
        </w:rPr>
      </w:pPr>
    </w:p>
    <w:p w14:paraId="19F82B24" w14:textId="77777777" w:rsidR="00A53C87" w:rsidRDefault="00A53C87" w:rsidP="00420A86">
      <w:pPr>
        <w:pStyle w:val="TOCHeading"/>
        <w:spacing w:before="0" w:line="240" w:lineRule="auto"/>
        <w:rPr>
          <w:rStyle w:val="Emphasis"/>
          <w:rFonts w:ascii="Calibri" w:hAnsi="Calibri" w:cs="Calibri"/>
          <w:sz w:val="22"/>
          <w:szCs w:val="22"/>
        </w:rPr>
      </w:pPr>
    </w:p>
    <w:p w14:paraId="536A16E6" w14:textId="77777777" w:rsidR="00A53C87" w:rsidRDefault="00A53C87" w:rsidP="00420A86">
      <w:pPr>
        <w:pStyle w:val="TOCHeading"/>
        <w:spacing w:before="0" w:line="240" w:lineRule="auto"/>
        <w:rPr>
          <w:rStyle w:val="Emphasis"/>
          <w:rFonts w:ascii="Calibri" w:hAnsi="Calibri" w:cs="Calibri"/>
          <w:sz w:val="22"/>
          <w:szCs w:val="22"/>
        </w:rPr>
      </w:pPr>
    </w:p>
    <w:p w14:paraId="68416399" w14:textId="77777777" w:rsidR="00A53C87" w:rsidRDefault="00A53C87">
      <w:pPr>
        <w:spacing w:before="0" w:after="0"/>
        <w:jc w:val="left"/>
        <w:rPr>
          <w:rStyle w:val="Emphasis"/>
          <w:rFonts w:cs="Calibri"/>
          <w:b/>
          <w:bCs/>
          <w:color w:val="365F91"/>
          <w:sz w:val="22"/>
          <w:lang w:eastAsia="ja-JP"/>
        </w:rPr>
      </w:pPr>
      <w:r>
        <w:rPr>
          <w:rStyle w:val="Emphasis"/>
          <w:rFonts w:cs="Calibri"/>
          <w:sz w:val="22"/>
        </w:rPr>
        <w:br w:type="page"/>
      </w:r>
    </w:p>
    <w:p w14:paraId="416EE517" w14:textId="4857B82D" w:rsidR="00B20DCD" w:rsidRPr="00420A86" w:rsidRDefault="00B20DCD" w:rsidP="00420A86">
      <w:pPr>
        <w:pStyle w:val="TOCHeading"/>
        <w:spacing w:before="0" w:line="240" w:lineRule="auto"/>
        <w:rPr>
          <w:rStyle w:val="Emphasis"/>
          <w:rFonts w:ascii="Calibri" w:hAnsi="Calibri" w:cs="Calibri"/>
          <w:sz w:val="22"/>
          <w:szCs w:val="22"/>
        </w:rPr>
      </w:pPr>
      <w:r w:rsidRPr="00420A86">
        <w:rPr>
          <w:rStyle w:val="Emphasis"/>
          <w:rFonts w:ascii="Calibri" w:hAnsi="Calibri" w:cs="Calibri"/>
          <w:sz w:val="22"/>
          <w:szCs w:val="22"/>
        </w:rPr>
        <w:lastRenderedPageBreak/>
        <w:t>Contents</w:t>
      </w:r>
    </w:p>
    <w:p w14:paraId="56578A15" w14:textId="77777777" w:rsidR="007A5B4B" w:rsidRPr="00420A86" w:rsidRDefault="007A5B4B" w:rsidP="00420A86">
      <w:pPr>
        <w:pStyle w:val="TOC1"/>
        <w:tabs>
          <w:tab w:val="right" w:leader="dot" w:pos="9017"/>
        </w:tabs>
        <w:spacing w:before="0" w:after="0"/>
        <w:rPr>
          <w:rStyle w:val="Emphasis"/>
          <w:rFonts w:cs="Calibri"/>
          <w:sz w:val="22"/>
        </w:rPr>
      </w:pPr>
    </w:p>
    <w:p w14:paraId="3BB33013" w14:textId="056A1E64" w:rsidR="00981A64" w:rsidRDefault="00B20DCD">
      <w:pPr>
        <w:pStyle w:val="TOC1"/>
        <w:tabs>
          <w:tab w:val="right" w:leader="dot" w:pos="9017"/>
        </w:tabs>
        <w:rPr>
          <w:rFonts w:asciiTheme="minorHAnsi" w:eastAsiaTheme="minorEastAsia" w:hAnsiTheme="minorHAnsi" w:cstheme="minorBidi"/>
          <w:noProof/>
          <w:kern w:val="2"/>
          <w:sz w:val="21"/>
          <w:lang w:val="en-US" w:eastAsia="zh-CN"/>
        </w:rPr>
      </w:pPr>
      <w:r w:rsidRPr="00420A86">
        <w:rPr>
          <w:rStyle w:val="Emphasis"/>
          <w:rFonts w:cs="Calibri"/>
          <w:sz w:val="22"/>
        </w:rPr>
        <w:fldChar w:fldCharType="begin"/>
      </w:r>
      <w:r w:rsidRPr="00420A86">
        <w:rPr>
          <w:rStyle w:val="Emphasis"/>
          <w:rFonts w:cs="Calibri"/>
          <w:sz w:val="22"/>
        </w:rPr>
        <w:instrText xml:space="preserve"> TOC \o "1-3" \h \z \u </w:instrText>
      </w:r>
      <w:r w:rsidRPr="00420A86">
        <w:rPr>
          <w:rStyle w:val="Emphasis"/>
          <w:rFonts w:cs="Calibri"/>
          <w:sz w:val="22"/>
        </w:rPr>
        <w:fldChar w:fldCharType="separate"/>
      </w:r>
      <w:hyperlink w:anchor="_Toc86064147" w:history="1">
        <w:r w:rsidR="00981A64" w:rsidRPr="00D61CC6">
          <w:rPr>
            <w:rStyle w:val="Hyperlink"/>
            <w:rFonts w:cs="Calibri"/>
            <w:noProof/>
          </w:rPr>
          <w:t>Executive Summary</w:t>
        </w:r>
        <w:r w:rsidR="00981A64">
          <w:rPr>
            <w:noProof/>
            <w:webHidden/>
          </w:rPr>
          <w:tab/>
        </w:r>
        <w:r w:rsidR="00981A64">
          <w:rPr>
            <w:noProof/>
            <w:webHidden/>
          </w:rPr>
          <w:fldChar w:fldCharType="begin"/>
        </w:r>
        <w:r w:rsidR="00981A64">
          <w:rPr>
            <w:noProof/>
            <w:webHidden/>
          </w:rPr>
          <w:instrText xml:space="preserve"> PAGEREF _Toc86064147 \h </w:instrText>
        </w:r>
        <w:r w:rsidR="00981A64">
          <w:rPr>
            <w:noProof/>
            <w:webHidden/>
          </w:rPr>
        </w:r>
        <w:r w:rsidR="00981A64">
          <w:rPr>
            <w:noProof/>
            <w:webHidden/>
          </w:rPr>
          <w:fldChar w:fldCharType="separate"/>
        </w:r>
        <w:r w:rsidR="00981A64">
          <w:rPr>
            <w:noProof/>
            <w:webHidden/>
          </w:rPr>
          <w:t>i</w:t>
        </w:r>
        <w:r w:rsidR="00981A64">
          <w:rPr>
            <w:noProof/>
            <w:webHidden/>
          </w:rPr>
          <w:fldChar w:fldCharType="end"/>
        </w:r>
      </w:hyperlink>
    </w:p>
    <w:p w14:paraId="6448170D" w14:textId="550051FF" w:rsidR="00981A64" w:rsidRDefault="00C8679E">
      <w:pPr>
        <w:pStyle w:val="TOC1"/>
        <w:tabs>
          <w:tab w:val="right" w:leader="dot" w:pos="9017"/>
        </w:tabs>
        <w:rPr>
          <w:rFonts w:asciiTheme="minorHAnsi" w:eastAsiaTheme="minorEastAsia" w:hAnsiTheme="minorHAnsi" w:cstheme="minorBidi"/>
          <w:noProof/>
          <w:kern w:val="2"/>
          <w:sz w:val="21"/>
          <w:lang w:val="en-US" w:eastAsia="zh-CN"/>
        </w:rPr>
      </w:pPr>
      <w:hyperlink w:anchor="_Toc86064148" w:history="1">
        <w:r w:rsidR="00981A64" w:rsidRPr="00D61CC6">
          <w:rPr>
            <w:rStyle w:val="Hyperlink"/>
            <w:rFonts w:cs="Calibri"/>
            <w:noProof/>
          </w:rPr>
          <w:t>Abbreviations and Acronyms</w:t>
        </w:r>
        <w:r w:rsidR="00981A64">
          <w:rPr>
            <w:noProof/>
            <w:webHidden/>
          </w:rPr>
          <w:tab/>
        </w:r>
        <w:r w:rsidR="00981A64">
          <w:rPr>
            <w:noProof/>
            <w:webHidden/>
          </w:rPr>
          <w:fldChar w:fldCharType="begin"/>
        </w:r>
        <w:r w:rsidR="00981A64">
          <w:rPr>
            <w:noProof/>
            <w:webHidden/>
          </w:rPr>
          <w:instrText xml:space="preserve"> PAGEREF _Toc86064148 \h </w:instrText>
        </w:r>
        <w:r w:rsidR="00981A64">
          <w:rPr>
            <w:noProof/>
            <w:webHidden/>
          </w:rPr>
        </w:r>
        <w:r w:rsidR="00981A64">
          <w:rPr>
            <w:noProof/>
            <w:webHidden/>
          </w:rPr>
          <w:fldChar w:fldCharType="separate"/>
        </w:r>
        <w:r w:rsidR="00981A64">
          <w:rPr>
            <w:noProof/>
            <w:webHidden/>
          </w:rPr>
          <w:t>iii</w:t>
        </w:r>
        <w:r w:rsidR="00981A64">
          <w:rPr>
            <w:noProof/>
            <w:webHidden/>
          </w:rPr>
          <w:fldChar w:fldCharType="end"/>
        </w:r>
      </w:hyperlink>
    </w:p>
    <w:p w14:paraId="3CA938DF" w14:textId="2AD4997F"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49" w:history="1">
        <w:r w:rsidR="00981A64" w:rsidRPr="00D61CC6">
          <w:rPr>
            <w:rStyle w:val="Hyperlink"/>
            <w:rFonts w:cs="Calibri"/>
            <w:noProof/>
          </w:rPr>
          <w:t>1</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Introduction</w:t>
        </w:r>
        <w:r w:rsidR="00981A64">
          <w:rPr>
            <w:noProof/>
            <w:webHidden/>
          </w:rPr>
          <w:tab/>
        </w:r>
        <w:r w:rsidR="00981A64">
          <w:rPr>
            <w:noProof/>
            <w:webHidden/>
          </w:rPr>
          <w:fldChar w:fldCharType="begin"/>
        </w:r>
        <w:r w:rsidR="00981A64">
          <w:rPr>
            <w:noProof/>
            <w:webHidden/>
          </w:rPr>
          <w:instrText xml:space="preserve"> PAGEREF _Toc86064149 \h </w:instrText>
        </w:r>
        <w:r w:rsidR="00981A64">
          <w:rPr>
            <w:noProof/>
            <w:webHidden/>
          </w:rPr>
        </w:r>
        <w:r w:rsidR="00981A64">
          <w:rPr>
            <w:noProof/>
            <w:webHidden/>
          </w:rPr>
          <w:fldChar w:fldCharType="separate"/>
        </w:r>
        <w:r w:rsidR="00981A64">
          <w:rPr>
            <w:noProof/>
            <w:webHidden/>
          </w:rPr>
          <w:t>4</w:t>
        </w:r>
        <w:r w:rsidR="00981A64">
          <w:rPr>
            <w:noProof/>
            <w:webHidden/>
          </w:rPr>
          <w:fldChar w:fldCharType="end"/>
        </w:r>
      </w:hyperlink>
    </w:p>
    <w:p w14:paraId="42F7931C" w14:textId="33F55695"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0" w:history="1">
        <w:r w:rsidR="00981A64" w:rsidRPr="00D61CC6">
          <w:rPr>
            <w:rStyle w:val="Hyperlink"/>
            <w:rFonts w:cs="Calibri"/>
            <w:noProof/>
          </w:rPr>
          <w:t>1.1</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Project Description</w:t>
        </w:r>
        <w:r w:rsidR="00981A64">
          <w:rPr>
            <w:noProof/>
            <w:webHidden/>
          </w:rPr>
          <w:tab/>
        </w:r>
        <w:r w:rsidR="00981A64">
          <w:rPr>
            <w:noProof/>
            <w:webHidden/>
          </w:rPr>
          <w:fldChar w:fldCharType="begin"/>
        </w:r>
        <w:r w:rsidR="00981A64">
          <w:rPr>
            <w:noProof/>
            <w:webHidden/>
          </w:rPr>
          <w:instrText xml:space="preserve"> PAGEREF _Toc86064150 \h </w:instrText>
        </w:r>
        <w:r w:rsidR="00981A64">
          <w:rPr>
            <w:noProof/>
            <w:webHidden/>
          </w:rPr>
        </w:r>
        <w:r w:rsidR="00981A64">
          <w:rPr>
            <w:noProof/>
            <w:webHidden/>
          </w:rPr>
          <w:fldChar w:fldCharType="separate"/>
        </w:r>
        <w:r w:rsidR="00981A64">
          <w:rPr>
            <w:noProof/>
            <w:webHidden/>
          </w:rPr>
          <w:t>4</w:t>
        </w:r>
        <w:r w:rsidR="00981A64">
          <w:rPr>
            <w:noProof/>
            <w:webHidden/>
          </w:rPr>
          <w:fldChar w:fldCharType="end"/>
        </w:r>
      </w:hyperlink>
    </w:p>
    <w:p w14:paraId="2ED379AE" w14:textId="38E52F76"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1" w:history="1">
        <w:r w:rsidR="00981A64" w:rsidRPr="00D61CC6">
          <w:rPr>
            <w:rStyle w:val="Hyperlink"/>
            <w:rFonts w:cs="Calibri"/>
            <w:noProof/>
          </w:rPr>
          <w:t>1.2</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Purpose and Scope of this ESMF</w:t>
        </w:r>
        <w:r w:rsidR="00981A64">
          <w:rPr>
            <w:noProof/>
            <w:webHidden/>
          </w:rPr>
          <w:tab/>
        </w:r>
        <w:r w:rsidR="00981A64">
          <w:rPr>
            <w:noProof/>
            <w:webHidden/>
          </w:rPr>
          <w:fldChar w:fldCharType="begin"/>
        </w:r>
        <w:r w:rsidR="00981A64">
          <w:rPr>
            <w:noProof/>
            <w:webHidden/>
          </w:rPr>
          <w:instrText xml:space="preserve"> PAGEREF _Toc86064151 \h </w:instrText>
        </w:r>
        <w:r w:rsidR="00981A64">
          <w:rPr>
            <w:noProof/>
            <w:webHidden/>
          </w:rPr>
        </w:r>
        <w:r w:rsidR="00981A64">
          <w:rPr>
            <w:noProof/>
            <w:webHidden/>
          </w:rPr>
          <w:fldChar w:fldCharType="separate"/>
        </w:r>
        <w:r w:rsidR="00981A64">
          <w:rPr>
            <w:noProof/>
            <w:webHidden/>
          </w:rPr>
          <w:t>5</w:t>
        </w:r>
        <w:r w:rsidR="00981A64">
          <w:rPr>
            <w:noProof/>
            <w:webHidden/>
          </w:rPr>
          <w:fldChar w:fldCharType="end"/>
        </w:r>
      </w:hyperlink>
    </w:p>
    <w:p w14:paraId="01EFE041" w14:textId="402BDE05"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2" w:history="1">
        <w:r w:rsidR="00981A64" w:rsidRPr="00D61CC6">
          <w:rPr>
            <w:rStyle w:val="Hyperlink"/>
            <w:rFonts w:cs="Calibri"/>
            <w:noProof/>
          </w:rPr>
          <w:t>1.3</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Potential Social and Environmental Impacts</w:t>
        </w:r>
        <w:r w:rsidR="00981A64">
          <w:rPr>
            <w:noProof/>
            <w:webHidden/>
          </w:rPr>
          <w:tab/>
        </w:r>
        <w:r w:rsidR="00981A64">
          <w:rPr>
            <w:noProof/>
            <w:webHidden/>
          </w:rPr>
          <w:fldChar w:fldCharType="begin"/>
        </w:r>
        <w:r w:rsidR="00981A64">
          <w:rPr>
            <w:noProof/>
            <w:webHidden/>
          </w:rPr>
          <w:instrText xml:space="preserve"> PAGEREF _Toc86064152 \h </w:instrText>
        </w:r>
        <w:r w:rsidR="00981A64">
          <w:rPr>
            <w:noProof/>
            <w:webHidden/>
          </w:rPr>
        </w:r>
        <w:r w:rsidR="00981A64">
          <w:rPr>
            <w:noProof/>
            <w:webHidden/>
          </w:rPr>
          <w:fldChar w:fldCharType="separate"/>
        </w:r>
        <w:r w:rsidR="00981A64">
          <w:rPr>
            <w:noProof/>
            <w:webHidden/>
          </w:rPr>
          <w:t>6</w:t>
        </w:r>
        <w:r w:rsidR="00981A64">
          <w:rPr>
            <w:noProof/>
            <w:webHidden/>
          </w:rPr>
          <w:fldChar w:fldCharType="end"/>
        </w:r>
      </w:hyperlink>
    </w:p>
    <w:p w14:paraId="6A7AE17F" w14:textId="3A03378E"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53" w:history="1">
        <w:r w:rsidR="00981A64" w:rsidRPr="00D61CC6">
          <w:rPr>
            <w:rStyle w:val="Hyperlink"/>
            <w:rFonts w:cs="Calibri"/>
            <w:noProof/>
          </w:rPr>
          <w:t>2</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Legislation and Institutional Frameworks for environmental and social matters</w:t>
        </w:r>
        <w:r w:rsidR="00981A64">
          <w:rPr>
            <w:noProof/>
            <w:webHidden/>
          </w:rPr>
          <w:tab/>
        </w:r>
        <w:r w:rsidR="00981A64">
          <w:rPr>
            <w:noProof/>
            <w:webHidden/>
          </w:rPr>
          <w:fldChar w:fldCharType="begin"/>
        </w:r>
        <w:r w:rsidR="00981A64">
          <w:rPr>
            <w:noProof/>
            <w:webHidden/>
          </w:rPr>
          <w:instrText xml:space="preserve"> PAGEREF _Toc86064153 \h </w:instrText>
        </w:r>
        <w:r w:rsidR="00981A64">
          <w:rPr>
            <w:noProof/>
            <w:webHidden/>
          </w:rPr>
        </w:r>
        <w:r w:rsidR="00981A64">
          <w:rPr>
            <w:noProof/>
            <w:webHidden/>
          </w:rPr>
          <w:fldChar w:fldCharType="separate"/>
        </w:r>
        <w:r w:rsidR="00981A64">
          <w:rPr>
            <w:noProof/>
            <w:webHidden/>
          </w:rPr>
          <w:t>9</w:t>
        </w:r>
        <w:r w:rsidR="00981A64">
          <w:rPr>
            <w:noProof/>
            <w:webHidden/>
          </w:rPr>
          <w:fldChar w:fldCharType="end"/>
        </w:r>
      </w:hyperlink>
    </w:p>
    <w:p w14:paraId="0729B4B6" w14:textId="4DCFB0BF"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4" w:history="1">
        <w:r w:rsidR="00981A64" w:rsidRPr="00D61CC6">
          <w:rPr>
            <w:rStyle w:val="Hyperlink"/>
            <w:rFonts w:cs="Calibri"/>
            <w:noProof/>
          </w:rPr>
          <w:t>2.1</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National Legislation, Policies and Regulations</w:t>
        </w:r>
        <w:r w:rsidR="00981A64">
          <w:rPr>
            <w:noProof/>
            <w:webHidden/>
          </w:rPr>
          <w:tab/>
        </w:r>
        <w:r w:rsidR="00981A64">
          <w:rPr>
            <w:noProof/>
            <w:webHidden/>
          </w:rPr>
          <w:fldChar w:fldCharType="begin"/>
        </w:r>
        <w:r w:rsidR="00981A64">
          <w:rPr>
            <w:noProof/>
            <w:webHidden/>
          </w:rPr>
          <w:instrText xml:space="preserve"> PAGEREF _Toc86064154 \h </w:instrText>
        </w:r>
        <w:r w:rsidR="00981A64">
          <w:rPr>
            <w:noProof/>
            <w:webHidden/>
          </w:rPr>
        </w:r>
        <w:r w:rsidR="00981A64">
          <w:rPr>
            <w:noProof/>
            <w:webHidden/>
          </w:rPr>
          <w:fldChar w:fldCharType="separate"/>
        </w:r>
        <w:r w:rsidR="00981A64">
          <w:rPr>
            <w:noProof/>
            <w:webHidden/>
          </w:rPr>
          <w:t>9</w:t>
        </w:r>
        <w:r w:rsidR="00981A64">
          <w:rPr>
            <w:noProof/>
            <w:webHidden/>
          </w:rPr>
          <w:fldChar w:fldCharType="end"/>
        </w:r>
      </w:hyperlink>
    </w:p>
    <w:p w14:paraId="66065FFD" w14:textId="317A9E7D"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5" w:history="1">
        <w:r w:rsidR="00981A64" w:rsidRPr="00D61CC6">
          <w:rPr>
            <w:rStyle w:val="Hyperlink"/>
            <w:rFonts w:cs="Calibri"/>
            <w:noProof/>
          </w:rPr>
          <w:t>2.2</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UNDP’s Social and Environmental Standards</w:t>
        </w:r>
        <w:r w:rsidR="00981A64">
          <w:rPr>
            <w:noProof/>
            <w:webHidden/>
          </w:rPr>
          <w:tab/>
        </w:r>
        <w:r w:rsidR="00981A64">
          <w:rPr>
            <w:noProof/>
            <w:webHidden/>
          </w:rPr>
          <w:fldChar w:fldCharType="begin"/>
        </w:r>
        <w:r w:rsidR="00981A64">
          <w:rPr>
            <w:noProof/>
            <w:webHidden/>
          </w:rPr>
          <w:instrText xml:space="preserve"> PAGEREF _Toc86064155 \h </w:instrText>
        </w:r>
        <w:r w:rsidR="00981A64">
          <w:rPr>
            <w:noProof/>
            <w:webHidden/>
          </w:rPr>
        </w:r>
        <w:r w:rsidR="00981A64">
          <w:rPr>
            <w:noProof/>
            <w:webHidden/>
          </w:rPr>
          <w:fldChar w:fldCharType="separate"/>
        </w:r>
        <w:r w:rsidR="00981A64">
          <w:rPr>
            <w:noProof/>
            <w:webHidden/>
          </w:rPr>
          <w:t>12</w:t>
        </w:r>
        <w:r w:rsidR="00981A64">
          <w:rPr>
            <w:noProof/>
            <w:webHidden/>
          </w:rPr>
          <w:fldChar w:fldCharType="end"/>
        </w:r>
      </w:hyperlink>
    </w:p>
    <w:p w14:paraId="1D9D5DC1" w14:textId="77E15D91"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6" w:history="1">
        <w:r w:rsidR="00981A64" w:rsidRPr="00D61CC6">
          <w:rPr>
            <w:rStyle w:val="Hyperlink"/>
            <w:rFonts w:cs="Calibri"/>
            <w:noProof/>
          </w:rPr>
          <w:t>2.3</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Gaps in Policy Framework</w:t>
        </w:r>
        <w:r w:rsidR="00981A64">
          <w:rPr>
            <w:noProof/>
            <w:webHidden/>
          </w:rPr>
          <w:tab/>
        </w:r>
        <w:r w:rsidR="00981A64">
          <w:rPr>
            <w:noProof/>
            <w:webHidden/>
          </w:rPr>
          <w:fldChar w:fldCharType="begin"/>
        </w:r>
        <w:r w:rsidR="00981A64">
          <w:rPr>
            <w:noProof/>
            <w:webHidden/>
          </w:rPr>
          <w:instrText xml:space="preserve"> PAGEREF _Toc86064156 \h </w:instrText>
        </w:r>
        <w:r w:rsidR="00981A64">
          <w:rPr>
            <w:noProof/>
            <w:webHidden/>
          </w:rPr>
        </w:r>
        <w:r w:rsidR="00981A64">
          <w:rPr>
            <w:noProof/>
            <w:webHidden/>
          </w:rPr>
          <w:fldChar w:fldCharType="separate"/>
        </w:r>
        <w:r w:rsidR="00981A64">
          <w:rPr>
            <w:noProof/>
            <w:webHidden/>
          </w:rPr>
          <w:t>14</w:t>
        </w:r>
        <w:r w:rsidR="00981A64">
          <w:rPr>
            <w:noProof/>
            <w:webHidden/>
          </w:rPr>
          <w:fldChar w:fldCharType="end"/>
        </w:r>
      </w:hyperlink>
    </w:p>
    <w:p w14:paraId="39227DB8" w14:textId="069FFBCA"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57" w:history="1">
        <w:r w:rsidR="00981A64" w:rsidRPr="00D61CC6">
          <w:rPr>
            <w:rStyle w:val="Hyperlink"/>
            <w:rFonts w:cs="Calibri"/>
            <w:noProof/>
          </w:rPr>
          <w:t>3</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Procedures for Screening, Assessing and Managing Social and Environmental Impacts</w:t>
        </w:r>
        <w:r w:rsidR="00981A64">
          <w:rPr>
            <w:noProof/>
            <w:webHidden/>
          </w:rPr>
          <w:tab/>
        </w:r>
        <w:r w:rsidR="00981A64">
          <w:rPr>
            <w:noProof/>
            <w:webHidden/>
          </w:rPr>
          <w:fldChar w:fldCharType="begin"/>
        </w:r>
        <w:r w:rsidR="00981A64">
          <w:rPr>
            <w:noProof/>
            <w:webHidden/>
          </w:rPr>
          <w:instrText xml:space="preserve"> PAGEREF _Toc86064157 \h </w:instrText>
        </w:r>
        <w:r w:rsidR="00981A64">
          <w:rPr>
            <w:noProof/>
            <w:webHidden/>
          </w:rPr>
        </w:r>
        <w:r w:rsidR="00981A64">
          <w:rPr>
            <w:noProof/>
            <w:webHidden/>
          </w:rPr>
          <w:fldChar w:fldCharType="separate"/>
        </w:r>
        <w:r w:rsidR="00981A64">
          <w:rPr>
            <w:noProof/>
            <w:webHidden/>
          </w:rPr>
          <w:t>14</w:t>
        </w:r>
        <w:r w:rsidR="00981A64">
          <w:rPr>
            <w:noProof/>
            <w:webHidden/>
          </w:rPr>
          <w:fldChar w:fldCharType="end"/>
        </w:r>
      </w:hyperlink>
    </w:p>
    <w:p w14:paraId="7B3DD60E" w14:textId="14AFE467"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8" w:history="1">
        <w:r w:rsidR="00981A64" w:rsidRPr="00D61CC6">
          <w:rPr>
            <w:rStyle w:val="Hyperlink"/>
            <w:noProof/>
          </w:rPr>
          <w:t>3.1</w:t>
        </w:r>
        <w:r w:rsidR="00981A64">
          <w:rPr>
            <w:rFonts w:asciiTheme="minorHAnsi" w:eastAsiaTheme="minorEastAsia" w:hAnsiTheme="minorHAnsi" w:cstheme="minorBidi"/>
            <w:noProof/>
            <w:kern w:val="2"/>
            <w:sz w:val="21"/>
            <w:lang w:val="en-US" w:eastAsia="zh-CN"/>
          </w:rPr>
          <w:tab/>
        </w:r>
        <w:r w:rsidR="00981A64" w:rsidRPr="00D61CC6">
          <w:rPr>
            <w:rStyle w:val="Hyperlink"/>
            <w:noProof/>
          </w:rPr>
          <w:t>Screening</w:t>
        </w:r>
        <w:r w:rsidR="00981A64">
          <w:rPr>
            <w:noProof/>
            <w:webHidden/>
          </w:rPr>
          <w:tab/>
        </w:r>
        <w:r w:rsidR="00981A64">
          <w:rPr>
            <w:noProof/>
            <w:webHidden/>
          </w:rPr>
          <w:fldChar w:fldCharType="begin"/>
        </w:r>
        <w:r w:rsidR="00981A64">
          <w:rPr>
            <w:noProof/>
            <w:webHidden/>
          </w:rPr>
          <w:instrText xml:space="preserve"> PAGEREF _Toc86064158 \h </w:instrText>
        </w:r>
        <w:r w:rsidR="00981A64">
          <w:rPr>
            <w:noProof/>
            <w:webHidden/>
          </w:rPr>
        </w:r>
        <w:r w:rsidR="00981A64">
          <w:rPr>
            <w:noProof/>
            <w:webHidden/>
          </w:rPr>
          <w:fldChar w:fldCharType="separate"/>
        </w:r>
        <w:r w:rsidR="00981A64">
          <w:rPr>
            <w:noProof/>
            <w:webHidden/>
          </w:rPr>
          <w:t>14</w:t>
        </w:r>
        <w:r w:rsidR="00981A64">
          <w:rPr>
            <w:noProof/>
            <w:webHidden/>
          </w:rPr>
          <w:fldChar w:fldCharType="end"/>
        </w:r>
      </w:hyperlink>
    </w:p>
    <w:p w14:paraId="0E49CB9A" w14:textId="1B201854"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59" w:history="1">
        <w:r w:rsidR="00981A64" w:rsidRPr="00D61CC6">
          <w:rPr>
            <w:rStyle w:val="Hyperlink"/>
            <w:noProof/>
          </w:rPr>
          <w:t>3.2</w:t>
        </w:r>
        <w:r w:rsidR="00981A64">
          <w:rPr>
            <w:rFonts w:asciiTheme="minorHAnsi" w:eastAsiaTheme="minorEastAsia" w:hAnsiTheme="minorHAnsi" w:cstheme="minorBidi"/>
            <w:noProof/>
            <w:kern w:val="2"/>
            <w:sz w:val="21"/>
            <w:lang w:val="en-US" w:eastAsia="zh-CN"/>
          </w:rPr>
          <w:tab/>
        </w:r>
        <w:r w:rsidR="00981A64" w:rsidRPr="00D61CC6">
          <w:rPr>
            <w:rStyle w:val="Hyperlink"/>
            <w:noProof/>
          </w:rPr>
          <w:t>Assessment</w:t>
        </w:r>
        <w:r w:rsidR="00981A64">
          <w:rPr>
            <w:noProof/>
            <w:webHidden/>
          </w:rPr>
          <w:tab/>
        </w:r>
        <w:r w:rsidR="00981A64">
          <w:rPr>
            <w:noProof/>
            <w:webHidden/>
          </w:rPr>
          <w:fldChar w:fldCharType="begin"/>
        </w:r>
        <w:r w:rsidR="00981A64">
          <w:rPr>
            <w:noProof/>
            <w:webHidden/>
          </w:rPr>
          <w:instrText xml:space="preserve"> PAGEREF _Toc86064159 \h </w:instrText>
        </w:r>
        <w:r w:rsidR="00981A64">
          <w:rPr>
            <w:noProof/>
            <w:webHidden/>
          </w:rPr>
        </w:r>
        <w:r w:rsidR="00981A64">
          <w:rPr>
            <w:noProof/>
            <w:webHidden/>
          </w:rPr>
          <w:fldChar w:fldCharType="separate"/>
        </w:r>
        <w:r w:rsidR="00981A64">
          <w:rPr>
            <w:noProof/>
            <w:webHidden/>
          </w:rPr>
          <w:t>14</w:t>
        </w:r>
        <w:r w:rsidR="00981A64">
          <w:rPr>
            <w:noProof/>
            <w:webHidden/>
          </w:rPr>
          <w:fldChar w:fldCharType="end"/>
        </w:r>
      </w:hyperlink>
    </w:p>
    <w:p w14:paraId="401497CE" w14:textId="176E0E82"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60" w:history="1">
        <w:r w:rsidR="00981A64" w:rsidRPr="00D61CC6">
          <w:rPr>
            <w:rStyle w:val="Hyperlink"/>
            <w:noProof/>
          </w:rPr>
          <w:t>3.3</w:t>
        </w:r>
        <w:r w:rsidR="00981A64">
          <w:rPr>
            <w:rFonts w:asciiTheme="minorHAnsi" w:eastAsiaTheme="minorEastAsia" w:hAnsiTheme="minorHAnsi" w:cstheme="minorBidi"/>
            <w:noProof/>
            <w:kern w:val="2"/>
            <w:sz w:val="21"/>
            <w:lang w:val="en-US" w:eastAsia="zh-CN"/>
          </w:rPr>
          <w:tab/>
        </w:r>
        <w:r w:rsidR="00981A64" w:rsidRPr="00D61CC6">
          <w:rPr>
            <w:rStyle w:val="Hyperlink"/>
            <w:noProof/>
          </w:rPr>
          <w:t>Management</w:t>
        </w:r>
        <w:r w:rsidR="00981A64">
          <w:rPr>
            <w:noProof/>
            <w:webHidden/>
          </w:rPr>
          <w:tab/>
        </w:r>
        <w:r w:rsidR="00981A64">
          <w:rPr>
            <w:noProof/>
            <w:webHidden/>
          </w:rPr>
          <w:fldChar w:fldCharType="begin"/>
        </w:r>
        <w:r w:rsidR="00981A64">
          <w:rPr>
            <w:noProof/>
            <w:webHidden/>
          </w:rPr>
          <w:instrText xml:space="preserve"> PAGEREF _Toc86064160 \h </w:instrText>
        </w:r>
        <w:r w:rsidR="00981A64">
          <w:rPr>
            <w:noProof/>
            <w:webHidden/>
          </w:rPr>
        </w:r>
        <w:r w:rsidR="00981A64">
          <w:rPr>
            <w:noProof/>
            <w:webHidden/>
          </w:rPr>
          <w:fldChar w:fldCharType="separate"/>
        </w:r>
        <w:r w:rsidR="00981A64">
          <w:rPr>
            <w:noProof/>
            <w:webHidden/>
          </w:rPr>
          <w:t>15</w:t>
        </w:r>
        <w:r w:rsidR="00981A64">
          <w:rPr>
            <w:noProof/>
            <w:webHidden/>
          </w:rPr>
          <w:fldChar w:fldCharType="end"/>
        </w:r>
      </w:hyperlink>
    </w:p>
    <w:p w14:paraId="711090E6" w14:textId="6BDA8852"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61" w:history="1">
        <w:r w:rsidR="00981A64" w:rsidRPr="00D61CC6">
          <w:rPr>
            <w:rStyle w:val="Hyperlink"/>
            <w:rFonts w:cs="Calibri"/>
            <w:noProof/>
          </w:rPr>
          <w:t>4</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Institutional Arrangements and Capacity Building</w:t>
        </w:r>
        <w:r w:rsidR="00981A64">
          <w:rPr>
            <w:noProof/>
            <w:webHidden/>
          </w:rPr>
          <w:tab/>
        </w:r>
        <w:r w:rsidR="00981A64">
          <w:rPr>
            <w:noProof/>
            <w:webHidden/>
          </w:rPr>
          <w:fldChar w:fldCharType="begin"/>
        </w:r>
        <w:r w:rsidR="00981A64">
          <w:rPr>
            <w:noProof/>
            <w:webHidden/>
          </w:rPr>
          <w:instrText xml:space="preserve"> PAGEREF _Toc86064161 \h </w:instrText>
        </w:r>
        <w:r w:rsidR="00981A64">
          <w:rPr>
            <w:noProof/>
            <w:webHidden/>
          </w:rPr>
        </w:r>
        <w:r w:rsidR="00981A64">
          <w:rPr>
            <w:noProof/>
            <w:webHidden/>
          </w:rPr>
          <w:fldChar w:fldCharType="separate"/>
        </w:r>
        <w:r w:rsidR="00981A64">
          <w:rPr>
            <w:noProof/>
            <w:webHidden/>
          </w:rPr>
          <w:t>15</w:t>
        </w:r>
        <w:r w:rsidR="00981A64">
          <w:rPr>
            <w:noProof/>
            <w:webHidden/>
          </w:rPr>
          <w:fldChar w:fldCharType="end"/>
        </w:r>
      </w:hyperlink>
    </w:p>
    <w:p w14:paraId="2393CA4E" w14:textId="15CBFE27"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62" w:history="1">
        <w:r w:rsidR="00981A64" w:rsidRPr="00D61CC6">
          <w:rPr>
            <w:rStyle w:val="Hyperlink"/>
            <w:rFonts w:cs="Calibri"/>
            <w:noProof/>
          </w:rPr>
          <w:t>4.1</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Roles and Responsibilities for Implementing this ESMF.</w:t>
        </w:r>
        <w:r w:rsidR="00981A64">
          <w:rPr>
            <w:noProof/>
            <w:webHidden/>
          </w:rPr>
          <w:tab/>
        </w:r>
        <w:r w:rsidR="00981A64">
          <w:rPr>
            <w:noProof/>
            <w:webHidden/>
          </w:rPr>
          <w:fldChar w:fldCharType="begin"/>
        </w:r>
        <w:r w:rsidR="00981A64">
          <w:rPr>
            <w:noProof/>
            <w:webHidden/>
          </w:rPr>
          <w:instrText xml:space="preserve"> PAGEREF _Toc86064162 \h </w:instrText>
        </w:r>
        <w:r w:rsidR="00981A64">
          <w:rPr>
            <w:noProof/>
            <w:webHidden/>
          </w:rPr>
        </w:r>
        <w:r w:rsidR="00981A64">
          <w:rPr>
            <w:noProof/>
            <w:webHidden/>
          </w:rPr>
          <w:fldChar w:fldCharType="separate"/>
        </w:r>
        <w:r w:rsidR="00981A64">
          <w:rPr>
            <w:noProof/>
            <w:webHidden/>
          </w:rPr>
          <w:t>15</w:t>
        </w:r>
        <w:r w:rsidR="00981A64">
          <w:rPr>
            <w:noProof/>
            <w:webHidden/>
          </w:rPr>
          <w:fldChar w:fldCharType="end"/>
        </w:r>
      </w:hyperlink>
    </w:p>
    <w:p w14:paraId="77C4EAD3" w14:textId="3316FBAD"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63" w:history="1">
        <w:r w:rsidR="00981A64" w:rsidRPr="00D61CC6">
          <w:rPr>
            <w:rStyle w:val="Hyperlink"/>
            <w:rFonts w:cs="Calibri"/>
            <w:noProof/>
          </w:rPr>
          <w:t>4.2</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Capacity Building</w:t>
        </w:r>
        <w:r w:rsidR="00981A64">
          <w:rPr>
            <w:noProof/>
            <w:webHidden/>
          </w:rPr>
          <w:tab/>
        </w:r>
        <w:r w:rsidR="00981A64">
          <w:rPr>
            <w:noProof/>
            <w:webHidden/>
          </w:rPr>
          <w:fldChar w:fldCharType="begin"/>
        </w:r>
        <w:r w:rsidR="00981A64">
          <w:rPr>
            <w:noProof/>
            <w:webHidden/>
          </w:rPr>
          <w:instrText xml:space="preserve"> PAGEREF _Toc86064163 \h </w:instrText>
        </w:r>
        <w:r w:rsidR="00981A64">
          <w:rPr>
            <w:noProof/>
            <w:webHidden/>
          </w:rPr>
        </w:r>
        <w:r w:rsidR="00981A64">
          <w:rPr>
            <w:noProof/>
            <w:webHidden/>
          </w:rPr>
          <w:fldChar w:fldCharType="separate"/>
        </w:r>
        <w:r w:rsidR="00981A64">
          <w:rPr>
            <w:noProof/>
            <w:webHidden/>
          </w:rPr>
          <w:t>17</w:t>
        </w:r>
        <w:r w:rsidR="00981A64">
          <w:rPr>
            <w:noProof/>
            <w:webHidden/>
          </w:rPr>
          <w:fldChar w:fldCharType="end"/>
        </w:r>
      </w:hyperlink>
    </w:p>
    <w:p w14:paraId="58718E59" w14:textId="35BEBA21"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64" w:history="1">
        <w:r w:rsidR="00981A64" w:rsidRPr="00D61CC6">
          <w:rPr>
            <w:rStyle w:val="Hyperlink"/>
            <w:rFonts w:cs="Calibri"/>
            <w:noProof/>
          </w:rPr>
          <w:t>5</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Stakeholder Engagement and Information Disclosure</w:t>
        </w:r>
        <w:r w:rsidR="00981A64">
          <w:rPr>
            <w:noProof/>
            <w:webHidden/>
          </w:rPr>
          <w:tab/>
        </w:r>
        <w:r w:rsidR="00981A64">
          <w:rPr>
            <w:noProof/>
            <w:webHidden/>
          </w:rPr>
          <w:fldChar w:fldCharType="begin"/>
        </w:r>
        <w:r w:rsidR="00981A64">
          <w:rPr>
            <w:noProof/>
            <w:webHidden/>
          </w:rPr>
          <w:instrText xml:space="preserve"> PAGEREF _Toc86064164 \h </w:instrText>
        </w:r>
        <w:r w:rsidR="00981A64">
          <w:rPr>
            <w:noProof/>
            <w:webHidden/>
          </w:rPr>
        </w:r>
        <w:r w:rsidR="00981A64">
          <w:rPr>
            <w:noProof/>
            <w:webHidden/>
          </w:rPr>
          <w:fldChar w:fldCharType="separate"/>
        </w:r>
        <w:r w:rsidR="00981A64">
          <w:rPr>
            <w:noProof/>
            <w:webHidden/>
          </w:rPr>
          <w:t>17</w:t>
        </w:r>
        <w:r w:rsidR="00981A64">
          <w:rPr>
            <w:noProof/>
            <w:webHidden/>
          </w:rPr>
          <w:fldChar w:fldCharType="end"/>
        </w:r>
      </w:hyperlink>
    </w:p>
    <w:p w14:paraId="176EC32D" w14:textId="77FD5A4F"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65" w:history="1">
        <w:r w:rsidR="00981A64" w:rsidRPr="00D61CC6">
          <w:rPr>
            <w:rStyle w:val="Hyperlink"/>
            <w:rFonts w:cs="Calibri"/>
            <w:noProof/>
          </w:rPr>
          <w:t>6</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Accountability and Grievance Redress Mechanisms</w:t>
        </w:r>
        <w:r w:rsidR="00981A64">
          <w:rPr>
            <w:noProof/>
            <w:webHidden/>
          </w:rPr>
          <w:tab/>
        </w:r>
        <w:r w:rsidR="00981A64">
          <w:rPr>
            <w:noProof/>
            <w:webHidden/>
          </w:rPr>
          <w:fldChar w:fldCharType="begin"/>
        </w:r>
        <w:r w:rsidR="00981A64">
          <w:rPr>
            <w:noProof/>
            <w:webHidden/>
          </w:rPr>
          <w:instrText xml:space="preserve"> PAGEREF _Toc86064165 \h </w:instrText>
        </w:r>
        <w:r w:rsidR="00981A64">
          <w:rPr>
            <w:noProof/>
            <w:webHidden/>
          </w:rPr>
        </w:r>
        <w:r w:rsidR="00981A64">
          <w:rPr>
            <w:noProof/>
            <w:webHidden/>
          </w:rPr>
          <w:fldChar w:fldCharType="separate"/>
        </w:r>
        <w:r w:rsidR="00981A64">
          <w:rPr>
            <w:noProof/>
            <w:webHidden/>
          </w:rPr>
          <w:t>18</w:t>
        </w:r>
        <w:r w:rsidR="00981A64">
          <w:rPr>
            <w:noProof/>
            <w:webHidden/>
          </w:rPr>
          <w:fldChar w:fldCharType="end"/>
        </w:r>
      </w:hyperlink>
    </w:p>
    <w:p w14:paraId="0F425CD5" w14:textId="464F69FD"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66" w:history="1">
        <w:r w:rsidR="00981A64" w:rsidRPr="00D61CC6">
          <w:rPr>
            <w:rStyle w:val="Hyperlink"/>
            <w:rFonts w:cs="Calibri"/>
            <w:noProof/>
          </w:rPr>
          <w:t>6.1</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UNDP’s Accountability Mechanisms</w:t>
        </w:r>
        <w:r w:rsidR="00981A64">
          <w:rPr>
            <w:noProof/>
            <w:webHidden/>
          </w:rPr>
          <w:tab/>
        </w:r>
        <w:r w:rsidR="00981A64">
          <w:rPr>
            <w:noProof/>
            <w:webHidden/>
          </w:rPr>
          <w:fldChar w:fldCharType="begin"/>
        </w:r>
        <w:r w:rsidR="00981A64">
          <w:rPr>
            <w:noProof/>
            <w:webHidden/>
          </w:rPr>
          <w:instrText xml:space="preserve"> PAGEREF _Toc86064166 \h </w:instrText>
        </w:r>
        <w:r w:rsidR="00981A64">
          <w:rPr>
            <w:noProof/>
            <w:webHidden/>
          </w:rPr>
        </w:r>
        <w:r w:rsidR="00981A64">
          <w:rPr>
            <w:noProof/>
            <w:webHidden/>
          </w:rPr>
          <w:fldChar w:fldCharType="separate"/>
        </w:r>
        <w:r w:rsidR="00981A64">
          <w:rPr>
            <w:noProof/>
            <w:webHidden/>
          </w:rPr>
          <w:t>18</w:t>
        </w:r>
        <w:r w:rsidR="00981A64">
          <w:rPr>
            <w:noProof/>
            <w:webHidden/>
          </w:rPr>
          <w:fldChar w:fldCharType="end"/>
        </w:r>
      </w:hyperlink>
    </w:p>
    <w:p w14:paraId="7FF015CA" w14:textId="10D0530A" w:rsidR="00981A64" w:rsidRDefault="00C8679E">
      <w:pPr>
        <w:pStyle w:val="TOC2"/>
        <w:tabs>
          <w:tab w:val="left" w:pos="800"/>
          <w:tab w:val="right" w:leader="dot" w:pos="9017"/>
        </w:tabs>
        <w:rPr>
          <w:rFonts w:asciiTheme="minorHAnsi" w:eastAsiaTheme="minorEastAsia" w:hAnsiTheme="minorHAnsi" w:cstheme="minorBidi"/>
          <w:noProof/>
          <w:kern w:val="2"/>
          <w:sz w:val="21"/>
          <w:lang w:val="en-US" w:eastAsia="zh-CN"/>
        </w:rPr>
      </w:pPr>
      <w:hyperlink w:anchor="_Toc86064167" w:history="1">
        <w:r w:rsidR="00981A64" w:rsidRPr="00D61CC6">
          <w:rPr>
            <w:rStyle w:val="Hyperlink"/>
            <w:rFonts w:cs="Calibri"/>
            <w:noProof/>
          </w:rPr>
          <w:t>6.2</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Project-level Grievance Redress Mechanisms</w:t>
        </w:r>
        <w:r w:rsidR="00981A64">
          <w:rPr>
            <w:noProof/>
            <w:webHidden/>
          </w:rPr>
          <w:tab/>
        </w:r>
        <w:r w:rsidR="00981A64">
          <w:rPr>
            <w:noProof/>
            <w:webHidden/>
          </w:rPr>
          <w:fldChar w:fldCharType="begin"/>
        </w:r>
        <w:r w:rsidR="00981A64">
          <w:rPr>
            <w:noProof/>
            <w:webHidden/>
          </w:rPr>
          <w:instrText xml:space="preserve"> PAGEREF _Toc86064167 \h </w:instrText>
        </w:r>
        <w:r w:rsidR="00981A64">
          <w:rPr>
            <w:noProof/>
            <w:webHidden/>
          </w:rPr>
        </w:r>
        <w:r w:rsidR="00981A64">
          <w:rPr>
            <w:noProof/>
            <w:webHidden/>
          </w:rPr>
          <w:fldChar w:fldCharType="separate"/>
        </w:r>
        <w:r w:rsidR="00981A64">
          <w:rPr>
            <w:noProof/>
            <w:webHidden/>
          </w:rPr>
          <w:t>18</w:t>
        </w:r>
        <w:r w:rsidR="00981A64">
          <w:rPr>
            <w:noProof/>
            <w:webHidden/>
          </w:rPr>
          <w:fldChar w:fldCharType="end"/>
        </w:r>
      </w:hyperlink>
    </w:p>
    <w:p w14:paraId="3880F25A" w14:textId="343DA33A"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68" w:history="1">
        <w:r w:rsidR="00981A64" w:rsidRPr="00D61CC6">
          <w:rPr>
            <w:rStyle w:val="Hyperlink"/>
            <w:rFonts w:cs="Calibri"/>
            <w:noProof/>
          </w:rPr>
          <w:t>7</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Budget for ESMF Implementation</w:t>
        </w:r>
        <w:r w:rsidR="00981A64">
          <w:rPr>
            <w:noProof/>
            <w:webHidden/>
          </w:rPr>
          <w:tab/>
        </w:r>
        <w:r w:rsidR="00981A64">
          <w:rPr>
            <w:noProof/>
            <w:webHidden/>
          </w:rPr>
          <w:fldChar w:fldCharType="begin"/>
        </w:r>
        <w:r w:rsidR="00981A64">
          <w:rPr>
            <w:noProof/>
            <w:webHidden/>
          </w:rPr>
          <w:instrText xml:space="preserve"> PAGEREF _Toc86064168 \h </w:instrText>
        </w:r>
        <w:r w:rsidR="00981A64">
          <w:rPr>
            <w:noProof/>
            <w:webHidden/>
          </w:rPr>
        </w:r>
        <w:r w:rsidR="00981A64">
          <w:rPr>
            <w:noProof/>
            <w:webHidden/>
          </w:rPr>
          <w:fldChar w:fldCharType="separate"/>
        </w:r>
        <w:r w:rsidR="00981A64">
          <w:rPr>
            <w:noProof/>
            <w:webHidden/>
          </w:rPr>
          <w:t>21</w:t>
        </w:r>
        <w:r w:rsidR="00981A64">
          <w:rPr>
            <w:noProof/>
            <w:webHidden/>
          </w:rPr>
          <w:fldChar w:fldCharType="end"/>
        </w:r>
      </w:hyperlink>
    </w:p>
    <w:p w14:paraId="45DE25DC" w14:textId="472BA1F8"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69" w:history="1">
        <w:r w:rsidR="00981A64" w:rsidRPr="00D61CC6">
          <w:rPr>
            <w:rStyle w:val="Hyperlink"/>
            <w:rFonts w:cs="Calibri"/>
            <w:noProof/>
          </w:rPr>
          <w:t>8</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Monitoring and Evaluation Arrangements</w:t>
        </w:r>
        <w:r w:rsidR="00981A64">
          <w:rPr>
            <w:noProof/>
            <w:webHidden/>
          </w:rPr>
          <w:tab/>
        </w:r>
        <w:r w:rsidR="00981A64">
          <w:rPr>
            <w:noProof/>
            <w:webHidden/>
          </w:rPr>
          <w:fldChar w:fldCharType="begin"/>
        </w:r>
        <w:r w:rsidR="00981A64">
          <w:rPr>
            <w:noProof/>
            <w:webHidden/>
          </w:rPr>
          <w:instrText xml:space="preserve"> PAGEREF _Toc86064169 \h </w:instrText>
        </w:r>
        <w:r w:rsidR="00981A64">
          <w:rPr>
            <w:noProof/>
            <w:webHidden/>
          </w:rPr>
        </w:r>
        <w:r w:rsidR="00981A64">
          <w:rPr>
            <w:noProof/>
            <w:webHidden/>
          </w:rPr>
          <w:fldChar w:fldCharType="separate"/>
        </w:r>
        <w:r w:rsidR="00981A64">
          <w:rPr>
            <w:noProof/>
            <w:webHidden/>
          </w:rPr>
          <w:t>21</w:t>
        </w:r>
        <w:r w:rsidR="00981A64">
          <w:rPr>
            <w:noProof/>
            <w:webHidden/>
          </w:rPr>
          <w:fldChar w:fldCharType="end"/>
        </w:r>
      </w:hyperlink>
    </w:p>
    <w:p w14:paraId="765F477A" w14:textId="40496188" w:rsidR="00981A64" w:rsidRDefault="00C8679E">
      <w:pPr>
        <w:pStyle w:val="TOC1"/>
        <w:tabs>
          <w:tab w:val="left" w:pos="440"/>
          <w:tab w:val="right" w:leader="dot" w:pos="9017"/>
        </w:tabs>
        <w:rPr>
          <w:rFonts w:asciiTheme="minorHAnsi" w:eastAsiaTheme="minorEastAsia" w:hAnsiTheme="minorHAnsi" w:cstheme="minorBidi"/>
          <w:noProof/>
          <w:kern w:val="2"/>
          <w:sz w:val="21"/>
          <w:lang w:val="en-US" w:eastAsia="zh-CN"/>
        </w:rPr>
      </w:pPr>
      <w:hyperlink w:anchor="_Toc86064170" w:history="1">
        <w:r w:rsidR="00981A64" w:rsidRPr="00D61CC6">
          <w:rPr>
            <w:rStyle w:val="Hyperlink"/>
            <w:rFonts w:cs="Calibri"/>
            <w:noProof/>
          </w:rPr>
          <w:t>9</w:t>
        </w:r>
        <w:r w:rsidR="00981A64">
          <w:rPr>
            <w:rFonts w:asciiTheme="minorHAnsi" w:eastAsiaTheme="minorEastAsia" w:hAnsiTheme="minorHAnsi" w:cstheme="minorBidi"/>
            <w:noProof/>
            <w:kern w:val="2"/>
            <w:sz w:val="21"/>
            <w:lang w:val="en-US" w:eastAsia="zh-CN"/>
          </w:rPr>
          <w:tab/>
        </w:r>
        <w:r w:rsidR="00981A64" w:rsidRPr="00D61CC6">
          <w:rPr>
            <w:rStyle w:val="Hyperlink"/>
            <w:rFonts w:cs="Calibri"/>
            <w:noProof/>
          </w:rPr>
          <w:t xml:space="preserve">Annexes: the </w:t>
        </w:r>
        <w:r w:rsidR="00981A64" w:rsidRPr="00D61CC6">
          <w:rPr>
            <w:rStyle w:val="Hyperlink"/>
            <w:rFonts w:cs="Calibri"/>
            <w:noProof/>
            <w:lang w:eastAsia="zh-CN"/>
          </w:rPr>
          <w:t>PhosChemEE Project</w:t>
        </w:r>
        <w:r w:rsidR="00981A64" w:rsidRPr="00D61CC6">
          <w:rPr>
            <w:rStyle w:val="Hyperlink"/>
            <w:rFonts w:cs="Calibri"/>
            <w:noProof/>
          </w:rPr>
          <w:t xml:space="preserve"> SESP Template</w:t>
        </w:r>
        <w:r w:rsidR="00981A64">
          <w:rPr>
            <w:noProof/>
            <w:webHidden/>
          </w:rPr>
          <w:tab/>
        </w:r>
        <w:r w:rsidR="00981A64">
          <w:rPr>
            <w:noProof/>
            <w:webHidden/>
          </w:rPr>
          <w:fldChar w:fldCharType="begin"/>
        </w:r>
        <w:r w:rsidR="00981A64">
          <w:rPr>
            <w:noProof/>
            <w:webHidden/>
          </w:rPr>
          <w:instrText xml:space="preserve"> PAGEREF _Toc86064170 \h </w:instrText>
        </w:r>
        <w:r w:rsidR="00981A64">
          <w:rPr>
            <w:noProof/>
            <w:webHidden/>
          </w:rPr>
        </w:r>
        <w:r w:rsidR="00981A64">
          <w:rPr>
            <w:noProof/>
            <w:webHidden/>
          </w:rPr>
          <w:fldChar w:fldCharType="separate"/>
        </w:r>
        <w:r w:rsidR="00981A64">
          <w:rPr>
            <w:noProof/>
            <w:webHidden/>
          </w:rPr>
          <w:t>24</w:t>
        </w:r>
        <w:r w:rsidR="00981A64">
          <w:rPr>
            <w:noProof/>
            <w:webHidden/>
          </w:rPr>
          <w:fldChar w:fldCharType="end"/>
        </w:r>
      </w:hyperlink>
    </w:p>
    <w:p w14:paraId="1A159E6C" w14:textId="5661F588" w:rsidR="007365AC" w:rsidRPr="00981A64" w:rsidRDefault="00B20DCD" w:rsidP="00420A86">
      <w:pPr>
        <w:spacing w:before="0" w:after="0"/>
        <w:rPr>
          <w:rFonts w:cs="Calibri"/>
          <w:i/>
          <w:iCs/>
          <w:sz w:val="22"/>
        </w:rPr>
      </w:pPr>
      <w:r w:rsidRPr="00420A86">
        <w:rPr>
          <w:rStyle w:val="Emphasis"/>
          <w:rFonts w:cs="Calibri"/>
          <w:sz w:val="22"/>
        </w:rPr>
        <w:fldChar w:fldCharType="end"/>
      </w:r>
    </w:p>
    <w:p w14:paraId="4A6B67F4" w14:textId="77777777" w:rsidR="00B20DCD" w:rsidRPr="00420A86" w:rsidRDefault="006B44D8" w:rsidP="00420A86">
      <w:pPr>
        <w:spacing w:before="0" w:after="0"/>
        <w:rPr>
          <w:rFonts w:cs="Calibri"/>
          <w:b/>
          <w:sz w:val="22"/>
        </w:rPr>
      </w:pPr>
      <w:r w:rsidRPr="00420A86">
        <w:rPr>
          <w:rFonts w:cs="Calibri"/>
          <w:b/>
          <w:sz w:val="22"/>
        </w:rPr>
        <w:t>List of Tables:</w:t>
      </w:r>
    </w:p>
    <w:p w14:paraId="157FE9DD" w14:textId="77777777" w:rsidR="007A5B4B" w:rsidRPr="00420A86" w:rsidRDefault="007A5B4B" w:rsidP="00420A86">
      <w:pPr>
        <w:spacing w:before="0" w:after="0"/>
        <w:rPr>
          <w:rFonts w:cs="Calibri"/>
          <w:b/>
          <w:sz w:val="22"/>
        </w:rPr>
      </w:pPr>
    </w:p>
    <w:p w14:paraId="673B7E2D" w14:textId="77777777" w:rsidR="00A80685" w:rsidRPr="00420A86" w:rsidRDefault="006B44D8" w:rsidP="00420A86">
      <w:pPr>
        <w:pStyle w:val="TableofFigures"/>
        <w:tabs>
          <w:tab w:val="right" w:leader="dot" w:pos="9017"/>
        </w:tabs>
        <w:spacing w:before="0"/>
        <w:rPr>
          <w:rFonts w:cs="Calibri"/>
          <w:noProof/>
          <w:kern w:val="2"/>
          <w:sz w:val="22"/>
          <w:lang w:val="en-US" w:eastAsia="zh-CN"/>
        </w:rPr>
      </w:pPr>
      <w:r w:rsidRPr="00420A86">
        <w:rPr>
          <w:rFonts w:cs="Calibri"/>
          <w:sz w:val="22"/>
        </w:rPr>
        <w:fldChar w:fldCharType="begin"/>
      </w:r>
      <w:r w:rsidRPr="00420A86">
        <w:rPr>
          <w:rFonts w:cs="Calibri"/>
          <w:sz w:val="22"/>
        </w:rPr>
        <w:instrText xml:space="preserve"> TOC \h \z \c "Table" </w:instrText>
      </w:r>
      <w:r w:rsidRPr="00420A86">
        <w:rPr>
          <w:rFonts w:cs="Calibri"/>
          <w:sz w:val="22"/>
        </w:rPr>
        <w:fldChar w:fldCharType="separate"/>
      </w:r>
      <w:hyperlink w:anchor="_Toc67572940" w:history="1">
        <w:r w:rsidR="00A80685" w:rsidRPr="00420A86">
          <w:rPr>
            <w:rStyle w:val="Hyperlink"/>
            <w:rFonts w:cs="Calibri"/>
            <w:b/>
            <w:noProof/>
            <w:sz w:val="22"/>
          </w:rPr>
          <w:t>Table 1</w:t>
        </w:r>
        <w:r w:rsidR="009018CF" w:rsidRPr="00420A86">
          <w:rPr>
            <w:rStyle w:val="Hyperlink"/>
            <w:rFonts w:cs="Calibri"/>
            <w:b/>
            <w:noProof/>
            <w:sz w:val="22"/>
            <w:lang w:eastAsia="zh-CN"/>
          </w:rPr>
          <w:t xml:space="preserve">: </w:t>
        </w:r>
        <w:r w:rsidR="00A80685" w:rsidRPr="00420A86">
          <w:rPr>
            <w:rStyle w:val="Hyperlink"/>
            <w:rFonts w:cs="Calibri"/>
            <w:b/>
            <w:noProof/>
            <w:sz w:val="22"/>
          </w:rPr>
          <w:t xml:space="preserve">The </w:t>
        </w:r>
        <w:r w:rsidR="005E4849">
          <w:rPr>
            <w:rStyle w:val="Hyperlink"/>
            <w:rFonts w:cs="Calibri"/>
            <w:b/>
            <w:noProof/>
            <w:sz w:val="22"/>
          </w:rPr>
          <w:t>PhosChemEE</w:t>
        </w:r>
        <w:r w:rsidR="00A80685" w:rsidRPr="00420A86">
          <w:rPr>
            <w:rStyle w:val="Hyperlink"/>
            <w:rFonts w:cs="Calibri"/>
            <w:b/>
            <w:noProof/>
            <w:sz w:val="22"/>
          </w:rPr>
          <w:t xml:space="preserve"> </w:t>
        </w:r>
        <w:r w:rsidR="00C37C6B">
          <w:rPr>
            <w:rStyle w:val="Hyperlink"/>
            <w:rFonts w:cs="Calibri"/>
            <w:b/>
            <w:noProof/>
            <w:sz w:val="22"/>
          </w:rPr>
          <w:t>P</w:t>
        </w:r>
        <w:r w:rsidR="00A80685" w:rsidRPr="00420A86">
          <w:rPr>
            <w:rStyle w:val="Hyperlink"/>
            <w:rFonts w:cs="Calibri"/>
            <w:b/>
            <w:noProof/>
            <w:sz w:val="22"/>
          </w:rPr>
          <w:t>roject components and expected outcomes</w:t>
        </w:r>
        <w:r w:rsidR="00A80685" w:rsidRPr="00420A86">
          <w:rPr>
            <w:rFonts w:cs="Calibri"/>
            <w:noProof/>
            <w:webHidden/>
            <w:sz w:val="22"/>
          </w:rPr>
          <w:tab/>
        </w:r>
        <w:r w:rsidR="00A80685" w:rsidRPr="00420A86">
          <w:rPr>
            <w:rFonts w:cs="Calibri"/>
            <w:noProof/>
            <w:webHidden/>
            <w:sz w:val="22"/>
          </w:rPr>
          <w:fldChar w:fldCharType="begin"/>
        </w:r>
        <w:r w:rsidR="00A80685" w:rsidRPr="00420A86">
          <w:rPr>
            <w:rFonts w:cs="Calibri"/>
            <w:noProof/>
            <w:webHidden/>
            <w:sz w:val="22"/>
          </w:rPr>
          <w:instrText xml:space="preserve"> PAGEREF _Toc67572940 \h </w:instrText>
        </w:r>
        <w:r w:rsidR="00A80685" w:rsidRPr="00420A86">
          <w:rPr>
            <w:rFonts w:cs="Calibri"/>
            <w:noProof/>
            <w:webHidden/>
            <w:sz w:val="22"/>
          </w:rPr>
        </w:r>
        <w:r w:rsidR="00A80685" w:rsidRPr="00420A86">
          <w:rPr>
            <w:rFonts w:cs="Calibri"/>
            <w:noProof/>
            <w:webHidden/>
            <w:sz w:val="22"/>
          </w:rPr>
          <w:fldChar w:fldCharType="separate"/>
        </w:r>
        <w:r w:rsidR="007365AC">
          <w:rPr>
            <w:rFonts w:cs="Calibri"/>
            <w:noProof/>
            <w:webHidden/>
            <w:sz w:val="22"/>
          </w:rPr>
          <w:t>3</w:t>
        </w:r>
        <w:r w:rsidR="00A80685" w:rsidRPr="00420A86">
          <w:rPr>
            <w:rFonts w:cs="Calibri"/>
            <w:noProof/>
            <w:webHidden/>
            <w:sz w:val="22"/>
          </w:rPr>
          <w:fldChar w:fldCharType="end"/>
        </w:r>
      </w:hyperlink>
    </w:p>
    <w:p w14:paraId="70647BB5" w14:textId="77777777" w:rsidR="00A80685" w:rsidRPr="00420A86" w:rsidRDefault="00C8679E" w:rsidP="00420A86">
      <w:pPr>
        <w:pStyle w:val="TableofFigures"/>
        <w:tabs>
          <w:tab w:val="right" w:leader="dot" w:pos="9017"/>
        </w:tabs>
        <w:spacing w:before="0"/>
        <w:rPr>
          <w:rFonts w:cs="Calibri"/>
          <w:noProof/>
          <w:kern w:val="2"/>
          <w:sz w:val="22"/>
          <w:lang w:val="en-US" w:eastAsia="zh-CN"/>
        </w:rPr>
      </w:pPr>
      <w:hyperlink w:anchor="_Toc67572941" w:history="1">
        <w:r w:rsidR="00A80685" w:rsidRPr="00420A86">
          <w:rPr>
            <w:rStyle w:val="Hyperlink"/>
            <w:rFonts w:cs="Calibri"/>
            <w:b/>
            <w:noProof/>
            <w:sz w:val="22"/>
          </w:rPr>
          <w:t>Table 2: Summary of main project activities resulting in potential social and environmental impacts.</w:t>
        </w:r>
        <w:r w:rsidR="00A80685" w:rsidRPr="00420A86">
          <w:rPr>
            <w:rFonts w:cs="Calibri"/>
            <w:noProof/>
            <w:webHidden/>
            <w:sz w:val="22"/>
          </w:rPr>
          <w:tab/>
        </w:r>
        <w:r w:rsidR="00A80685" w:rsidRPr="00420A86">
          <w:rPr>
            <w:rFonts w:cs="Calibri"/>
            <w:noProof/>
            <w:webHidden/>
            <w:sz w:val="22"/>
          </w:rPr>
          <w:fldChar w:fldCharType="begin"/>
        </w:r>
        <w:r w:rsidR="00A80685" w:rsidRPr="00420A86">
          <w:rPr>
            <w:rFonts w:cs="Calibri"/>
            <w:noProof/>
            <w:webHidden/>
            <w:sz w:val="22"/>
          </w:rPr>
          <w:instrText xml:space="preserve"> PAGEREF _Toc67572941 \h </w:instrText>
        </w:r>
        <w:r w:rsidR="00A80685" w:rsidRPr="00420A86">
          <w:rPr>
            <w:rFonts w:cs="Calibri"/>
            <w:noProof/>
            <w:webHidden/>
            <w:sz w:val="22"/>
          </w:rPr>
        </w:r>
        <w:r w:rsidR="00A80685" w:rsidRPr="00420A86">
          <w:rPr>
            <w:rFonts w:cs="Calibri"/>
            <w:noProof/>
            <w:webHidden/>
            <w:sz w:val="22"/>
          </w:rPr>
          <w:fldChar w:fldCharType="separate"/>
        </w:r>
        <w:r w:rsidR="007365AC">
          <w:rPr>
            <w:rFonts w:cs="Calibri"/>
            <w:noProof/>
            <w:webHidden/>
            <w:sz w:val="22"/>
          </w:rPr>
          <w:t>5</w:t>
        </w:r>
        <w:r w:rsidR="00A80685" w:rsidRPr="00420A86">
          <w:rPr>
            <w:rFonts w:cs="Calibri"/>
            <w:noProof/>
            <w:webHidden/>
            <w:sz w:val="22"/>
          </w:rPr>
          <w:fldChar w:fldCharType="end"/>
        </w:r>
      </w:hyperlink>
    </w:p>
    <w:p w14:paraId="59EAB627" w14:textId="77777777" w:rsidR="00A80685" w:rsidRPr="00420A86" w:rsidRDefault="00C8679E" w:rsidP="00420A86">
      <w:pPr>
        <w:pStyle w:val="TableofFigures"/>
        <w:tabs>
          <w:tab w:val="right" w:leader="dot" w:pos="9017"/>
        </w:tabs>
        <w:spacing w:before="0"/>
        <w:rPr>
          <w:rFonts w:cs="Calibri"/>
          <w:noProof/>
          <w:kern w:val="2"/>
          <w:sz w:val="22"/>
          <w:lang w:val="en-US" w:eastAsia="zh-CN"/>
        </w:rPr>
      </w:pPr>
      <w:hyperlink w:anchor="_Toc67572942" w:history="1">
        <w:r w:rsidR="00A80685" w:rsidRPr="00420A86">
          <w:rPr>
            <w:rStyle w:val="Hyperlink"/>
            <w:rFonts w:cs="Calibri"/>
            <w:b/>
            <w:noProof/>
            <w:sz w:val="22"/>
          </w:rPr>
          <w:t xml:space="preserve">Table 3: Summary of </w:t>
        </w:r>
        <w:r w:rsidR="00A80685" w:rsidRPr="00420A86">
          <w:rPr>
            <w:rStyle w:val="Hyperlink"/>
            <w:rFonts w:cs="Calibri"/>
            <w:b/>
            <w:noProof/>
            <w:sz w:val="22"/>
            <w:lang w:eastAsia="zh-CN"/>
          </w:rPr>
          <w:t>risk</w:t>
        </w:r>
        <w:r w:rsidR="00A80685" w:rsidRPr="00420A86">
          <w:rPr>
            <w:rStyle w:val="Hyperlink"/>
            <w:rFonts w:cs="Calibri"/>
            <w:b/>
            <w:noProof/>
            <w:sz w:val="22"/>
          </w:rPr>
          <w:t xml:space="preserve"> </w:t>
        </w:r>
        <w:r w:rsidR="00A80685" w:rsidRPr="00420A86">
          <w:rPr>
            <w:rStyle w:val="Hyperlink"/>
            <w:rFonts w:cs="Calibri"/>
            <w:b/>
            <w:noProof/>
            <w:sz w:val="22"/>
            <w:lang w:eastAsia="zh-CN"/>
          </w:rPr>
          <w:t>rating</w:t>
        </w:r>
        <w:r w:rsidR="00A80685" w:rsidRPr="00420A86">
          <w:rPr>
            <w:rStyle w:val="Hyperlink"/>
            <w:rFonts w:cs="Calibri"/>
            <w:b/>
            <w:noProof/>
            <w:sz w:val="22"/>
          </w:rPr>
          <w:t xml:space="preserve"> </w:t>
        </w:r>
        <w:r w:rsidR="00A80685" w:rsidRPr="00420A86">
          <w:rPr>
            <w:rStyle w:val="Hyperlink"/>
            <w:rFonts w:cs="Calibri"/>
            <w:b/>
            <w:noProof/>
            <w:sz w:val="22"/>
            <w:lang w:eastAsia="zh-CN"/>
          </w:rPr>
          <w:t>and</w:t>
        </w:r>
        <w:r w:rsidR="00A80685" w:rsidRPr="00420A86">
          <w:rPr>
            <w:rStyle w:val="Hyperlink"/>
            <w:rFonts w:cs="Calibri"/>
            <w:b/>
            <w:noProof/>
            <w:sz w:val="22"/>
          </w:rPr>
          <w:t xml:space="preserve"> safeguards triggered by </w:t>
        </w:r>
        <w:r w:rsidR="00A80685" w:rsidRPr="00420A86">
          <w:rPr>
            <w:rStyle w:val="Hyperlink"/>
            <w:rFonts w:cs="Calibri"/>
            <w:b/>
            <w:noProof/>
            <w:sz w:val="22"/>
            <w:lang w:eastAsia="zh-CN"/>
          </w:rPr>
          <w:t>the</w:t>
        </w:r>
        <w:r w:rsidR="00A80685" w:rsidRPr="00420A86">
          <w:rPr>
            <w:rStyle w:val="Hyperlink"/>
            <w:rFonts w:cs="Calibri"/>
            <w:b/>
            <w:noProof/>
            <w:sz w:val="22"/>
          </w:rPr>
          <w:t xml:space="preserve"> </w:t>
        </w:r>
        <w:r w:rsidR="005E4849">
          <w:rPr>
            <w:rStyle w:val="Hyperlink"/>
            <w:rFonts w:cs="Calibri"/>
            <w:b/>
            <w:noProof/>
            <w:sz w:val="22"/>
          </w:rPr>
          <w:t>PhosChemEE</w:t>
        </w:r>
        <w:r w:rsidR="00A80685" w:rsidRPr="00420A86">
          <w:rPr>
            <w:rStyle w:val="Hyperlink"/>
            <w:rFonts w:cs="Calibri"/>
            <w:b/>
            <w:noProof/>
            <w:sz w:val="22"/>
          </w:rPr>
          <w:t xml:space="preserve"> Project</w:t>
        </w:r>
        <w:r w:rsidR="00A80685" w:rsidRPr="00420A86">
          <w:rPr>
            <w:rFonts w:cs="Calibri"/>
            <w:noProof/>
            <w:webHidden/>
            <w:sz w:val="22"/>
          </w:rPr>
          <w:tab/>
        </w:r>
        <w:r w:rsidR="00A80685" w:rsidRPr="00420A86">
          <w:rPr>
            <w:rFonts w:cs="Calibri"/>
            <w:noProof/>
            <w:webHidden/>
            <w:sz w:val="22"/>
          </w:rPr>
          <w:fldChar w:fldCharType="begin"/>
        </w:r>
        <w:r w:rsidR="00A80685" w:rsidRPr="00420A86">
          <w:rPr>
            <w:rFonts w:cs="Calibri"/>
            <w:noProof/>
            <w:webHidden/>
            <w:sz w:val="22"/>
          </w:rPr>
          <w:instrText xml:space="preserve"> PAGEREF _Toc67572942 \h </w:instrText>
        </w:r>
        <w:r w:rsidR="00A80685" w:rsidRPr="00420A86">
          <w:rPr>
            <w:rFonts w:cs="Calibri"/>
            <w:noProof/>
            <w:webHidden/>
            <w:sz w:val="22"/>
          </w:rPr>
        </w:r>
        <w:r w:rsidR="00A80685" w:rsidRPr="00420A86">
          <w:rPr>
            <w:rFonts w:cs="Calibri"/>
            <w:noProof/>
            <w:webHidden/>
            <w:sz w:val="22"/>
          </w:rPr>
          <w:fldChar w:fldCharType="separate"/>
        </w:r>
        <w:r w:rsidR="007365AC">
          <w:rPr>
            <w:rFonts w:cs="Calibri"/>
            <w:noProof/>
            <w:webHidden/>
            <w:sz w:val="22"/>
          </w:rPr>
          <w:t>11</w:t>
        </w:r>
        <w:r w:rsidR="00A80685" w:rsidRPr="00420A86">
          <w:rPr>
            <w:rFonts w:cs="Calibri"/>
            <w:noProof/>
            <w:webHidden/>
            <w:sz w:val="22"/>
          </w:rPr>
          <w:fldChar w:fldCharType="end"/>
        </w:r>
      </w:hyperlink>
    </w:p>
    <w:p w14:paraId="1C5AE97C" w14:textId="77777777" w:rsidR="00A80685" w:rsidRPr="00420A86" w:rsidRDefault="00C8679E" w:rsidP="00420A86">
      <w:pPr>
        <w:pStyle w:val="TableofFigures"/>
        <w:tabs>
          <w:tab w:val="right" w:leader="dot" w:pos="9017"/>
        </w:tabs>
        <w:spacing w:before="0"/>
        <w:rPr>
          <w:rFonts w:cs="Calibri"/>
          <w:noProof/>
          <w:kern w:val="2"/>
          <w:sz w:val="22"/>
          <w:lang w:val="en-US" w:eastAsia="zh-CN"/>
        </w:rPr>
      </w:pPr>
      <w:hyperlink w:anchor="_Toc67572943" w:history="1">
        <w:r w:rsidR="00A80685" w:rsidRPr="00420A86">
          <w:rPr>
            <w:rStyle w:val="Hyperlink"/>
            <w:rFonts w:cs="Calibri"/>
            <w:b/>
            <w:noProof/>
            <w:sz w:val="22"/>
          </w:rPr>
          <w:t>Table 4: Breakdown of project level costs for ESMF implementation</w:t>
        </w:r>
        <w:r w:rsidR="00A80685" w:rsidRPr="00420A86">
          <w:rPr>
            <w:rFonts w:cs="Calibri"/>
            <w:noProof/>
            <w:webHidden/>
            <w:sz w:val="22"/>
          </w:rPr>
          <w:tab/>
        </w:r>
        <w:r w:rsidR="00A80685" w:rsidRPr="00420A86">
          <w:rPr>
            <w:rFonts w:cs="Calibri"/>
            <w:noProof/>
            <w:webHidden/>
            <w:sz w:val="22"/>
          </w:rPr>
          <w:fldChar w:fldCharType="begin"/>
        </w:r>
        <w:r w:rsidR="00A80685" w:rsidRPr="00420A86">
          <w:rPr>
            <w:rFonts w:cs="Calibri"/>
            <w:noProof/>
            <w:webHidden/>
            <w:sz w:val="22"/>
          </w:rPr>
          <w:instrText xml:space="preserve"> PAGEREF _Toc67572943 \h </w:instrText>
        </w:r>
        <w:r w:rsidR="00A80685" w:rsidRPr="00420A86">
          <w:rPr>
            <w:rFonts w:cs="Calibri"/>
            <w:noProof/>
            <w:webHidden/>
            <w:sz w:val="22"/>
          </w:rPr>
        </w:r>
        <w:r w:rsidR="00A80685" w:rsidRPr="00420A86">
          <w:rPr>
            <w:rFonts w:cs="Calibri"/>
            <w:noProof/>
            <w:webHidden/>
            <w:sz w:val="22"/>
          </w:rPr>
          <w:fldChar w:fldCharType="separate"/>
        </w:r>
        <w:r w:rsidR="007365AC">
          <w:rPr>
            <w:rFonts w:cs="Calibri"/>
            <w:noProof/>
            <w:webHidden/>
            <w:sz w:val="22"/>
          </w:rPr>
          <w:t>16</w:t>
        </w:r>
        <w:r w:rsidR="00A80685" w:rsidRPr="00420A86">
          <w:rPr>
            <w:rFonts w:cs="Calibri"/>
            <w:noProof/>
            <w:webHidden/>
            <w:sz w:val="22"/>
          </w:rPr>
          <w:fldChar w:fldCharType="end"/>
        </w:r>
      </w:hyperlink>
    </w:p>
    <w:p w14:paraId="66BC026D" w14:textId="77777777" w:rsidR="00A80685" w:rsidRPr="00420A86" w:rsidRDefault="00C8679E" w:rsidP="00420A86">
      <w:pPr>
        <w:pStyle w:val="TableofFigures"/>
        <w:tabs>
          <w:tab w:val="right" w:leader="dot" w:pos="9017"/>
        </w:tabs>
        <w:spacing w:before="0"/>
        <w:rPr>
          <w:rFonts w:cs="Calibri"/>
          <w:noProof/>
          <w:kern w:val="2"/>
          <w:sz w:val="22"/>
          <w:lang w:val="en-US" w:eastAsia="zh-CN"/>
        </w:rPr>
      </w:pPr>
      <w:hyperlink w:anchor="_Toc67572944" w:history="1">
        <w:r w:rsidR="00A80685" w:rsidRPr="00420A86">
          <w:rPr>
            <w:rStyle w:val="Hyperlink"/>
            <w:rFonts w:cs="Calibri"/>
            <w:b/>
            <w:noProof/>
            <w:sz w:val="22"/>
          </w:rPr>
          <w:t>Table 5: ESMF Monitoring and Evaluation plan</w:t>
        </w:r>
        <w:r w:rsidR="00A80685" w:rsidRPr="00420A86">
          <w:rPr>
            <w:rFonts w:cs="Calibri"/>
            <w:noProof/>
            <w:webHidden/>
            <w:sz w:val="22"/>
          </w:rPr>
          <w:tab/>
        </w:r>
        <w:r w:rsidR="00A80685" w:rsidRPr="00420A86">
          <w:rPr>
            <w:rFonts w:cs="Calibri"/>
            <w:noProof/>
            <w:webHidden/>
            <w:sz w:val="22"/>
          </w:rPr>
          <w:fldChar w:fldCharType="begin"/>
        </w:r>
        <w:r w:rsidR="00A80685" w:rsidRPr="00420A86">
          <w:rPr>
            <w:rFonts w:cs="Calibri"/>
            <w:noProof/>
            <w:webHidden/>
            <w:sz w:val="22"/>
          </w:rPr>
          <w:instrText xml:space="preserve"> PAGEREF _Toc67572944 \h </w:instrText>
        </w:r>
        <w:r w:rsidR="00A80685" w:rsidRPr="00420A86">
          <w:rPr>
            <w:rFonts w:cs="Calibri"/>
            <w:noProof/>
            <w:webHidden/>
            <w:sz w:val="22"/>
          </w:rPr>
        </w:r>
        <w:r w:rsidR="00A80685" w:rsidRPr="00420A86">
          <w:rPr>
            <w:rFonts w:cs="Calibri"/>
            <w:noProof/>
            <w:webHidden/>
            <w:sz w:val="22"/>
          </w:rPr>
          <w:fldChar w:fldCharType="separate"/>
        </w:r>
        <w:r w:rsidR="007365AC">
          <w:rPr>
            <w:rFonts w:cs="Calibri"/>
            <w:noProof/>
            <w:webHidden/>
            <w:sz w:val="22"/>
          </w:rPr>
          <w:t>18</w:t>
        </w:r>
        <w:r w:rsidR="00A80685" w:rsidRPr="00420A86">
          <w:rPr>
            <w:rFonts w:cs="Calibri"/>
            <w:noProof/>
            <w:webHidden/>
            <w:sz w:val="22"/>
          </w:rPr>
          <w:fldChar w:fldCharType="end"/>
        </w:r>
      </w:hyperlink>
    </w:p>
    <w:p w14:paraId="55B5FB45" w14:textId="77777777" w:rsidR="007A5B4B" w:rsidRPr="00420A86" w:rsidRDefault="006B44D8" w:rsidP="00420A86">
      <w:pPr>
        <w:spacing w:before="0" w:after="0"/>
        <w:rPr>
          <w:rFonts w:cs="Calibri"/>
          <w:sz w:val="22"/>
        </w:rPr>
      </w:pPr>
      <w:r w:rsidRPr="00420A86">
        <w:rPr>
          <w:rFonts w:cs="Calibri"/>
          <w:sz w:val="22"/>
        </w:rPr>
        <w:fldChar w:fldCharType="end"/>
      </w:r>
    </w:p>
    <w:p w14:paraId="41756094" w14:textId="77777777" w:rsidR="00B20DCD" w:rsidRPr="00420A86" w:rsidRDefault="00B20DCD" w:rsidP="00420A86">
      <w:pPr>
        <w:spacing w:before="0" w:after="0"/>
        <w:rPr>
          <w:rFonts w:cs="Calibri"/>
          <w:color w:val="002060"/>
          <w:sz w:val="22"/>
        </w:rPr>
        <w:sectPr w:rsidR="00B20DCD" w:rsidRPr="00420A86" w:rsidSect="000603CE">
          <w:headerReference w:type="default" r:id="rId14"/>
          <w:footerReference w:type="default" r:id="rId15"/>
          <w:pgSz w:w="11907" w:h="16839" w:code="9"/>
          <w:pgMar w:top="1440" w:right="1440" w:bottom="1440" w:left="1440" w:header="432" w:footer="432" w:gutter="0"/>
          <w:cols w:space="720"/>
          <w:docGrid w:linePitch="360"/>
        </w:sectPr>
      </w:pPr>
    </w:p>
    <w:p w14:paraId="4F06F7CA" w14:textId="77777777" w:rsidR="00CB6881" w:rsidRPr="00420A86" w:rsidRDefault="00CB6881" w:rsidP="00420A86">
      <w:pPr>
        <w:pStyle w:val="Heading1"/>
        <w:numPr>
          <w:ilvl w:val="0"/>
          <w:numId w:val="0"/>
        </w:numPr>
        <w:spacing w:before="0" w:after="0"/>
        <w:rPr>
          <w:rFonts w:cs="Calibri"/>
          <w:color w:val="002060"/>
          <w:sz w:val="22"/>
          <w:szCs w:val="22"/>
        </w:rPr>
      </w:pPr>
      <w:bookmarkStart w:id="7" w:name="_Toc86064147"/>
      <w:r w:rsidRPr="00420A86">
        <w:rPr>
          <w:rFonts w:cs="Calibri"/>
          <w:color w:val="002060"/>
          <w:sz w:val="22"/>
          <w:szCs w:val="22"/>
        </w:rPr>
        <w:lastRenderedPageBreak/>
        <w:t>Executive Summary</w:t>
      </w:r>
      <w:bookmarkEnd w:id="7"/>
    </w:p>
    <w:p w14:paraId="595CDB0B" w14:textId="77777777" w:rsidR="007A5B4B" w:rsidRPr="00420A86" w:rsidRDefault="007A5B4B" w:rsidP="00420A86">
      <w:pPr>
        <w:spacing w:before="0" w:after="0"/>
        <w:rPr>
          <w:rFonts w:cs="Calibri"/>
          <w:sz w:val="22"/>
        </w:rPr>
      </w:pPr>
    </w:p>
    <w:p w14:paraId="525E4885" w14:textId="6DD077F3" w:rsidR="005E48FF" w:rsidRPr="005E48FF" w:rsidRDefault="005E48FF" w:rsidP="005E48FF">
      <w:pPr>
        <w:spacing w:before="0" w:after="0"/>
        <w:rPr>
          <w:rFonts w:cs="Calibri"/>
          <w:sz w:val="22"/>
        </w:rPr>
      </w:pPr>
      <w:r w:rsidRPr="005E48FF">
        <w:rPr>
          <w:rFonts w:cs="Calibri"/>
          <w:sz w:val="22"/>
        </w:rPr>
        <w:t xml:space="preserve">This Environmental and Social Management Framework (ESMF) has been prepared for the UNDP-GEF supported </w:t>
      </w:r>
      <w:r w:rsidRPr="0086490B">
        <w:rPr>
          <w:rFonts w:cs="Calibri"/>
          <w:i/>
          <w:iCs/>
          <w:sz w:val="22"/>
        </w:rPr>
        <w:t>Facilitating Cleaner and Energy Efficient Phosphate Chemicals Industry in China</w:t>
      </w:r>
      <w:r w:rsidRPr="005E48FF">
        <w:rPr>
          <w:rFonts w:cs="Calibri"/>
          <w:sz w:val="22"/>
        </w:rPr>
        <w:t xml:space="preserve"> (</w:t>
      </w:r>
      <w:proofErr w:type="spellStart"/>
      <w:r w:rsidRPr="005E48FF">
        <w:rPr>
          <w:rFonts w:cs="Calibri"/>
          <w:sz w:val="22"/>
        </w:rPr>
        <w:t>PhosChemEE</w:t>
      </w:r>
      <w:proofErr w:type="spellEnd"/>
      <w:r w:rsidRPr="005E48FF">
        <w:rPr>
          <w:rFonts w:cs="Calibri"/>
          <w:sz w:val="22"/>
        </w:rPr>
        <w:t xml:space="preserve">) Project that is developed together with the Ministry of Industry and Information Technology (MIIT) and the Ministry of Natural Resources (MNR). The objective of the </w:t>
      </w:r>
      <w:proofErr w:type="spellStart"/>
      <w:r w:rsidRPr="005E48FF">
        <w:rPr>
          <w:rFonts w:cs="Calibri"/>
          <w:sz w:val="22"/>
        </w:rPr>
        <w:t>PhosChemEE</w:t>
      </w:r>
      <w:proofErr w:type="spellEnd"/>
      <w:r w:rsidRPr="005E48FF">
        <w:rPr>
          <w:rFonts w:cs="Calibri"/>
          <w:sz w:val="22"/>
        </w:rPr>
        <w:t xml:space="preserve"> Project is </w:t>
      </w:r>
      <w:r w:rsidR="005A0004">
        <w:rPr>
          <w:rFonts w:cs="Calibri"/>
          <w:sz w:val="22"/>
        </w:rPr>
        <w:t xml:space="preserve">to </w:t>
      </w:r>
      <w:r w:rsidRPr="005E48FF">
        <w:rPr>
          <w:rFonts w:cs="Calibri"/>
          <w:sz w:val="22"/>
        </w:rPr>
        <w:t>enabl</w:t>
      </w:r>
      <w:r w:rsidR="005A0004">
        <w:rPr>
          <w:rFonts w:cs="Calibri"/>
          <w:sz w:val="22"/>
        </w:rPr>
        <w:t>e</w:t>
      </w:r>
      <w:r w:rsidRPr="005E48FF">
        <w:rPr>
          <w:rFonts w:cs="Calibri"/>
          <w:sz w:val="22"/>
        </w:rPr>
        <w:t xml:space="preserve"> the extensive application of low carbon and energy efficient technologies in the phosphate chemicals industry in China</w:t>
      </w:r>
      <w:r w:rsidR="005A0004">
        <w:rPr>
          <w:rFonts w:cs="Calibri"/>
          <w:sz w:val="22"/>
        </w:rPr>
        <w:t xml:space="preserve">, in </w:t>
      </w:r>
      <w:proofErr w:type="gramStart"/>
      <w:r w:rsidR="005A0004">
        <w:rPr>
          <w:rFonts w:cs="Calibri"/>
          <w:sz w:val="22"/>
        </w:rPr>
        <w:t xml:space="preserve">order </w:t>
      </w:r>
      <w:r w:rsidRPr="005E48FF">
        <w:rPr>
          <w:rFonts w:cs="Calibri"/>
          <w:sz w:val="22"/>
        </w:rPr>
        <w:t xml:space="preserve"> to</w:t>
      </w:r>
      <w:proofErr w:type="gramEnd"/>
      <w:r w:rsidRPr="005E48FF">
        <w:rPr>
          <w:rFonts w:cs="Calibri"/>
          <w:sz w:val="22"/>
        </w:rPr>
        <w:t xml:space="preserve"> contribute to global climate change mitigation and the achievement of the United Nations sustainable development goals (SDG). </w:t>
      </w:r>
    </w:p>
    <w:p w14:paraId="061105AA" w14:textId="77777777" w:rsidR="005E48FF" w:rsidRPr="005E48FF" w:rsidRDefault="005E48FF" w:rsidP="005E48FF">
      <w:pPr>
        <w:spacing w:before="0" w:after="0"/>
        <w:rPr>
          <w:rFonts w:cs="Calibri"/>
          <w:sz w:val="22"/>
        </w:rPr>
      </w:pPr>
    </w:p>
    <w:p w14:paraId="45E20ABF" w14:textId="7196A58D" w:rsidR="000C6B9E" w:rsidRDefault="005E48FF" w:rsidP="005E48FF">
      <w:pPr>
        <w:spacing w:before="0" w:after="0"/>
        <w:rPr>
          <w:rFonts w:cs="Calibri"/>
          <w:sz w:val="22"/>
        </w:rPr>
      </w:pPr>
      <w:r w:rsidRPr="005E48FF">
        <w:rPr>
          <w:rFonts w:cs="Calibri"/>
          <w:sz w:val="22"/>
        </w:rPr>
        <w:t xml:space="preserve">This ESMF has been prepared for the submission of the </w:t>
      </w:r>
      <w:proofErr w:type="spellStart"/>
      <w:r w:rsidRPr="005E48FF">
        <w:rPr>
          <w:rFonts w:cs="Calibri"/>
          <w:sz w:val="22"/>
        </w:rPr>
        <w:t>PhosChemEE</w:t>
      </w:r>
      <w:proofErr w:type="spellEnd"/>
      <w:r w:rsidRPr="005E48FF">
        <w:rPr>
          <w:rFonts w:cs="Calibri"/>
          <w:sz w:val="22"/>
        </w:rPr>
        <w:t xml:space="preserve"> Project proposal to the GEF for the purpose of </w:t>
      </w:r>
      <w:r w:rsidR="005A0004">
        <w:rPr>
          <w:rFonts w:cs="Calibri"/>
          <w:sz w:val="22"/>
        </w:rPr>
        <w:t xml:space="preserve">establishing procedures and measures that will </w:t>
      </w:r>
      <w:proofErr w:type="gramStart"/>
      <w:r w:rsidRPr="005E48FF">
        <w:rPr>
          <w:rFonts w:cs="Calibri"/>
          <w:sz w:val="22"/>
        </w:rPr>
        <w:t>assist</w:t>
      </w:r>
      <w:r w:rsidR="005A0004">
        <w:rPr>
          <w:rFonts w:cs="Calibri"/>
          <w:sz w:val="22"/>
        </w:rPr>
        <w:t xml:space="preserve"> </w:t>
      </w:r>
      <w:r w:rsidRPr="005E48FF">
        <w:rPr>
          <w:rFonts w:cs="Calibri"/>
          <w:sz w:val="22"/>
        </w:rPr>
        <w:t xml:space="preserve"> in</w:t>
      </w:r>
      <w:proofErr w:type="gramEnd"/>
      <w:r w:rsidRPr="005E48FF">
        <w:rPr>
          <w:rFonts w:cs="Calibri"/>
          <w:sz w:val="22"/>
        </w:rPr>
        <w:t xml:space="preserve"> the assessment </w:t>
      </w:r>
      <w:r w:rsidR="005A0004">
        <w:rPr>
          <w:rFonts w:cs="Calibri"/>
          <w:sz w:val="22"/>
        </w:rPr>
        <w:t xml:space="preserve">and management </w:t>
      </w:r>
      <w:r w:rsidRPr="005E48FF">
        <w:rPr>
          <w:rFonts w:cs="Calibri"/>
          <w:sz w:val="22"/>
        </w:rPr>
        <w:t xml:space="preserve">of its potential environmental and social impacts. Preliminary analysis and screening conducted during the project development phase via UNDP’s Social and Environmental Screening Procedure (SESP) identified </w:t>
      </w:r>
      <w:r w:rsidR="005A0004">
        <w:rPr>
          <w:rFonts w:cs="Calibri"/>
          <w:sz w:val="22"/>
        </w:rPr>
        <w:t xml:space="preserve">several </w:t>
      </w:r>
      <w:r w:rsidRPr="005E48FF">
        <w:rPr>
          <w:rFonts w:cs="Calibri"/>
          <w:sz w:val="22"/>
        </w:rPr>
        <w:t>potential social and environmental risks associated with project activities</w:t>
      </w:r>
      <w:r w:rsidR="000C6B9E">
        <w:rPr>
          <w:rFonts w:cs="Calibri"/>
          <w:sz w:val="22"/>
        </w:rPr>
        <w:t xml:space="preserve">, resulting in an overall </w:t>
      </w:r>
      <w:r w:rsidR="000C6B9E" w:rsidRPr="0086490B">
        <w:rPr>
          <w:rFonts w:cs="Calibri"/>
          <w:b/>
          <w:bCs/>
          <w:sz w:val="22"/>
        </w:rPr>
        <w:t>‘high’</w:t>
      </w:r>
      <w:r w:rsidR="000C6B9E">
        <w:rPr>
          <w:rFonts w:cs="Calibri"/>
          <w:sz w:val="22"/>
        </w:rPr>
        <w:t xml:space="preserve"> risk categorisation of the project.</w:t>
      </w:r>
    </w:p>
    <w:p w14:paraId="561DDB92" w14:textId="77777777" w:rsidR="000C6B9E" w:rsidRDefault="000C6B9E" w:rsidP="005E48FF">
      <w:pPr>
        <w:spacing w:before="0" w:after="0"/>
        <w:rPr>
          <w:rFonts w:cs="Calibri"/>
          <w:sz w:val="22"/>
        </w:rPr>
      </w:pPr>
    </w:p>
    <w:p w14:paraId="5612FB16" w14:textId="0BC31589" w:rsidR="005E48FF" w:rsidRPr="005E48FF" w:rsidRDefault="005E48FF" w:rsidP="005E48FF">
      <w:pPr>
        <w:spacing w:before="0" w:after="0"/>
        <w:rPr>
          <w:rFonts w:cs="Calibri"/>
          <w:sz w:val="22"/>
        </w:rPr>
      </w:pPr>
      <w:r w:rsidRPr="005E48FF">
        <w:rPr>
          <w:rFonts w:cs="Calibri"/>
          <w:sz w:val="22"/>
        </w:rPr>
        <w:t xml:space="preserve"> This ESMF covers all activities of the </w:t>
      </w:r>
      <w:proofErr w:type="spellStart"/>
      <w:r w:rsidRPr="005E48FF">
        <w:rPr>
          <w:rFonts w:cs="Calibri"/>
          <w:sz w:val="22"/>
        </w:rPr>
        <w:t>PhosChemEE</w:t>
      </w:r>
      <w:proofErr w:type="spellEnd"/>
      <w:r w:rsidRPr="005E48FF">
        <w:rPr>
          <w:rFonts w:cs="Calibri"/>
          <w:sz w:val="22"/>
        </w:rPr>
        <w:t xml:space="preserve"> Project and with particular emphasis on implementation of the low/zero carbon energy technology application demos. Such activities involve the construction/installation and operation of systems/facilities for showcasing the application of energy saving and green and low-carbon technologies. Another aspect covered is the adverse impacts on sustainable natural resource (efficiency) management and community and labour health.</w:t>
      </w:r>
    </w:p>
    <w:p w14:paraId="31375AE7" w14:textId="77777777" w:rsidR="005E48FF" w:rsidRPr="005E48FF" w:rsidRDefault="005E48FF" w:rsidP="005E48FF">
      <w:pPr>
        <w:spacing w:before="0" w:after="0"/>
        <w:rPr>
          <w:rFonts w:cs="Calibri"/>
          <w:sz w:val="22"/>
        </w:rPr>
      </w:pPr>
    </w:p>
    <w:p w14:paraId="33A71694" w14:textId="62AD2660" w:rsidR="005E48FF" w:rsidRPr="005E48FF" w:rsidRDefault="005E48FF" w:rsidP="005E48FF">
      <w:pPr>
        <w:spacing w:before="0" w:after="0"/>
        <w:rPr>
          <w:rFonts w:cs="Calibri"/>
          <w:sz w:val="22"/>
        </w:rPr>
      </w:pPr>
      <w:r w:rsidRPr="005E48FF">
        <w:rPr>
          <w:rFonts w:cs="Calibri"/>
          <w:sz w:val="22"/>
        </w:rPr>
        <w:t>This ESMF has been prepared based on the social and environmental screening procedure (UNDP’s SESP) undertaken during the project development phas</w:t>
      </w:r>
      <w:r w:rsidR="00B2748B">
        <w:rPr>
          <w:rFonts w:cs="Calibri"/>
          <w:sz w:val="22"/>
        </w:rPr>
        <w:t xml:space="preserve">e, as well as </w:t>
      </w:r>
      <w:r w:rsidRPr="005E48FF">
        <w:rPr>
          <w:rFonts w:cs="Calibri"/>
          <w:sz w:val="22"/>
        </w:rPr>
        <w:t xml:space="preserve">consultations with implementing partners and local communities. </w:t>
      </w:r>
    </w:p>
    <w:p w14:paraId="2C19EA42" w14:textId="1CC9C383" w:rsidR="005E48FF" w:rsidRDefault="005E48FF" w:rsidP="005E48FF">
      <w:pPr>
        <w:spacing w:before="0" w:after="0"/>
        <w:rPr>
          <w:rFonts w:cs="Calibri"/>
          <w:sz w:val="22"/>
        </w:rPr>
      </w:pPr>
    </w:p>
    <w:p w14:paraId="793CAC2E" w14:textId="77777777" w:rsidR="005E48FF" w:rsidRPr="005E48FF" w:rsidRDefault="005E48FF" w:rsidP="005E48FF">
      <w:pPr>
        <w:spacing w:before="0" w:after="0"/>
        <w:rPr>
          <w:rFonts w:cs="Calibri"/>
          <w:sz w:val="22"/>
        </w:rPr>
      </w:pPr>
      <w:r w:rsidRPr="005E48FF">
        <w:rPr>
          <w:rFonts w:cs="Calibri"/>
          <w:sz w:val="22"/>
        </w:rPr>
        <w:t xml:space="preserve">This ESMF has been developed to specify the processes that will be undertaken by this project for the additional assessment of potential impacts and identification and development of appropriate risk management measures, in line with UNDP’s Social and Environmental Standards (SES). </w:t>
      </w:r>
    </w:p>
    <w:p w14:paraId="27A6687C" w14:textId="77777777" w:rsidR="005E48FF" w:rsidRPr="005E48FF" w:rsidRDefault="005E48FF" w:rsidP="005E48FF">
      <w:pPr>
        <w:spacing w:before="0" w:after="0"/>
        <w:rPr>
          <w:rFonts w:cs="Calibri"/>
          <w:sz w:val="22"/>
        </w:rPr>
      </w:pPr>
    </w:p>
    <w:p w14:paraId="12C408A7" w14:textId="77777777" w:rsidR="00447349" w:rsidRDefault="005E48FF" w:rsidP="005E48FF">
      <w:pPr>
        <w:spacing w:before="0" w:after="0"/>
        <w:rPr>
          <w:rFonts w:cs="Calibri"/>
          <w:sz w:val="22"/>
        </w:rPr>
      </w:pPr>
      <w:r w:rsidRPr="005E48FF">
        <w:rPr>
          <w:rFonts w:cs="Calibri"/>
          <w:sz w:val="22"/>
        </w:rPr>
        <w:t xml:space="preserve">This ESMF identifies the steps that will be followed during the inception phase of the project for: </w:t>
      </w:r>
    </w:p>
    <w:p w14:paraId="729C3BF6" w14:textId="289C98A7" w:rsidR="00447349" w:rsidRPr="0086490B" w:rsidRDefault="00447349" w:rsidP="0086490B">
      <w:pPr>
        <w:pStyle w:val="ListParagraph"/>
        <w:numPr>
          <w:ilvl w:val="0"/>
          <w:numId w:val="40"/>
        </w:numPr>
        <w:spacing w:before="0" w:after="0"/>
        <w:rPr>
          <w:rFonts w:cs="Calibri"/>
          <w:sz w:val="22"/>
        </w:rPr>
      </w:pPr>
      <w:r w:rsidRPr="0086490B">
        <w:rPr>
          <w:rFonts w:cs="Calibri"/>
          <w:b/>
          <w:bCs/>
          <w:sz w:val="22"/>
        </w:rPr>
        <w:t>Additional r</w:t>
      </w:r>
      <w:r w:rsidR="005E48FF" w:rsidRPr="0086490B">
        <w:rPr>
          <w:rFonts w:cs="Calibri"/>
          <w:b/>
          <w:bCs/>
          <w:sz w:val="22"/>
        </w:rPr>
        <w:t>isk screening</w:t>
      </w:r>
      <w:r w:rsidR="005E48FF" w:rsidRPr="0086490B">
        <w:rPr>
          <w:rFonts w:cs="Calibri"/>
          <w:sz w:val="22"/>
        </w:rPr>
        <w:t xml:space="preserve"> based on the draft demos design and final demos design</w:t>
      </w:r>
      <w:r w:rsidRPr="0086490B">
        <w:rPr>
          <w:rFonts w:cs="Calibri"/>
          <w:sz w:val="22"/>
        </w:rPr>
        <w:t xml:space="preserve"> when available</w:t>
      </w:r>
      <w:r w:rsidR="00E56659">
        <w:rPr>
          <w:rFonts w:cs="Calibri"/>
          <w:sz w:val="22"/>
        </w:rPr>
        <w:t>:</w:t>
      </w:r>
      <w:r w:rsidR="005E48FF" w:rsidRPr="0086490B">
        <w:rPr>
          <w:rFonts w:cs="Calibri"/>
          <w:sz w:val="22"/>
        </w:rPr>
        <w:t xml:space="preserve"> </w:t>
      </w:r>
    </w:p>
    <w:p w14:paraId="3603159E" w14:textId="3B882CF2" w:rsidR="005E48FF" w:rsidRPr="00B002EE" w:rsidRDefault="005B3FE1" w:rsidP="008709B7">
      <w:pPr>
        <w:pStyle w:val="ListParagraph"/>
        <w:numPr>
          <w:ilvl w:val="0"/>
          <w:numId w:val="40"/>
        </w:numPr>
        <w:spacing w:before="0" w:after="0"/>
        <w:rPr>
          <w:rFonts w:cs="Calibri"/>
          <w:sz w:val="22"/>
        </w:rPr>
      </w:pPr>
      <w:r w:rsidRPr="0086490B">
        <w:rPr>
          <w:rFonts w:cs="Calibri"/>
          <w:b/>
          <w:bCs/>
          <w:sz w:val="22"/>
        </w:rPr>
        <w:t>Site specific ESIAs</w:t>
      </w:r>
      <w:r>
        <w:rPr>
          <w:rFonts w:cs="Calibri"/>
          <w:sz w:val="22"/>
        </w:rPr>
        <w:t xml:space="preserve"> for the assessment of potential environmental and social risks associated with the demos </w:t>
      </w:r>
      <w:r w:rsidRPr="0086490B">
        <w:rPr>
          <w:rFonts w:cs="Calibri"/>
          <w:sz w:val="22"/>
        </w:rPr>
        <w:t>(</w:t>
      </w:r>
      <w:r>
        <w:rPr>
          <w:rFonts w:eastAsia="Times New Roman" w:cs="Calibri"/>
          <w:lang w:eastAsia="ja-JP"/>
        </w:rPr>
        <w:t xml:space="preserve">i.e. </w:t>
      </w:r>
      <w:r w:rsidR="006D0939" w:rsidRPr="0086490B">
        <w:rPr>
          <w:rFonts w:eastAsia="Times New Roman" w:cs="Calibri"/>
          <w:b/>
          <w:bCs/>
          <w:lang w:eastAsia="ja-JP"/>
        </w:rPr>
        <w:t>O</w:t>
      </w:r>
      <w:r w:rsidRPr="0086490B">
        <w:rPr>
          <w:rFonts w:eastAsia="Times New Roman" w:cs="Calibri"/>
          <w:b/>
          <w:bCs/>
          <w:lang w:eastAsia="ja-JP"/>
        </w:rPr>
        <w:t>utputs 1.2.2, 2.2.2, 3.2.2</w:t>
      </w:r>
      <w:proofErr w:type="gramStart"/>
      <w:r>
        <w:rPr>
          <w:rFonts w:eastAsia="Times New Roman" w:cs="Calibri"/>
          <w:lang w:eastAsia="ja-JP"/>
        </w:rPr>
        <w:t xml:space="preserve">) </w:t>
      </w:r>
      <w:r w:rsidRPr="00DE42F2">
        <w:rPr>
          <w:rFonts w:eastAsia="Times New Roman" w:cs="Calibri"/>
          <w:lang w:eastAsia="ja-JP"/>
        </w:rPr>
        <w:t xml:space="preserve"> </w:t>
      </w:r>
      <w:proofErr w:type="spellStart"/>
      <w:r w:rsidR="005E48FF" w:rsidRPr="0086490B">
        <w:rPr>
          <w:rFonts w:cs="Calibri"/>
          <w:sz w:val="22"/>
        </w:rPr>
        <w:t>i</w:t>
      </w:r>
      <w:proofErr w:type="spellEnd"/>
      <w:proofErr w:type="gramEnd"/>
    </w:p>
    <w:p w14:paraId="0C0CBFF8" w14:textId="2B895D36" w:rsidR="008709B7" w:rsidRPr="0086490B" w:rsidRDefault="008709B7" w:rsidP="00447349">
      <w:pPr>
        <w:pStyle w:val="ListParagraph"/>
        <w:numPr>
          <w:ilvl w:val="0"/>
          <w:numId w:val="40"/>
        </w:numPr>
        <w:spacing w:before="0" w:after="0"/>
        <w:rPr>
          <w:rFonts w:cs="Calibri"/>
          <w:sz w:val="22"/>
        </w:rPr>
      </w:pPr>
      <w:r>
        <w:rPr>
          <w:rFonts w:cs="Calibri"/>
          <w:sz w:val="22"/>
          <w:lang w:val="en-US"/>
        </w:rPr>
        <w:t>T</w:t>
      </w:r>
      <w:r w:rsidRPr="008709B7">
        <w:rPr>
          <w:rFonts w:cs="Calibri"/>
          <w:sz w:val="22"/>
          <w:lang w:val="en-US"/>
        </w:rPr>
        <w:t xml:space="preserve">he conduct of a </w:t>
      </w:r>
      <w:r w:rsidRPr="0086490B">
        <w:rPr>
          <w:rFonts w:cs="Calibri"/>
          <w:b/>
          <w:bCs/>
          <w:sz w:val="22"/>
          <w:lang w:val="en-US"/>
        </w:rPr>
        <w:t>Strategic Environmental and Social Assessment (</w:t>
      </w:r>
      <w:proofErr w:type="gramStart"/>
      <w:r w:rsidRPr="0086490B">
        <w:rPr>
          <w:rFonts w:cs="Calibri"/>
          <w:b/>
          <w:bCs/>
          <w:sz w:val="22"/>
          <w:lang w:val="en-US"/>
        </w:rPr>
        <w:t>SESA)</w:t>
      </w:r>
      <w:r>
        <w:rPr>
          <w:rFonts w:cs="Calibri"/>
          <w:sz w:val="22"/>
          <w:lang w:val="en-US"/>
        </w:rPr>
        <w:t xml:space="preserve"> </w:t>
      </w:r>
      <w:r w:rsidRPr="008709B7">
        <w:rPr>
          <w:rFonts w:cs="Calibri"/>
          <w:sz w:val="22"/>
          <w:lang w:val="en-US"/>
        </w:rPr>
        <w:t xml:space="preserve"> that</w:t>
      </w:r>
      <w:proofErr w:type="gramEnd"/>
      <w:r w:rsidRPr="008709B7">
        <w:rPr>
          <w:rFonts w:cs="Calibri"/>
          <w:sz w:val="22"/>
          <w:lang w:val="en-US"/>
        </w:rPr>
        <w:t xml:space="preserve"> shall cover all upstream activities, and those with potential cumulative impact related implications, Activities that will fall under the scope of the SESA include (but are not limited to): </w:t>
      </w:r>
      <w:r w:rsidRPr="0086490B">
        <w:rPr>
          <w:rFonts w:cs="Calibri"/>
          <w:b/>
          <w:bCs/>
          <w:sz w:val="22"/>
          <w:lang w:val="en-US"/>
        </w:rPr>
        <w:t>Outputs 1.1.1, 1.1.2, 2.1.1, 2.1.2, , 2.1.6, 2.2.4, 2.2.5, 3.1.1, and 3.1.2,)</w:t>
      </w:r>
    </w:p>
    <w:p w14:paraId="3854E6BA" w14:textId="4DAB538E" w:rsidR="008709B7" w:rsidRDefault="008709B7" w:rsidP="00447349">
      <w:pPr>
        <w:pStyle w:val="ListParagraph"/>
        <w:numPr>
          <w:ilvl w:val="0"/>
          <w:numId w:val="40"/>
        </w:numPr>
        <w:spacing w:before="0" w:after="0"/>
        <w:rPr>
          <w:rFonts w:cs="Calibri"/>
          <w:sz w:val="22"/>
        </w:rPr>
      </w:pPr>
      <w:r w:rsidRPr="00B7643D">
        <w:rPr>
          <w:rFonts w:cs="Calibri"/>
          <w:sz w:val="22"/>
        </w:rPr>
        <w:t xml:space="preserve">based on those assessments, </w:t>
      </w:r>
      <w:proofErr w:type="gramStart"/>
      <w:r w:rsidRPr="00B7643D">
        <w:rPr>
          <w:rFonts w:cs="Calibri"/>
          <w:sz w:val="22"/>
        </w:rPr>
        <w:t>preparing</w:t>
      </w:r>
      <w:proofErr w:type="gramEnd"/>
      <w:r w:rsidRPr="00B7643D">
        <w:rPr>
          <w:rFonts w:cs="Calibri"/>
          <w:sz w:val="22"/>
        </w:rPr>
        <w:t xml:space="preserve"> and </w:t>
      </w:r>
      <w:r w:rsidRPr="0086490B">
        <w:rPr>
          <w:rFonts w:cs="Calibri"/>
          <w:b/>
          <w:bCs/>
          <w:sz w:val="22"/>
        </w:rPr>
        <w:t>approving appropriate management plans</w:t>
      </w:r>
      <w:r w:rsidRPr="00B7643D">
        <w:rPr>
          <w:rFonts w:cs="Calibri"/>
          <w:sz w:val="22"/>
        </w:rPr>
        <w:t xml:space="preserve"> for avoiding, and where avoidance is not possible, reducing, mitigating, and managing adverse impacts, via completion of stand-alone management plans (as justified based on results of the assessment) for the project.</w:t>
      </w:r>
    </w:p>
    <w:p w14:paraId="40B150F8" w14:textId="64FC132B" w:rsidR="006D0939" w:rsidRPr="0086490B" w:rsidRDefault="006D0939" w:rsidP="0086490B">
      <w:pPr>
        <w:pStyle w:val="ListParagraph"/>
        <w:numPr>
          <w:ilvl w:val="0"/>
          <w:numId w:val="40"/>
        </w:numPr>
        <w:spacing w:before="0" w:after="0"/>
        <w:rPr>
          <w:rFonts w:cs="Calibri"/>
          <w:sz w:val="22"/>
        </w:rPr>
      </w:pPr>
      <w:r>
        <w:rPr>
          <w:rFonts w:eastAsia="Times New Roman" w:cs="Arial"/>
          <w:lang w:eastAsia="ja-JP"/>
        </w:rPr>
        <w:t>All contractors (</w:t>
      </w:r>
      <w:proofErr w:type="gramStart"/>
      <w:r w:rsidR="00E56659">
        <w:rPr>
          <w:rFonts w:eastAsia="Times New Roman" w:cs="Arial"/>
          <w:lang w:eastAsia="ja-JP"/>
        </w:rPr>
        <w:t>i.e.</w:t>
      </w:r>
      <w:proofErr w:type="gramEnd"/>
      <w:r>
        <w:rPr>
          <w:rFonts w:eastAsia="Times New Roman" w:cs="Arial"/>
          <w:lang w:eastAsia="ja-JP"/>
        </w:rPr>
        <w:t xml:space="preserve"> undertaken engineering and infrastructure works as part of the project) will be required to develop, submit</w:t>
      </w:r>
      <w:r w:rsidR="00E56659">
        <w:rPr>
          <w:rFonts w:eastAsia="Times New Roman" w:cs="Arial"/>
          <w:lang w:eastAsia="ja-JP"/>
        </w:rPr>
        <w:t>,</w:t>
      </w:r>
      <w:r>
        <w:rPr>
          <w:rFonts w:eastAsia="Times New Roman" w:cs="Arial"/>
          <w:lang w:eastAsia="ja-JP"/>
        </w:rPr>
        <w:t xml:space="preserve"> and adhere to a </w:t>
      </w:r>
      <w:r w:rsidRPr="0086490B">
        <w:rPr>
          <w:rFonts w:eastAsia="Times New Roman" w:cs="Arial"/>
          <w:b/>
          <w:bCs/>
          <w:lang w:eastAsia="ja-JP"/>
        </w:rPr>
        <w:t>Labour Management Plan</w:t>
      </w:r>
      <w:r>
        <w:rPr>
          <w:rFonts w:eastAsia="Times New Roman" w:cs="Arial"/>
          <w:lang w:eastAsia="ja-JP"/>
        </w:rPr>
        <w:t xml:space="preserve"> that meets the requirements of both UNDP SES 7 and relevant national/host country law and regulation</w:t>
      </w:r>
    </w:p>
    <w:p w14:paraId="2F612D8F" w14:textId="77777777" w:rsidR="005E48FF" w:rsidRPr="005E48FF" w:rsidRDefault="005E48FF" w:rsidP="005E48FF">
      <w:pPr>
        <w:spacing w:before="0" w:after="0"/>
        <w:rPr>
          <w:rFonts w:cs="Calibri"/>
          <w:sz w:val="22"/>
        </w:rPr>
      </w:pPr>
    </w:p>
    <w:p w14:paraId="3E1D94A6" w14:textId="7C491D83" w:rsidR="005E48FF" w:rsidRPr="005E48FF" w:rsidRDefault="005E48FF" w:rsidP="005E48FF">
      <w:pPr>
        <w:spacing w:before="0" w:after="0"/>
        <w:rPr>
          <w:rFonts w:cs="Calibri"/>
          <w:sz w:val="22"/>
        </w:rPr>
      </w:pPr>
      <w:r w:rsidRPr="005E48FF">
        <w:rPr>
          <w:rFonts w:cs="Calibri"/>
          <w:sz w:val="22"/>
        </w:rPr>
        <w:t>This ESMF also details the roles and responsibilities for its implementation and includes a detailed budget and monitoring and evaluation plan</w:t>
      </w:r>
      <w:r w:rsidR="00681E6C">
        <w:rPr>
          <w:rFonts w:cs="Calibri"/>
          <w:sz w:val="22"/>
        </w:rPr>
        <w:t xml:space="preserve"> that shall be followed by responsible project staff during the execution of the project</w:t>
      </w:r>
      <w:r w:rsidRPr="005E48FF">
        <w:rPr>
          <w:rFonts w:cs="Calibri"/>
          <w:sz w:val="22"/>
        </w:rPr>
        <w:t>.</w:t>
      </w:r>
    </w:p>
    <w:p w14:paraId="0BEAD59D" w14:textId="77777777" w:rsidR="006D3825" w:rsidRPr="005E48FF" w:rsidRDefault="006D3825" w:rsidP="00420A86">
      <w:pPr>
        <w:spacing w:before="0" w:after="0"/>
        <w:rPr>
          <w:rFonts w:cs="Calibri"/>
          <w:sz w:val="22"/>
        </w:rPr>
        <w:sectPr w:rsidR="006D3825" w:rsidRPr="005E48FF" w:rsidSect="000603CE">
          <w:footerReference w:type="default" r:id="rId16"/>
          <w:pgSz w:w="11907" w:h="16839" w:code="9"/>
          <w:pgMar w:top="1440" w:right="1440" w:bottom="1440" w:left="1440" w:header="432" w:footer="432" w:gutter="0"/>
          <w:pgNumType w:fmt="lowerRoman" w:start="1"/>
          <w:cols w:space="720"/>
          <w:docGrid w:linePitch="360"/>
        </w:sectPr>
      </w:pPr>
    </w:p>
    <w:p w14:paraId="4B11997D" w14:textId="77777777" w:rsidR="00B20DCD" w:rsidRPr="00420A86" w:rsidRDefault="00B20DCD" w:rsidP="00420A86">
      <w:pPr>
        <w:pStyle w:val="Heading1"/>
        <w:numPr>
          <w:ilvl w:val="0"/>
          <w:numId w:val="0"/>
        </w:numPr>
        <w:spacing w:before="0" w:after="0"/>
        <w:rPr>
          <w:rFonts w:cs="Calibri"/>
          <w:color w:val="002060"/>
          <w:sz w:val="22"/>
          <w:szCs w:val="22"/>
        </w:rPr>
      </w:pPr>
      <w:bookmarkStart w:id="8" w:name="_Toc86064148"/>
      <w:r w:rsidRPr="00420A86">
        <w:rPr>
          <w:rFonts w:cs="Calibri"/>
          <w:color w:val="002060"/>
          <w:sz w:val="22"/>
          <w:szCs w:val="22"/>
        </w:rPr>
        <w:lastRenderedPageBreak/>
        <w:t>Abbreviations and Acronyms</w:t>
      </w:r>
      <w:bookmarkEnd w:id="8"/>
    </w:p>
    <w:p w14:paraId="7D3A25C0" w14:textId="77777777" w:rsidR="007A5B4B" w:rsidRPr="00420A86" w:rsidRDefault="007A5B4B" w:rsidP="00420A86">
      <w:pPr>
        <w:spacing w:before="0" w:after="0"/>
        <w:rPr>
          <w:rFonts w:cs="Calibri"/>
          <w:sz w:val="22"/>
        </w:rPr>
      </w:pPr>
    </w:p>
    <w:tbl>
      <w:tblPr>
        <w:tblW w:w="0" w:type="auto"/>
        <w:tblBorders>
          <w:bottom w:val="single" w:sz="4" w:space="0" w:color="auto"/>
        </w:tblBorders>
        <w:tblLook w:val="04A0" w:firstRow="1" w:lastRow="0" w:firstColumn="1" w:lastColumn="0" w:noHBand="0" w:noVBand="1"/>
      </w:tblPr>
      <w:tblGrid>
        <w:gridCol w:w="1185"/>
        <w:gridCol w:w="7842"/>
      </w:tblGrid>
      <w:tr w:rsidR="00842643" w:rsidRPr="00C3006B" w14:paraId="4635026D" w14:textId="77777777" w:rsidTr="00AD6D31">
        <w:trPr>
          <w:trHeight w:val="113"/>
        </w:trPr>
        <w:tc>
          <w:tcPr>
            <w:tcW w:w="1185" w:type="dxa"/>
            <w:shd w:val="clear" w:color="auto" w:fill="auto"/>
          </w:tcPr>
          <w:p w14:paraId="3AC732AF" w14:textId="77777777" w:rsidR="00464CFD" w:rsidRPr="00C3006B" w:rsidRDefault="001504A7" w:rsidP="00C3006B">
            <w:pPr>
              <w:spacing w:before="0" w:after="0"/>
              <w:rPr>
                <w:rFonts w:cs="Calibri"/>
                <w:sz w:val="22"/>
                <w:lang w:eastAsia="zh-CN"/>
              </w:rPr>
            </w:pPr>
            <w:r w:rsidRPr="00C3006B">
              <w:rPr>
                <w:rFonts w:cs="Calibri"/>
                <w:sz w:val="22"/>
                <w:lang w:eastAsia="zh-CN"/>
              </w:rPr>
              <w:t>ACWF</w:t>
            </w:r>
          </w:p>
        </w:tc>
        <w:tc>
          <w:tcPr>
            <w:tcW w:w="7842" w:type="dxa"/>
            <w:shd w:val="clear" w:color="auto" w:fill="auto"/>
          </w:tcPr>
          <w:p w14:paraId="06F027D6" w14:textId="77777777" w:rsidR="00464CFD" w:rsidRPr="00C3006B" w:rsidRDefault="009217CA" w:rsidP="00C3006B">
            <w:pPr>
              <w:spacing w:before="0" w:after="0"/>
              <w:rPr>
                <w:rFonts w:cs="Calibri"/>
                <w:sz w:val="22"/>
              </w:rPr>
            </w:pPr>
            <w:r w:rsidRPr="00C3006B">
              <w:rPr>
                <w:rFonts w:cs="Calibri"/>
                <w:sz w:val="22"/>
                <w:lang w:eastAsia="zh-CN"/>
              </w:rPr>
              <w:t>All China Women’s Federation (ACWF)</w:t>
            </w:r>
          </w:p>
        </w:tc>
      </w:tr>
      <w:tr w:rsidR="00C3006B" w:rsidRPr="00C3006B" w14:paraId="5079CDF7" w14:textId="77777777" w:rsidTr="00AD6D31">
        <w:trPr>
          <w:trHeight w:val="113"/>
        </w:trPr>
        <w:tc>
          <w:tcPr>
            <w:tcW w:w="1185" w:type="dxa"/>
            <w:shd w:val="clear" w:color="auto" w:fill="auto"/>
          </w:tcPr>
          <w:p w14:paraId="7AAAE696" w14:textId="77777777" w:rsidR="00C3006B" w:rsidRPr="00C3006B" w:rsidRDefault="00C3006B" w:rsidP="00420A86">
            <w:pPr>
              <w:spacing w:before="0" w:after="0"/>
              <w:rPr>
                <w:rFonts w:cs="Calibri"/>
                <w:sz w:val="22"/>
              </w:rPr>
            </w:pPr>
            <w:r w:rsidRPr="00C3006B">
              <w:rPr>
                <w:sz w:val="22"/>
              </w:rPr>
              <w:t>ESIA</w:t>
            </w:r>
          </w:p>
        </w:tc>
        <w:tc>
          <w:tcPr>
            <w:tcW w:w="7842" w:type="dxa"/>
            <w:shd w:val="clear" w:color="auto" w:fill="auto"/>
          </w:tcPr>
          <w:p w14:paraId="095D0447" w14:textId="77777777" w:rsidR="00C3006B" w:rsidRPr="00C3006B" w:rsidRDefault="00C3006B" w:rsidP="00420A86">
            <w:pPr>
              <w:spacing w:before="0" w:after="0"/>
              <w:rPr>
                <w:rFonts w:cs="Calibri"/>
                <w:sz w:val="22"/>
                <w:lang w:eastAsia="zh-CN"/>
              </w:rPr>
            </w:pPr>
            <w:r w:rsidRPr="00C3006B">
              <w:rPr>
                <w:sz w:val="22"/>
              </w:rPr>
              <w:t>Environmental and Social Impact Assessment</w:t>
            </w:r>
          </w:p>
        </w:tc>
      </w:tr>
      <w:tr w:rsidR="00C3006B" w:rsidRPr="00C3006B" w14:paraId="4BF66352" w14:textId="77777777" w:rsidTr="00AD6D31">
        <w:trPr>
          <w:trHeight w:val="113"/>
        </w:trPr>
        <w:tc>
          <w:tcPr>
            <w:tcW w:w="1185" w:type="dxa"/>
            <w:shd w:val="clear" w:color="auto" w:fill="auto"/>
          </w:tcPr>
          <w:p w14:paraId="6BDF6315" w14:textId="77777777" w:rsidR="00C3006B" w:rsidRPr="00C3006B" w:rsidRDefault="00C3006B" w:rsidP="00420A86">
            <w:pPr>
              <w:spacing w:before="0" w:after="0"/>
              <w:rPr>
                <w:rFonts w:cs="Calibri"/>
                <w:sz w:val="22"/>
              </w:rPr>
            </w:pPr>
            <w:r w:rsidRPr="00C3006B">
              <w:rPr>
                <w:rFonts w:cs="Calibri"/>
                <w:sz w:val="22"/>
              </w:rPr>
              <w:t>ESMF</w:t>
            </w:r>
          </w:p>
        </w:tc>
        <w:tc>
          <w:tcPr>
            <w:tcW w:w="7842" w:type="dxa"/>
            <w:shd w:val="clear" w:color="auto" w:fill="auto"/>
          </w:tcPr>
          <w:p w14:paraId="73E8FB1C" w14:textId="77777777" w:rsidR="00C3006B" w:rsidRPr="00C3006B" w:rsidRDefault="00C3006B" w:rsidP="00420A86">
            <w:pPr>
              <w:spacing w:before="0" w:after="0"/>
              <w:rPr>
                <w:rFonts w:cs="Calibri"/>
                <w:sz w:val="22"/>
                <w:lang w:eastAsia="zh-CN"/>
              </w:rPr>
            </w:pPr>
            <w:r w:rsidRPr="00C3006B">
              <w:rPr>
                <w:rFonts w:cs="Calibri"/>
                <w:sz w:val="22"/>
              </w:rPr>
              <w:t>Environmental and Social Management Framework</w:t>
            </w:r>
          </w:p>
        </w:tc>
      </w:tr>
      <w:tr w:rsidR="00C3006B" w:rsidRPr="00C3006B" w14:paraId="5436B1A3" w14:textId="77777777" w:rsidTr="00AD6D31">
        <w:trPr>
          <w:trHeight w:val="113"/>
        </w:trPr>
        <w:tc>
          <w:tcPr>
            <w:tcW w:w="1185" w:type="dxa"/>
            <w:shd w:val="clear" w:color="auto" w:fill="auto"/>
          </w:tcPr>
          <w:p w14:paraId="464D2E42" w14:textId="77777777" w:rsidR="00C3006B" w:rsidRPr="00C3006B" w:rsidRDefault="00C3006B" w:rsidP="00420A86">
            <w:pPr>
              <w:spacing w:before="0" w:after="0"/>
              <w:rPr>
                <w:rFonts w:cs="Calibri"/>
                <w:sz w:val="22"/>
                <w:lang w:eastAsia="zh-CN"/>
              </w:rPr>
            </w:pPr>
            <w:r w:rsidRPr="00C3006B">
              <w:rPr>
                <w:sz w:val="22"/>
              </w:rPr>
              <w:t>ESMP</w:t>
            </w:r>
          </w:p>
        </w:tc>
        <w:tc>
          <w:tcPr>
            <w:tcW w:w="7842" w:type="dxa"/>
            <w:shd w:val="clear" w:color="auto" w:fill="auto"/>
          </w:tcPr>
          <w:p w14:paraId="19F48248" w14:textId="77777777" w:rsidR="00C3006B" w:rsidRPr="00C3006B" w:rsidRDefault="00C3006B" w:rsidP="00420A86">
            <w:pPr>
              <w:spacing w:before="0" w:after="0"/>
              <w:rPr>
                <w:rFonts w:cs="Calibri"/>
                <w:sz w:val="22"/>
                <w:lang w:eastAsia="zh-CN"/>
              </w:rPr>
            </w:pPr>
            <w:r w:rsidRPr="00C3006B">
              <w:rPr>
                <w:sz w:val="22"/>
              </w:rPr>
              <w:t>Environmental and Social Management Plan</w:t>
            </w:r>
          </w:p>
        </w:tc>
      </w:tr>
      <w:tr w:rsidR="00B054D6" w:rsidRPr="00C3006B" w14:paraId="2562518B" w14:textId="77777777" w:rsidTr="00AD6D31">
        <w:trPr>
          <w:trHeight w:val="113"/>
        </w:trPr>
        <w:tc>
          <w:tcPr>
            <w:tcW w:w="1185" w:type="dxa"/>
            <w:shd w:val="clear" w:color="auto" w:fill="auto"/>
          </w:tcPr>
          <w:p w14:paraId="51499DDE" w14:textId="77777777" w:rsidR="00B054D6" w:rsidRPr="00C3006B" w:rsidRDefault="00B054D6" w:rsidP="00420A86">
            <w:pPr>
              <w:spacing w:before="0" w:after="0"/>
              <w:rPr>
                <w:rFonts w:cs="Calibri"/>
                <w:sz w:val="22"/>
              </w:rPr>
            </w:pPr>
            <w:r w:rsidRPr="00C3006B">
              <w:rPr>
                <w:rFonts w:cs="Calibri"/>
                <w:sz w:val="22"/>
              </w:rPr>
              <w:t>GEF</w:t>
            </w:r>
          </w:p>
        </w:tc>
        <w:tc>
          <w:tcPr>
            <w:tcW w:w="7842" w:type="dxa"/>
            <w:shd w:val="clear" w:color="auto" w:fill="auto"/>
          </w:tcPr>
          <w:p w14:paraId="103A3DD2" w14:textId="77777777" w:rsidR="00B054D6" w:rsidRPr="00C3006B" w:rsidRDefault="00B054D6" w:rsidP="00420A86">
            <w:pPr>
              <w:spacing w:before="0" w:after="0"/>
              <w:rPr>
                <w:rFonts w:cs="Calibri"/>
                <w:sz w:val="22"/>
              </w:rPr>
            </w:pPr>
            <w:r w:rsidRPr="00C3006B">
              <w:rPr>
                <w:rFonts w:cs="Calibri"/>
                <w:sz w:val="22"/>
              </w:rPr>
              <w:t>Global Environment Facility</w:t>
            </w:r>
          </w:p>
        </w:tc>
      </w:tr>
      <w:tr w:rsidR="00C3006B" w:rsidRPr="00C3006B" w14:paraId="630C8AB5" w14:textId="77777777" w:rsidTr="00AD6D31">
        <w:trPr>
          <w:trHeight w:val="113"/>
        </w:trPr>
        <w:tc>
          <w:tcPr>
            <w:tcW w:w="1185" w:type="dxa"/>
            <w:tcBorders>
              <w:bottom w:val="nil"/>
            </w:tcBorders>
            <w:shd w:val="clear" w:color="auto" w:fill="auto"/>
          </w:tcPr>
          <w:p w14:paraId="47DF1A70" w14:textId="77777777" w:rsidR="00C3006B" w:rsidRPr="00C3006B" w:rsidRDefault="00C3006B" w:rsidP="00420A86">
            <w:pPr>
              <w:spacing w:before="0" w:after="0"/>
              <w:rPr>
                <w:rFonts w:cs="Calibri"/>
                <w:sz w:val="22"/>
                <w:lang w:eastAsia="zh-CN"/>
              </w:rPr>
            </w:pPr>
            <w:r w:rsidRPr="00C3006B">
              <w:rPr>
                <w:rFonts w:cs="Calibri" w:hint="eastAsia"/>
                <w:sz w:val="22"/>
                <w:lang w:eastAsia="zh-CN"/>
              </w:rPr>
              <w:t>M</w:t>
            </w:r>
            <w:r w:rsidRPr="00C3006B">
              <w:rPr>
                <w:rFonts w:cs="Calibri"/>
                <w:sz w:val="22"/>
                <w:lang w:eastAsia="zh-CN"/>
              </w:rPr>
              <w:t>IIT</w:t>
            </w:r>
          </w:p>
        </w:tc>
        <w:tc>
          <w:tcPr>
            <w:tcW w:w="7842" w:type="dxa"/>
            <w:tcBorders>
              <w:bottom w:val="nil"/>
            </w:tcBorders>
            <w:shd w:val="clear" w:color="auto" w:fill="auto"/>
          </w:tcPr>
          <w:p w14:paraId="55060577" w14:textId="77777777" w:rsidR="00C3006B" w:rsidRPr="00C3006B" w:rsidRDefault="00C3006B" w:rsidP="00420A86">
            <w:pPr>
              <w:spacing w:before="0" w:after="0"/>
              <w:rPr>
                <w:rFonts w:cs="Calibri"/>
                <w:sz w:val="22"/>
                <w:lang w:eastAsia="zh-CN"/>
              </w:rPr>
            </w:pPr>
            <w:r w:rsidRPr="00C3006B">
              <w:rPr>
                <w:rFonts w:cs="Calibri"/>
                <w:sz w:val="22"/>
                <w:lang w:eastAsia="zh-CN"/>
              </w:rPr>
              <w:t>Ministry of Industry and Information Technology</w:t>
            </w:r>
          </w:p>
        </w:tc>
      </w:tr>
      <w:tr w:rsidR="00EE0E7A" w:rsidRPr="00C3006B" w14:paraId="44A448D2" w14:textId="77777777" w:rsidTr="00AD6D31">
        <w:trPr>
          <w:trHeight w:val="113"/>
        </w:trPr>
        <w:tc>
          <w:tcPr>
            <w:tcW w:w="1185" w:type="dxa"/>
            <w:tcBorders>
              <w:bottom w:val="nil"/>
            </w:tcBorders>
            <w:shd w:val="clear" w:color="auto" w:fill="auto"/>
          </w:tcPr>
          <w:p w14:paraId="733231D8" w14:textId="77777777" w:rsidR="00EE0E7A" w:rsidRPr="00C3006B" w:rsidRDefault="00C3006B" w:rsidP="00420A86">
            <w:pPr>
              <w:spacing w:before="0" w:after="0"/>
              <w:rPr>
                <w:rFonts w:cs="Calibri"/>
                <w:sz w:val="22"/>
                <w:lang w:eastAsia="zh-CN"/>
              </w:rPr>
            </w:pPr>
            <w:r w:rsidRPr="00C3006B">
              <w:rPr>
                <w:rFonts w:cs="Calibri" w:hint="eastAsia"/>
                <w:sz w:val="22"/>
                <w:lang w:eastAsia="zh-CN"/>
              </w:rPr>
              <w:t>M</w:t>
            </w:r>
            <w:r w:rsidRPr="00C3006B">
              <w:rPr>
                <w:rFonts w:cs="Calibri"/>
                <w:sz w:val="22"/>
                <w:lang w:eastAsia="zh-CN"/>
              </w:rPr>
              <w:t>NR</w:t>
            </w:r>
          </w:p>
        </w:tc>
        <w:tc>
          <w:tcPr>
            <w:tcW w:w="7842" w:type="dxa"/>
            <w:tcBorders>
              <w:bottom w:val="nil"/>
            </w:tcBorders>
            <w:shd w:val="clear" w:color="auto" w:fill="auto"/>
          </w:tcPr>
          <w:p w14:paraId="67AF217B" w14:textId="77777777" w:rsidR="00EE0E7A" w:rsidRPr="00C3006B" w:rsidRDefault="001504A7" w:rsidP="00420A86">
            <w:pPr>
              <w:spacing w:before="0" w:after="0"/>
              <w:rPr>
                <w:rFonts w:cs="Calibri"/>
                <w:sz w:val="22"/>
                <w:lang w:eastAsia="zh-CN"/>
              </w:rPr>
            </w:pPr>
            <w:r w:rsidRPr="00C3006B">
              <w:rPr>
                <w:rFonts w:cs="Calibri"/>
                <w:sz w:val="22"/>
                <w:lang w:eastAsia="zh-CN"/>
              </w:rPr>
              <w:t xml:space="preserve">Ministry of </w:t>
            </w:r>
            <w:r w:rsidR="00C3006B" w:rsidRPr="00C3006B">
              <w:rPr>
                <w:rFonts w:cs="Calibri"/>
                <w:sz w:val="22"/>
                <w:lang w:eastAsia="zh-CN"/>
              </w:rPr>
              <w:t>Natural Resources</w:t>
            </w:r>
          </w:p>
        </w:tc>
      </w:tr>
      <w:tr w:rsidR="007710AC" w:rsidRPr="00C3006B" w14:paraId="2A431037" w14:textId="77777777" w:rsidTr="00AD6D31">
        <w:trPr>
          <w:trHeight w:val="113"/>
        </w:trPr>
        <w:tc>
          <w:tcPr>
            <w:tcW w:w="1185" w:type="dxa"/>
            <w:tcBorders>
              <w:bottom w:val="nil"/>
            </w:tcBorders>
            <w:shd w:val="clear" w:color="auto" w:fill="auto"/>
          </w:tcPr>
          <w:p w14:paraId="6D8A71A9" w14:textId="77777777" w:rsidR="007710AC" w:rsidRPr="00C3006B" w:rsidRDefault="007710AC" w:rsidP="00420A86">
            <w:pPr>
              <w:spacing w:before="0" w:after="0"/>
              <w:rPr>
                <w:rFonts w:cs="Calibri"/>
                <w:sz w:val="22"/>
              </w:rPr>
            </w:pPr>
            <w:r w:rsidRPr="00C3006B">
              <w:rPr>
                <w:rFonts w:cs="Calibri"/>
                <w:sz w:val="22"/>
              </w:rPr>
              <w:t>MOF</w:t>
            </w:r>
          </w:p>
        </w:tc>
        <w:tc>
          <w:tcPr>
            <w:tcW w:w="7842" w:type="dxa"/>
            <w:tcBorders>
              <w:bottom w:val="nil"/>
            </w:tcBorders>
            <w:shd w:val="clear" w:color="auto" w:fill="auto"/>
          </w:tcPr>
          <w:p w14:paraId="73374445" w14:textId="77777777" w:rsidR="007710AC" w:rsidRPr="00C3006B" w:rsidRDefault="007710AC" w:rsidP="00420A86">
            <w:pPr>
              <w:spacing w:before="0" w:after="0"/>
              <w:rPr>
                <w:rFonts w:cs="Calibri"/>
                <w:sz w:val="22"/>
              </w:rPr>
            </w:pPr>
            <w:r w:rsidRPr="00C3006B">
              <w:rPr>
                <w:rFonts w:cs="Calibri"/>
                <w:sz w:val="22"/>
              </w:rPr>
              <w:t>Ministry of Finance</w:t>
            </w:r>
          </w:p>
        </w:tc>
      </w:tr>
      <w:tr w:rsidR="00B054D6" w:rsidRPr="00C3006B" w14:paraId="581C7338" w14:textId="77777777" w:rsidTr="00AD6D31">
        <w:trPr>
          <w:trHeight w:val="113"/>
        </w:trPr>
        <w:tc>
          <w:tcPr>
            <w:tcW w:w="1185" w:type="dxa"/>
            <w:tcBorders>
              <w:bottom w:val="nil"/>
            </w:tcBorders>
            <w:shd w:val="clear" w:color="auto" w:fill="auto"/>
          </w:tcPr>
          <w:p w14:paraId="69D1DF47" w14:textId="77777777" w:rsidR="00B054D6" w:rsidRPr="00C3006B" w:rsidRDefault="00B054D6" w:rsidP="00420A86">
            <w:pPr>
              <w:spacing w:before="0" w:after="0"/>
              <w:rPr>
                <w:rFonts w:cs="Calibri"/>
                <w:sz w:val="22"/>
              </w:rPr>
            </w:pPr>
            <w:r w:rsidRPr="00C3006B">
              <w:rPr>
                <w:rFonts w:cs="Calibri"/>
                <w:sz w:val="22"/>
              </w:rPr>
              <w:t>NDRC</w:t>
            </w:r>
          </w:p>
        </w:tc>
        <w:tc>
          <w:tcPr>
            <w:tcW w:w="7842" w:type="dxa"/>
            <w:tcBorders>
              <w:bottom w:val="nil"/>
            </w:tcBorders>
            <w:shd w:val="clear" w:color="auto" w:fill="auto"/>
          </w:tcPr>
          <w:p w14:paraId="336F83B5" w14:textId="77777777" w:rsidR="00B054D6" w:rsidRPr="00C3006B" w:rsidRDefault="00B054D6" w:rsidP="00420A86">
            <w:pPr>
              <w:spacing w:before="0" w:after="0"/>
              <w:rPr>
                <w:rFonts w:cs="Calibri"/>
                <w:sz w:val="22"/>
              </w:rPr>
            </w:pPr>
            <w:r w:rsidRPr="00C3006B">
              <w:rPr>
                <w:rFonts w:cs="Calibri"/>
                <w:sz w:val="22"/>
              </w:rPr>
              <w:t>National Development and Reform Commission</w:t>
            </w:r>
          </w:p>
        </w:tc>
      </w:tr>
      <w:tr w:rsidR="00C3006B" w:rsidRPr="00C3006B" w14:paraId="201FFF16" w14:textId="77777777" w:rsidTr="00AD6D31">
        <w:trPr>
          <w:trHeight w:val="113"/>
        </w:trPr>
        <w:tc>
          <w:tcPr>
            <w:tcW w:w="1185" w:type="dxa"/>
            <w:tcBorders>
              <w:bottom w:val="nil"/>
            </w:tcBorders>
            <w:shd w:val="clear" w:color="auto" w:fill="auto"/>
          </w:tcPr>
          <w:p w14:paraId="567D1B96" w14:textId="77777777" w:rsidR="00C3006B" w:rsidRPr="00C3006B" w:rsidRDefault="00C3006B" w:rsidP="00420A86">
            <w:pPr>
              <w:spacing w:before="0" w:after="0"/>
              <w:rPr>
                <w:rFonts w:cs="Calibri"/>
                <w:sz w:val="22"/>
                <w:lang w:eastAsia="zh-CN"/>
              </w:rPr>
            </w:pPr>
            <w:r w:rsidRPr="00C3006B">
              <w:rPr>
                <w:rFonts w:cs="Calibri" w:hint="eastAsia"/>
                <w:sz w:val="22"/>
                <w:lang w:eastAsia="zh-CN"/>
              </w:rPr>
              <w:t>P</w:t>
            </w:r>
            <w:r w:rsidRPr="00C3006B">
              <w:rPr>
                <w:rFonts w:cs="Calibri"/>
                <w:sz w:val="22"/>
                <w:lang w:eastAsia="zh-CN"/>
              </w:rPr>
              <w:t>CI</w:t>
            </w:r>
          </w:p>
        </w:tc>
        <w:tc>
          <w:tcPr>
            <w:tcW w:w="7842" w:type="dxa"/>
            <w:tcBorders>
              <w:bottom w:val="nil"/>
            </w:tcBorders>
            <w:shd w:val="clear" w:color="auto" w:fill="auto"/>
          </w:tcPr>
          <w:p w14:paraId="18982715" w14:textId="77777777" w:rsidR="00C3006B" w:rsidRPr="00C3006B" w:rsidRDefault="00C3006B" w:rsidP="00420A86">
            <w:pPr>
              <w:spacing w:before="0" w:after="0"/>
              <w:rPr>
                <w:rFonts w:cs="Calibri"/>
                <w:sz w:val="22"/>
              </w:rPr>
            </w:pPr>
            <w:r w:rsidRPr="00C3006B">
              <w:rPr>
                <w:rFonts w:cs="Calibri"/>
                <w:sz w:val="22"/>
              </w:rPr>
              <w:t>Phosphate chemicals industry</w:t>
            </w:r>
          </w:p>
        </w:tc>
      </w:tr>
      <w:tr w:rsidR="00C3006B" w:rsidRPr="00C3006B" w14:paraId="434A6A8B" w14:textId="77777777" w:rsidTr="001E2AAE">
        <w:trPr>
          <w:trHeight w:val="299"/>
        </w:trPr>
        <w:tc>
          <w:tcPr>
            <w:tcW w:w="1185" w:type="dxa"/>
            <w:tcBorders>
              <w:bottom w:val="nil"/>
            </w:tcBorders>
            <w:shd w:val="clear" w:color="auto" w:fill="auto"/>
          </w:tcPr>
          <w:p w14:paraId="0689BA26" w14:textId="77777777" w:rsidR="00C3006B" w:rsidRPr="00C3006B" w:rsidRDefault="00C3006B" w:rsidP="00420A86">
            <w:pPr>
              <w:spacing w:before="0" w:after="0"/>
              <w:rPr>
                <w:rFonts w:cs="Calibri"/>
                <w:sz w:val="22"/>
                <w:lang w:eastAsia="zh-CN"/>
              </w:rPr>
            </w:pPr>
            <w:r w:rsidRPr="00C3006B">
              <w:rPr>
                <w:rFonts w:cs="Calibri"/>
                <w:sz w:val="22"/>
                <w:lang w:eastAsia="zh-CN"/>
              </w:rPr>
              <w:t>PMO</w:t>
            </w:r>
          </w:p>
        </w:tc>
        <w:tc>
          <w:tcPr>
            <w:tcW w:w="7842" w:type="dxa"/>
            <w:shd w:val="clear" w:color="auto" w:fill="auto"/>
          </w:tcPr>
          <w:p w14:paraId="6CB6FE65" w14:textId="77777777" w:rsidR="00C3006B" w:rsidRPr="00C3006B" w:rsidRDefault="00C3006B" w:rsidP="00420A86">
            <w:pPr>
              <w:spacing w:before="0" w:after="0"/>
              <w:rPr>
                <w:rFonts w:cs="Calibri"/>
                <w:sz w:val="22"/>
                <w:lang w:eastAsia="zh-CN"/>
              </w:rPr>
            </w:pPr>
            <w:r w:rsidRPr="00C3006B">
              <w:rPr>
                <w:rFonts w:cs="Calibri"/>
                <w:sz w:val="22"/>
                <w:lang w:eastAsia="zh-CN"/>
              </w:rPr>
              <w:t>Project Management Office</w:t>
            </w:r>
          </w:p>
        </w:tc>
      </w:tr>
      <w:tr w:rsidR="00C3006B" w:rsidRPr="00C3006B" w14:paraId="30287E6D" w14:textId="77777777" w:rsidTr="00AD6D31">
        <w:trPr>
          <w:trHeight w:val="299"/>
        </w:trPr>
        <w:tc>
          <w:tcPr>
            <w:tcW w:w="1185" w:type="dxa"/>
            <w:tcBorders>
              <w:bottom w:val="nil"/>
            </w:tcBorders>
            <w:shd w:val="clear" w:color="auto" w:fill="auto"/>
          </w:tcPr>
          <w:p w14:paraId="18E62819" w14:textId="77777777" w:rsidR="00C3006B" w:rsidRPr="00C3006B" w:rsidRDefault="00C3006B" w:rsidP="00420A86">
            <w:pPr>
              <w:spacing w:before="0" w:after="0"/>
              <w:rPr>
                <w:rFonts w:cs="Calibri"/>
                <w:sz w:val="22"/>
                <w:lang w:eastAsia="zh-CN"/>
              </w:rPr>
            </w:pPr>
            <w:r w:rsidRPr="00C3006B">
              <w:rPr>
                <w:rFonts w:cs="Calibri"/>
                <w:sz w:val="22"/>
              </w:rPr>
              <w:t>PIR</w:t>
            </w:r>
          </w:p>
        </w:tc>
        <w:tc>
          <w:tcPr>
            <w:tcW w:w="7842" w:type="dxa"/>
            <w:tcBorders>
              <w:bottom w:val="nil"/>
            </w:tcBorders>
            <w:shd w:val="clear" w:color="auto" w:fill="auto"/>
          </w:tcPr>
          <w:p w14:paraId="509CF324" w14:textId="77777777" w:rsidR="00C3006B" w:rsidRPr="00C3006B" w:rsidRDefault="00C3006B" w:rsidP="00420A86">
            <w:pPr>
              <w:spacing w:before="0" w:after="0"/>
              <w:rPr>
                <w:rFonts w:cs="Calibri"/>
                <w:sz w:val="22"/>
                <w:lang w:eastAsia="zh-CN"/>
              </w:rPr>
            </w:pPr>
            <w:r w:rsidRPr="00C3006B">
              <w:rPr>
                <w:rFonts w:cs="Calibri"/>
                <w:sz w:val="22"/>
              </w:rPr>
              <w:t>GEF Project Implementation Report</w:t>
            </w:r>
          </w:p>
        </w:tc>
      </w:tr>
      <w:tr w:rsidR="00B054D6" w:rsidRPr="00C3006B" w14:paraId="0A791CEB" w14:textId="77777777" w:rsidTr="00AD6D31">
        <w:trPr>
          <w:trHeight w:val="113"/>
        </w:trPr>
        <w:tc>
          <w:tcPr>
            <w:tcW w:w="1185" w:type="dxa"/>
            <w:tcBorders>
              <w:bottom w:val="nil"/>
            </w:tcBorders>
            <w:shd w:val="clear" w:color="auto" w:fill="auto"/>
          </w:tcPr>
          <w:p w14:paraId="1C86E6FA" w14:textId="77777777" w:rsidR="00B054D6" w:rsidRPr="00C3006B" w:rsidRDefault="00B054D6" w:rsidP="00420A86">
            <w:pPr>
              <w:spacing w:before="0" w:after="0"/>
              <w:rPr>
                <w:rFonts w:cs="Calibri"/>
                <w:sz w:val="22"/>
              </w:rPr>
            </w:pPr>
            <w:r w:rsidRPr="00C3006B">
              <w:rPr>
                <w:rFonts w:cs="Calibri"/>
                <w:sz w:val="22"/>
              </w:rPr>
              <w:t>PRC</w:t>
            </w:r>
          </w:p>
        </w:tc>
        <w:tc>
          <w:tcPr>
            <w:tcW w:w="7842" w:type="dxa"/>
            <w:tcBorders>
              <w:bottom w:val="nil"/>
            </w:tcBorders>
            <w:shd w:val="clear" w:color="auto" w:fill="auto"/>
          </w:tcPr>
          <w:p w14:paraId="7E57D451" w14:textId="77777777" w:rsidR="00B054D6" w:rsidRPr="00C3006B" w:rsidRDefault="00B054D6" w:rsidP="00420A86">
            <w:pPr>
              <w:spacing w:before="0" w:after="0"/>
              <w:rPr>
                <w:rFonts w:cs="Calibri"/>
                <w:sz w:val="22"/>
              </w:rPr>
            </w:pPr>
            <w:r w:rsidRPr="00C3006B">
              <w:rPr>
                <w:rFonts w:cs="Calibri"/>
                <w:sz w:val="22"/>
              </w:rPr>
              <w:t>Peoples’ Republic of China (PRC)</w:t>
            </w:r>
          </w:p>
        </w:tc>
      </w:tr>
      <w:tr w:rsidR="00C3006B" w:rsidRPr="00C3006B" w14:paraId="0F92FCC1" w14:textId="77777777" w:rsidTr="00AD6D31">
        <w:trPr>
          <w:trHeight w:val="113"/>
        </w:trPr>
        <w:tc>
          <w:tcPr>
            <w:tcW w:w="1185" w:type="dxa"/>
            <w:tcBorders>
              <w:bottom w:val="nil"/>
            </w:tcBorders>
            <w:shd w:val="clear" w:color="auto" w:fill="auto"/>
          </w:tcPr>
          <w:p w14:paraId="63570FA7" w14:textId="77777777" w:rsidR="00C3006B" w:rsidRPr="00C3006B" w:rsidRDefault="00C3006B" w:rsidP="00420A86">
            <w:pPr>
              <w:spacing w:before="0" w:after="0"/>
              <w:rPr>
                <w:rFonts w:cs="Calibri"/>
                <w:sz w:val="22"/>
                <w:lang w:eastAsia="zh-CN"/>
              </w:rPr>
            </w:pPr>
            <w:r w:rsidRPr="00C3006B">
              <w:rPr>
                <w:rFonts w:cs="Calibri"/>
                <w:sz w:val="22"/>
                <w:lang w:eastAsia="zh-CN"/>
              </w:rPr>
              <w:t>SDG</w:t>
            </w:r>
          </w:p>
        </w:tc>
        <w:tc>
          <w:tcPr>
            <w:tcW w:w="7842" w:type="dxa"/>
            <w:tcBorders>
              <w:bottom w:val="nil"/>
            </w:tcBorders>
            <w:shd w:val="clear" w:color="auto" w:fill="auto"/>
          </w:tcPr>
          <w:p w14:paraId="1E0060EC" w14:textId="77777777" w:rsidR="00C3006B" w:rsidRPr="00C3006B" w:rsidRDefault="00C3006B" w:rsidP="00420A86">
            <w:pPr>
              <w:spacing w:before="0" w:after="0"/>
              <w:rPr>
                <w:rFonts w:cs="Calibri"/>
                <w:sz w:val="22"/>
                <w:lang w:eastAsia="zh-CN"/>
              </w:rPr>
            </w:pPr>
            <w:r w:rsidRPr="00C3006B">
              <w:rPr>
                <w:rFonts w:cs="Calibri"/>
                <w:sz w:val="22"/>
                <w:lang w:eastAsia="zh-CN"/>
              </w:rPr>
              <w:t>Sustainable Development Goal</w:t>
            </w:r>
          </w:p>
        </w:tc>
      </w:tr>
      <w:tr w:rsidR="00B054D6" w:rsidRPr="00C3006B" w14:paraId="43E860E2" w14:textId="77777777" w:rsidTr="00AD6D31">
        <w:trPr>
          <w:trHeight w:val="113"/>
        </w:trPr>
        <w:tc>
          <w:tcPr>
            <w:tcW w:w="1185" w:type="dxa"/>
            <w:tcBorders>
              <w:bottom w:val="nil"/>
            </w:tcBorders>
            <w:shd w:val="clear" w:color="auto" w:fill="auto"/>
          </w:tcPr>
          <w:p w14:paraId="14F72260" w14:textId="77777777" w:rsidR="00B054D6" w:rsidRPr="00C3006B" w:rsidRDefault="00B054D6" w:rsidP="00420A86">
            <w:pPr>
              <w:spacing w:before="0" w:after="0"/>
              <w:rPr>
                <w:rFonts w:cs="Calibri"/>
                <w:sz w:val="22"/>
              </w:rPr>
            </w:pPr>
            <w:r w:rsidRPr="00C3006B">
              <w:rPr>
                <w:rFonts w:cs="Calibri"/>
                <w:sz w:val="22"/>
              </w:rPr>
              <w:t>SECU</w:t>
            </w:r>
          </w:p>
        </w:tc>
        <w:tc>
          <w:tcPr>
            <w:tcW w:w="7842" w:type="dxa"/>
            <w:tcBorders>
              <w:bottom w:val="nil"/>
            </w:tcBorders>
            <w:shd w:val="clear" w:color="auto" w:fill="auto"/>
          </w:tcPr>
          <w:p w14:paraId="67EE816F" w14:textId="77777777" w:rsidR="00B054D6" w:rsidRPr="00C3006B" w:rsidRDefault="00B054D6" w:rsidP="00420A86">
            <w:pPr>
              <w:spacing w:before="0" w:after="0"/>
              <w:rPr>
                <w:rFonts w:cs="Calibri"/>
                <w:sz w:val="22"/>
              </w:rPr>
            </w:pPr>
            <w:r w:rsidRPr="00C3006B">
              <w:rPr>
                <w:rFonts w:cs="Calibri"/>
                <w:sz w:val="22"/>
              </w:rPr>
              <w:t>Social and Environmental Compliance Review Unit (UNDP)</w:t>
            </w:r>
          </w:p>
        </w:tc>
      </w:tr>
      <w:tr w:rsidR="00B054D6" w:rsidRPr="00C3006B" w14:paraId="78B20E4D" w14:textId="77777777" w:rsidTr="00AD6D31">
        <w:trPr>
          <w:trHeight w:val="113"/>
        </w:trPr>
        <w:tc>
          <w:tcPr>
            <w:tcW w:w="1185" w:type="dxa"/>
            <w:tcBorders>
              <w:bottom w:val="nil"/>
            </w:tcBorders>
            <w:shd w:val="clear" w:color="auto" w:fill="auto"/>
          </w:tcPr>
          <w:p w14:paraId="44D9849C" w14:textId="77777777" w:rsidR="00B054D6" w:rsidRPr="00C3006B" w:rsidRDefault="00B054D6" w:rsidP="00420A86">
            <w:pPr>
              <w:spacing w:before="0" w:after="0"/>
              <w:rPr>
                <w:rFonts w:cs="Calibri"/>
                <w:sz w:val="22"/>
              </w:rPr>
            </w:pPr>
            <w:r w:rsidRPr="00C3006B">
              <w:rPr>
                <w:rFonts w:cs="Calibri"/>
                <w:sz w:val="22"/>
              </w:rPr>
              <w:t>SES</w:t>
            </w:r>
          </w:p>
        </w:tc>
        <w:tc>
          <w:tcPr>
            <w:tcW w:w="7842" w:type="dxa"/>
            <w:tcBorders>
              <w:bottom w:val="nil"/>
            </w:tcBorders>
            <w:shd w:val="clear" w:color="auto" w:fill="auto"/>
          </w:tcPr>
          <w:p w14:paraId="67C12B96" w14:textId="77777777" w:rsidR="00B054D6" w:rsidRPr="00C3006B" w:rsidRDefault="00B054D6" w:rsidP="00420A86">
            <w:pPr>
              <w:spacing w:before="0" w:after="0"/>
              <w:rPr>
                <w:rFonts w:cs="Calibri"/>
                <w:sz w:val="22"/>
              </w:rPr>
            </w:pPr>
            <w:r w:rsidRPr="00C3006B">
              <w:rPr>
                <w:rFonts w:cs="Calibri"/>
                <w:sz w:val="22"/>
              </w:rPr>
              <w:t>Social and Environmental Standards (UNDP)</w:t>
            </w:r>
          </w:p>
        </w:tc>
      </w:tr>
      <w:tr w:rsidR="00B054D6" w:rsidRPr="00C3006B" w14:paraId="6626ECFF" w14:textId="77777777" w:rsidTr="00AD6D31">
        <w:trPr>
          <w:trHeight w:val="113"/>
        </w:trPr>
        <w:tc>
          <w:tcPr>
            <w:tcW w:w="1185" w:type="dxa"/>
            <w:tcBorders>
              <w:bottom w:val="nil"/>
            </w:tcBorders>
            <w:shd w:val="clear" w:color="auto" w:fill="auto"/>
          </w:tcPr>
          <w:p w14:paraId="61DBA6FE" w14:textId="77777777" w:rsidR="00B054D6" w:rsidRPr="00C3006B" w:rsidRDefault="00B054D6" w:rsidP="00420A86">
            <w:pPr>
              <w:spacing w:before="0" w:after="0"/>
              <w:rPr>
                <w:rFonts w:cs="Calibri"/>
                <w:sz w:val="22"/>
              </w:rPr>
            </w:pPr>
            <w:r w:rsidRPr="00C3006B">
              <w:rPr>
                <w:rFonts w:cs="Calibri"/>
                <w:sz w:val="22"/>
              </w:rPr>
              <w:t>SESP</w:t>
            </w:r>
          </w:p>
        </w:tc>
        <w:tc>
          <w:tcPr>
            <w:tcW w:w="7842" w:type="dxa"/>
            <w:tcBorders>
              <w:bottom w:val="nil"/>
            </w:tcBorders>
            <w:shd w:val="clear" w:color="auto" w:fill="auto"/>
          </w:tcPr>
          <w:p w14:paraId="42A24467" w14:textId="77777777" w:rsidR="00B054D6" w:rsidRPr="00C3006B" w:rsidRDefault="00B054D6" w:rsidP="00420A86">
            <w:pPr>
              <w:spacing w:before="0" w:after="0"/>
              <w:rPr>
                <w:rFonts w:cs="Calibri"/>
                <w:sz w:val="22"/>
              </w:rPr>
            </w:pPr>
            <w:r w:rsidRPr="00C3006B">
              <w:rPr>
                <w:rFonts w:cs="Calibri"/>
                <w:sz w:val="22"/>
              </w:rPr>
              <w:t>Social and Environmental Screening Procedure (UNDP)</w:t>
            </w:r>
          </w:p>
        </w:tc>
      </w:tr>
      <w:tr w:rsidR="00B054D6" w:rsidRPr="00C3006B" w14:paraId="5481C1E3" w14:textId="77777777" w:rsidTr="00AD6D31">
        <w:trPr>
          <w:trHeight w:val="113"/>
        </w:trPr>
        <w:tc>
          <w:tcPr>
            <w:tcW w:w="1185" w:type="dxa"/>
            <w:tcBorders>
              <w:bottom w:val="nil"/>
            </w:tcBorders>
            <w:shd w:val="clear" w:color="auto" w:fill="auto"/>
          </w:tcPr>
          <w:p w14:paraId="7E5EDAB5" w14:textId="77777777" w:rsidR="00B054D6" w:rsidRPr="00C3006B" w:rsidRDefault="00B054D6" w:rsidP="00420A86">
            <w:pPr>
              <w:spacing w:before="0" w:after="0"/>
              <w:rPr>
                <w:rFonts w:cs="Calibri"/>
                <w:sz w:val="22"/>
              </w:rPr>
            </w:pPr>
            <w:r w:rsidRPr="00C3006B">
              <w:rPr>
                <w:rFonts w:cs="Calibri"/>
                <w:sz w:val="22"/>
              </w:rPr>
              <w:t>UNDP</w:t>
            </w:r>
          </w:p>
        </w:tc>
        <w:tc>
          <w:tcPr>
            <w:tcW w:w="7842" w:type="dxa"/>
            <w:tcBorders>
              <w:bottom w:val="nil"/>
            </w:tcBorders>
            <w:shd w:val="clear" w:color="auto" w:fill="auto"/>
          </w:tcPr>
          <w:p w14:paraId="17F95D6C" w14:textId="77777777" w:rsidR="00B054D6" w:rsidRPr="00C3006B" w:rsidRDefault="00B054D6" w:rsidP="00420A86">
            <w:pPr>
              <w:spacing w:before="0" w:after="0"/>
              <w:rPr>
                <w:rFonts w:cs="Calibri"/>
                <w:sz w:val="22"/>
              </w:rPr>
            </w:pPr>
            <w:r w:rsidRPr="00C3006B">
              <w:rPr>
                <w:rFonts w:cs="Calibri"/>
                <w:sz w:val="22"/>
              </w:rPr>
              <w:t>United Nations Development Programme</w:t>
            </w:r>
          </w:p>
        </w:tc>
      </w:tr>
      <w:tr w:rsidR="00B054D6" w:rsidRPr="00C3006B" w14:paraId="2A1A822D" w14:textId="77777777" w:rsidTr="00AD6D31">
        <w:trPr>
          <w:trHeight w:val="113"/>
        </w:trPr>
        <w:tc>
          <w:tcPr>
            <w:tcW w:w="1185" w:type="dxa"/>
            <w:tcBorders>
              <w:bottom w:val="nil"/>
            </w:tcBorders>
            <w:shd w:val="clear" w:color="auto" w:fill="auto"/>
          </w:tcPr>
          <w:p w14:paraId="10F81083" w14:textId="77777777" w:rsidR="00B054D6" w:rsidRPr="00C3006B" w:rsidRDefault="00B054D6" w:rsidP="00420A86">
            <w:pPr>
              <w:spacing w:before="0" w:after="0"/>
              <w:rPr>
                <w:rFonts w:cs="Calibri"/>
                <w:sz w:val="22"/>
              </w:rPr>
            </w:pPr>
            <w:r w:rsidRPr="00C3006B">
              <w:rPr>
                <w:rFonts w:cs="Calibri"/>
                <w:sz w:val="22"/>
              </w:rPr>
              <w:t>UN</w:t>
            </w:r>
            <w:r w:rsidR="00EE0E7A" w:rsidRPr="00C3006B">
              <w:rPr>
                <w:rFonts w:cs="Calibri"/>
                <w:sz w:val="22"/>
              </w:rPr>
              <w:t>FCCC</w:t>
            </w:r>
          </w:p>
        </w:tc>
        <w:tc>
          <w:tcPr>
            <w:tcW w:w="7842" w:type="dxa"/>
            <w:tcBorders>
              <w:bottom w:val="nil"/>
            </w:tcBorders>
            <w:shd w:val="clear" w:color="auto" w:fill="auto"/>
          </w:tcPr>
          <w:p w14:paraId="179E2C69" w14:textId="77777777" w:rsidR="00B054D6" w:rsidRPr="00C3006B" w:rsidRDefault="009217CA" w:rsidP="00420A86">
            <w:pPr>
              <w:spacing w:before="0" w:after="0"/>
              <w:rPr>
                <w:rFonts w:cs="Calibri"/>
                <w:sz w:val="22"/>
              </w:rPr>
            </w:pPr>
            <w:r w:rsidRPr="00C3006B">
              <w:rPr>
                <w:rFonts w:cs="Calibri"/>
                <w:sz w:val="22"/>
              </w:rPr>
              <w:t>United Nations Framework Convention on Climate Change</w:t>
            </w:r>
          </w:p>
        </w:tc>
      </w:tr>
    </w:tbl>
    <w:p w14:paraId="5600BD81" w14:textId="77777777" w:rsidR="00B20DCD" w:rsidRPr="00420A86" w:rsidRDefault="00B20DCD" w:rsidP="00420A86">
      <w:pPr>
        <w:spacing w:before="0" w:after="0"/>
        <w:rPr>
          <w:rFonts w:cs="Calibri"/>
          <w:sz w:val="22"/>
        </w:rPr>
      </w:pPr>
    </w:p>
    <w:p w14:paraId="7572F0CD" w14:textId="77777777" w:rsidR="00B20DCD" w:rsidRPr="00420A86" w:rsidRDefault="00B20DCD" w:rsidP="00420A86">
      <w:pPr>
        <w:spacing w:before="0" w:after="0"/>
        <w:rPr>
          <w:rFonts w:cs="Calibri"/>
          <w:sz w:val="22"/>
        </w:rPr>
      </w:pPr>
    </w:p>
    <w:p w14:paraId="558CDABD" w14:textId="77777777" w:rsidR="00B20DCD" w:rsidRPr="00420A86" w:rsidRDefault="00B20DCD" w:rsidP="00420A86">
      <w:pPr>
        <w:pStyle w:val="Heading1"/>
        <w:spacing w:before="0" w:after="0"/>
        <w:rPr>
          <w:rFonts w:cs="Calibri"/>
          <w:color w:val="002060"/>
          <w:sz w:val="22"/>
          <w:szCs w:val="22"/>
        </w:rPr>
        <w:sectPr w:rsidR="00B20DCD" w:rsidRPr="00420A86" w:rsidSect="000603CE">
          <w:pgSz w:w="11907" w:h="16839" w:code="9"/>
          <w:pgMar w:top="1440" w:right="1440" w:bottom="1440" w:left="1440" w:header="432" w:footer="432" w:gutter="0"/>
          <w:pgNumType w:fmt="lowerRoman"/>
          <w:cols w:space="720"/>
          <w:docGrid w:linePitch="360"/>
        </w:sectPr>
      </w:pPr>
    </w:p>
    <w:p w14:paraId="17B05EA7" w14:textId="77777777" w:rsidR="00CD177B" w:rsidRPr="00420A86" w:rsidRDefault="00CD177B" w:rsidP="00420A86">
      <w:pPr>
        <w:pStyle w:val="Heading1"/>
        <w:spacing w:before="0" w:after="0"/>
        <w:rPr>
          <w:rFonts w:cs="Calibri"/>
          <w:color w:val="002060"/>
          <w:sz w:val="22"/>
          <w:szCs w:val="22"/>
        </w:rPr>
      </w:pPr>
      <w:bookmarkStart w:id="9" w:name="_Toc86064149"/>
      <w:r w:rsidRPr="00420A86">
        <w:rPr>
          <w:rFonts w:cs="Calibri"/>
          <w:color w:val="002060"/>
          <w:sz w:val="22"/>
          <w:szCs w:val="22"/>
        </w:rPr>
        <w:lastRenderedPageBreak/>
        <w:t>Introduction</w:t>
      </w:r>
      <w:bookmarkEnd w:id="9"/>
    </w:p>
    <w:p w14:paraId="642BE5E9" w14:textId="77777777" w:rsidR="007A5B4B" w:rsidRPr="00420A86" w:rsidRDefault="007A5B4B" w:rsidP="00420A86">
      <w:pPr>
        <w:spacing w:before="0" w:after="0"/>
        <w:rPr>
          <w:rFonts w:cs="Calibri"/>
          <w:sz w:val="22"/>
        </w:rPr>
      </w:pPr>
    </w:p>
    <w:p w14:paraId="03201329" w14:textId="77777777" w:rsidR="000C3A72" w:rsidRPr="00420A86" w:rsidRDefault="00F9792A" w:rsidP="00420A86">
      <w:pPr>
        <w:spacing w:before="0" w:after="0"/>
        <w:rPr>
          <w:rFonts w:cs="Calibri"/>
          <w:sz w:val="22"/>
          <w:lang w:eastAsia="zh-CN"/>
        </w:rPr>
      </w:pPr>
      <w:r w:rsidRPr="00420A86">
        <w:rPr>
          <w:rFonts w:cs="Calibri"/>
          <w:sz w:val="22"/>
        </w:rPr>
        <w:t xml:space="preserve">This Environmental and Social Management Framework (ESMF) has been prepared </w:t>
      </w:r>
      <w:r w:rsidR="00DD2E2F" w:rsidRPr="00420A86">
        <w:rPr>
          <w:rFonts w:cs="Calibri"/>
          <w:sz w:val="22"/>
        </w:rPr>
        <w:t>for</w:t>
      </w:r>
      <w:r w:rsidRPr="00420A86">
        <w:rPr>
          <w:rFonts w:cs="Calibri"/>
          <w:sz w:val="22"/>
        </w:rPr>
        <w:t xml:space="preserve"> the</w:t>
      </w:r>
      <w:r w:rsidR="00DD2E2F" w:rsidRPr="00420A86">
        <w:rPr>
          <w:rFonts w:cs="Calibri"/>
          <w:sz w:val="22"/>
        </w:rPr>
        <w:t xml:space="preserve"> UNDP-supported </w:t>
      </w:r>
      <w:r w:rsidR="005E4849" w:rsidRPr="0086490B">
        <w:rPr>
          <w:rFonts w:cs="Calibri"/>
          <w:i/>
          <w:iCs/>
          <w:sz w:val="22"/>
        </w:rPr>
        <w:t>Facilitating Cleaner and Energy Efficient Phosphate Chemicals Industry in China (</w:t>
      </w:r>
      <w:proofErr w:type="spellStart"/>
      <w:r w:rsidR="005E4849" w:rsidRPr="0086490B">
        <w:rPr>
          <w:rFonts w:cs="Calibri"/>
          <w:i/>
          <w:iCs/>
          <w:sz w:val="22"/>
        </w:rPr>
        <w:t>PhosChemEE</w:t>
      </w:r>
      <w:proofErr w:type="spellEnd"/>
      <w:r w:rsidR="005E4849" w:rsidRPr="0086490B">
        <w:rPr>
          <w:rFonts w:cs="Calibri"/>
          <w:i/>
          <w:iCs/>
          <w:sz w:val="22"/>
        </w:rPr>
        <w:t>) Project</w:t>
      </w:r>
      <w:r w:rsidR="00442DDE">
        <w:rPr>
          <w:rFonts w:cs="Calibri"/>
          <w:sz w:val="22"/>
        </w:rPr>
        <w:t xml:space="preserve"> that is</w:t>
      </w:r>
      <w:r w:rsidR="00352C67" w:rsidRPr="00420A86">
        <w:rPr>
          <w:rFonts w:cs="Calibri"/>
          <w:sz w:val="22"/>
        </w:rPr>
        <w:t xml:space="preserve"> developed together with the </w:t>
      </w:r>
      <w:r w:rsidR="005E4849" w:rsidRPr="005E4849">
        <w:rPr>
          <w:rFonts w:cs="Calibri"/>
          <w:sz w:val="22"/>
          <w:lang w:eastAsia="zh-CN"/>
        </w:rPr>
        <w:t>Ministry of Industry and Information Technology (MIIT)</w:t>
      </w:r>
      <w:r w:rsidR="005E4849">
        <w:rPr>
          <w:rFonts w:cs="Calibri"/>
          <w:sz w:val="22"/>
          <w:lang w:eastAsia="zh-CN"/>
        </w:rPr>
        <w:t xml:space="preserve"> and the </w:t>
      </w:r>
      <w:r w:rsidR="005E4849" w:rsidRPr="005E4849">
        <w:rPr>
          <w:rFonts w:cs="Calibri"/>
          <w:sz w:val="22"/>
          <w:lang w:eastAsia="zh-CN"/>
        </w:rPr>
        <w:t>Ministry of Natural Resources</w:t>
      </w:r>
      <w:r w:rsidR="005E4849">
        <w:rPr>
          <w:rFonts w:cs="Calibri"/>
          <w:sz w:val="22"/>
          <w:lang w:eastAsia="zh-CN"/>
        </w:rPr>
        <w:t xml:space="preserve"> (MNR)</w:t>
      </w:r>
      <w:r w:rsidR="009217CA" w:rsidRPr="00420A86">
        <w:rPr>
          <w:rFonts w:cs="Calibri"/>
          <w:sz w:val="22"/>
        </w:rPr>
        <w:t xml:space="preserve"> of </w:t>
      </w:r>
      <w:r w:rsidR="00442DDE">
        <w:rPr>
          <w:rFonts w:cs="Calibri"/>
          <w:sz w:val="22"/>
        </w:rPr>
        <w:t xml:space="preserve">the </w:t>
      </w:r>
      <w:r w:rsidR="009217CA" w:rsidRPr="00420A86">
        <w:rPr>
          <w:rFonts w:cs="Calibri"/>
          <w:sz w:val="22"/>
        </w:rPr>
        <w:t>Peoples’ Republic of China (PRC)</w:t>
      </w:r>
      <w:r w:rsidR="00352C67" w:rsidRPr="00420A86">
        <w:rPr>
          <w:rFonts w:cs="Calibri"/>
          <w:sz w:val="22"/>
        </w:rPr>
        <w:t>.</w:t>
      </w:r>
      <w:r w:rsidR="00D72DA7" w:rsidRPr="00420A86">
        <w:rPr>
          <w:rFonts w:cs="Calibri"/>
          <w:sz w:val="22"/>
        </w:rPr>
        <w:t xml:space="preserve"> </w:t>
      </w:r>
      <w:r w:rsidR="00442DDE">
        <w:rPr>
          <w:rFonts w:cs="Calibri"/>
          <w:sz w:val="22"/>
        </w:rPr>
        <w:t xml:space="preserve">It </w:t>
      </w:r>
      <w:r w:rsidR="00D72DA7" w:rsidRPr="00420A86">
        <w:rPr>
          <w:rFonts w:cs="Calibri"/>
          <w:sz w:val="22"/>
        </w:rPr>
        <w:t xml:space="preserve">was developed </w:t>
      </w:r>
      <w:r w:rsidR="000C3A72" w:rsidRPr="00420A86">
        <w:rPr>
          <w:rFonts w:cs="Calibri"/>
          <w:sz w:val="22"/>
          <w:lang w:eastAsia="zh-CN"/>
        </w:rPr>
        <w:t>through extensive consultation</w:t>
      </w:r>
      <w:r w:rsidR="00442DDE">
        <w:rPr>
          <w:rFonts w:cs="Calibri"/>
          <w:sz w:val="22"/>
          <w:lang w:eastAsia="zh-CN"/>
        </w:rPr>
        <w:t>s</w:t>
      </w:r>
      <w:r w:rsidR="000C3A72" w:rsidRPr="00420A86">
        <w:rPr>
          <w:rFonts w:cs="Calibri"/>
          <w:sz w:val="22"/>
          <w:lang w:eastAsia="zh-CN"/>
        </w:rPr>
        <w:t xml:space="preserve"> with national and local government agencies with the support of </w:t>
      </w:r>
      <w:r w:rsidR="00442DDE">
        <w:rPr>
          <w:rFonts w:cs="Calibri"/>
          <w:sz w:val="22"/>
          <w:lang w:eastAsia="zh-CN"/>
        </w:rPr>
        <w:t xml:space="preserve">the </w:t>
      </w:r>
      <w:r w:rsidR="000C3A72" w:rsidRPr="00420A86">
        <w:rPr>
          <w:rFonts w:cs="Calibri"/>
          <w:sz w:val="22"/>
          <w:lang w:eastAsia="zh-CN"/>
        </w:rPr>
        <w:t>GEF agency – UNDP</w:t>
      </w:r>
      <w:r w:rsidR="00D72DA7" w:rsidRPr="00420A86">
        <w:rPr>
          <w:rFonts w:cs="Calibri"/>
          <w:sz w:val="22"/>
          <w:lang w:eastAsia="zh-CN"/>
        </w:rPr>
        <w:t xml:space="preserve">. </w:t>
      </w:r>
    </w:p>
    <w:p w14:paraId="008BB483" w14:textId="77777777" w:rsidR="007A5B4B" w:rsidRPr="00420A86" w:rsidRDefault="007A5B4B" w:rsidP="00F52D98"/>
    <w:p w14:paraId="0A98A3F1" w14:textId="77777777" w:rsidR="00CD177B" w:rsidRPr="00420A86" w:rsidRDefault="00B24B1F" w:rsidP="00420A86">
      <w:pPr>
        <w:pStyle w:val="Heading2"/>
        <w:spacing w:before="0" w:after="0"/>
        <w:ind w:left="567" w:hanging="567"/>
        <w:rPr>
          <w:rFonts w:cs="Calibri"/>
          <w:sz w:val="22"/>
          <w:szCs w:val="22"/>
        </w:rPr>
      </w:pPr>
      <w:bookmarkStart w:id="10" w:name="_Toc86064150"/>
      <w:r w:rsidRPr="00420A86">
        <w:rPr>
          <w:rFonts w:cs="Calibri"/>
          <w:sz w:val="22"/>
          <w:szCs w:val="22"/>
        </w:rPr>
        <w:t xml:space="preserve">Project </w:t>
      </w:r>
      <w:r w:rsidR="00442DDE">
        <w:rPr>
          <w:rFonts w:cs="Calibri"/>
          <w:sz w:val="22"/>
          <w:szCs w:val="22"/>
        </w:rPr>
        <w:t>D</w:t>
      </w:r>
      <w:r w:rsidRPr="00420A86">
        <w:rPr>
          <w:rFonts w:cs="Calibri"/>
          <w:sz w:val="22"/>
          <w:szCs w:val="22"/>
        </w:rPr>
        <w:t>escription</w:t>
      </w:r>
      <w:bookmarkEnd w:id="10"/>
    </w:p>
    <w:p w14:paraId="28E40030" w14:textId="77777777" w:rsidR="00A63A31" w:rsidRDefault="00A63A31" w:rsidP="00420A86">
      <w:pPr>
        <w:spacing w:before="0" w:after="0"/>
        <w:rPr>
          <w:rFonts w:cs="Calibri"/>
          <w:sz w:val="22"/>
        </w:rPr>
      </w:pPr>
    </w:p>
    <w:p w14:paraId="40CE073D" w14:textId="77777777" w:rsidR="00A63A31" w:rsidRDefault="00A63A31" w:rsidP="00A63A31">
      <w:pPr>
        <w:spacing w:before="0" w:after="0"/>
        <w:rPr>
          <w:rFonts w:cs="Calibri"/>
          <w:sz w:val="22"/>
        </w:rPr>
      </w:pPr>
      <w:r>
        <w:rPr>
          <w:rFonts w:cs="Calibri"/>
          <w:sz w:val="22"/>
        </w:rPr>
        <w:t>T</w:t>
      </w:r>
      <w:r w:rsidRPr="00A63A31">
        <w:rPr>
          <w:rFonts w:cs="Calibri" w:hint="eastAsia"/>
          <w:sz w:val="22"/>
        </w:rPr>
        <w:t>he United Nations Intergovernmental Panel on Climate Change</w:t>
      </w:r>
      <w:r>
        <w:rPr>
          <w:rFonts w:cs="Calibri"/>
          <w:sz w:val="22"/>
        </w:rPr>
        <w:t xml:space="preserve"> (IPCC)</w:t>
      </w:r>
      <w:r w:rsidRPr="00A63A31">
        <w:rPr>
          <w:rFonts w:cs="Calibri" w:hint="eastAsia"/>
          <w:sz w:val="22"/>
        </w:rPr>
        <w:t xml:space="preserve"> warned that if global warming is not controlled within 1.5 </w:t>
      </w:r>
      <w:r w:rsidRPr="00A63A31">
        <w:rPr>
          <w:rFonts w:cs="Calibri" w:hint="eastAsia"/>
          <w:sz w:val="22"/>
        </w:rPr>
        <w:t>℃</w:t>
      </w:r>
      <w:r w:rsidRPr="00A63A31">
        <w:rPr>
          <w:rFonts w:cs="Calibri" w:hint="eastAsia"/>
          <w:sz w:val="22"/>
        </w:rPr>
        <w:t>, the earth will usher in a devastating climate after 2030.</w:t>
      </w:r>
      <w:r>
        <w:rPr>
          <w:rFonts w:cs="Calibri"/>
          <w:sz w:val="22"/>
        </w:rPr>
        <w:t xml:space="preserve"> </w:t>
      </w:r>
      <w:r w:rsidRPr="00A63A31">
        <w:rPr>
          <w:rFonts w:cs="Calibri"/>
          <w:sz w:val="22"/>
        </w:rPr>
        <w:t>To actively contribute to the global call for slowing down climate change,</w:t>
      </w:r>
      <w:r w:rsidRPr="00A63A31">
        <w:t xml:space="preserve"> </w:t>
      </w:r>
      <w:r w:rsidRPr="00A63A31">
        <w:rPr>
          <w:rFonts w:cs="Calibri"/>
          <w:sz w:val="22"/>
        </w:rPr>
        <w:t>China put forward a more ambitious goal to the fight against climate change</w:t>
      </w:r>
      <w:r>
        <w:rPr>
          <w:rFonts w:cs="Calibri"/>
          <w:sz w:val="22"/>
        </w:rPr>
        <w:t xml:space="preserve"> in 2020</w:t>
      </w:r>
      <w:r w:rsidRPr="00A63A31">
        <w:rPr>
          <w:rFonts w:cs="Calibri"/>
          <w:sz w:val="22"/>
        </w:rPr>
        <w:t>, as it aims to bring carbon emissions to a peak by 2030 and achieve carbon neutrality by 2060 with more forceful policies and measure.</w:t>
      </w:r>
      <w:r>
        <w:rPr>
          <w:rFonts w:cs="Calibri"/>
          <w:sz w:val="22"/>
        </w:rPr>
        <w:t xml:space="preserve"> </w:t>
      </w:r>
    </w:p>
    <w:p w14:paraId="69765026" w14:textId="77777777" w:rsidR="00A63A31" w:rsidRDefault="00A63A31" w:rsidP="00A63A31">
      <w:pPr>
        <w:spacing w:before="0" w:after="0"/>
        <w:rPr>
          <w:rFonts w:cs="Calibri"/>
          <w:sz w:val="22"/>
        </w:rPr>
      </w:pPr>
    </w:p>
    <w:p w14:paraId="73E321C1" w14:textId="3AF87A3D" w:rsidR="00A63A31" w:rsidRDefault="00A63A31" w:rsidP="00A63A31">
      <w:pPr>
        <w:spacing w:before="0" w:after="0"/>
        <w:rPr>
          <w:rFonts w:cs="Calibri"/>
          <w:sz w:val="22"/>
        </w:rPr>
      </w:pPr>
      <w:r w:rsidRPr="00A63A31">
        <w:rPr>
          <w:rFonts w:cs="Calibri"/>
          <w:sz w:val="22"/>
        </w:rPr>
        <w:t>Low-carbon transformation of the phosphate chemical industry (PCI) in China is regarded as an important component of China’s response to global climate change.</w:t>
      </w:r>
      <w:r>
        <w:rPr>
          <w:rFonts w:cs="Calibri"/>
          <w:sz w:val="22"/>
        </w:rPr>
        <w:t xml:space="preserve"> However, </w:t>
      </w:r>
      <w:r>
        <w:rPr>
          <w:rFonts w:eastAsia="等线"/>
          <w:sz w:val="22"/>
        </w:rPr>
        <w:t>t</w:t>
      </w:r>
      <w:r w:rsidRPr="00AB27A0">
        <w:rPr>
          <w:rFonts w:eastAsia="等线" w:hint="eastAsia"/>
          <w:sz w:val="22"/>
          <w:lang w:eastAsia="zh-CN"/>
        </w:rPr>
        <w:t>he</w:t>
      </w:r>
      <w:r w:rsidRPr="00AB27A0">
        <w:rPr>
          <w:rFonts w:eastAsia="等线"/>
          <w:sz w:val="22"/>
        </w:rPr>
        <w:t xml:space="preserve"> carbon emission problem in </w:t>
      </w:r>
      <w:r>
        <w:rPr>
          <w:rFonts w:eastAsia="等线"/>
          <w:sz w:val="22"/>
        </w:rPr>
        <w:t xml:space="preserve">the </w:t>
      </w:r>
      <w:r w:rsidRPr="00AB27A0">
        <w:rPr>
          <w:rFonts w:eastAsia="等线"/>
          <w:sz w:val="22"/>
        </w:rPr>
        <w:t>PCI in China is mainly manifested in three aspects</w:t>
      </w:r>
      <w:r>
        <w:rPr>
          <w:rFonts w:eastAsia="等线"/>
          <w:sz w:val="22"/>
        </w:rPr>
        <w:t xml:space="preserve">: </w:t>
      </w:r>
      <w:r w:rsidRPr="00A63A31">
        <w:rPr>
          <w:rFonts w:eastAsia="等线"/>
          <w:sz w:val="22"/>
        </w:rPr>
        <w:t>(1)</w:t>
      </w:r>
      <w:r>
        <w:rPr>
          <w:rFonts w:eastAsia="等线"/>
          <w:sz w:val="22"/>
        </w:rPr>
        <w:t xml:space="preserve"> h</w:t>
      </w:r>
      <w:r w:rsidRPr="00A63A31">
        <w:rPr>
          <w:rFonts w:eastAsia="等线"/>
          <w:sz w:val="22"/>
        </w:rPr>
        <w:t>igh energy consuming and GHGs emission in the chemical production process</w:t>
      </w:r>
      <w:r>
        <w:rPr>
          <w:rFonts w:eastAsia="等线"/>
          <w:sz w:val="22"/>
        </w:rPr>
        <w:t xml:space="preserve">; </w:t>
      </w:r>
      <w:r w:rsidRPr="00A63A31">
        <w:rPr>
          <w:rFonts w:eastAsia="等线"/>
          <w:sz w:val="22"/>
        </w:rPr>
        <w:t>(2)</w:t>
      </w:r>
      <w:r>
        <w:rPr>
          <w:rFonts w:eastAsia="等线"/>
          <w:sz w:val="22"/>
        </w:rPr>
        <w:t xml:space="preserve"> t</w:t>
      </w:r>
      <w:r w:rsidRPr="00A63A31">
        <w:rPr>
          <w:rFonts w:eastAsia="等线"/>
          <w:sz w:val="22"/>
        </w:rPr>
        <w:t xml:space="preserve">he inadequate utilization of the industry by-products particularly </w:t>
      </w:r>
      <w:proofErr w:type="spellStart"/>
      <w:r w:rsidRPr="00A63A31">
        <w:rPr>
          <w:rFonts w:eastAsia="等线"/>
          <w:sz w:val="22"/>
        </w:rPr>
        <w:t>phosphogypsum</w:t>
      </w:r>
      <w:proofErr w:type="spellEnd"/>
      <w:r>
        <w:rPr>
          <w:rFonts w:eastAsia="等线"/>
          <w:sz w:val="22"/>
        </w:rPr>
        <w:t>; and</w:t>
      </w:r>
      <w:r w:rsidRPr="00A63A31">
        <w:t xml:space="preserve"> </w:t>
      </w:r>
      <w:r w:rsidRPr="00A63A31">
        <w:rPr>
          <w:rFonts w:eastAsia="等线"/>
          <w:sz w:val="22"/>
        </w:rPr>
        <w:t>(3)</w:t>
      </w:r>
      <w:r w:rsidRPr="00A63A31">
        <w:rPr>
          <w:rFonts w:eastAsia="等线"/>
          <w:sz w:val="22"/>
        </w:rPr>
        <w:tab/>
      </w:r>
      <w:r>
        <w:rPr>
          <w:rFonts w:eastAsia="等线"/>
          <w:sz w:val="22"/>
        </w:rPr>
        <w:t>t</w:t>
      </w:r>
      <w:r w:rsidRPr="00A63A31">
        <w:rPr>
          <w:rFonts w:eastAsia="等线"/>
          <w:sz w:val="22"/>
        </w:rPr>
        <w:t>he ecological environment impact in the process of phosphate rock mining</w:t>
      </w:r>
      <w:r>
        <w:rPr>
          <w:rFonts w:eastAsia="等线"/>
          <w:sz w:val="22"/>
        </w:rPr>
        <w:t xml:space="preserve">. </w:t>
      </w:r>
      <w:r w:rsidRPr="00A63A31">
        <w:rPr>
          <w:rFonts w:cs="Calibri"/>
          <w:sz w:val="22"/>
        </w:rPr>
        <w:t xml:space="preserve">Hence, actions to introduce green and clean production and circular economy in the sector are urgently needed, especially because the world will continue to depend on phosphate products in different economic sectors. </w:t>
      </w:r>
    </w:p>
    <w:p w14:paraId="7B58D969" w14:textId="77777777" w:rsidR="00A63A31" w:rsidRDefault="00A63A31" w:rsidP="00A63A31">
      <w:pPr>
        <w:spacing w:before="0" w:after="0"/>
        <w:rPr>
          <w:rFonts w:cs="Calibri"/>
          <w:sz w:val="22"/>
        </w:rPr>
      </w:pPr>
    </w:p>
    <w:p w14:paraId="3A8C934F" w14:textId="47F745A4" w:rsidR="007A5B4B" w:rsidRPr="00A63A31" w:rsidRDefault="00352C67" w:rsidP="00A63A31">
      <w:pPr>
        <w:spacing w:before="0" w:after="0"/>
        <w:rPr>
          <w:rFonts w:cs="Calibri"/>
          <w:sz w:val="22"/>
        </w:rPr>
      </w:pPr>
      <w:r w:rsidRPr="00420A86">
        <w:rPr>
          <w:rFonts w:cs="Calibri"/>
          <w:sz w:val="22"/>
        </w:rPr>
        <w:t xml:space="preserve">The </w:t>
      </w:r>
      <w:proofErr w:type="spellStart"/>
      <w:r w:rsidR="005E4849">
        <w:rPr>
          <w:rFonts w:cs="Calibri"/>
          <w:sz w:val="22"/>
          <w:lang w:eastAsia="zh-CN"/>
        </w:rPr>
        <w:t>PhosChemEE</w:t>
      </w:r>
      <w:proofErr w:type="spellEnd"/>
      <w:r w:rsidR="00EA4CE1" w:rsidRPr="00420A86">
        <w:rPr>
          <w:rFonts w:cs="Calibri"/>
          <w:sz w:val="22"/>
          <w:lang w:eastAsia="zh-CN"/>
        </w:rPr>
        <w:t xml:space="preserve"> </w:t>
      </w:r>
      <w:r w:rsidR="00C37C6B">
        <w:rPr>
          <w:rFonts w:cs="Calibri"/>
          <w:sz w:val="22"/>
          <w:lang w:eastAsia="zh-CN"/>
        </w:rPr>
        <w:t>P</w:t>
      </w:r>
      <w:r w:rsidR="00EA4CE1" w:rsidRPr="00420A86">
        <w:rPr>
          <w:rFonts w:cs="Calibri"/>
          <w:sz w:val="22"/>
          <w:lang w:eastAsia="zh-CN"/>
        </w:rPr>
        <w:t>roject</w:t>
      </w:r>
      <w:r w:rsidRPr="00420A86">
        <w:rPr>
          <w:rFonts w:cs="Calibri"/>
          <w:sz w:val="22"/>
        </w:rPr>
        <w:t xml:space="preserve"> </w:t>
      </w:r>
      <w:r w:rsidR="00A63A31">
        <w:rPr>
          <w:rFonts w:cs="Calibri"/>
          <w:sz w:val="22"/>
        </w:rPr>
        <w:t>aims</w:t>
      </w:r>
      <w:r w:rsidRPr="00420A86">
        <w:rPr>
          <w:rFonts w:cs="Calibri"/>
          <w:sz w:val="22"/>
        </w:rPr>
        <w:t xml:space="preserve"> </w:t>
      </w:r>
      <w:bookmarkStart w:id="11" w:name="_Hlk79508513"/>
      <w:r w:rsidR="00A63A31">
        <w:rPr>
          <w:rFonts w:cs="Calibri"/>
          <w:sz w:val="22"/>
        </w:rPr>
        <w:t xml:space="preserve">to solve problems mentioned above through </w:t>
      </w:r>
      <w:r w:rsidR="005E4849">
        <w:rPr>
          <w:rFonts w:cs="Calibri"/>
          <w:sz w:val="22"/>
        </w:rPr>
        <w:t>e</w:t>
      </w:r>
      <w:r w:rsidR="005E4849" w:rsidRPr="005E4849">
        <w:rPr>
          <w:rFonts w:cs="Calibri"/>
          <w:sz w:val="22"/>
        </w:rPr>
        <w:t>nab</w:t>
      </w:r>
      <w:r w:rsidR="00A63A31">
        <w:rPr>
          <w:rFonts w:cs="Calibri"/>
          <w:sz w:val="22"/>
        </w:rPr>
        <w:t>ling</w:t>
      </w:r>
      <w:r w:rsidR="005E4849" w:rsidRPr="005E4849">
        <w:rPr>
          <w:rFonts w:cs="Calibri"/>
          <w:sz w:val="22"/>
        </w:rPr>
        <w:t xml:space="preserve"> the extensive application </w:t>
      </w:r>
      <w:r w:rsidR="007365AC">
        <w:rPr>
          <w:rFonts w:cs="Calibri"/>
          <w:sz w:val="22"/>
        </w:rPr>
        <w:t xml:space="preserve">and best practices </w:t>
      </w:r>
      <w:r w:rsidR="005E4849" w:rsidRPr="005E4849">
        <w:rPr>
          <w:rFonts w:cs="Calibri"/>
          <w:sz w:val="22"/>
        </w:rPr>
        <w:t>of low carbon and energy efficient technologies in the phosphate chemicals industry</w:t>
      </w:r>
      <w:bookmarkEnd w:id="11"/>
      <w:r w:rsidR="005E4849" w:rsidRPr="005E4849">
        <w:rPr>
          <w:rFonts w:cs="Calibri"/>
          <w:sz w:val="22"/>
        </w:rPr>
        <w:t xml:space="preserve"> in China</w:t>
      </w:r>
      <w:r w:rsidR="00A63A31">
        <w:rPr>
          <w:rFonts w:cs="Calibri"/>
          <w:sz w:val="22"/>
          <w:lang w:eastAsia="zh-CN"/>
        </w:rPr>
        <w:t xml:space="preserve">. </w:t>
      </w:r>
      <w:r w:rsidR="00122A40" w:rsidRPr="00420A86">
        <w:rPr>
          <w:rFonts w:cs="Calibri"/>
          <w:sz w:val="22"/>
        </w:rPr>
        <w:t xml:space="preserve">The social and environmental objectives of the </w:t>
      </w:r>
      <w:proofErr w:type="spellStart"/>
      <w:r w:rsidR="005E4849">
        <w:rPr>
          <w:rFonts w:cs="Calibri"/>
          <w:sz w:val="22"/>
          <w:lang w:eastAsia="zh-CN"/>
        </w:rPr>
        <w:t>PhosChemEE</w:t>
      </w:r>
      <w:proofErr w:type="spellEnd"/>
      <w:r w:rsidR="006933BE" w:rsidRPr="00420A86">
        <w:rPr>
          <w:rFonts w:cs="Calibri"/>
          <w:sz w:val="22"/>
          <w:lang w:eastAsia="zh-CN"/>
        </w:rPr>
        <w:t xml:space="preserve"> </w:t>
      </w:r>
      <w:r w:rsidR="00C37C6B">
        <w:rPr>
          <w:rFonts w:cs="Calibri"/>
          <w:sz w:val="22"/>
          <w:lang w:eastAsia="zh-CN"/>
        </w:rPr>
        <w:t>P</w:t>
      </w:r>
      <w:r w:rsidR="006933BE" w:rsidRPr="00420A86">
        <w:rPr>
          <w:rFonts w:cs="Calibri"/>
          <w:sz w:val="22"/>
          <w:lang w:eastAsia="zh-CN"/>
        </w:rPr>
        <w:t>roject</w:t>
      </w:r>
      <w:r w:rsidR="00122A40" w:rsidRPr="00420A86">
        <w:rPr>
          <w:rFonts w:cs="Calibri"/>
          <w:sz w:val="22"/>
        </w:rPr>
        <w:t xml:space="preserve"> are:</w:t>
      </w:r>
    </w:p>
    <w:p w14:paraId="3DFC15D1" w14:textId="77777777" w:rsidR="006933BE" w:rsidRPr="00420A86" w:rsidRDefault="006933BE" w:rsidP="00A63A31">
      <w:pPr>
        <w:pStyle w:val="ListParagraph"/>
        <w:numPr>
          <w:ilvl w:val="0"/>
          <w:numId w:val="34"/>
        </w:numPr>
        <w:spacing w:before="0" w:after="0"/>
        <w:ind w:left="567" w:hanging="283"/>
        <w:rPr>
          <w:rFonts w:cs="Calibri"/>
          <w:sz w:val="22"/>
        </w:rPr>
      </w:pPr>
      <w:r w:rsidRPr="00420A86">
        <w:rPr>
          <w:rFonts w:cs="Calibri"/>
          <w:sz w:val="22"/>
        </w:rPr>
        <w:t xml:space="preserve">Establish effective policy and institutional frameworks towards the development of </w:t>
      </w:r>
      <w:r w:rsidR="006F2F51" w:rsidRPr="006F2F51">
        <w:rPr>
          <w:rFonts w:cs="Calibri"/>
          <w:sz w:val="22"/>
        </w:rPr>
        <w:t xml:space="preserve">cleaner and energy efficient phosphate chemicals industry </w:t>
      </w:r>
      <w:r w:rsidR="00C15486" w:rsidRPr="00C15486">
        <w:rPr>
          <w:rFonts w:cs="Calibri"/>
          <w:sz w:val="22"/>
        </w:rPr>
        <w:t>in China</w:t>
      </w:r>
      <w:r w:rsidR="006F2F51" w:rsidRPr="00420A86">
        <w:rPr>
          <w:rFonts w:cs="Calibri"/>
          <w:sz w:val="22"/>
        </w:rPr>
        <w:t>.</w:t>
      </w:r>
    </w:p>
    <w:p w14:paraId="0ADDBDC8" w14:textId="77777777" w:rsidR="00122A40" w:rsidRDefault="006F2F51" w:rsidP="00A63A31">
      <w:pPr>
        <w:pStyle w:val="ListParagraph"/>
        <w:numPr>
          <w:ilvl w:val="0"/>
          <w:numId w:val="34"/>
        </w:numPr>
        <w:spacing w:before="0" w:after="0"/>
        <w:ind w:left="567" w:hanging="283"/>
        <w:rPr>
          <w:rFonts w:cs="Calibri"/>
          <w:sz w:val="22"/>
        </w:rPr>
      </w:pPr>
      <w:r w:rsidRPr="006F2F51">
        <w:rPr>
          <w:rFonts w:cs="Calibri"/>
          <w:sz w:val="22"/>
        </w:rPr>
        <w:t xml:space="preserve">Improve interest and commitment of the phosphate chemical industry in the green, low carbon and energy efficient operations of the </w:t>
      </w:r>
      <w:r w:rsidR="00C15486">
        <w:rPr>
          <w:rFonts w:cs="Calibri"/>
          <w:sz w:val="22"/>
        </w:rPr>
        <w:t>PCI industries</w:t>
      </w:r>
      <w:r w:rsidR="00C15486" w:rsidRPr="00C15486">
        <w:rPr>
          <w:rFonts w:cs="Calibri"/>
          <w:sz w:val="22"/>
        </w:rPr>
        <w:t xml:space="preserve"> in China</w:t>
      </w:r>
      <w:r w:rsidR="00C15486">
        <w:rPr>
          <w:rFonts w:cs="Calibri"/>
          <w:sz w:val="22"/>
        </w:rPr>
        <w:t>.</w:t>
      </w:r>
    </w:p>
    <w:p w14:paraId="77C666BD" w14:textId="77777777" w:rsidR="00C15486" w:rsidRPr="00420A86" w:rsidRDefault="00C15486" w:rsidP="00A63A31">
      <w:pPr>
        <w:pStyle w:val="ListParagraph"/>
        <w:numPr>
          <w:ilvl w:val="0"/>
          <w:numId w:val="34"/>
        </w:numPr>
        <w:spacing w:before="0" w:after="0"/>
        <w:ind w:left="567" w:hanging="283"/>
        <w:rPr>
          <w:rFonts w:cs="Calibri"/>
          <w:sz w:val="22"/>
        </w:rPr>
      </w:pPr>
      <w:r w:rsidRPr="00C15486">
        <w:rPr>
          <w:rFonts w:cs="Calibri"/>
          <w:sz w:val="22"/>
        </w:rPr>
        <w:t xml:space="preserve">Enhance confidence in the feasibility of the application of green, energy efficient low carbon technologies in </w:t>
      </w:r>
      <w:r w:rsidRPr="006F2F51">
        <w:rPr>
          <w:rFonts w:cs="Calibri"/>
          <w:sz w:val="22"/>
        </w:rPr>
        <w:t xml:space="preserve">the </w:t>
      </w:r>
      <w:r>
        <w:rPr>
          <w:rFonts w:cs="Calibri"/>
          <w:sz w:val="22"/>
        </w:rPr>
        <w:t>PCI industries</w:t>
      </w:r>
      <w:r w:rsidRPr="00C15486">
        <w:rPr>
          <w:rFonts w:cs="Calibri"/>
          <w:sz w:val="22"/>
        </w:rPr>
        <w:t xml:space="preserve"> in China</w:t>
      </w:r>
    </w:p>
    <w:p w14:paraId="11604CA3" w14:textId="15A95EEA" w:rsidR="00122A40" w:rsidRPr="00C15486" w:rsidRDefault="00EB10C3" w:rsidP="00A63A31">
      <w:pPr>
        <w:pStyle w:val="ListParagraph"/>
        <w:numPr>
          <w:ilvl w:val="0"/>
          <w:numId w:val="34"/>
        </w:numPr>
        <w:spacing w:before="0" w:after="0"/>
        <w:ind w:left="567" w:hanging="283"/>
        <w:rPr>
          <w:rFonts w:cs="Calibri"/>
          <w:sz w:val="22"/>
        </w:rPr>
      </w:pPr>
      <w:r w:rsidRPr="00C15486">
        <w:rPr>
          <w:rFonts w:cs="Calibri"/>
          <w:sz w:val="22"/>
          <w:lang w:eastAsia="zh-CN"/>
        </w:rPr>
        <w:t xml:space="preserve">Improve the environment in </w:t>
      </w:r>
      <w:r w:rsidR="00A63A31">
        <w:rPr>
          <w:rFonts w:cs="Calibri"/>
          <w:sz w:val="22"/>
          <w:lang w:eastAsia="zh-CN"/>
        </w:rPr>
        <w:t>underdeveloped western regions</w:t>
      </w:r>
      <w:r w:rsidRPr="00C15486">
        <w:rPr>
          <w:rFonts w:cs="Calibri"/>
          <w:sz w:val="22"/>
          <w:lang w:eastAsia="zh-CN"/>
        </w:rPr>
        <w:t xml:space="preserve">, especially by reducing greenhouse gas emissions (GHG) and </w:t>
      </w:r>
      <w:r w:rsidR="00C15486" w:rsidRPr="00C15486">
        <w:rPr>
          <w:rFonts w:cs="Calibri"/>
          <w:sz w:val="22"/>
          <w:lang w:eastAsia="zh-CN"/>
        </w:rPr>
        <w:t>improving the quality of local ecological environment</w:t>
      </w:r>
      <w:r w:rsidR="00122A40" w:rsidRPr="00C15486">
        <w:rPr>
          <w:rFonts w:cs="Calibri"/>
          <w:sz w:val="22"/>
        </w:rPr>
        <w:t>;</w:t>
      </w:r>
      <w:r w:rsidRPr="00C15486">
        <w:rPr>
          <w:rFonts w:cs="Calibri"/>
          <w:sz w:val="22"/>
        </w:rPr>
        <w:t xml:space="preserve"> </w:t>
      </w:r>
      <w:r w:rsidRPr="00C15486">
        <w:rPr>
          <w:rFonts w:cs="Calibri"/>
          <w:sz w:val="22"/>
          <w:lang w:eastAsia="zh-CN"/>
        </w:rPr>
        <w:t>and</w:t>
      </w:r>
    </w:p>
    <w:p w14:paraId="3668B2F3" w14:textId="77777777" w:rsidR="00122A40" w:rsidRPr="00420A86" w:rsidRDefault="00122A40" w:rsidP="00A63A31">
      <w:pPr>
        <w:pStyle w:val="ListParagraph"/>
        <w:numPr>
          <w:ilvl w:val="0"/>
          <w:numId w:val="34"/>
        </w:numPr>
        <w:spacing w:before="0" w:after="0"/>
        <w:ind w:left="567" w:hanging="283"/>
        <w:rPr>
          <w:rFonts w:cs="Calibri"/>
          <w:sz w:val="22"/>
        </w:rPr>
      </w:pPr>
      <w:r w:rsidRPr="00420A86">
        <w:rPr>
          <w:rFonts w:cs="Calibri"/>
          <w:sz w:val="22"/>
        </w:rPr>
        <w:t xml:space="preserve">Strengthen </w:t>
      </w:r>
      <w:r w:rsidR="00EB10C3" w:rsidRPr="00420A86">
        <w:rPr>
          <w:rFonts w:cs="Calibri"/>
          <w:sz w:val="22"/>
        </w:rPr>
        <w:t xml:space="preserve">public awareness, </w:t>
      </w:r>
      <w:r w:rsidRPr="00420A86">
        <w:rPr>
          <w:rFonts w:cs="Calibri"/>
          <w:sz w:val="22"/>
        </w:rPr>
        <w:t xml:space="preserve">knowledge, information management, and monitoring systems on </w:t>
      </w:r>
      <w:r w:rsidR="00C15486" w:rsidRPr="00C15486">
        <w:rPr>
          <w:rFonts w:cs="Calibri"/>
          <w:sz w:val="22"/>
        </w:rPr>
        <w:t>greening and low carbon transformation</w:t>
      </w:r>
      <w:r w:rsidR="00EB10C3" w:rsidRPr="00420A86">
        <w:rPr>
          <w:rFonts w:cs="Calibri"/>
          <w:sz w:val="22"/>
        </w:rPr>
        <w:t xml:space="preserve"> in support of </w:t>
      </w:r>
      <w:r w:rsidR="00C15486" w:rsidRPr="006F2F51">
        <w:rPr>
          <w:rFonts w:cs="Calibri"/>
          <w:sz w:val="22"/>
        </w:rPr>
        <w:t xml:space="preserve">cleaner and energy efficient phosphate chemicals industry </w:t>
      </w:r>
      <w:r w:rsidR="00C15486" w:rsidRPr="00C15486">
        <w:rPr>
          <w:rFonts w:cs="Calibri"/>
          <w:sz w:val="22"/>
        </w:rPr>
        <w:t>in China</w:t>
      </w:r>
      <w:r w:rsidRPr="00420A86">
        <w:rPr>
          <w:rFonts w:cs="Calibri"/>
          <w:sz w:val="22"/>
        </w:rPr>
        <w:t>.</w:t>
      </w:r>
    </w:p>
    <w:p w14:paraId="69A5F4C8" w14:textId="77777777" w:rsidR="007A5B4B" w:rsidRPr="00420A86" w:rsidRDefault="007A5B4B" w:rsidP="00420A86">
      <w:pPr>
        <w:spacing w:before="0" w:after="0"/>
        <w:rPr>
          <w:rFonts w:cs="Calibri"/>
          <w:sz w:val="22"/>
        </w:rPr>
      </w:pPr>
    </w:p>
    <w:p w14:paraId="1EAC9B10" w14:textId="77777777" w:rsidR="007A5B4B" w:rsidRPr="00420A86" w:rsidRDefault="00EB10C3" w:rsidP="00420A86">
      <w:pPr>
        <w:spacing w:before="0" w:after="0"/>
        <w:rPr>
          <w:rFonts w:cs="Calibri"/>
          <w:sz w:val="22"/>
        </w:rPr>
      </w:pPr>
      <w:r w:rsidRPr="00420A86">
        <w:rPr>
          <w:rFonts w:cs="Calibri"/>
          <w:sz w:val="22"/>
        </w:rPr>
        <w:t>T</w:t>
      </w:r>
      <w:r w:rsidR="007A5B4B" w:rsidRPr="00420A86">
        <w:rPr>
          <w:rFonts w:cs="Calibri"/>
          <w:sz w:val="22"/>
        </w:rPr>
        <w:t xml:space="preserve">able </w:t>
      </w:r>
      <w:r w:rsidRPr="00420A86">
        <w:rPr>
          <w:rFonts w:cs="Calibri"/>
          <w:sz w:val="22"/>
        </w:rPr>
        <w:t xml:space="preserve">1 </w:t>
      </w:r>
      <w:r w:rsidR="00442DDE">
        <w:rPr>
          <w:rFonts w:cs="Calibri"/>
          <w:sz w:val="22"/>
        </w:rPr>
        <w:t>presents</w:t>
      </w:r>
      <w:r w:rsidRPr="00420A86">
        <w:rPr>
          <w:rFonts w:cs="Calibri"/>
          <w:sz w:val="22"/>
        </w:rPr>
        <w:t xml:space="preserve"> the project components and expected outcomes:</w:t>
      </w:r>
    </w:p>
    <w:p w14:paraId="5EC578B2" w14:textId="77777777" w:rsidR="00B24B1F" w:rsidRPr="00420A86" w:rsidRDefault="00EB10C3" w:rsidP="00420A86">
      <w:pPr>
        <w:spacing w:before="0" w:after="0"/>
        <w:rPr>
          <w:rFonts w:cs="Calibri"/>
          <w:sz w:val="22"/>
        </w:rPr>
      </w:pPr>
      <w:r w:rsidRPr="00420A86">
        <w:rPr>
          <w:rFonts w:cs="Calibri"/>
          <w:sz w:val="22"/>
        </w:rPr>
        <w:t xml:space="preserve"> </w:t>
      </w:r>
    </w:p>
    <w:p w14:paraId="58B4343B" w14:textId="1C1A6A6D" w:rsidR="00443306" w:rsidRPr="00420A86" w:rsidRDefault="00443306" w:rsidP="00420A86">
      <w:pPr>
        <w:pStyle w:val="Caption"/>
        <w:keepNext/>
        <w:spacing w:after="0"/>
        <w:jc w:val="left"/>
        <w:rPr>
          <w:rFonts w:cs="Calibri"/>
          <w:b/>
          <w:sz w:val="22"/>
          <w:szCs w:val="22"/>
        </w:rPr>
      </w:pPr>
      <w:bookmarkStart w:id="12" w:name="_Toc67572940"/>
      <w:r w:rsidRPr="00420A86">
        <w:rPr>
          <w:rFonts w:cs="Calibri"/>
          <w:b/>
          <w:sz w:val="22"/>
          <w:szCs w:val="22"/>
        </w:rPr>
        <w:t xml:space="preserve">Table </w:t>
      </w:r>
      <w:r w:rsidRPr="00420A86">
        <w:rPr>
          <w:rFonts w:cs="Calibri"/>
          <w:b/>
          <w:sz w:val="22"/>
          <w:szCs w:val="22"/>
        </w:rPr>
        <w:fldChar w:fldCharType="begin"/>
      </w:r>
      <w:r w:rsidRPr="00420A86">
        <w:rPr>
          <w:rFonts w:cs="Calibri"/>
          <w:b/>
          <w:sz w:val="22"/>
          <w:szCs w:val="22"/>
        </w:rPr>
        <w:instrText xml:space="preserve"> SEQ Table \* ARABIC </w:instrText>
      </w:r>
      <w:r w:rsidRPr="00420A86">
        <w:rPr>
          <w:rFonts w:cs="Calibri"/>
          <w:b/>
          <w:sz w:val="22"/>
          <w:szCs w:val="22"/>
        </w:rPr>
        <w:fldChar w:fldCharType="separate"/>
      </w:r>
      <w:r w:rsidR="00F52D98">
        <w:rPr>
          <w:rFonts w:cs="Calibri"/>
          <w:b/>
          <w:noProof/>
          <w:sz w:val="22"/>
          <w:szCs w:val="22"/>
        </w:rPr>
        <w:t>1</w:t>
      </w:r>
      <w:r w:rsidRPr="00420A86">
        <w:rPr>
          <w:rFonts w:cs="Calibri"/>
          <w:b/>
          <w:sz w:val="22"/>
          <w:szCs w:val="22"/>
        </w:rPr>
        <w:fldChar w:fldCharType="end"/>
      </w:r>
      <w:r w:rsidRPr="00420A86">
        <w:rPr>
          <w:rFonts w:cs="Calibri"/>
          <w:b/>
          <w:sz w:val="22"/>
          <w:szCs w:val="22"/>
          <w:lang w:eastAsia="zh-CN"/>
        </w:rPr>
        <w:t>：</w:t>
      </w:r>
      <w:r w:rsidRPr="00420A86">
        <w:rPr>
          <w:rFonts w:cs="Calibri"/>
          <w:b/>
          <w:sz w:val="22"/>
          <w:szCs w:val="22"/>
        </w:rPr>
        <w:t xml:space="preserve"> </w:t>
      </w:r>
      <w:proofErr w:type="spellStart"/>
      <w:r w:rsidR="005E4849">
        <w:rPr>
          <w:rFonts w:cs="Calibri"/>
          <w:b/>
          <w:sz w:val="22"/>
          <w:szCs w:val="22"/>
        </w:rPr>
        <w:t>PhosChemEE</w:t>
      </w:r>
      <w:proofErr w:type="spellEnd"/>
      <w:r w:rsidR="005E4849" w:rsidRPr="005E4849">
        <w:rPr>
          <w:rFonts w:cs="Calibri"/>
          <w:b/>
          <w:sz w:val="22"/>
          <w:szCs w:val="22"/>
        </w:rPr>
        <w:t xml:space="preserve"> </w:t>
      </w:r>
      <w:r w:rsidR="007A5B4B" w:rsidRPr="00420A86">
        <w:rPr>
          <w:rFonts w:cs="Calibri"/>
          <w:b/>
          <w:sz w:val="22"/>
          <w:szCs w:val="22"/>
        </w:rPr>
        <w:t>P</w:t>
      </w:r>
      <w:r w:rsidRPr="00420A86">
        <w:rPr>
          <w:rFonts w:cs="Calibri"/>
          <w:b/>
          <w:sz w:val="22"/>
          <w:szCs w:val="22"/>
        </w:rPr>
        <w:t xml:space="preserve">roject </w:t>
      </w:r>
      <w:r w:rsidR="007A5B4B" w:rsidRPr="00420A86">
        <w:rPr>
          <w:rFonts w:cs="Calibri"/>
          <w:b/>
          <w:sz w:val="22"/>
          <w:szCs w:val="22"/>
        </w:rPr>
        <w:t>C</w:t>
      </w:r>
      <w:r w:rsidRPr="00420A86">
        <w:rPr>
          <w:rFonts w:cs="Calibri"/>
          <w:b/>
          <w:sz w:val="22"/>
          <w:szCs w:val="22"/>
        </w:rPr>
        <w:t xml:space="preserve">omponents and </w:t>
      </w:r>
      <w:r w:rsidR="007A5B4B" w:rsidRPr="00420A86">
        <w:rPr>
          <w:rFonts w:cs="Calibri"/>
          <w:b/>
          <w:sz w:val="22"/>
          <w:szCs w:val="22"/>
        </w:rPr>
        <w:t>E</w:t>
      </w:r>
      <w:r w:rsidRPr="00420A86">
        <w:rPr>
          <w:rFonts w:cs="Calibri"/>
          <w:b/>
          <w:sz w:val="22"/>
          <w:szCs w:val="22"/>
        </w:rPr>
        <w:t xml:space="preserve">xpected </w:t>
      </w:r>
      <w:r w:rsidR="007A5B4B" w:rsidRPr="00420A86">
        <w:rPr>
          <w:rFonts w:cs="Calibri"/>
          <w:b/>
          <w:sz w:val="22"/>
          <w:szCs w:val="22"/>
        </w:rPr>
        <w:t>O</w:t>
      </w:r>
      <w:r w:rsidRPr="00420A86">
        <w:rPr>
          <w:rFonts w:cs="Calibri"/>
          <w:b/>
          <w:sz w:val="22"/>
          <w:szCs w:val="22"/>
        </w:rPr>
        <w:t>utcomes</w:t>
      </w:r>
      <w:bookmarkEnd w:id="12"/>
      <w:r w:rsidRPr="00420A86">
        <w:rPr>
          <w:rFonts w:cs="Calibri"/>
          <w:b/>
          <w:sz w:val="22"/>
          <w:szCs w:val="22"/>
        </w:rPr>
        <w:t xml:space="preserve"> </w:t>
      </w:r>
    </w:p>
    <w:p w14:paraId="1444A709" w14:textId="77777777" w:rsidR="007A5B4B" w:rsidRPr="00420A86" w:rsidRDefault="007A5B4B" w:rsidP="00420A86">
      <w:pPr>
        <w:spacing w:before="0" w:after="0"/>
        <w:jc w:val="left"/>
        <w:rPr>
          <w:rFonts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0C3A72" w:rsidRPr="00420A86" w14:paraId="364C76EC" w14:textId="77777777" w:rsidTr="006767FE">
        <w:tc>
          <w:tcPr>
            <w:tcW w:w="5000" w:type="pct"/>
            <w:gridSpan w:val="2"/>
            <w:shd w:val="clear" w:color="auto" w:fill="C4BC96"/>
            <w:hideMark/>
          </w:tcPr>
          <w:p w14:paraId="28C8B174" w14:textId="4EA8B661" w:rsidR="000C3A72" w:rsidRPr="00420A86" w:rsidRDefault="000C3A72" w:rsidP="00420A86">
            <w:pPr>
              <w:spacing w:before="0" w:after="0"/>
              <w:jc w:val="left"/>
              <w:rPr>
                <w:rFonts w:cs="Calibri"/>
                <w:bCs/>
                <w:sz w:val="22"/>
              </w:rPr>
            </w:pPr>
            <w:r w:rsidRPr="00420A86">
              <w:rPr>
                <w:rFonts w:cs="Calibri"/>
                <w:b/>
                <w:bCs/>
                <w:sz w:val="22"/>
              </w:rPr>
              <w:t>Project Objective</w:t>
            </w:r>
            <w:r w:rsidRPr="00420A86">
              <w:rPr>
                <w:rFonts w:cs="Calibri"/>
                <w:bCs/>
                <w:sz w:val="22"/>
              </w:rPr>
              <w:t xml:space="preserve">: </w:t>
            </w:r>
            <w:r w:rsidR="00CB1D0A" w:rsidRPr="00CB1D0A">
              <w:rPr>
                <w:rFonts w:cs="Calibri"/>
                <w:bCs/>
                <w:sz w:val="22"/>
              </w:rPr>
              <w:t>Enabling the extensive application of low carbon and energy efficient technologies in the phosphate chemicals industry in China and the achievement of the United Nations sustainable development goals (SDG).</w:t>
            </w:r>
          </w:p>
        </w:tc>
      </w:tr>
      <w:tr w:rsidR="000C3A72" w:rsidRPr="00420A86" w14:paraId="40B97FA3" w14:textId="77777777" w:rsidTr="006767FE">
        <w:tc>
          <w:tcPr>
            <w:tcW w:w="2500" w:type="pct"/>
            <w:shd w:val="clear" w:color="auto" w:fill="BFBFBF"/>
            <w:hideMark/>
          </w:tcPr>
          <w:p w14:paraId="2E7B1606" w14:textId="77777777" w:rsidR="000C3A72" w:rsidRPr="00420A86" w:rsidRDefault="000C3A72" w:rsidP="00420A86">
            <w:pPr>
              <w:spacing w:before="0" w:after="0"/>
              <w:jc w:val="center"/>
              <w:rPr>
                <w:rFonts w:cs="Calibri"/>
                <w:b/>
                <w:bCs/>
                <w:sz w:val="22"/>
              </w:rPr>
            </w:pPr>
            <w:r w:rsidRPr="00420A86">
              <w:rPr>
                <w:rFonts w:cs="Calibri"/>
                <w:b/>
                <w:bCs/>
                <w:sz w:val="22"/>
              </w:rPr>
              <w:t>Project Components</w:t>
            </w:r>
          </w:p>
        </w:tc>
        <w:tc>
          <w:tcPr>
            <w:tcW w:w="2500" w:type="pct"/>
            <w:shd w:val="clear" w:color="auto" w:fill="BFBFBF"/>
            <w:hideMark/>
          </w:tcPr>
          <w:p w14:paraId="4308B94C" w14:textId="77777777" w:rsidR="000C3A72" w:rsidRPr="00420A86" w:rsidRDefault="000C3A72" w:rsidP="00420A86">
            <w:pPr>
              <w:spacing w:before="0" w:after="0"/>
              <w:jc w:val="center"/>
              <w:rPr>
                <w:rFonts w:cs="Calibri"/>
                <w:b/>
                <w:sz w:val="22"/>
              </w:rPr>
            </w:pPr>
            <w:r w:rsidRPr="00420A86">
              <w:rPr>
                <w:rFonts w:cs="Calibri"/>
                <w:b/>
                <w:sz w:val="22"/>
              </w:rPr>
              <w:t>Expected Outcomes</w:t>
            </w:r>
          </w:p>
        </w:tc>
      </w:tr>
      <w:tr w:rsidR="000C3A72" w:rsidRPr="00420A86" w14:paraId="78767388" w14:textId="77777777" w:rsidTr="006767FE">
        <w:tc>
          <w:tcPr>
            <w:tcW w:w="2500" w:type="pct"/>
            <w:shd w:val="clear" w:color="auto" w:fill="auto"/>
            <w:hideMark/>
          </w:tcPr>
          <w:p w14:paraId="276260B1" w14:textId="77777777" w:rsidR="000C3A72" w:rsidRPr="00420A86" w:rsidRDefault="00DA024A" w:rsidP="00420A86">
            <w:pPr>
              <w:spacing w:before="0" w:after="0"/>
              <w:jc w:val="left"/>
              <w:rPr>
                <w:rFonts w:cs="Calibri"/>
                <w:bCs/>
                <w:sz w:val="22"/>
              </w:rPr>
            </w:pPr>
            <w:r w:rsidRPr="00420A86">
              <w:rPr>
                <w:rFonts w:cs="Calibri"/>
                <w:bCs/>
                <w:sz w:val="22"/>
              </w:rPr>
              <w:lastRenderedPageBreak/>
              <w:t xml:space="preserve">1. </w:t>
            </w:r>
            <w:r w:rsidR="00B015C9" w:rsidRPr="00B015C9">
              <w:rPr>
                <w:rFonts w:cs="Calibri"/>
                <w:bCs/>
                <w:sz w:val="22"/>
              </w:rPr>
              <w:t>Green and Low Carbon Development and Operation of Phosphate Mines</w:t>
            </w:r>
          </w:p>
        </w:tc>
        <w:tc>
          <w:tcPr>
            <w:tcW w:w="2500" w:type="pct"/>
            <w:shd w:val="clear" w:color="auto" w:fill="auto"/>
            <w:hideMark/>
          </w:tcPr>
          <w:p w14:paraId="04241CED" w14:textId="77777777" w:rsidR="000C3A72" w:rsidRPr="00420A86" w:rsidRDefault="00B015C9" w:rsidP="00420A86">
            <w:pPr>
              <w:spacing w:before="0" w:after="0"/>
              <w:jc w:val="left"/>
              <w:rPr>
                <w:rFonts w:cs="Calibri"/>
                <w:sz w:val="22"/>
              </w:rPr>
            </w:pPr>
            <w:r w:rsidRPr="00B015C9">
              <w:rPr>
                <w:rFonts w:cs="Calibri"/>
                <w:sz w:val="22"/>
              </w:rPr>
              <w:t>Improved interest and commitment of the phosphate chemical industry in the green, low carbon and energy efficient operations of the phosphate mining sub-sector in China</w:t>
            </w:r>
            <w:r>
              <w:rPr>
                <w:rFonts w:cs="Calibri"/>
                <w:sz w:val="22"/>
              </w:rPr>
              <w:t xml:space="preserve">; </w:t>
            </w:r>
            <w:r w:rsidRPr="00B015C9">
              <w:rPr>
                <w:rFonts w:cs="Calibri"/>
                <w:sz w:val="22"/>
              </w:rPr>
              <w:t xml:space="preserve">Enhanced confidence in the feasibility of the application of green, energy efficient low carbon technologies in </w:t>
            </w:r>
            <w:proofErr w:type="spellStart"/>
            <w:r w:rsidRPr="00B015C9">
              <w:rPr>
                <w:rFonts w:cs="Calibri"/>
                <w:sz w:val="22"/>
              </w:rPr>
              <w:t>phosrock</w:t>
            </w:r>
            <w:proofErr w:type="spellEnd"/>
            <w:r w:rsidRPr="00B015C9">
              <w:rPr>
                <w:rFonts w:cs="Calibri"/>
                <w:sz w:val="22"/>
              </w:rPr>
              <w:t xml:space="preserve"> mining and refining in China</w:t>
            </w:r>
            <w:r>
              <w:rPr>
                <w:rFonts w:cs="Calibri"/>
                <w:sz w:val="22"/>
              </w:rPr>
              <w:t>.</w:t>
            </w:r>
          </w:p>
        </w:tc>
      </w:tr>
      <w:tr w:rsidR="000C3A72" w:rsidRPr="00420A86" w14:paraId="62F2A09B" w14:textId="77777777" w:rsidTr="006767FE">
        <w:tc>
          <w:tcPr>
            <w:tcW w:w="2500" w:type="pct"/>
            <w:shd w:val="clear" w:color="auto" w:fill="auto"/>
            <w:hideMark/>
          </w:tcPr>
          <w:p w14:paraId="733B1486" w14:textId="77777777" w:rsidR="000C3A72" w:rsidRPr="00420A86" w:rsidRDefault="000C3A72" w:rsidP="00420A86">
            <w:pPr>
              <w:spacing w:before="0" w:after="0"/>
              <w:jc w:val="left"/>
              <w:rPr>
                <w:rFonts w:cs="Calibri"/>
                <w:bCs/>
                <w:sz w:val="22"/>
              </w:rPr>
            </w:pPr>
            <w:r w:rsidRPr="00420A86">
              <w:rPr>
                <w:rFonts w:cs="Calibri"/>
                <w:bCs/>
                <w:sz w:val="22"/>
              </w:rPr>
              <w:t xml:space="preserve">2. </w:t>
            </w:r>
            <w:r w:rsidR="00B015C9" w:rsidRPr="00B015C9">
              <w:rPr>
                <w:rFonts w:cs="Calibri"/>
                <w:bCs/>
                <w:sz w:val="22"/>
              </w:rPr>
              <w:t>Green and Low Carbon Design and Operation of Phosphate Chemicals Production Facilities</w:t>
            </w:r>
          </w:p>
        </w:tc>
        <w:tc>
          <w:tcPr>
            <w:tcW w:w="2500" w:type="pct"/>
            <w:shd w:val="clear" w:color="auto" w:fill="auto"/>
            <w:hideMark/>
          </w:tcPr>
          <w:p w14:paraId="3C8F5D14" w14:textId="08FA01CC" w:rsidR="000C3A72" w:rsidRPr="00420A86" w:rsidRDefault="00CB1D0A" w:rsidP="00420A86">
            <w:pPr>
              <w:spacing w:before="0" w:after="0"/>
              <w:jc w:val="left"/>
              <w:rPr>
                <w:rFonts w:cs="Calibri"/>
                <w:sz w:val="22"/>
              </w:rPr>
            </w:pPr>
            <w:r w:rsidRPr="00CB1D0A">
              <w:rPr>
                <w:rFonts w:cs="Calibri"/>
                <w:sz w:val="22"/>
              </w:rPr>
              <w:t>Established a green and low-carbon development model for phosphorus chemicals</w:t>
            </w:r>
            <w:r w:rsidR="00B015C9">
              <w:rPr>
                <w:rFonts w:cs="Calibri"/>
                <w:sz w:val="22"/>
              </w:rPr>
              <w:t xml:space="preserve">; </w:t>
            </w:r>
            <w:r w:rsidR="00B015C9" w:rsidRPr="00B015C9">
              <w:rPr>
                <w:rFonts w:cs="Calibri"/>
                <w:sz w:val="22"/>
              </w:rPr>
              <w:t>Enhanced confidence in the feasibility of the application of green, energy efficient low carbon technologies in phosphate chemicals production in China.</w:t>
            </w:r>
          </w:p>
        </w:tc>
      </w:tr>
      <w:tr w:rsidR="000C3A72" w:rsidRPr="00420A86" w14:paraId="71DA3A12" w14:textId="77777777" w:rsidTr="006767FE">
        <w:tc>
          <w:tcPr>
            <w:tcW w:w="2500" w:type="pct"/>
            <w:shd w:val="clear" w:color="auto" w:fill="auto"/>
            <w:hideMark/>
          </w:tcPr>
          <w:p w14:paraId="11083A12" w14:textId="77777777" w:rsidR="000C3A72" w:rsidRPr="00420A86" w:rsidRDefault="000C3A72" w:rsidP="00420A86">
            <w:pPr>
              <w:spacing w:before="0" w:after="0"/>
              <w:jc w:val="left"/>
              <w:rPr>
                <w:rFonts w:cs="Calibri"/>
                <w:bCs/>
                <w:sz w:val="22"/>
              </w:rPr>
            </w:pPr>
            <w:r w:rsidRPr="00420A86">
              <w:rPr>
                <w:rFonts w:cs="Calibri"/>
                <w:bCs/>
                <w:sz w:val="22"/>
              </w:rPr>
              <w:t xml:space="preserve">3. </w:t>
            </w:r>
            <w:r w:rsidR="00B015C9" w:rsidRPr="00B015C9">
              <w:rPr>
                <w:rFonts w:cs="Calibri"/>
                <w:bCs/>
                <w:sz w:val="22"/>
              </w:rPr>
              <w:t>Green and Low Carbon Design and Operation of Waste Management Systems in the Phosphate Chemicals Industry</w:t>
            </w:r>
          </w:p>
        </w:tc>
        <w:tc>
          <w:tcPr>
            <w:tcW w:w="2500" w:type="pct"/>
            <w:shd w:val="clear" w:color="auto" w:fill="auto"/>
            <w:hideMark/>
          </w:tcPr>
          <w:p w14:paraId="03A87D44" w14:textId="77777777" w:rsidR="000C3A72" w:rsidRPr="00420A86" w:rsidRDefault="00B015C9" w:rsidP="00420A86">
            <w:pPr>
              <w:spacing w:before="0" w:after="0"/>
              <w:jc w:val="left"/>
              <w:rPr>
                <w:rFonts w:cs="Calibri"/>
                <w:sz w:val="22"/>
              </w:rPr>
            </w:pPr>
            <w:r w:rsidRPr="00B015C9">
              <w:rPr>
                <w:rFonts w:cs="Calibri"/>
                <w:sz w:val="22"/>
              </w:rPr>
              <w:t>Enhanced commitment of, and institutional and technical arrangements for, the phosphate chemical industry in green and low carbon waste management</w:t>
            </w:r>
            <w:r>
              <w:rPr>
                <w:rFonts w:cs="Calibri"/>
                <w:sz w:val="22"/>
              </w:rPr>
              <w:t xml:space="preserve">; </w:t>
            </w:r>
            <w:r w:rsidRPr="00B015C9">
              <w:rPr>
                <w:rFonts w:cs="Calibri"/>
                <w:sz w:val="22"/>
              </w:rPr>
              <w:t>Increased confidence in the feasibility of the application of green and low carbon technologies in the management of waste in the phosphate chemicals Industry in China</w:t>
            </w:r>
            <w:r>
              <w:rPr>
                <w:rFonts w:cs="Calibri"/>
                <w:sz w:val="22"/>
              </w:rPr>
              <w:t>.</w:t>
            </w:r>
          </w:p>
        </w:tc>
      </w:tr>
    </w:tbl>
    <w:p w14:paraId="5BF2B05C" w14:textId="77777777" w:rsidR="007A5B4B" w:rsidRPr="00420A86" w:rsidRDefault="007A5B4B" w:rsidP="00420A86">
      <w:pPr>
        <w:spacing w:before="0" w:after="0"/>
        <w:rPr>
          <w:rFonts w:cs="Calibri"/>
          <w:sz w:val="22"/>
          <w:lang w:eastAsia="zh-CN"/>
        </w:rPr>
      </w:pPr>
    </w:p>
    <w:p w14:paraId="0864A1F3" w14:textId="5C95DD80" w:rsidR="000C3A72" w:rsidRPr="00420A86" w:rsidRDefault="004421D1" w:rsidP="00420A86">
      <w:pPr>
        <w:spacing w:before="0" w:after="0"/>
        <w:rPr>
          <w:rFonts w:cs="Calibri"/>
          <w:sz w:val="22"/>
          <w:lang w:eastAsia="zh-CN"/>
        </w:rPr>
      </w:pPr>
      <w:r w:rsidRPr="00420A86">
        <w:rPr>
          <w:rFonts w:cs="Calibri"/>
          <w:sz w:val="22"/>
          <w:lang w:eastAsia="zh-CN"/>
        </w:rPr>
        <w:t xml:space="preserve">The project </w:t>
      </w:r>
      <w:r w:rsidR="00442DDE">
        <w:rPr>
          <w:rFonts w:cs="Calibri"/>
          <w:sz w:val="22"/>
          <w:lang w:eastAsia="zh-CN"/>
        </w:rPr>
        <w:t xml:space="preserve">includes the </w:t>
      </w:r>
      <w:r w:rsidRPr="00420A86">
        <w:rPr>
          <w:rFonts w:cs="Calibri"/>
          <w:sz w:val="22"/>
          <w:lang w:eastAsia="zh-CN"/>
        </w:rPr>
        <w:t>implement</w:t>
      </w:r>
      <w:r w:rsidR="00442DDE">
        <w:rPr>
          <w:rFonts w:cs="Calibri"/>
          <w:sz w:val="22"/>
          <w:lang w:eastAsia="zh-CN"/>
        </w:rPr>
        <w:t>ation of</w:t>
      </w:r>
      <w:r w:rsidRPr="00420A86">
        <w:rPr>
          <w:rFonts w:cs="Calibri"/>
          <w:sz w:val="22"/>
          <w:lang w:eastAsia="zh-CN"/>
        </w:rPr>
        <w:t xml:space="preserve"> </w:t>
      </w:r>
      <w:r w:rsidR="00C7566D" w:rsidRPr="00420A86">
        <w:rPr>
          <w:rFonts w:cs="Calibri"/>
          <w:sz w:val="22"/>
          <w:lang w:eastAsia="zh-CN"/>
        </w:rPr>
        <w:t xml:space="preserve">demonstration </w:t>
      </w:r>
      <w:r w:rsidR="00D72DA7" w:rsidRPr="00420A86">
        <w:rPr>
          <w:rFonts w:cs="Calibri"/>
          <w:sz w:val="22"/>
          <w:lang w:eastAsia="zh-CN"/>
        </w:rPr>
        <w:t xml:space="preserve">activities in the provinces of </w:t>
      </w:r>
      <w:r w:rsidR="00B015C9" w:rsidRPr="00B015C9">
        <w:rPr>
          <w:rFonts w:cs="Calibri"/>
          <w:sz w:val="22"/>
          <w:lang w:eastAsia="zh-CN"/>
        </w:rPr>
        <w:t>Yunnan, Guizhou, Sichuan, and Hubei</w:t>
      </w:r>
      <w:r w:rsidRPr="00420A86">
        <w:rPr>
          <w:rFonts w:cs="Calibri"/>
          <w:sz w:val="22"/>
          <w:lang w:eastAsia="zh-CN"/>
        </w:rPr>
        <w:t xml:space="preserve">. </w:t>
      </w:r>
      <w:r w:rsidR="00B015C9" w:rsidRPr="00B015C9">
        <w:rPr>
          <w:rFonts w:cs="Calibri"/>
          <w:sz w:val="22"/>
          <w:lang w:eastAsia="zh-CN"/>
        </w:rPr>
        <w:t xml:space="preserve">Low carbon and efficient comprehensive utilization of phosphorus resources, clean production of PCI and low-carbon reuse of </w:t>
      </w:r>
      <w:proofErr w:type="spellStart"/>
      <w:r w:rsidR="00B015C9" w:rsidRPr="00B015C9">
        <w:rPr>
          <w:rFonts w:cs="Calibri"/>
          <w:sz w:val="22"/>
          <w:lang w:eastAsia="zh-CN"/>
        </w:rPr>
        <w:t>phosphogypsum</w:t>
      </w:r>
      <w:proofErr w:type="spellEnd"/>
      <w:r w:rsidR="00B015C9" w:rsidRPr="00B015C9">
        <w:rPr>
          <w:rFonts w:cs="Calibri"/>
          <w:sz w:val="22"/>
          <w:lang w:eastAsia="zh-CN"/>
        </w:rPr>
        <w:t xml:space="preserve"> involve technology R&amp;D, production, and service enterprises. The participation of enterprises and the private sector in project design can ensure that this project is based on clear understanding of the marketization of by-products of comprehensive utilization of phosphorus resources.</w:t>
      </w:r>
    </w:p>
    <w:p w14:paraId="17A5A9AB" w14:textId="77777777" w:rsidR="007A5B4B" w:rsidRPr="00CB1D0A" w:rsidRDefault="007A5B4B" w:rsidP="00F52D98"/>
    <w:p w14:paraId="496AB60D" w14:textId="77777777" w:rsidR="007E68B7" w:rsidRPr="00420A86" w:rsidRDefault="004A22BA" w:rsidP="00420A86">
      <w:pPr>
        <w:pStyle w:val="Heading2"/>
        <w:spacing w:before="0" w:after="0"/>
        <w:ind w:left="578" w:hanging="578"/>
        <w:rPr>
          <w:rFonts w:cs="Calibri"/>
          <w:sz w:val="22"/>
          <w:szCs w:val="22"/>
        </w:rPr>
      </w:pPr>
      <w:bookmarkStart w:id="13" w:name="_Toc86064151"/>
      <w:r w:rsidRPr="00420A86">
        <w:rPr>
          <w:rFonts w:cs="Calibri"/>
          <w:sz w:val="22"/>
          <w:szCs w:val="22"/>
        </w:rPr>
        <w:t xml:space="preserve">Purpose and </w:t>
      </w:r>
      <w:r w:rsidR="00522ABB">
        <w:rPr>
          <w:rFonts w:cs="Calibri"/>
          <w:sz w:val="22"/>
          <w:szCs w:val="22"/>
        </w:rPr>
        <w:t>S</w:t>
      </w:r>
      <w:r w:rsidRPr="00420A86">
        <w:rPr>
          <w:rFonts w:cs="Calibri"/>
          <w:sz w:val="22"/>
          <w:szCs w:val="22"/>
        </w:rPr>
        <w:t>cope of this ESMF</w:t>
      </w:r>
      <w:bookmarkEnd w:id="13"/>
    </w:p>
    <w:p w14:paraId="1DD6DBA7" w14:textId="77777777" w:rsidR="007A5B4B" w:rsidRPr="00420A86" w:rsidRDefault="007A5B4B" w:rsidP="00420A86">
      <w:pPr>
        <w:spacing w:before="0" w:after="0"/>
        <w:rPr>
          <w:rFonts w:cs="Calibri"/>
          <w:sz w:val="22"/>
        </w:rPr>
      </w:pPr>
    </w:p>
    <w:p w14:paraId="14C3BFB4" w14:textId="3C423A6C" w:rsidR="00A77F1C" w:rsidRDefault="007B6D6C" w:rsidP="6F282195">
      <w:pPr>
        <w:spacing w:before="0" w:after="0"/>
        <w:rPr>
          <w:rFonts w:cs="Calibri"/>
          <w:sz w:val="22"/>
        </w:rPr>
      </w:pPr>
      <w:r w:rsidRPr="6F282195">
        <w:rPr>
          <w:rFonts w:cs="Calibri"/>
          <w:sz w:val="22"/>
        </w:rPr>
        <w:t xml:space="preserve">This ESMF is a management tool to assist in </w:t>
      </w:r>
      <w:r w:rsidR="007756E1" w:rsidRPr="6F282195">
        <w:rPr>
          <w:rFonts w:cs="Calibri"/>
          <w:sz w:val="22"/>
        </w:rPr>
        <w:t xml:space="preserve">managing </w:t>
      </w:r>
      <w:r w:rsidRPr="6F282195">
        <w:rPr>
          <w:rFonts w:cs="Calibri"/>
          <w:sz w:val="22"/>
        </w:rPr>
        <w:t xml:space="preserve">potential adverse social and environmental impacts associated with activities </w:t>
      </w:r>
      <w:r w:rsidR="006D7B3B" w:rsidRPr="6F282195">
        <w:rPr>
          <w:rFonts w:cs="Calibri"/>
          <w:sz w:val="22"/>
        </w:rPr>
        <w:t>of</w:t>
      </w:r>
      <w:r w:rsidRPr="6F282195">
        <w:rPr>
          <w:rFonts w:cs="Calibri"/>
          <w:sz w:val="22"/>
        </w:rPr>
        <w:t xml:space="preserve"> the </w:t>
      </w:r>
      <w:proofErr w:type="spellStart"/>
      <w:r w:rsidR="005E4849" w:rsidRPr="6F282195">
        <w:rPr>
          <w:rFonts w:cs="Calibri"/>
          <w:sz w:val="22"/>
        </w:rPr>
        <w:t>PhosChemEE</w:t>
      </w:r>
      <w:proofErr w:type="spellEnd"/>
      <w:r w:rsidR="005E4849" w:rsidRPr="6F282195">
        <w:rPr>
          <w:rFonts w:cs="Calibri"/>
          <w:sz w:val="22"/>
          <w:lang w:eastAsia="zh-CN"/>
        </w:rPr>
        <w:t xml:space="preserve"> </w:t>
      </w:r>
      <w:r w:rsidR="00D72DA7" w:rsidRPr="6F282195">
        <w:rPr>
          <w:rFonts w:cs="Calibri"/>
          <w:sz w:val="22"/>
          <w:lang w:eastAsia="zh-CN"/>
        </w:rPr>
        <w:t>P</w:t>
      </w:r>
      <w:r w:rsidR="004226C8" w:rsidRPr="6F282195">
        <w:rPr>
          <w:rFonts w:cs="Calibri"/>
          <w:sz w:val="22"/>
          <w:lang w:eastAsia="zh-CN"/>
        </w:rPr>
        <w:t>roject</w:t>
      </w:r>
      <w:r w:rsidR="007756E1" w:rsidRPr="6F282195">
        <w:rPr>
          <w:rFonts w:cs="Calibri"/>
          <w:sz w:val="22"/>
        </w:rPr>
        <w:t xml:space="preserve">, in line with the requirements of UNDP’s </w:t>
      </w:r>
      <w:r w:rsidR="004226C8" w:rsidRPr="6F282195">
        <w:rPr>
          <w:rFonts w:cs="Calibri"/>
          <w:sz w:val="22"/>
        </w:rPr>
        <w:t>Social and Environmental Standards (</w:t>
      </w:r>
      <w:r w:rsidR="007756E1" w:rsidRPr="6F282195">
        <w:rPr>
          <w:rFonts w:cs="Calibri"/>
          <w:sz w:val="22"/>
        </w:rPr>
        <w:t>SES</w:t>
      </w:r>
      <w:r w:rsidR="004226C8" w:rsidRPr="6F282195">
        <w:rPr>
          <w:rFonts w:cs="Calibri"/>
          <w:sz w:val="22"/>
        </w:rPr>
        <w:t>)</w:t>
      </w:r>
      <w:r w:rsidRPr="6F282195">
        <w:rPr>
          <w:rFonts w:cs="Calibri"/>
          <w:sz w:val="22"/>
        </w:rPr>
        <w:t xml:space="preserve">. </w:t>
      </w:r>
      <w:r w:rsidR="00A77F1C" w:rsidRPr="6F282195">
        <w:rPr>
          <w:rFonts w:cs="Calibri"/>
          <w:sz w:val="22"/>
        </w:rPr>
        <w:t>Given the fact that this project has been screened and assessed as having a High</w:t>
      </w:r>
      <w:r w:rsidR="00E56659">
        <w:rPr>
          <w:rFonts w:cs="Calibri"/>
          <w:sz w:val="22"/>
        </w:rPr>
        <w:t>-</w:t>
      </w:r>
      <w:r w:rsidR="00A77F1C" w:rsidRPr="6F282195">
        <w:rPr>
          <w:rFonts w:cs="Calibri"/>
          <w:sz w:val="22"/>
        </w:rPr>
        <w:t xml:space="preserve">risk category, comprehensive and robust SES due diligence, assessment and management are required. The scope of this ESMF covers all project components and sub-components and includes procedures for the screening and assessment of both upstream and downstream interventions. </w:t>
      </w:r>
    </w:p>
    <w:p w14:paraId="30BF1335" w14:textId="77777777" w:rsidR="00A77F1C" w:rsidRDefault="00A77F1C" w:rsidP="00420A86">
      <w:pPr>
        <w:spacing w:before="0" w:after="0"/>
        <w:rPr>
          <w:rFonts w:cs="Calibri"/>
          <w:sz w:val="22"/>
        </w:rPr>
      </w:pPr>
    </w:p>
    <w:p w14:paraId="56B561B8" w14:textId="349E1CAE" w:rsidR="007B6D6C" w:rsidRPr="00420A86" w:rsidRDefault="007B6D6C" w:rsidP="00420A86">
      <w:pPr>
        <w:spacing w:before="0" w:after="0"/>
        <w:rPr>
          <w:rFonts w:cs="Calibri"/>
          <w:sz w:val="22"/>
        </w:rPr>
      </w:pPr>
      <w:r w:rsidRPr="00420A86">
        <w:rPr>
          <w:rFonts w:cs="Calibri"/>
          <w:sz w:val="22"/>
        </w:rPr>
        <w:t>The implement</w:t>
      </w:r>
      <w:r w:rsidR="001251BA" w:rsidRPr="00420A86">
        <w:rPr>
          <w:rFonts w:cs="Calibri"/>
          <w:sz w:val="22"/>
        </w:rPr>
        <w:t>ing</w:t>
      </w:r>
      <w:r w:rsidRPr="00420A86">
        <w:rPr>
          <w:rFonts w:cs="Calibri"/>
          <w:sz w:val="22"/>
        </w:rPr>
        <w:t xml:space="preserve"> partners of the projects</w:t>
      </w:r>
      <w:r w:rsidR="00327FB3" w:rsidRPr="00420A86">
        <w:rPr>
          <w:rFonts w:cs="Calibri"/>
          <w:sz w:val="22"/>
        </w:rPr>
        <w:t xml:space="preserve"> and the relevant members of the project management units</w:t>
      </w:r>
      <w:r w:rsidRPr="00420A86">
        <w:rPr>
          <w:rFonts w:cs="Calibri"/>
          <w:sz w:val="22"/>
        </w:rPr>
        <w:t xml:space="preserve"> will </w:t>
      </w:r>
      <w:r w:rsidR="006D7B3B" w:rsidRPr="00420A86">
        <w:rPr>
          <w:rFonts w:cs="Calibri"/>
          <w:sz w:val="22"/>
        </w:rPr>
        <w:t xml:space="preserve">follow </w:t>
      </w:r>
      <w:r w:rsidRPr="00420A86">
        <w:rPr>
          <w:rFonts w:cs="Calibri"/>
          <w:sz w:val="22"/>
        </w:rPr>
        <w:t>this ESMF</w:t>
      </w:r>
      <w:r w:rsidR="006D7B3B" w:rsidRPr="00420A86">
        <w:rPr>
          <w:rFonts w:cs="Calibri"/>
          <w:sz w:val="22"/>
        </w:rPr>
        <w:t xml:space="preserve"> during the start of the project</w:t>
      </w:r>
      <w:r w:rsidR="00C237AC">
        <w:rPr>
          <w:rFonts w:cs="Calibri"/>
          <w:sz w:val="22"/>
        </w:rPr>
        <w:t xml:space="preserve"> </w:t>
      </w:r>
      <w:r w:rsidR="006D7B3B" w:rsidRPr="00420A86">
        <w:rPr>
          <w:rFonts w:cs="Calibri"/>
          <w:sz w:val="22"/>
        </w:rPr>
        <w:t>implementation</w:t>
      </w:r>
      <w:r w:rsidRPr="00420A86">
        <w:rPr>
          <w:rFonts w:cs="Calibri"/>
          <w:sz w:val="22"/>
        </w:rPr>
        <w:t xml:space="preserve"> to ensure the environmental and social </w:t>
      </w:r>
      <w:r w:rsidR="00621849" w:rsidRPr="00420A86">
        <w:rPr>
          <w:rFonts w:cs="Calibri"/>
          <w:sz w:val="22"/>
        </w:rPr>
        <w:t>risks and impacts are fully assessed and management measure in place prior to the implementation of the relevant project activities</w:t>
      </w:r>
      <w:r w:rsidRPr="00420A86">
        <w:rPr>
          <w:rFonts w:cs="Calibri"/>
          <w:sz w:val="22"/>
        </w:rPr>
        <w:t>.</w:t>
      </w:r>
    </w:p>
    <w:p w14:paraId="0772B7B3" w14:textId="77777777" w:rsidR="007A5B4B" w:rsidRPr="00420A86" w:rsidRDefault="007A5B4B" w:rsidP="00420A86">
      <w:pPr>
        <w:spacing w:before="0" w:after="0"/>
        <w:rPr>
          <w:rFonts w:cs="Calibri"/>
          <w:sz w:val="22"/>
        </w:rPr>
      </w:pPr>
    </w:p>
    <w:p w14:paraId="56FDF810" w14:textId="77777777" w:rsidR="007B6D6C" w:rsidRPr="00420A86" w:rsidRDefault="007B6D6C" w:rsidP="00420A86">
      <w:pPr>
        <w:spacing w:before="0" w:after="0"/>
        <w:rPr>
          <w:rFonts w:cs="Calibri"/>
          <w:sz w:val="22"/>
        </w:rPr>
      </w:pPr>
      <w:r w:rsidRPr="00420A86">
        <w:rPr>
          <w:rFonts w:cs="Calibri"/>
          <w:sz w:val="22"/>
        </w:rPr>
        <w:t>This ESMF identifies</w:t>
      </w:r>
      <w:r w:rsidR="00621849" w:rsidRPr="00420A86">
        <w:rPr>
          <w:rFonts w:cs="Calibri"/>
          <w:sz w:val="22"/>
        </w:rPr>
        <w:t xml:space="preserve"> the</w:t>
      </w:r>
      <w:r w:rsidRPr="00420A86">
        <w:rPr>
          <w:rFonts w:cs="Calibri"/>
          <w:sz w:val="22"/>
        </w:rPr>
        <w:t xml:space="preserve"> steps for detailed </w:t>
      </w:r>
      <w:r w:rsidR="00582EE2">
        <w:rPr>
          <w:rFonts w:cs="Calibri"/>
          <w:sz w:val="22"/>
        </w:rPr>
        <w:t>(re-)</w:t>
      </w:r>
      <w:r w:rsidRPr="00420A86">
        <w:rPr>
          <w:rFonts w:cs="Calibri"/>
          <w:sz w:val="22"/>
        </w:rPr>
        <w:t>screening</w:t>
      </w:r>
      <w:r w:rsidR="00F8510C" w:rsidRPr="00420A86">
        <w:rPr>
          <w:rFonts w:cs="Calibri"/>
          <w:sz w:val="22"/>
        </w:rPr>
        <w:t xml:space="preserve"> and assessment</w:t>
      </w:r>
      <w:r w:rsidRPr="00420A86">
        <w:rPr>
          <w:rFonts w:cs="Calibri"/>
          <w:sz w:val="22"/>
        </w:rPr>
        <w:t xml:space="preserve"> of </w:t>
      </w:r>
      <w:r w:rsidR="00F8510C" w:rsidRPr="00420A86">
        <w:rPr>
          <w:rFonts w:cs="Calibri"/>
          <w:sz w:val="22"/>
        </w:rPr>
        <w:t>the project’</w:t>
      </w:r>
      <w:r w:rsidR="004226C8" w:rsidRPr="00420A86">
        <w:rPr>
          <w:rFonts w:cs="Calibri"/>
          <w:sz w:val="22"/>
        </w:rPr>
        <w:t>s</w:t>
      </w:r>
      <w:r w:rsidR="00F8510C" w:rsidRPr="00420A86">
        <w:rPr>
          <w:rFonts w:cs="Calibri"/>
          <w:sz w:val="22"/>
        </w:rPr>
        <w:t xml:space="preserve"> </w:t>
      </w:r>
      <w:r w:rsidRPr="00420A86">
        <w:rPr>
          <w:rFonts w:cs="Calibri"/>
          <w:sz w:val="22"/>
        </w:rPr>
        <w:t>potential social and environmental</w:t>
      </w:r>
      <w:r w:rsidR="00F8510C" w:rsidRPr="00420A86">
        <w:rPr>
          <w:rFonts w:cs="Calibri"/>
          <w:sz w:val="22"/>
        </w:rPr>
        <w:t xml:space="preserve"> risks</w:t>
      </w:r>
      <w:r w:rsidRPr="00420A86">
        <w:rPr>
          <w:rFonts w:cs="Calibri"/>
          <w:sz w:val="22"/>
        </w:rPr>
        <w:t xml:space="preserve">, and for preparing and approving </w:t>
      </w:r>
      <w:r w:rsidR="00F8510C" w:rsidRPr="00420A86">
        <w:rPr>
          <w:rFonts w:cs="Calibri"/>
          <w:sz w:val="22"/>
        </w:rPr>
        <w:t xml:space="preserve">the required management </w:t>
      </w:r>
      <w:r w:rsidRPr="00420A86">
        <w:rPr>
          <w:rFonts w:cs="Calibri"/>
          <w:sz w:val="22"/>
        </w:rPr>
        <w:t>plans for avoiding, and where avoidance is not possible, reducing, mitigating, and managing these adverse impacts.</w:t>
      </w:r>
    </w:p>
    <w:p w14:paraId="682253D4" w14:textId="1E351A96" w:rsidR="007A5B4B" w:rsidRDefault="007A5B4B" w:rsidP="00420A86">
      <w:pPr>
        <w:spacing w:before="0" w:after="0"/>
        <w:rPr>
          <w:rFonts w:cs="Calibri"/>
          <w:sz w:val="22"/>
        </w:rPr>
      </w:pPr>
    </w:p>
    <w:p w14:paraId="1CF44D94" w14:textId="1358DA56" w:rsidR="00DA40F8" w:rsidRDefault="00C237AC" w:rsidP="00C237AC">
      <w:pPr>
        <w:spacing w:before="0" w:after="0"/>
        <w:rPr>
          <w:rFonts w:cs="Calibri"/>
          <w:sz w:val="22"/>
        </w:rPr>
      </w:pPr>
      <w:r w:rsidRPr="00C237AC">
        <w:rPr>
          <w:rFonts w:cs="Calibri"/>
          <w:sz w:val="22"/>
        </w:rPr>
        <w:lastRenderedPageBreak/>
        <w:t xml:space="preserve">This ESMF forms the basis upon which the implementing partners will develop their specific Environmental and Social Management Plan(s) or other plans (as required per the SES), to ensure compliance with the UNDP SES. This ESMF will be publicly disclosed in line with UNDP’s Information Disclosure Policy and SES. Free, Prior Informed Consent (FPIC) will be applied for any identified activities which may have adverse impacts on ethnic minorities, including but not limited to the implementation of the ESMF.   </w:t>
      </w:r>
    </w:p>
    <w:p w14:paraId="373E14A8" w14:textId="77777777" w:rsidR="00C237AC" w:rsidRPr="00582EE2" w:rsidRDefault="00C237AC" w:rsidP="00C237AC">
      <w:pPr>
        <w:spacing w:before="0" w:after="0"/>
        <w:rPr>
          <w:rFonts w:cs="Calibri"/>
          <w:sz w:val="22"/>
        </w:rPr>
      </w:pPr>
    </w:p>
    <w:p w14:paraId="07F6D9F0" w14:textId="77777777" w:rsidR="004A22BA" w:rsidRPr="00420A86" w:rsidRDefault="004A22BA" w:rsidP="00420A86">
      <w:pPr>
        <w:pStyle w:val="Heading2"/>
        <w:spacing w:before="0" w:after="0"/>
        <w:ind w:left="578" w:hanging="578"/>
        <w:rPr>
          <w:rFonts w:cs="Calibri"/>
          <w:sz w:val="22"/>
          <w:szCs w:val="22"/>
        </w:rPr>
      </w:pPr>
      <w:bookmarkStart w:id="14" w:name="_Toc86064152"/>
      <w:r w:rsidRPr="00420A86">
        <w:rPr>
          <w:rFonts w:cs="Calibri"/>
          <w:sz w:val="22"/>
          <w:szCs w:val="22"/>
        </w:rPr>
        <w:t>Potential Social and Environmental Impacts</w:t>
      </w:r>
      <w:bookmarkEnd w:id="14"/>
    </w:p>
    <w:p w14:paraId="24139193" w14:textId="77777777" w:rsidR="007A5B4B" w:rsidRPr="00420A86" w:rsidRDefault="007A5B4B" w:rsidP="00420A86">
      <w:pPr>
        <w:spacing w:before="0" w:after="0"/>
        <w:rPr>
          <w:rFonts w:cs="Calibri"/>
          <w:sz w:val="22"/>
        </w:rPr>
      </w:pPr>
    </w:p>
    <w:p w14:paraId="3A713301" w14:textId="6AFE8DAD" w:rsidR="00D7027A" w:rsidRDefault="00D7027A" w:rsidP="00420A86">
      <w:pPr>
        <w:spacing w:before="0" w:after="0"/>
        <w:rPr>
          <w:rFonts w:cs="Calibri"/>
          <w:sz w:val="22"/>
        </w:rPr>
      </w:pPr>
    </w:p>
    <w:p w14:paraId="428E11F8" w14:textId="3EC74B26" w:rsidR="00D7027A" w:rsidRPr="0086490B" w:rsidRDefault="00D7027A" w:rsidP="00420A86">
      <w:pPr>
        <w:spacing w:before="0" w:after="0"/>
        <w:rPr>
          <w:rFonts w:cs="Calibri"/>
          <w:b/>
          <w:bCs/>
          <w:sz w:val="22"/>
        </w:rPr>
      </w:pPr>
      <w:r w:rsidRPr="0086490B">
        <w:rPr>
          <w:rFonts w:cs="Calibri"/>
          <w:b/>
          <w:bCs/>
          <w:sz w:val="22"/>
        </w:rPr>
        <w:t>Project-related positive impacts</w:t>
      </w:r>
    </w:p>
    <w:p w14:paraId="3C870B41" w14:textId="23C79568" w:rsidR="00D7027A" w:rsidRDefault="00D7027A" w:rsidP="00420A86">
      <w:pPr>
        <w:spacing w:before="0" w:after="0"/>
        <w:rPr>
          <w:rFonts w:cs="Calibri"/>
          <w:sz w:val="22"/>
        </w:rPr>
      </w:pPr>
    </w:p>
    <w:p w14:paraId="7E9AC791" w14:textId="77777777" w:rsidR="00D7027A" w:rsidRPr="00A63A31" w:rsidRDefault="00D7027A" w:rsidP="00D7027A">
      <w:pPr>
        <w:spacing w:before="0" w:after="0"/>
        <w:rPr>
          <w:rFonts w:cs="Calibri"/>
          <w:sz w:val="22"/>
        </w:rPr>
      </w:pPr>
      <w:r w:rsidRPr="00420A86">
        <w:rPr>
          <w:rFonts w:cs="Calibri"/>
          <w:sz w:val="22"/>
        </w:rPr>
        <w:t xml:space="preserve">The social and environmental objectives of the </w:t>
      </w:r>
      <w:proofErr w:type="spellStart"/>
      <w:r>
        <w:rPr>
          <w:rFonts w:cs="Calibri"/>
          <w:sz w:val="22"/>
          <w:lang w:eastAsia="zh-CN"/>
        </w:rPr>
        <w:t>PhosChemEE</w:t>
      </w:r>
      <w:proofErr w:type="spellEnd"/>
      <w:r w:rsidRPr="00420A86">
        <w:rPr>
          <w:rFonts w:cs="Calibri"/>
          <w:sz w:val="22"/>
          <w:lang w:eastAsia="zh-CN"/>
        </w:rPr>
        <w:t xml:space="preserve"> </w:t>
      </w:r>
      <w:r>
        <w:rPr>
          <w:rFonts w:cs="Calibri"/>
          <w:sz w:val="22"/>
          <w:lang w:eastAsia="zh-CN"/>
        </w:rPr>
        <w:t>P</w:t>
      </w:r>
      <w:r w:rsidRPr="00420A86">
        <w:rPr>
          <w:rFonts w:cs="Calibri"/>
          <w:sz w:val="22"/>
          <w:lang w:eastAsia="zh-CN"/>
        </w:rPr>
        <w:t>roject</w:t>
      </w:r>
      <w:r w:rsidRPr="00420A86">
        <w:rPr>
          <w:rFonts w:cs="Calibri"/>
          <w:sz w:val="22"/>
        </w:rPr>
        <w:t xml:space="preserve"> are:</w:t>
      </w:r>
    </w:p>
    <w:p w14:paraId="12E712EB" w14:textId="77777777" w:rsidR="00D7027A" w:rsidRPr="00420A86" w:rsidRDefault="00D7027A" w:rsidP="00D7027A">
      <w:pPr>
        <w:pStyle w:val="ListParagraph"/>
        <w:numPr>
          <w:ilvl w:val="0"/>
          <w:numId w:val="34"/>
        </w:numPr>
        <w:spacing w:before="0" w:after="0"/>
        <w:ind w:left="567" w:hanging="283"/>
        <w:rPr>
          <w:rFonts w:cs="Calibri"/>
          <w:sz w:val="22"/>
        </w:rPr>
      </w:pPr>
      <w:r w:rsidRPr="00420A86">
        <w:rPr>
          <w:rFonts w:cs="Calibri"/>
          <w:sz w:val="22"/>
        </w:rPr>
        <w:t xml:space="preserve">Establish effective policy and institutional frameworks towards the development of </w:t>
      </w:r>
      <w:r w:rsidRPr="006F2F51">
        <w:rPr>
          <w:rFonts w:cs="Calibri"/>
          <w:sz w:val="22"/>
        </w:rPr>
        <w:t xml:space="preserve">cleaner and energy efficient phosphate chemicals industry </w:t>
      </w:r>
      <w:r w:rsidRPr="00C15486">
        <w:rPr>
          <w:rFonts w:cs="Calibri"/>
          <w:sz w:val="22"/>
        </w:rPr>
        <w:t>in China</w:t>
      </w:r>
      <w:r w:rsidRPr="00420A86">
        <w:rPr>
          <w:rFonts w:cs="Calibri"/>
          <w:sz w:val="22"/>
        </w:rPr>
        <w:t>.</w:t>
      </w:r>
    </w:p>
    <w:p w14:paraId="45CD83FB" w14:textId="77777777" w:rsidR="00D7027A" w:rsidRDefault="00D7027A" w:rsidP="00D7027A">
      <w:pPr>
        <w:pStyle w:val="ListParagraph"/>
        <w:numPr>
          <w:ilvl w:val="0"/>
          <w:numId w:val="34"/>
        </w:numPr>
        <w:spacing w:before="0" w:after="0"/>
        <w:ind w:left="567" w:hanging="283"/>
        <w:rPr>
          <w:rFonts w:cs="Calibri"/>
          <w:sz w:val="22"/>
        </w:rPr>
      </w:pPr>
      <w:r w:rsidRPr="006F2F51">
        <w:rPr>
          <w:rFonts w:cs="Calibri"/>
          <w:sz w:val="22"/>
        </w:rPr>
        <w:t xml:space="preserve">Improve interest and commitment of the phosphate chemical industry in the green, low carbon and energy efficient operations of the </w:t>
      </w:r>
      <w:r>
        <w:rPr>
          <w:rFonts w:cs="Calibri"/>
          <w:sz w:val="22"/>
        </w:rPr>
        <w:t>PCI industries</w:t>
      </w:r>
      <w:r w:rsidRPr="00C15486">
        <w:rPr>
          <w:rFonts w:cs="Calibri"/>
          <w:sz w:val="22"/>
        </w:rPr>
        <w:t xml:space="preserve"> in China</w:t>
      </w:r>
      <w:r>
        <w:rPr>
          <w:rFonts w:cs="Calibri"/>
          <w:sz w:val="22"/>
        </w:rPr>
        <w:t>.</w:t>
      </w:r>
    </w:p>
    <w:p w14:paraId="784D2060" w14:textId="77777777" w:rsidR="00D7027A" w:rsidRPr="00420A86" w:rsidRDefault="00D7027A" w:rsidP="00D7027A">
      <w:pPr>
        <w:pStyle w:val="ListParagraph"/>
        <w:numPr>
          <w:ilvl w:val="0"/>
          <w:numId w:val="34"/>
        </w:numPr>
        <w:spacing w:before="0" w:after="0"/>
        <w:ind w:left="567" w:hanging="283"/>
        <w:rPr>
          <w:rFonts w:cs="Calibri"/>
          <w:sz w:val="22"/>
        </w:rPr>
      </w:pPr>
      <w:r w:rsidRPr="00C15486">
        <w:rPr>
          <w:rFonts w:cs="Calibri"/>
          <w:sz w:val="22"/>
        </w:rPr>
        <w:t xml:space="preserve">Enhance confidence in the feasibility of the application of green, energy efficient low carbon technologies in </w:t>
      </w:r>
      <w:r w:rsidRPr="006F2F51">
        <w:rPr>
          <w:rFonts w:cs="Calibri"/>
          <w:sz w:val="22"/>
        </w:rPr>
        <w:t xml:space="preserve">the </w:t>
      </w:r>
      <w:r>
        <w:rPr>
          <w:rFonts w:cs="Calibri"/>
          <w:sz w:val="22"/>
        </w:rPr>
        <w:t>PCI industries</w:t>
      </w:r>
      <w:r w:rsidRPr="00C15486">
        <w:rPr>
          <w:rFonts w:cs="Calibri"/>
          <w:sz w:val="22"/>
        </w:rPr>
        <w:t xml:space="preserve"> in China</w:t>
      </w:r>
    </w:p>
    <w:p w14:paraId="41E00E2B" w14:textId="77777777" w:rsidR="00D7027A" w:rsidRPr="00C15486" w:rsidRDefault="00D7027A" w:rsidP="00D7027A">
      <w:pPr>
        <w:pStyle w:val="ListParagraph"/>
        <w:numPr>
          <w:ilvl w:val="0"/>
          <w:numId w:val="34"/>
        </w:numPr>
        <w:spacing w:before="0" w:after="0"/>
        <w:ind w:left="567" w:hanging="283"/>
        <w:rPr>
          <w:rFonts w:cs="Calibri"/>
          <w:sz w:val="22"/>
        </w:rPr>
      </w:pPr>
      <w:r w:rsidRPr="00C15486">
        <w:rPr>
          <w:rFonts w:cs="Calibri"/>
          <w:sz w:val="22"/>
          <w:lang w:eastAsia="zh-CN"/>
        </w:rPr>
        <w:t xml:space="preserve">Improve the environment in </w:t>
      </w:r>
      <w:r>
        <w:rPr>
          <w:rFonts w:cs="Calibri"/>
          <w:sz w:val="22"/>
          <w:lang w:eastAsia="zh-CN"/>
        </w:rPr>
        <w:t>underdeveloped western regions</w:t>
      </w:r>
      <w:r w:rsidRPr="00C15486">
        <w:rPr>
          <w:rFonts w:cs="Calibri"/>
          <w:sz w:val="22"/>
          <w:lang w:eastAsia="zh-CN"/>
        </w:rPr>
        <w:t>, especially by reducing greenhouse gas emissions (GHG) and improving the quality of local ecological environment</w:t>
      </w:r>
      <w:r w:rsidRPr="00C15486">
        <w:rPr>
          <w:rFonts w:cs="Calibri"/>
          <w:sz w:val="22"/>
        </w:rPr>
        <w:t xml:space="preserve">; </w:t>
      </w:r>
      <w:r w:rsidRPr="00C15486">
        <w:rPr>
          <w:rFonts w:cs="Calibri"/>
          <w:sz w:val="22"/>
          <w:lang w:eastAsia="zh-CN"/>
        </w:rPr>
        <w:t>and</w:t>
      </w:r>
    </w:p>
    <w:p w14:paraId="4B8C54DF" w14:textId="77777777" w:rsidR="00D7027A" w:rsidRPr="00420A86" w:rsidRDefault="00D7027A" w:rsidP="00D7027A">
      <w:pPr>
        <w:pStyle w:val="ListParagraph"/>
        <w:numPr>
          <w:ilvl w:val="0"/>
          <w:numId w:val="34"/>
        </w:numPr>
        <w:spacing w:before="0" w:after="0"/>
        <w:ind w:left="567" w:hanging="283"/>
        <w:rPr>
          <w:rFonts w:cs="Calibri"/>
          <w:sz w:val="22"/>
        </w:rPr>
      </w:pPr>
      <w:r w:rsidRPr="00420A86">
        <w:rPr>
          <w:rFonts w:cs="Calibri"/>
          <w:sz w:val="22"/>
        </w:rPr>
        <w:t xml:space="preserve">Strengthen public awareness, knowledge, information management, and monitoring systems on </w:t>
      </w:r>
      <w:r w:rsidRPr="00C15486">
        <w:rPr>
          <w:rFonts w:cs="Calibri"/>
          <w:sz w:val="22"/>
        </w:rPr>
        <w:t>greening and low carbon transformation</w:t>
      </w:r>
      <w:r w:rsidRPr="00420A86">
        <w:rPr>
          <w:rFonts w:cs="Calibri"/>
          <w:sz w:val="22"/>
        </w:rPr>
        <w:t xml:space="preserve"> in support of </w:t>
      </w:r>
      <w:r w:rsidRPr="006F2F51">
        <w:rPr>
          <w:rFonts w:cs="Calibri"/>
          <w:sz w:val="22"/>
        </w:rPr>
        <w:t xml:space="preserve">cleaner and energy efficient phosphate chemicals industry </w:t>
      </w:r>
      <w:r w:rsidRPr="00C15486">
        <w:rPr>
          <w:rFonts w:cs="Calibri"/>
          <w:sz w:val="22"/>
        </w:rPr>
        <w:t>in China</w:t>
      </w:r>
      <w:r w:rsidRPr="00420A86">
        <w:rPr>
          <w:rFonts w:cs="Calibri"/>
          <w:sz w:val="22"/>
        </w:rPr>
        <w:t>.</w:t>
      </w:r>
    </w:p>
    <w:p w14:paraId="3ABB73A0" w14:textId="444F877C" w:rsidR="00D7027A" w:rsidRDefault="00D7027A" w:rsidP="00420A86">
      <w:pPr>
        <w:spacing w:before="0" w:after="0"/>
        <w:rPr>
          <w:rFonts w:cs="Calibri"/>
          <w:sz w:val="22"/>
        </w:rPr>
      </w:pPr>
    </w:p>
    <w:p w14:paraId="3A0D6907" w14:textId="07A8CB91" w:rsidR="00D7027A" w:rsidRDefault="00D7027A" w:rsidP="00420A86">
      <w:pPr>
        <w:spacing w:before="0" w:after="0"/>
        <w:rPr>
          <w:rFonts w:cs="Calibri"/>
          <w:sz w:val="22"/>
        </w:rPr>
      </w:pPr>
      <w:r w:rsidRPr="00420A86">
        <w:rPr>
          <w:rFonts w:cs="Calibri"/>
          <w:sz w:val="22"/>
          <w:lang w:eastAsia="zh-CN"/>
        </w:rPr>
        <w:t xml:space="preserve">It is estimated that </w:t>
      </w:r>
      <w:r>
        <w:rPr>
          <w:rFonts w:cs="Calibri"/>
          <w:sz w:val="22"/>
          <w:lang w:eastAsia="zh-CN"/>
        </w:rPr>
        <w:t>about</w:t>
      </w:r>
      <w:r w:rsidRPr="00420A86">
        <w:rPr>
          <w:rFonts w:cs="Calibri"/>
          <w:sz w:val="22"/>
          <w:lang w:eastAsia="zh-CN"/>
        </w:rPr>
        <w:t xml:space="preserve"> </w:t>
      </w:r>
      <w:r w:rsidRPr="00AF78E4">
        <w:rPr>
          <w:rFonts w:cs="Calibri"/>
          <w:b/>
          <w:bCs/>
          <w:sz w:val="22"/>
          <w:lang w:eastAsia="zh-CN"/>
        </w:rPr>
        <w:t>35 million tons</w:t>
      </w:r>
      <w:r w:rsidRPr="00420A86">
        <w:rPr>
          <w:rFonts w:cs="Calibri"/>
          <w:sz w:val="22"/>
          <w:lang w:eastAsia="zh-CN"/>
        </w:rPr>
        <w:t xml:space="preserve"> of </w:t>
      </w:r>
      <w:r>
        <w:rPr>
          <w:rFonts w:cs="Calibri"/>
          <w:sz w:val="22"/>
          <w:lang w:eastAsia="zh-CN"/>
        </w:rPr>
        <w:t>CO2 emissions</w:t>
      </w:r>
      <w:r w:rsidRPr="00420A86">
        <w:rPr>
          <w:rFonts w:cs="Calibri"/>
          <w:sz w:val="22"/>
          <w:lang w:eastAsia="zh-CN"/>
        </w:rPr>
        <w:t xml:space="preserve"> </w:t>
      </w:r>
      <w:r>
        <w:rPr>
          <w:rFonts w:cs="Calibri"/>
          <w:sz w:val="22"/>
          <w:lang w:eastAsia="zh-CN"/>
        </w:rPr>
        <w:t xml:space="preserve">are expected to </w:t>
      </w:r>
      <w:r w:rsidRPr="00420A86">
        <w:rPr>
          <w:rFonts w:cs="Calibri"/>
          <w:sz w:val="22"/>
          <w:lang w:eastAsia="zh-CN"/>
        </w:rPr>
        <w:t>be reduced by the end of the project</w:t>
      </w:r>
      <w:r>
        <w:rPr>
          <w:rFonts w:cs="Calibri"/>
          <w:sz w:val="22"/>
          <w:lang w:eastAsia="zh-CN"/>
        </w:rPr>
        <w:t xml:space="preserve">. </w:t>
      </w:r>
    </w:p>
    <w:p w14:paraId="50DFC5B4" w14:textId="33B0776A" w:rsidR="00D7027A" w:rsidRDefault="00D7027A" w:rsidP="00420A86">
      <w:pPr>
        <w:spacing w:before="0" w:after="0"/>
        <w:rPr>
          <w:rFonts w:cs="Calibri"/>
          <w:sz w:val="22"/>
        </w:rPr>
      </w:pPr>
    </w:p>
    <w:p w14:paraId="13E1DC00" w14:textId="77777777" w:rsidR="00D7027A" w:rsidRDefault="00D7027A" w:rsidP="00420A86">
      <w:pPr>
        <w:spacing w:before="0" w:after="0"/>
        <w:rPr>
          <w:rFonts w:cs="Calibri"/>
          <w:sz w:val="22"/>
        </w:rPr>
      </w:pPr>
    </w:p>
    <w:p w14:paraId="485BCCD6" w14:textId="4E4A0781" w:rsidR="00D7027A" w:rsidRDefault="00D7027A" w:rsidP="00420A86">
      <w:pPr>
        <w:spacing w:before="0" w:after="0"/>
        <w:rPr>
          <w:rFonts w:cs="Calibri"/>
          <w:b/>
          <w:bCs/>
          <w:sz w:val="22"/>
        </w:rPr>
      </w:pPr>
      <w:r w:rsidRPr="00D7027A">
        <w:rPr>
          <w:rFonts w:cs="Calibri"/>
          <w:b/>
          <w:bCs/>
          <w:sz w:val="22"/>
        </w:rPr>
        <w:t>Potential</w:t>
      </w:r>
      <w:r w:rsidRPr="0086490B">
        <w:rPr>
          <w:rFonts w:cs="Calibri"/>
          <w:b/>
          <w:bCs/>
          <w:sz w:val="22"/>
        </w:rPr>
        <w:t xml:space="preserve"> Adverse impacts</w:t>
      </w:r>
    </w:p>
    <w:p w14:paraId="090ECB3D" w14:textId="77777777" w:rsidR="00D7027A" w:rsidRPr="0086490B" w:rsidRDefault="00D7027A" w:rsidP="00420A86">
      <w:pPr>
        <w:spacing w:before="0" w:after="0"/>
        <w:rPr>
          <w:rFonts w:cs="Calibri"/>
          <w:b/>
          <w:bCs/>
          <w:sz w:val="22"/>
        </w:rPr>
      </w:pPr>
    </w:p>
    <w:p w14:paraId="1DC46F86" w14:textId="7314D9E3" w:rsidR="00B74342" w:rsidRPr="00420A86" w:rsidRDefault="00B74342" w:rsidP="00420A86">
      <w:pPr>
        <w:spacing w:before="0" w:after="0"/>
        <w:rPr>
          <w:rFonts w:cs="Calibri"/>
          <w:sz w:val="22"/>
        </w:rPr>
      </w:pPr>
      <w:r w:rsidRPr="00420A86">
        <w:rPr>
          <w:rFonts w:cs="Calibri"/>
          <w:sz w:val="22"/>
        </w:rPr>
        <w:t xml:space="preserve">UNDP utilizes its Social and Environmental Screening Procedure (SESP) to identify potential social and environmental risks and opportunities associated with proposed projects. Each project is scrutinized as to its type, location, scale, </w:t>
      </w:r>
      <w:r w:rsidR="00296E36" w:rsidRPr="00420A86">
        <w:rPr>
          <w:rFonts w:cs="Calibri"/>
          <w:sz w:val="22"/>
        </w:rPr>
        <w:t>sensitivity,</w:t>
      </w:r>
      <w:r w:rsidRPr="00420A86">
        <w:rPr>
          <w:rFonts w:cs="Calibri"/>
          <w:sz w:val="22"/>
        </w:rPr>
        <w:t xml:space="preserve"> and the magnitude of its potential social and environmental impacts. All project activities are screened, including planning support, policy advice, and capacity-building, and site-specific, physical interventions</w:t>
      </w:r>
      <w:r w:rsidR="001D6616">
        <w:rPr>
          <w:rFonts w:cs="Calibri"/>
          <w:sz w:val="22"/>
        </w:rPr>
        <w:t xml:space="preserve">. </w:t>
      </w:r>
    </w:p>
    <w:p w14:paraId="13F72739" w14:textId="77777777" w:rsidR="007A5B4B" w:rsidRPr="00420A86" w:rsidRDefault="007A5B4B" w:rsidP="00420A86">
      <w:pPr>
        <w:spacing w:before="0" w:after="0"/>
        <w:rPr>
          <w:rFonts w:cs="Calibri"/>
          <w:sz w:val="22"/>
        </w:rPr>
      </w:pPr>
    </w:p>
    <w:p w14:paraId="0BA86A63" w14:textId="4179308C" w:rsidR="00F34C10" w:rsidRPr="00420A86" w:rsidRDefault="00F34C10" w:rsidP="00420A86">
      <w:pPr>
        <w:spacing w:before="0" w:after="0"/>
        <w:rPr>
          <w:rFonts w:cs="Calibri"/>
          <w:sz w:val="22"/>
        </w:rPr>
      </w:pPr>
      <w:r w:rsidRPr="00420A86">
        <w:rPr>
          <w:rFonts w:cs="Calibri"/>
          <w:sz w:val="22"/>
        </w:rPr>
        <w:t xml:space="preserve">During </w:t>
      </w:r>
      <w:proofErr w:type="spellStart"/>
      <w:r w:rsidR="005E4849">
        <w:rPr>
          <w:rFonts w:cs="Calibri"/>
          <w:sz w:val="22"/>
        </w:rPr>
        <w:t>PhosChemEE</w:t>
      </w:r>
      <w:proofErr w:type="spellEnd"/>
      <w:r w:rsidR="00522ABB">
        <w:rPr>
          <w:rFonts w:cs="Calibri"/>
          <w:sz w:val="22"/>
        </w:rPr>
        <w:t xml:space="preserve"> P</w:t>
      </w:r>
      <w:r w:rsidRPr="00420A86">
        <w:rPr>
          <w:rFonts w:cs="Calibri"/>
          <w:sz w:val="22"/>
        </w:rPr>
        <w:t xml:space="preserve">roject development, </w:t>
      </w:r>
      <w:r w:rsidR="00F56B4D" w:rsidRPr="00420A86">
        <w:rPr>
          <w:rFonts w:cs="Calibri"/>
          <w:sz w:val="22"/>
        </w:rPr>
        <w:t xml:space="preserve">the </w:t>
      </w:r>
      <w:r w:rsidR="00522ABB">
        <w:rPr>
          <w:rFonts w:cs="Calibri"/>
          <w:sz w:val="22"/>
        </w:rPr>
        <w:t xml:space="preserve">project development team also </w:t>
      </w:r>
      <w:r w:rsidRPr="00420A86">
        <w:rPr>
          <w:rFonts w:cs="Calibri"/>
          <w:sz w:val="22"/>
        </w:rPr>
        <w:t xml:space="preserve">reviewed </w:t>
      </w:r>
      <w:r w:rsidR="00522ABB">
        <w:rPr>
          <w:rFonts w:cs="Calibri"/>
          <w:sz w:val="22"/>
        </w:rPr>
        <w:t xml:space="preserve">the proposed activities based on the preliminary </w:t>
      </w:r>
      <w:r w:rsidRPr="00420A86">
        <w:rPr>
          <w:rFonts w:cs="Calibri"/>
          <w:sz w:val="22"/>
        </w:rPr>
        <w:t xml:space="preserve">SESP. </w:t>
      </w:r>
      <w:r w:rsidR="00522ABB">
        <w:rPr>
          <w:rFonts w:cs="Calibri"/>
          <w:sz w:val="22"/>
        </w:rPr>
        <w:t xml:space="preserve">Such review was aimed at verifying the initially identified risks, as well as identifying other </w:t>
      </w:r>
      <w:r w:rsidR="00B74342" w:rsidRPr="00420A86">
        <w:rPr>
          <w:rFonts w:cs="Calibri"/>
          <w:sz w:val="22"/>
        </w:rPr>
        <w:t>potential</w:t>
      </w:r>
      <w:r w:rsidR="002872B2" w:rsidRPr="00420A86">
        <w:rPr>
          <w:rFonts w:cs="Calibri"/>
          <w:sz w:val="22"/>
        </w:rPr>
        <w:t xml:space="preserve"> </w:t>
      </w:r>
      <w:r w:rsidR="00522ABB">
        <w:rPr>
          <w:rFonts w:cs="Calibri"/>
          <w:sz w:val="22"/>
        </w:rPr>
        <w:t xml:space="preserve">risks. The </w:t>
      </w:r>
      <w:r w:rsidR="002872B2" w:rsidRPr="00420A86">
        <w:rPr>
          <w:rFonts w:cs="Calibri"/>
          <w:sz w:val="22"/>
        </w:rPr>
        <w:t xml:space="preserve">social and environmental impacts </w:t>
      </w:r>
      <w:r w:rsidR="00522ABB">
        <w:rPr>
          <w:rFonts w:cs="Calibri"/>
          <w:sz w:val="22"/>
        </w:rPr>
        <w:t xml:space="preserve">of </w:t>
      </w:r>
      <w:r w:rsidR="0036517D" w:rsidRPr="00420A86">
        <w:rPr>
          <w:rFonts w:cs="Calibri"/>
          <w:sz w:val="22"/>
        </w:rPr>
        <w:t>the</w:t>
      </w:r>
      <w:r w:rsidR="00522ABB">
        <w:rPr>
          <w:rFonts w:cs="Calibri"/>
          <w:sz w:val="22"/>
        </w:rPr>
        <w:t xml:space="preserve"> identified risks</w:t>
      </w:r>
      <w:r w:rsidR="0036517D" w:rsidRPr="00420A86">
        <w:rPr>
          <w:rFonts w:cs="Calibri"/>
          <w:sz w:val="22"/>
        </w:rPr>
        <w:t xml:space="preserve"> </w:t>
      </w:r>
      <w:r w:rsidR="00522ABB">
        <w:rPr>
          <w:rFonts w:cs="Calibri"/>
          <w:sz w:val="22"/>
        </w:rPr>
        <w:t xml:space="preserve">associated with the </w:t>
      </w:r>
      <w:r w:rsidR="00670F30" w:rsidRPr="00420A86">
        <w:rPr>
          <w:rFonts w:cs="Calibri"/>
          <w:sz w:val="22"/>
        </w:rPr>
        <w:t>project activities</w:t>
      </w:r>
      <w:r w:rsidR="00522ABB">
        <w:rPr>
          <w:rFonts w:cs="Calibri"/>
          <w:sz w:val="22"/>
        </w:rPr>
        <w:t xml:space="preserve"> were also identified</w:t>
      </w:r>
      <w:r w:rsidR="00670F30" w:rsidRPr="00420A86">
        <w:rPr>
          <w:rFonts w:cs="Calibri"/>
          <w:sz w:val="22"/>
        </w:rPr>
        <w:t xml:space="preserve">. </w:t>
      </w:r>
      <w:r w:rsidR="00484D31" w:rsidRPr="00420A86">
        <w:rPr>
          <w:rFonts w:cs="Calibri"/>
          <w:sz w:val="22"/>
        </w:rPr>
        <w:t xml:space="preserve">These primarily relate to </w:t>
      </w:r>
      <w:r w:rsidR="00B015C9" w:rsidRPr="00B015C9">
        <w:rPr>
          <w:rFonts w:cs="Calibri"/>
          <w:sz w:val="22"/>
        </w:rPr>
        <w:t>the application of new technologies</w:t>
      </w:r>
      <w:r w:rsidR="001D398A">
        <w:rPr>
          <w:rFonts w:cs="Calibri"/>
          <w:sz w:val="22"/>
        </w:rPr>
        <w:t xml:space="preserve">, </w:t>
      </w:r>
      <w:proofErr w:type="gramStart"/>
      <w:r w:rsidR="00B015C9" w:rsidRPr="00B015C9">
        <w:rPr>
          <w:rFonts w:cs="Calibri"/>
          <w:sz w:val="22"/>
        </w:rPr>
        <w:t>equipment</w:t>
      </w:r>
      <w:proofErr w:type="gramEnd"/>
      <w:r w:rsidR="001D398A">
        <w:rPr>
          <w:rFonts w:cs="Calibri"/>
          <w:sz w:val="22"/>
        </w:rPr>
        <w:t xml:space="preserve"> and infrastructures</w:t>
      </w:r>
      <w:r w:rsidR="00B015C9" w:rsidRPr="00B015C9">
        <w:rPr>
          <w:rFonts w:cs="Calibri"/>
          <w:sz w:val="22"/>
        </w:rPr>
        <w:t xml:space="preserve"> </w:t>
      </w:r>
      <w:r w:rsidR="00C63B3A">
        <w:rPr>
          <w:rFonts w:cs="Calibri"/>
          <w:sz w:val="22"/>
        </w:rPr>
        <w:t xml:space="preserve">particularly in the </w:t>
      </w:r>
      <w:r w:rsidR="00F56B4D" w:rsidRPr="00420A86">
        <w:rPr>
          <w:rFonts w:cs="Calibri"/>
          <w:sz w:val="22"/>
        </w:rPr>
        <w:t xml:space="preserve">construction and operation of the demo installations, </w:t>
      </w:r>
      <w:r w:rsidR="00484D31" w:rsidRPr="00420A86">
        <w:rPr>
          <w:rFonts w:cs="Calibri"/>
          <w:sz w:val="22"/>
        </w:rPr>
        <w:t xml:space="preserve">the enhanced </w:t>
      </w:r>
      <w:r w:rsidR="001E2F17">
        <w:rPr>
          <w:rFonts w:cs="Calibri"/>
          <w:sz w:val="22"/>
        </w:rPr>
        <w:t>r</w:t>
      </w:r>
      <w:r w:rsidR="001E2F17" w:rsidRPr="001E2F17">
        <w:rPr>
          <w:rFonts w:cs="Calibri"/>
          <w:sz w:val="22"/>
        </w:rPr>
        <w:t xml:space="preserve">isks to </w:t>
      </w:r>
      <w:r w:rsidR="001D398A">
        <w:rPr>
          <w:rFonts w:cs="Calibri"/>
          <w:sz w:val="22"/>
        </w:rPr>
        <w:t xml:space="preserve">local community and </w:t>
      </w:r>
      <w:r w:rsidR="001E2F17" w:rsidRPr="001E2F17">
        <w:rPr>
          <w:rFonts w:cs="Calibri"/>
          <w:sz w:val="22"/>
        </w:rPr>
        <w:t>project workers</w:t>
      </w:r>
      <w:r w:rsidR="00F56B4D" w:rsidRPr="00420A86">
        <w:rPr>
          <w:rFonts w:cs="Calibri"/>
          <w:sz w:val="22"/>
        </w:rPr>
        <w:t>,</w:t>
      </w:r>
      <w:r w:rsidR="001E2F17">
        <w:rPr>
          <w:rFonts w:cs="Calibri"/>
          <w:sz w:val="22"/>
        </w:rPr>
        <w:t xml:space="preserve"> </w:t>
      </w:r>
      <w:r w:rsidR="001E2F17" w:rsidRPr="001E2F17">
        <w:rPr>
          <w:rFonts w:cs="Calibri"/>
          <w:sz w:val="22"/>
        </w:rPr>
        <w:t>potentially</w:t>
      </w:r>
      <w:r w:rsidR="001E2F17">
        <w:rPr>
          <w:rFonts w:cs="Calibri"/>
          <w:sz w:val="22"/>
        </w:rPr>
        <w:t xml:space="preserve"> waste generation</w:t>
      </w:r>
      <w:r w:rsidR="001D398A">
        <w:rPr>
          <w:rFonts w:cs="Calibri"/>
          <w:sz w:val="22"/>
        </w:rPr>
        <w:t>, resource consumption</w:t>
      </w:r>
      <w:r w:rsidR="00F56B4D" w:rsidRPr="00420A86">
        <w:rPr>
          <w:rFonts w:cs="Calibri"/>
          <w:sz w:val="22"/>
        </w:rPr>
        <w:t xml:space="preserve"> and potential changes to land use,</w:t>
      </w:r>
      <w:r w:rsidR="001D398A" w:rsidRPr="001D398A">
        <w:rPr>
          <w:rFonts w:cs="Calibri"/>
          <w:sz w:val="22"/>
        </w:rPr>
        <w:t xml:space="preserve"> </w:t>
      </w:r>
      <w:r w:rsidR="001D398A" w:rsidRPr="00420A86">
        <w:rPr>
          <w:rFonts w:cs="Calibri"/>
          <w:sz w:val="22"/>
        </w:rPr>
        <w:t>and</w:t>
      </w:r>
      <w:r w:rsidR="00F56B4D" w:rsidRPr="00420A86">
        <w:rPr>
          <w:rFonts w:cs="Calibri"/>
          <w:sz w:val="22"/>
        </w:rPr>
        <w:t xml:space="preserve"> </w:t>
      </w:r>
      <w:r w:rsidR="001D398A" w:rsidRPr="001D398A">
        <w:rPr>
          <w:rFonts w:cs="Calibri"/>
          <w:sz w:val="22"/>
        </w:rPr>
        <w:t>ecosystem</w:t>
      </w:r>
      <w:r w:rsidR="001D398A">
        <w:rPr>
          <w:rFonts w:cs="Calibri"/>
          <w:sz w:val="22"/>
        </w:rPr>
        <w:t xml:space="preserve"> service</w:t>
      </w:r>
      <w:r w:rsidR="001D398A" w:rsidRPr="001D398A">
        <w:rPr>
          <w:rFonts w:cs="Calibri"/>
          <w:sz w:val="22"/>
        </w:rPr>
        <w:t>s</w:t>
      </w:r>
      <w:r w:rsidR="00A94505" w:rsidRPr="00420A86">
        <w:rPr>
          <w:rFonts w:cs="Calibri"/>
          <w:sz w:val="22"/>
        </w:rPr>
        <w:t xml:space="preserve"> </w:t>
      </w:r>
      <w:r w:rsidR="00C63B3A">
        <w:rPr>
          <w:rFonts w:cs="Calibri"/>
          <w:sz w:val="22"/>
        </w:rPr>
        <w:t xml:space="preserve">in the </w:t>
      </w:r>
      <w:r w:rsidR="001E2F17">
        <w:rPr>
          <w:rFonts w:cs="Calibri"/>
          <w:sz w:val="22"/>
        </w:rPr>
        <w:t>demo</w:t>
      </w:r>
      <w:r w:rsidR="00C63B3A">
        <w:rPr>
          <w:rFonts w:cs="Calibri"/>
          <w:sz w:val="22"/>
        </w:rPr>
        <w:t xml:space="preserve"> areas</w:t>
      </w:r>
      <w:r w:rsidR="00A94505" w:rsidRPr="00420A86">
        <w:rPr>
          <w:rFonts w:cs="Calibri"/>
          <w:sz w:val="22"/>
        </w:rPr>
        <w:t xml:space="preserve">, etc. </w:t>
      </w:r>
    </w:p>
    <w:p w14:paraId="5705FFAD" w14:textId="77777777" w:rsidR="007A5B4B" w:rsidRPr="001D398A" w:rsidRDefault="007A5B4B" w:rsidP="00420A86">
      <w:pPr>
        <w:spacing w:before="0" w:after="0"/>
        <w:rPr>
          <w:rFonts w:cs="Calibri"/>
          <w:sz w:val="22"/>
        </w:rPr>
      </w:pPr>
    </w:p>
    <w:p w14:paraId="1C2E7407" w14:textId="1924AC60" w:rsidR="00B74342" w:rsidRPr="00420A86" w:rsidRDefault="00F34C10" w:rsidP="00420A86">
      <w:pPr>
        <w:spacing w:before="0" w:after="0"/>
        <w:rPr>
          <w:rFonts w:cs="Calibri"/>
          <w:sz w:val="22"/>
        </w:rPr>
      </w:pPr>
      <w:r w:rsidRPr="00420A86">
        <w:rPr>
          <w:rFonts w:cs="Calibri"/>
          <w:sz w:val="22"/>
        </w:rPr>
        <w:t xml:space="preserve">The </w:t>
      </w:r>
      <w:r w:rsidR="00296E36" w:rsidRPr="00420A86">
        <w:rPr>
          <w:rFonts w:cs="Calibri"/>
          <w:sz w:val="22"/>
        </w:rPr>
        <w:t>project specific</w:t>
      </w:r>
      <w:r w:rsidR="00EE4FD3" w:rsidRPr="00420A86">
        <w:rPr>
          <w:rFonts w:cs="Calibri"/>
          <w:sz w:val="22"/>
        </w:rPr>
        <w:t xml:space="preserve"> </w:t>
      </w:r>
      <w:r w:rsidR="00122A40" w:rsidRPr="00420A86">
        <w:rPr>
          <w:rFonts w:cs="Calibri"/>
          <w:sz w:val="22"/>
        </w:rPr>
        <w:t>SESP template</w:t>
      </w:r>
      <w:r w:rsidRPr="00420A86">
        <w:rPr>
          <w:rFonts w:cs="Calibri"/>
          <w:sz w:val="22"/>
        </w:rPr>
        <w:t xml:space="preserve"> detail</w:t>
      </w:r>
      <w:r w:rsidR="00484D31" w:rsidRPr="00420A86">
        <w:rPr>
          <w:rFonts w:cs="Calibri"/>
          <w:sz w:val="22"/>
        </w:rPr>
        <w:t xml:space="preserve"> the specific environmental and social risks that app</w:t>
      </w:r>
      <w:r w:rsidR="009F0FEE" w:rsidRPr="00420A86">
        <w:rPr>
          <w:rFonts w:cs="Calibri"/>
          <w:sz w:val="22"/>
        </w:rPr>
        <w:t xml:space="preserve">ly to </w:t>
      </w:r>
      <w:r w:rsidR="00A75E60" w:rsidRPr="00420A86">
        <w:rPr>
          <w:rFonts w:cs="Calibri"/>
          <w:sz w:val="22"/>
        </w:rPr>
        <w:t xml:space="preserve">the </w:t>
      </w:r>
      <w:proofErr w:type="spellStart"/>
      <w:r w:rsidR="005E4849" w:rsidRPr="00134F8E">
        <w:rPr>
          <w:rFonts w:cs="Calibri"/>
          <w:sz w:val="22"/>
        </w:rPr>
        <w:t>PhosChemEE</w:t>
      </w:r>
      <w:proofErr w:type="spellEnd"/>
      <w:r w:rsidR="005E4849">
        <w:rPr>
          <w:rFonts w:cs="Calibri"/>
          <w:sz w:val="22"/>
          <w:lang w:eastAsia="zh-CN"/>
        </w:rPr>
        <w:t xml:space="preserve"> </w:t>
      </w:r>
      <w:r w:rsidR="00C37C6B">
        <w:rPr>
          <w:rFonts w:cs="Calibri"/>
          <w:sz w:val="22"/>
          <w:lang w:eastAsia="zh-CN"/>
        </w:rPr>
        <w:t>P</w:t>
      </w:r>
      <w:r w:rsidR="00A75E60" w:rsidRPr="00420A86">
        <w:rPr>
          <w:rFonts w:cs="Calibri"/>
          <w:sz w:val="22"/>
          <w:lang w:eastAsia="zh-CN"/>
        </w:rPr>
        <w:t>roject</w:t>
      </w:r>
      <w:r w:rsidR="00697CC1" w:rsidRPr="00420A86">
        <w:rPr>
          <w:rFonts w:cs="Calibri"/>
          <w:sz w:val="22"/>
        </w:rPr>
        <w:t>. Overall</w:t>
      </w:r>
      <w:r w:rsidR="00122A40" w:rsidRPr="00420A86">
        <w:rPr>
          <w:rFonts w:cs="Calibri"/>
          <w:sz w:val="22"/>
        </w:rPr>
        <w:t>,</w:t>
      </w:r>
      <w:r w:rsidR="009F0FEE" w:rsidRPr="00420A86">
        <w:rPr>
          <w:rFonts w:cs="Calibri"/>
          <w:sz w:val="22"/>
        </w:rPr>
        <w:t xml:space="preserve"> </w:t>
      </w:r>
      <w:proofErr w:type="gramStart"/>
      <w:r w:rsidR="00575FB8">
        <w:rPr>
          <w:rFonts w:cs="Calibri"/>
          <w:sz w:val="22"/>
        </w:rPr>
        <w:t xml:space="preserve">nine </w:t>
      </w:r>
      <w:r w:rsidR="009018CF" w:rsidRPr="00420A86">
        <w:rPr>
          <w:rFonts w:cs="Calibri"/>
          <w:sz w:val="22"/>
        </w:rPr>
        <w:t xml:space="preserve"> (</w:t>
      </w:r>
      <w:proofErr w:type="gramEnd"/>
      <w:r w:rsidR="00575FB8">
        <w:rPr>
          <w:rFonts w:cs="Calibri"/>
          <w:sz w:val="22"/>
        </w:rPr>
        <w:t>9</w:t>
      </w:r>
      <w:r w:rsidR="00A75E60" w:rsidRPr="00420A86">
        <w:rPr>
          <w:rFonts w:cs="Calibri"/>
          <w:sz w:val="22"/>
        </w:rPr>
        <w:t>)</w:t>
      </w:r>
      <w:r w:rsidR="00606E2F" w:rsidRPr="00420A86">
        <w:rPr>
          <w:rFonts w:cs="Calibri"/>
          <w:sz w:val="22"/>
        </w:rPr>
        <w:t xml:space="preserve"> </w:t>
      </w:r>
      <w:r w:rsidR="00F5445E" w:rsidRPr="00420A86">
        <w:rPr>
          <w:rFonts w:cs="Calibri"/>
          <w:sz w:val="22"/>
        </w:rPr>
        <w:t xml:space="preserve">social and environmental </w:t>
      </w:r>
      <w:r w:rsidRPr="00420A86">
        <w:rPr>
          <w:rFonts w:cs="Calibri"/>
          <w:sz w:val="22"/>
        </w:rPr>
        <w:t xml:space="preserve">risks were identified for </w:t>
      </w:r>
      <w:r w:rsidR="00A75E60" w:rsidRPr="00420A86">
        <w:rPr>
          <w:rFonts w:cs="Calibri"/>
          <w:sz w:val="22"/>
        </w:rPr>
        <w:t xml:space="preserve">the </w:t>
      </w:r>
      <w:proofErr w:type="spellStart"/>
      <w:r w:rsidR="005E4849" w:rsidRPr="00134F8E">
        <w:rPr>
          <w:rFonts w:cs="Calibri"/>
          <w:sz w:val="22"/>
        </w:rPr>
        <w:t>PhosChemEE</w:t>
      </w:r>
      <w:proofErr w:type="spellEnd"/>
      <w:r w:rsidR="005E4849">
        <w:rPr>
          <w:rFonts w:cs="Calibri"/>
          <w:sz w:val="22"/>
          <w:lang w:eastAsia="zh-CN"/>
        </w:rPr>
        <w:t xml:space="preserve"> </w:t>
      </w:r>
      <w:r w:rsidR="00C37C6B">
        <w:rPr>
          <w:rFonts w:cs="Calibri"/>
          <w:sz w:val="22"/>
          <w:lang w:eastAsia="zh-CN"/>
        </w:rPr>
        <w:t>P</w:t>
      </w:r>
      <w:r w:rsidR="00A75E60" w:rsidRPr="00420A86">
        <w:rPr>
          <w:rFonts w:cs="Calibri"/>
          <w:sz w:val="22"/>
          <w:lang w:eastAsia="zh-CN"/>
        </w:rPr>
        <w:t>roject</w:t>
      </w:r>
      <w:r w:rsidRPr="00420A86">
        <w:rPr>
          <w:rFonts w:cs="Calibri"/>
          <w:sz w:val="22"/>
        </w:rPr>
        <w:t xml:space="preserve">. </w:t>
      </w:r>
      <w:r w:rsidR="00122A40" w:rsidRPr="00420A86">
        <w:rPr>
          <w:rFonts w:cs="Calibri"/>
          <w:sz w:val="22"/>
        </w:rPr>
        <w:t xml:space="preserve">The significance of each risk based on its </w:t>
      </w:r>
      <w:r w:rsidR="004B499D">
        <w:rPr>
          <w:rFonts w:cs="Calibri"/>
          <w:sz w:val="22"/>
        </w:rPr>
        <w:t>likelihood</w:t>
      </w:r>
      <w:r w:rsidR="00122A40" w:rsidRPr="00420A86">
        <w:rPr>
          <w:rFonts w:cs="Calibri"/>
          <w:sz w:val="22"/>
        </w:rPr>
        <w:t xml:space="preserve"> of occurrence and </w:t>
      </w:r>
      <w:r w:rsidR="00327FB3" w:rsidRPr="00420A86">
        <w:rPr>
          <w:rFonts w:cs="Calibri"/>
          <w:sz w:val="22"/>
        </w:rPr>
        <w:t>extent</w:t>
      </w:r>
      <w:r w:rsidR="00122A40" w:rsidRPr="00420A86">
        <w:rPr>
          <w:rFonts w:cs="Calibri"/>
          <w:sz w:val="22"/>
        </w:rPr>
        <w:t xml:space="preserve"> of </w:t>
      </w:r>
      <w:r w:rsidR="00C63B3A">
        <w:rPr>
          <w:rFonts w:cs="Calibri"/>
          <w:sz w:val="22"/>
        </w:rPr>
        <w:t xml:space="preserve">the potential </w:t>
      </w:r>
      <w:r w:rsidR="00122A40" w:rsidRPr="00420A86">
        <w:rPr>
          <w:rFonts w:cs="Calibri"/>
          <w:sz w:val="22"/>
        </w:rPr>
        <w:t>impact</w:t>
      </w:r>
      <w:r w:rsidR="00C63B3A">
        <w:rPr>
          <w:rFonts w:cs="Calibri"/>
          <w:sz w:val="22"/>
        </w:rPr>
        <w:t xml:space="preserve"> was also estimated</w:t>
      </w:r>
      <w:r w:rsidR="00122A40" w:rsidRPr="00420A86">
        <w:rPr>
          <w:rFonts w:cs="Calibri"/>
          <w:sz w:val="22"/>
        </w:rPr>
        <w:t xml:space="preserve">. </w:t>
      </w:r>
      <w:r w:rsidR="00B74342" w:rsidRPr="00420A86">
        <w:rPr>
          <w:rFonts w:cs="Calibri"/>
          <w:sz w:val="22"/>
        </w:rPr>
        <w:t xml:space="preserve">Based on the </w:t>
      </w:r>
      <w:r w:rsidR="00C63B3A">
        <w:rPr>
          <w:rFonts w:cs="Calibri"/>
          <w:sz w:val="22"/>
        </w:rPr>
        <w:t xml:space="preserve">assessed </w:t>
      </w:r>
      <w:r w:rsidR="00327FB3" w:rsidRPr="00420A86">
        <w:rPr>
          <w:rFonts w:cs="Calibri"/>
          <w:sz w:val="22"/>
        </w:rPr>
        <w:t xml:space="preserve">significance </w:t>
      </w:r>
      <w:r w:rsidR="00B74342" w:rsidRPr="00420A86">
        <w:rPr>
          <w:rFonts w:cs="Calibri"/>
          <w:sz w:val="22"/>
        </w:rPr>
        <w:t xml:space="preserve">of </w:t>
      </w:r>
      <w:r w:rsidR="00F5445E" w:rsidRPr="00420A86">
        <w:rPr>
          <w:rFonts w:cs="Calibri"/>
          <w:sz w:val="22"/>
        </w:rPr>
        <w:t xml:space="preserve">the </w:t>
      </w:r>
      <w:r w:rsidR="00B74342" w:rsidRPr="00420A86">
        <w:rPr>
          <w:rFonts w:cs="Calibri"/>
          <w:sz w:val="22"/>
        </w:rPr>
        <w:t xml:space="preserve">individual risks, </w:t>
      </w:r>
      <w:r w:rsidR="00B74342" w:rsidRPr="00420A86">
        <w:rPr>
          <w:rFonts w:cs="Calibri"/>
          <w:sz w:val="22"/>
        </w:rPr>
        <w:lastRenderedPageBreak/>
        <w:t xml:space="preserve">overall </w:t>
      </w:r>
      <w:r w:rsidR="00122A40" w:rsidRPr="00420A86">
        <w:rPr>
          <w:rFonts w:cs="Calibri"/>
          <w:sz w:val="22"/>
        </w:rPr>
        <w:t xml:space="preserve">SESP </w:t>
      </w:r>
      <w:r w:rsidR="00B74342" w:rsidRPr="00420A86">
        <w:rPr>
          <w:rFonts w:cs="Calibri"/>
          <w:sz w:val="22"/>
        </w:rPr>
        <w:t xml:space="preserve">risk </w:t>
      </w:r>
      <w:r w:rsidR="00C63B3A">
        <w:rPr>
          <w:rFonts w:cs="Calibri"/>
          <w:sz w:val="22"/>
        </w:rPr>
        <w:t xml:space="preserve">for the </w:t>
      </w:r>
      <w:proofErr w:type="spellStart"/>
      <w:r w:rsidR="005E4849">
        <w:rPr>
          <w:rFonts w:cs="Calibri"/>
          <w:sz w:val="22"/>
        </w:rPr>
        <w:t>PhosChemEE</w:t>
      </w:r>
      <w:proofErr w:type="spellEnd"/>
      <w:r w:rsidR="00C63B3A">
        <w:rPr>
          <w:rFonts w:cs="Calibri"/>
          <w:sz w:val="22"/>
        </w:rPr>
        <w:t xml:space="preserve"> Project is rated </w:t>
      </w:r>
      <w:r w:rsidR="001D398A">
        <w:rPr>
          <w:rFonts w:cs="Calibri"/>
          <w:sz w:val="22"/>
        </w:rPr>
        <w:t>“</w:t>
      </w:r>
      <w:r w:rsidR="001D398A" w:rsidRPr="001D398A">
        <w:rPr>
          <w:rFonts w:cs="Calibri"/>
          <w:b/>
          <w:bCs/>
          <w:sz w:val="22"/>
        </w:rPr>
        <w:t>High</w:t>
      </w:r>
      <w:r w:rsidR="001D398A">
        <w:rPr>
          <w:rFonts w:cs="Calibri"/>
          <w:sz w:val="22"/>
        </w:rPr>
        <w:t>”</w:t>
      </w:r>
      <w:r w:rsidR="00C63B3A">
        <w:rPr>
          <w:rFonts w:cs="Calibri"/>
          <w:sz w:val="22"/>
        </w:rPr>
        <w:t xml:space="preserve">, </w:t>
      </w:r>
      <w:r w:rsidR="00697CC1" w:rsidRPr="00420A86">
        <w:rPr>
          <w:rFonts w:cs="Calibri"/>
          <w:sz w:val="22"/>
        </w:rPr>
        <w:t>which is the same as the highest rating allocated to an individual risk</w:t>
      </w:r>
      <w:r w:rsidR="00F5445E" w:rsidRPr="00420A86">
        <w:rPr>
          <w:rFonts w:cs="Calibri"/>
          <w:sz w:val="22"/>
        </w:rPr>
        <w:t xml:space="preserve">. </w:t>
      </w:r>
    </w:p>
    <w:p w14:paraId="48DA0805" w14:textId="77777777" w:rsidR="007A5B4B" w:rsidRPr="00420A86" w:rsidRDefault="007A5B4B" w:rsidP="00AC785C">
      <w:pPr>
        <w:spacing w:before="0" w:after="0"/>
        <w:rPr>
          <w:rFonts w:cs="Calibri"/>
          <w:b/>
          <w:sz w:val="22"/>
        </w:rPr>
      </w:pPr>
    </w:p>
    <w:p w14:paraId="168F8138" w14:textId="44CA4FF0" w:rsidR="00AC785C" w:rsidRPr="00981A64" w:rsidRDefault="004B499D" w:rsidP="00AC785C">
      <w:pPr>
        <w:rPr>
          <w:i/>
          <w:sz w:val="22"/>
        </w:rPr>
      </w:pPr>
      <w:r w:rsidRPr="00981A64">
        <w:rPr>
          <w:b/>
          <w:sz w:val="22"/>
        </w:rPr>
        <w:t xml:space="preserve">High Risk: </w:t>
      </w:r>
      <w:r w:rsidRPr="00981A64">
        <w:rPr>
          <w:sz w:val="22"/>
        </w:rPr>
        <w:t>is defined by UNDP’s SES</w:t>
      </w:r>
      <w:r w:rsidRPr="00981A64">
        <w:rPr>
          <w:rStyle w:val="FootnoteReference"/>
          <w:sz w:val="22"/>
        </w:rPr>
        <w:footnoteReference w:id="1"/>
      </w:r>
      <w:r w:rsidRPr="00981A64">
        <w:rPr>
          <w:sz w:val="22"/>
        </w:rPr>
        <w:t xml:space="preserve"> as </w:t>
      </w:r>
      <w:r w:rsidRPr="00981A64">
        <w:rPr>
          <w:i/>
          <w:sz w:val="22"/>
        </w:rPr>
        <w:t>“</w:t>
      </w:r>
      <w:r w:rsidR="00AC785C" w:rsidRPr="00981A64">
        <w:rPr>
          <w:i/>
          <w:sz w:val="22"/>
        </w:rPr>
        <w:t>Projects that include activities with potential significant adverse social and environmental risks and impacts that are irreversible, unprecedented, and/or which raise significant concerns among potentially affected communities and individuals as expressed during the stakeholder engagement process. High Risk activities may involve significant adverse impacts on physical, biological, socioeconomic, or cultural resources. High Risk projects may have the potential to aggravate existing situations of fragility or conflict, adversely affect human rights and/or lead to extensive environmental degradation. Comprehensive forms of assessment and management plans are required.</w:t>
      </w:r>
      <w:r w:rsidRPr="00981A64">
        <w:rPr>
          <w:i/>
          <w:sz w:val="22"/>
        </w:rPr>
        <w:t>”</w:t>
      </w:r>
    </w:p>
    <w:p w14:paraId="6C798F26" w14:textId="55908075" w:rsidR="00AC785C" w:rsidRPr="00981A64" w:rsidRDefault="00AC785C" w:rsidP="00AC785C">
      <w:pPr>
        <w:rPr>
          <w:sz w:val="22"/>
        </w:rPr>
      </w:pPr>
      <w:r w:rsidRPr="00981A64">
        <w:rPr>
          <w:sz w:val="22"/>
        </w:rPr>
        <w:t xml:space="preserve">The “High” risk categorization </w:t>
      </w:r>
      <w:r w:rsidR="009C18DD">
        <w:rPr>
          <w:sz w:val="22"/>
        </w:rPr>
        <w:t xml:space="preserve">of the project </w:t>
      </w:r>
      <w:r w:rsidRPr="00981A64">
        <w:rPr>
          <w:sz w:val="22"/>
        </w:rPr>
        <w:t xml:space="preserve">is due to the following risk, identified in the SESP (Annex 9.1): </w:t>
      </w:r>
    </w:p>
    <w:p w14:paraId="755C2AF6" w14:textId="266C7D5F" w:rsidR="00575FB8" w:rsidRPr="0086490B" w:rsidRDefault="00AC785C" w:rsidP="0086490B">
      <w:pPr>
        <w:pStyle w:val="ListParagraph"/>
        <w:spacing w:before="0" w:after="0"/>
        <w:ind w:left="164"/>
        <w:contextualSpacing/>
        <w:jc w:val="left"/>
        <w:rPr>
          <w:rFonts w:cs="Calibri"/>
          <w:sz w:val="22"/>
          <w:lang w:eastAsia="ja-JP"/>
        </w:rPr>
      </w:pPr>
      <w:r w:rsidRPr="00981A64">
        <w:rPr>
          <w:sz w:val="22"/>
          <w:lang w:eastAsia="zh-CN"/>
        </w:rPr>
        <w:t>Risk 1:</w:t>
      </w:r>
      <w:r w:rsidR="00575FB8">
        <w:rPr>
          <w:sz w:val="22"/>
          <w:lang w:eastAsia="zh-CN"/>
        </w:rPr>
        <w:t xml:space="preserve"> </w:t>
      </w:r>
      <w:r w:rsidR="00575FB8" w:rsidRPr="0086490B">
        <w:rPr>
          <w:rFonts w:cs="Calibri"/>
          <w:sz w:val="22"/>
          <w:lang w:eastAsia="ja-JP"/>
        </w:rPr>
        <w:t xml:space="preserve">The </w:t>
      </w:r>
      <w:proofErr w:type="spellStart"/>
      <w:r w:rsidR="00575FB8" w:rsidRPr="0086490B">
        <w:rPr>
          <w:rFonts w:cs="Calibri"/>
          <w:sz w:val="22"/>
          <w:lang w:eastAsia="ja-JP"/>
        </w:rPr>
        <w:t>PhosChemEE</w:t>
      </w:r>
      <w:proofErr w:type="spellEnd"/>
      <w:r w:rsidR="00575FB8" w:rsidRPr="0086490B">
        <w:rPr>
          <w:rFonts w:cs="Calibri"/>
          <w:sz w:val="22"/>
          <w:lang w:eastAsia="ja-JP"/>
        </w:rPr>
        <w:t xml:space="preserve"> Project (and most specifically Component 1 which focuses on the upstream Phosphate mining and refining sub-sector) could lead to adverse impacts on enjoyment of the human rights (civil, political, economic, social, or cultural) of the affected population, including ethnic minorities and vulnerable/disadvantaged groups. </w:t>
      </w:r>
      <w:r w:rsidR="00575FB8" w:rsidRPr="0086490B">
        <w:rPr>
          <w:rFonts w:cs="Arial"/>
          <w:sz w:val="22"/>
          <w:lang w:eastAsia="ja-JP"/>
        </w:rPr>
        <w:t>This is most likely to occur under Outputs 1.2.2, 2.2.2 and 3.2.2.</w:t>
      </w:r>
    </w:p>
    <w:p w14:paraId="6BE911DB" w14:textId="77777777" w:rsidR="00575FB8" w:rsidRPr="0086490B" w:rsidRDefault="00575FB8" w:rsidP="00575FB8">
      <w:pPr>
        <w:pStyle w:val="ListParagraph"/>
        <w:ind w:left="164"/>
        <w:contextualSpacing/>
        <w:rPr>
          <w:rFonts w:cs="Calibri"/>
          <w:sz w:val="22"/>
          <w:lang w:eastAsia="ja-JP"/>
        </w:rPr>
      </w:pPr>
      <w:r w:rsidRPr="0086490B">
        <w:rPr>
          <w:rFonts w:cs="Calibri"/>
          <w:sz w:val="22"/>
          <w:lang w:eastAsia="ja-JP"/>
        </w:rPr>
        <w:t xml:space="preserve"> </w:t>
      </w:r>
    </w:p>
    <w:p w14:paraId="675EED60" w14:textId="77777777" w:rsidR="00575FB8" w:rsidRPr="0086490B" w:rsidRDefault="00575FB8" w:rsidP="00575FB8">
      <w:pPr>
        <w:pStyle w:val="ListParagraph"/>
        <w:ind w:left="164"/>
        <w:contextualSpacing/>
        <w:rPr>
          <w:rFonts w:cs="Calibri"/>
          <w:sz w:val="22"/>
          <w:lang w:eastAsia="ja-JP"/>
        </w:rPr>
      </w:pPr>
      <w:r w:rsidRPr="0086490B">
        <w:rPr>
          <w:rFonts w:cs="Calibri"/>
          <w:sz w:val="22"/>
          <w:lang w:eastAsia="ja-JP"/>
        </w:rPr>
        <w:t xml:space="preserve">Mining companies engaged in the project might not have the capacity and knowledge to uphold their duties as per UNDP SES requirements. This includes upholding duties and requirements on FPIC as per UNDP SES 6. </w:t>
      </w:r>
    </w:p>
    <w:p w14:paraId="0E75A89B" w14:textId="4E97E43C" w:rsidR="00AC785C" w:rsidRPr="00981A64" w:rsidRDefault="00AC785C" w:rsidP="00AC785C">
      <w:pPr>
        <w:spacing w:before="0" w:after="160"/>
        <w:ind w:left="720" w:hanging="720"/>
        <w:rPr>
          <w:sz w:val="22"/>
          <w:lang w:eastAsia="zh-CN"/>
        </w:rPr>
      </w:pPr>
    </w:p>
    <w:p w14:paraId="4E194D92" w14:textId="07481D59" w:rsidR="00D2157C" w:rsidRPr="00D2157C" w:rsidRDefault="009C18DD" w:rsidP="00D2157C">
      <w:pPr>
        <w:rPr>
          <w:rFonts w:cs="Calibri"/>
          <w:sz w:val="22"/>
        </w:rPr>
      </w:pPr>
      <w:r w:rsidRPr="0086490B">
        <w:rPr>
          <w:bCs/>
          <w:sz w:val="22"/>
        </w:rPr>
        <w:t xml:space="preserve">In addition to the above, </w:t>
      </w:r>
      <w:proofErr w:type="gramStart"/>
      <w:r w:rsidRPr="0086490B">
        <w:rPr>
          <w:bCs/>
          <w:sz w:val="22"/>
        </w:rPr>
        <w:t xml:space="preserve">several </w:t>
      </w:r>
      <w:r w:rsidR="00D2157C" w:rsidRPr="00B002EE">
        <w:rPr>
          <w:rFonts w:cs="Calibri"/>
          <w:bCs/>
          <w:sz w:val="22"/>
        </w:rPr>
        <w:t xml:space="preserve"> </w:t>
      </w:r>
      <w:r w:rsidR="00D2157C" w:rsidRPr="00D2157C">
        <w:rPr>
          <w:rFonts w:cs="Calibri"/>
          <w:sz w:val="22"/>
        </w:rPr>
        <w:t>“</w:t>
      </w:r>
      <w:proofErr w:type="gramEnd"/>
      <w:r w:rsidR="00D2157C" w:rsidRPr="00D2157C">
        <w:rPr>
          <w:sz w:val="22"/>
        </w:rPr>
        <w:t>substantial</w:t>
      </w:r>
      <w:r w:rsidR="00D2157C" w:rsidRPr="00D2157C">
        <w:rPr>
          <w:rFonts w:cs="Calibri"/>
          <w:sz w:val="22"/>
        </w:rPr>
        <w:t>” ris</w:t>
      </w:r>
      <w:r>
        <w:rPr>
          <w:rFonts w:cs="Calibri"/>
          <w:sz w:val="22"/>
        </w:rPr>
        <w:t xml:space="preserve">ks have been identified during the initial SES screening of the project. They are primarily </w:t>
      </w:r>
      <w:r w:rsidR="00D2157C" w:rsidRPr="00D2157C">
        <w:rPr>
          <w:rFonts w:cs="Calibri"/>
          <w:sz w:val="22"/>
        </w:rPr>
        <w:t>linked to the potential impacts on biodiversity</w:t>
      </w:r>
      <w:r w:rsidR="00D2157C">
        <w:rPr>
          <w:rFonts w:cs="Calibri"/>
          <w:sz w:val="22"/>
        </w:rPr>
        <w:t>,</w:t>
      </w:r>
      <w:r w:rsidR="00D2157C" w:rsidRPr="00D2157C">
        <w:rPr>
          <w:rFonts w:cs="Calibri"/>
          <w:sz w:val="22"/>
        </w:rPr>
        <w:t xml:space="preserve"> ecosystems</w:t>
      </w:r>
      <w:r w:rsidR="00D2157C">
        <w:rPr>
          <w:rFonts w:cs="Calibri"/>
          <w:sz w:val="22"/>
        </w:rPr>
        <w:t xml:space="preserve">, </w:t>
      </w:r>
      <w:r w:rsidR="00D2157C" w:rsidRPr="00D2157C">
        <w:rPr>
          <w:rFonts w:cs="Calibri"/>
          <w:sz w:val="22"/>
        </w:rPr>
        <w:t>local communities</w:t>
      </w:r>
      <w:r w:rsidR="00D2157C">
        <w:rPr>
          <w:rFonts w:cs="Calibri"/>
          <w:sz w:val="22"/>
        </w:rPr>
        <w:t>,</w:t>
      </w:r>
      <w:r w:rsidR="00D2157C" w:rsidRPr="00D2157C">
        <w:rPr>
          <w:rFonts w:cs="Calibri"/>
          <w:sz w:val="22"/>
        </w:rPr>
        <w:t xml:space="preserve"> pollution prevention and resource efficiency</w:t>
      </w:r>
      <w:r>
        <w:rPr>
          <w:rFonts w:cs="Calibri"/>
          <w:sz w:val="22"/>
        </w:rPr>
        <w:t>, and are as follows:</w:t>
      </w:r>
    </w:p>
    <w:p w14:paraId="0F766B4D" w14:textId="77777777" w:rsidR="0003206D" w:rsidRPr="0086490B" w:rsidRDefault="00AC785C" w:rsidP="0086490B">
      <w:pPr>
        <w:spacing w:before="0" w:after="0"/>
        <w:contextualSpacing/>
        <w:jc w:val="left"/>
        <w:rPr>
          <w:rFonts w:cs="Calibri"/>
          <w:sz w:val="22"/>
          <w:lang w:eastAsia="ja-JP"/>
        </w:rPr>
      </w:pPr>
      <w:r w:rsidRPr="0003206D">
        <w:rPr>
          <w:sz w:val="22"/>
          <w:lang w:eastAsia="zh-CN"/>
        </w:rPr>
        <w:t xml:space="preserve">Risk 2:  </w:t>
      </w:r>
      <w:r w:rsidRPr="0003206D">
        <w:rPr>
          <w:sz w:val="22"/>
          <w:lang w:eastAsia="zh-CN"/>
        </w:rPr>
        <w:tab/>
      </w:r>
      <w:r w:rsidR="0003206D" w:rsidRPr="0086490B">
        <w:rPr>
          <w:rFonts w:cs="Calibri"/>
          <w:sz w:val="22"/>
          <w:lang w:eastAsia="ja-JP"/>
        </w:rPr>
        <w:t xml:space="preserve">During the </w:t>
      </w:r>
      <w:proofErr w:type="gramStart"/>
      <w:r w:rsidR="0003206D" w:rsidRPr="0086490B">
        <w:rPr>
          <w:rFonts w:cs="Calibri"/>
          <w:sz w:val="22"/>
          <w:lang w:eastAsia="ja-JP"/>
        </w:rPr>
        <w:t>construction  of</w:t>
      </w:r>
      <w:proofErr w:type="gramEnd"/>
      <w:r w:rsidR="0003206D" w:rsidRPr="0086490B">
        <w:rPr>
          <w:rFonts w:cs="Calibri"/>
          <w:sz w:val="22"/>
          <w:lang w:eastAsia="ja-JP"/>
        </w:rPr>
        <w:t xml:space="preserve"> demo activities (Output 2.2.2), and in support to the mining and refining sectors (under Component 1), potential adverse impacts to habitats and/or ecosystems and ecosystem services (e.g. non-hazardous waste from </w:t>
      </w:r>
      <w:proofErr w:type="spellStart"/>
      <w:r w:rsidR="0003206D" w:rsidRPr="0086490B">
        <w:rPr>
          <w:rFonts w:cs="Calibri"/>
          <w:sz w:val="22"/>
          <w:lang w:eastAsia="zh-CN"/>
        </w:rPr>
        <w:t>phosphogypsum</w:t>
      </w:r>
      <w:proofErr w:type="spellEnd"/>
      <w:r w:rsidR="0003206D" w:rsidRPr="0086490B">
        <w:rPr>
          <w:rFonts w:cs="Calibri"/>
          <w:sz w:val="22"/>
          <w:lang w:eastAsia="zh-CN"/>
        </w:rPr>
        <w:t xml:space="preserve"> reuse</w:t>
      </w:r>
      <w:r w:rsidR="0003206D" w:rsidRPr="0086490B">
        <w:rPr>
          <w:rFonts w:cs="Calibri"/>
          <w:sz w:val="22"/>
          <w:lang w:eastAsia="ja-JP"/>
        </w:rPr>
        <w:t xml:space="preserve">) may occur. </w:t>
      </w:r>
    </w:p>
    <w:p w14:paraId="09B9050B" w14:textId="2B2203D2" w:rsidR="00AC785C" w:rsidRPr="00D2157C" w:rsidRDefault="00AC785C" w:rsidP="00AC785C">
      <w:pPr>
        <w:spacing w:before="0" w:after="160"/>
        <w:ind w:left="720" w:hanging="720"/>
        <w:rPr>
          <w:sz w:val="22"/>
          <w:lang w:eastAsia="zh-CN"/>
        </w:rPr>
      </w:pPr>
    </w:p>
    <w:p w14:paraId="55A3BC62" w14:textId="359EBDD4" w:rsidR="0003206D" w:rsidRPr="0003206D" w:rsidRDefault="00AC785C" w:rsidP="0086490B">
      <w:pPr>
        <w:spacing w:after="160"/>
        <w:rPr>
          <w:i/>
          <w:iCs/>
          <w:sz w:val="22"/>
          <w:lang w:val="en-US" w:eastAsia="zh-CN"/>
        </w:rPr>
      </w:pPr>
      <w:r w:rsidRPr="6F282195">
        <w:rPr>
          <w:sz w:val="22"/>
          <w:lang w:eastAsia="zh-CN"/>
        </w:rPr>
        <w:t xml:space="preserve">Risk 3: </w:t>
      </w:r>
      <w:r>
        <w:tab/>
      </w:r>
      <w:r w:rsidR="0003206D" w:rsidRPr="6F282195">
        <w:rPr>
          <w:sz w:val="22"/>
          <w:lang w:val="en-US" w:eastAsia="zh-CN"/>
        </w:rPr>
        <w:t xml:space="preserve">Inadequate disposal of waste during the operation of the </w:t>
      </w:r>
      <w:proofErr w:type="spellStart"/>
      <w:r w:rsidR="0003206D" w:rsidRPr="6F282195">
        <w:rPr>
          <w:sz w:val="22"/>
          <w:lang w:val="en-US" w:eastAsia="zh-CN"/>
        </w:rPr>
        <w:t>phosphogypsum</w:t>
      </w:r>
      <w:proofErr w:type="spellEnd"/>
      <w:r w:rsidR="0003206D" w:rsidRPr="6F282195">
        <w:rPr>
          <w:sz w:val="22"/>
          <w:lang w:val="en-US" w:eastAsia="zh-CN"/>
        </w:rPr>
        <w:t xml:space="preserve"> processing reuse demo (</w:t>
      </w:r>
      <w:proofErr w:type="gramStart"/>
      <w:r w:rsidR="0003206D" w:rsidRPr="6F282195">
        <w:rPr>
          <w:sz w:val="22"/>
          <w:lang w:val="en-US" w:eastAsia="zh-CN"/>
        </w:rPr>
        <w:t>I.e.</w:t>
      </w:r>
      <w:proofErr w:type="gramEnd"/>
      <w:r w:rsidR="0003206D" w:rsidRPr="6F282195">
        <w:rPr>
          <w:sz w:val="22"/>
          <w:lang w:val="en-US" w:eastAsia="zh-CN"/>
        </w:rPr>
        <w:t xml:space="preserve"> Outputs 3.2.1 and 3.2.2) poses a threat to the environment as well as the health and safety of workers and the community. The associated construction, operation, or decommissioning of the demo installations may have potential health and safety risks to local communities and workers due to the transport, storage, and use and/or disposal of any hazardous or dangerous materials (e.g., explosives, </w:t>
      </w:r>
      <w:proofErr w:type="gramStart"/>
      <w:r w:rsidR="0003206D" w:rsidRPr="6F282195">
        <w:rPr>
          <w:sz w:val="22"/>
          <w:lang w:val="en-US" w:eastAsia="zh-CN"/>
        </w:rPr>
        <w:t>fuel</w:t>
      </w:r>
      <w:proofErr w:type="gramEnd"/>
      <w:r w:rsidR="0003206D" w:rsidRPr="6F282195">
        <w:rPr>
          <w:sz w:val="22"/>
          <w:lang w:val="en-US" w:eastAsia="zh-CN"/>
        </w:rPr>
        <w:t xml:space="preserve"> and other chemicals) that may be used during construction and operation.</w:t>
      </w:r>
    </w:p>
    <w:p w14:paraId="12EE6751" w14:textId="3BDE2E91" w:rsidR="00AC785C" w:rsidRPr="00AD66EB" w:rsidRDefault="00AC785C" w:rsidP="00AC785C">
      <w:pPr>
        <w:spacing w:before="0" w:after="160"/>
        <w:ind w:left="720" w:hanging="720"/>
        <w:rPr>
          <w:sz w:val="22"/>
          <w:lang w:eastAsia="zh-CN"/>
        </w:rPr>
      </w:pPr>
    </w:p>
    <w:p w14:paraId="65D3C985" w14:textId="55AD469E" w:rsidR="00A31794" w:rsidRPr="0086490B" w:rsidRDefault="00AC785C" w:rsidP="0086490B">
      <w:pPr>
        <w:spacing w:before="0" w:after="0"/>
        <w:contextualSpacing/>
        <w:jc w:val="left"/>
        <w:rPr>
          <w:rFonts w:eastAsia="Times New Roman" w:cs="Calibri"/>
          <w:sz w:val="22"/>
          <w:lang w:eastAsia="ja-JP"/>
        </w:rPr>
      </w:pPr>
      <w:r w:rsidRPr="00AD66EB">
        <w:rPr>
          <w:sz w:val="22"/>
          <w:lang w:eastAsia="zh-CN"/>
        </w:rPr>
        <w:t xml:space="preserve">Risk 5: </w:t>
      </w:r>
      <w:r w:rsidR="00A31794" w:rsidRPr="0086490B">
        <w:rPr>
          <w:rFonts w:cs="Calibri"/>
          <w:sz w:val="22"/>
          <w:lang w:eastAsia="zh-CN"/>
        </w:rPr>
        <w:t xml:space="preserve">The Project includes activities both downstream/physical activities (like </w:t>
      </w:r>
      <w:proofErr w:type="spellStart"/>
      <w:r w:rsidR="00A31794" w:rsidRPr="0086490B">
        <w:rPr>
          <w:rFonts w:cs="Calibri"/>
          <w:sz w:val="22"/>
          <w:lang w:eastAsia="zh-CN"/>
        </w:rPr>
        <w:t>phosphogypsum</w:t>
      </w:r>
      <w:proofErr w:type="spellEnd"/>
      <w:r w:rsidR="00A31794" w:rsidRPr="0086490B">
        <w:rPr>
          <w:rFonts w:cs="Calibri"/>
          <w:sz w:val="22"/>
          <w:lang w:eastAsia="zh-CN"/>
        </w:rPr>
        <w:t xml:space="preserve"> processing), as well as upstream/policy-level interventions that require/could lead to significant consumption of raw materials, energy, and/or water; and involves significant extraction, </w:t>
      </w:r>
      <w:proofErr w:type="gramStart"/>
      <w:r w:rsidR="00A31794" w:rsidRPr="0086490B">
        <w:rPr>
          <w:rFonts w:cs="Calibri"/>
          <w:sz w:val="22"/>
          <w:lang w:eastAsia="zh-CN"/>
        </w:rPr>
        <w:t>diversion</w:t>
      </w:r>
      <w:proofErr w:type="gramEnd"/>
      <w:r w:rsidR="00A31794" w:rsidRPr="0086490B">
        <w:rPr>
          <w:rFonts w:cs="Calibri"/>
          <w:sz w:val="22"/>
          <w:lang w:eastAsia="zh-CN"/>
        </w:rPr>
        <w:t xml:space="preserve"> or containment of surface and/or ground water. That resource use, if not designed or implemented well, could lead to adverse impacts on ambient conditions in the project area and area of influence.</w:t>
      </w:r>
    </w:p>
    <w:p w14:paraId="46EC695F" w14:textId="0897BD9B" w:rsidR="00AC785C" w:rsidRPr="00AD66EB" w:rsidRDefault="00AC785C" w:rsidP="00AC785C">
      <w:pPr>
        <w:spacing w:before="0" w:after="160"/>
        <w:ind w:left="720" w:hanging="720"/>
        <w:rPr>
          <w:sz w:val="22"/>
          <w:lang w:eastAsia="zh-CN"/>
        </w:rPr>
      </w:pPr>
    </w:p>
    <w:p w14:paraId="4685CEBD" w14:textId="405196DC" w:rsidR="00A31794" w:rsidRPr="0086490B" w:rsidRDefault="00AC785C" w:rsidP="0086490B">
      <w:pPr>
        <w:spacing w:before="0" w:after="0"/>
        <w:contextualSpacing/>
        <w:jc w:val="left"/>
        <w:rPr>
          <w:rFonts w:cs="Calibri"/>
          <w:sz w:val="22"/>
          <w:lang w:eastAsia="zh-CN"/>
        </w:rPr>
      </w:pPr>
      <w:r w:rsidRPr="00AD66EB">
        <w:rPr>
          <w:sz w:val="22"/>
          <w:lang w:eastAsia="zh-CN"/>
        </w:rPr>
        <w:lastRenderedPageBreak/>
        <w:t xml:space="preserve">Risk </w:t>
      </w:r>
      <w:r w:rsidR="00A31794" w:rsidRPr="00AD66EB">
        <w:rPr>
          <w:sz w:val="22"/>
          <w:lang w:eastAsia="zh-CN"/>
        </w:rPr>
        <w:t>6</w:t>
      </w:r>
      <w:r w:rsidRPr="00AD66EB">
        <w:rPr>
          <w:sz w:val="22"/>
          <w:lang w:eastAsia="zh-CN"/>
        </w:rPr>
        <w:t xml:space="preserve">: </w:t>
      </w:r>
      <w:r w:rsidRPr="00AD66EB">
        <w:rPr>
          <w:sz w:val="22"/>
          <w:lang w:eastAsia="zh-CN"/>
        </w:rPr>
        <w:tab/>
      </w:r>
      <w:r w:rsidR="00A31794" w:rsidRPr="0086490B">
        <w:rPr>
          <w:rFonts w:cs="Calibri"/>
          <w:sz w:val="22"/>
          <w:lang w:eastAsia="ja-JP"/>
        </w:rPr>
        <w:t xml:space="preserve">The </w:t>
      </w:r>
      <w:proofErr w:type="spellStart"/>
      <w:r w:rsidR="00A31794" w:rsidRPr="0086490B">
        <w:rPr>
          <w:rFonts w:cs="Calibri"/>
          <w:sz w:val="22"/>
          <w:lang w:eastAsia="ja-JP"/>
        </w:rPr>
        <w:t>PhosChemEE</w:t>
      </w:r>
      <w:proofErr w:type="spellEnd"/>
      <w:r w:rsidR="00A31794" w:rsidRPr="0086490B">
        <w:rPr>
          <w:rFonts w:cs="Calibri"/>
          <w:sz w:val="22"/>
          <w:lang w:eastAsia="ja-JP"/>
        </w:rPr>
        <w:t xml:space="preserve"> Project result in significant greenhouse gas emissions or may exacerbate climate change </w:t>
      </w:r>
      <w:r w:rsidR="00A31794" w:rsidRPr="0086490B">
        <w:rPr>
          <w:rFonts w:cs="Calibri"/>
          <w:sz w:val="22"/>
          <w:lang w:eastAsia="zh-CN"/>
        </w:rPr>
        <w:t>due</w:t>
      </w:r>
      <w:r w:rsidR="00A31794" w:rsidRPr="0086490B">
        <w:rPr>
          <w:rFonts w:cs="Calibri"/>
          <w:sz w:val="22"/>
          <w:lang w:eastAsia="ja-JP"/>
        </w:rPr>
        <w:t xml:space="preserve"> to massive energy consumption in </w:t>
      </w:r>
      <w:proofErr w:type="spellStart"/>
      <w:r w:rsidR="00A31794" w:rsidRPr="0086490B">
        <w:rPr>
          <w:rFonts w:cs="Calibri"/>
          <w:sz w:val="22"/>
          <w:lang w:eastAsia="zh-CN"/>
        </w:rPr>
        <w:t>phosrock</w:t>
      </w:r>
      <w:proofErr w:type="spellEnd"/>
      <w:r w:rsidR="00A31794" w:rsidRPr="0086490B">
        <w:rPr>
          <w:rFonts w:cs="Calibri"/>
          <w:sz w:val="22"/>
          <w:lang w:eastAsia="zh-CN"/>
        </w:rPr>
        <w:t xml:space="preserve"> mining and refining, and in phosphate chemicals production</w:t>
      </w:r>
      <w:r w:rsidR="00A31794" w:rsidRPr="0086490B">
        <w:rPr>
          <w:rFonts w:cs="Calibri"/>
          <w:sz w:val="22"/>
          <w:lang w:eastAsia="ja-JP"/>
        </w:rPr>
        <w:t xml:space="preserve">.  </w:t>
      </w:r>
    </w:p>
    <w:p w14:paraId="300E5ECD" w14:textId="21A74BDE" w:rsidR="00AC785C" w:rsidRPr="00D2157C" w:rsidRDefault="00AC785C" w:rsidP="00AC785C">
      <w:pPr>
        <w:spacing w:before="0" w:after="160"/>
        <w:ind w:left="720" w:hanging="720"/>
        <w:rPr>
          <w:sz w:val="22"/>
          <w:lang w:eastAsia="zh-CN"/>
        </w:rPr>
      </w:pPr>
    </w:p>
    <w:p w14:paraId="005A0083" w14:textId="2A163BEC" w:rsidR="00A31794" w:rsidRPr="0086490B" w:rsidRDefault="00AC785C" w:rsidP="0086490B">
      <w:pPr>
        <w:spacing w:before="0" w:after="0"/>
        <w:contextualSpacing/>
        <w:jc w:val="left"/>
        <w:rPr>
          <w:rFonts w:cs="Calibri"/>
          <w:lang w:eastAsia="ja-JP"/>
        </w:rPr>
      </w:pPr>
      <w:r w:rsidRPr="00A31794">
        <w:rPr>
          <w:sz w:val="22"/>
          <w:lang w:eastAsia="zh-CN"/>
        </w:rPr>
        <w:t xml:space="preserve">Risk </w:t>
      </w:r>
      <w:r w:rsidR="00A31794">
        <w:rPr>
          <w:sz w:val="22"/>
          <w:lang w:eastAsia="zh-CN"/>
        </w:rPr>
        <w:t>7</w:t>
      </w:r>
      <w:r w:rsidRPr="00A31794">
        <w:rPr>
          <w:sz w:val="22"/>
          <w:lang w:eastAsia="zh-CN"/>
        </w:rPr>
        <w:t xml:space="preserve">: </w:t>
      </w:r>
      <w:r w:rsidRPr="00A31794">
        <w:rPr>
          <w:sz w:val="22"/>
          <w:lang w:eastAsia="zh-CN"/>
        </w:rPr>
        <w:tab/>
      </w:r>
      <w:r w:rsidR="00A31794" w:rsidRPr="0086490B">
        <w:rPr>
          <w:rFonts w:cs="Calibri"/>
          <w:sz w:val="22"/>
          <w:lang w:eastAsia="ja-JP"/>
        </w:rPr>
        <w:t>Upstream project activities (primarily Outputs 1.1.1, 1.1.2, 2.1.1, 2.1.2</w:t>
      </w:r>
      <w:proofErr w:type="gramStart"/>
      <w:r w:rsidR="00A31794" w:rsidRPr="0086490B">
        <w:rPr>
          <w:rFonts w:cs="Calibri"/>
          <w:sz w:val="22"/>
          <w:lang w:eastAsia="ja-JP"/>
        </w:rPr>
        <w:t>, ,</w:t>
      </w:r>
      <w:proofErr w:type="gramEnd"/>
      <w:r w:rsidR="00A31794" w:rsidRPr="0086490B">
        <w:rPr>
          <w:rFonts w:cs="Calibri"/>
          <w:sz w:val="22"/>
          <w:lang w:eastAsia="ja-JP"/>
        </w:rPr>
        <w:t xml:space="preserve"> 2.1.6, 2.2.4, 2.2.5, 3.1.1, and 3.1.2,) could result in adverse impacts to the local communities and the receptor environment if project-supported policy initiatives are not adequately screened and assessed. </w:t>
      </w:r>
      <w:r w:rsidR="00A31794" w:rsidRPr="0086490B">
        <w:rPr>
          <w:sz w:val="22"/>
        </w:rPr>
        <w:t>China accounts for more than 80% of the world's total production capacity of Phosphate. As such, the project could inadvertently lead to issues of global and/or cumulative environmental concern if not managed adequately</w:t>
      </w:r>
    </w:p>
    <w:p w14:paraId="4E97D32C" w14:textId="39055DBA" w:rsidR="00AC785C" w:rsidRPr="00981A64" w:rsidRDefault="00AC785C" w:rsidP="00AC785C">
      <w:pPr>
        <w:spacing w:before="0" w:after="160"/>
        <w:ind w:left="720" w:hanging="720"/>
        <w:rPr>
          <w:sz w:val="22"/>
          <w:lang w:eastAsia="zh-CN"/>
        </w:rPr>
      </w:pPr>
    </w:p>
    <w:p w14:paraId="62C314FD" w14:textId="1B13C2D6" w:rsidR="00D2157C" w:rsidRPr="00D2157C" w:rsidRDefault="0086490B" w:rsidP="00D2157C">
      <w:pPr>
        <w:rPr>
          <w:rFonts w:cs="Calibri"/>
          <w:sz w:val="22"/>
        </w:rPr>
      </w:pPr>
      <w:r>
        <w:rPr>
          <w:bCs/>
          <w:sz w:val="22"/>
        </w:rPr>
        <w:t>e</w:t>
      </w:r>
      <w:r w:rsidR="00D2157C" w:rsidRPr="00B002EE">
        <w:rPr>
          <w:rFonts w:cs="Calibri"/>
          <w:bCs/>
          <w:sz w:val="22"/>
        </w:rPr>
        <w:t xml:space="preserve"> </w:t>
      </w:r>
      <w:r w:rsidR="00D2157C" w:rsidRPr="00D2157C">
        <w:rPr>
          <w:rFonts w:cs="Calibri"/>
          <w:sz w:val="22"/>
        </w:rPr>
        <w:t>“moderate” risk</w:t>
      </w:r>
      <w:r w:rsidR="009C18DD">
        <w:rPr>
          <w:rFonts w:cs="Calibri"/>
          <w:sz w:val="22"/>
        </w:rPr>
        <w:t>s</w:t>
      </w:r>
      <w:r w:rsidR="00D2157C" w:rsidRPr="00D2157C">
        <w:rPr>
          <w:rFonts w:cs="Calibri"/>
          <w:sz w:val="22"/>
        </w:rPr>
        <w:t xml:space="preserve"> </w:t>
      </w:r>
      <w:r w:rsidR="009C18DD">
        <w:rPr>
          <w:rFonts w:cs="Calibri"/>
          <w:sz w:val="22"/>
        </w:rPr>
        <w:t xml:space="preserve">which are primarily </w:t>
      </w:r>
      <w:r w:rsidR="00D2157C" w:rsidRPr="00D2157C">
        <w:rPr>
          <w:rFonts w:cs="Calibri"/>
          <w:sz w:val="22"/>
        </w:rPr>
        <w:t>linked to</w:t>
      </w:r>
      <w:r w:rsidR="00E56659">
        <w:rPr>
          <w:rFonts w:cs="Calibri"/>
          <w:sz w:val="22"/>
        </w:rPr>
        <w:t xml:space="preserve"> </w:t>
      </w:r>
      <w:r w:rsidR="00D2157C" w:rsidRPr="00D2157C">
        <w:rPr>
          <w:rFonts w:cs="Calibri"/>
          <w:sz w:val="22"/>
        </w:rPr>
        <w:t>potential impacts on sensitivity</w:t>
      </w:r>
      <w:r w:rsidR="00D2157C">
        <w:rPr>
          <w:rFonts w:cs="Calibri"/>
          <w:sz w:val="22"/>
          <w:lang w:eastAsia="zh-CN"/>
        </w:rPr>
        <w:t xml:space="preserve"> to climate change or related climate impacts</w:t>
      </w:r>
      <w:r w:rsidR="00D2157C">
        <w:rPr>
          <w:rFonts w:cs="Calibri"/>
          <w:sz w:val="22"/>
        </w:rPr>
        <w:t xml:space="preserve">, worker </w:t>
      </w:r>
      <w:r w:rsidR="00D2157C" w:rsidRPr="00D2157C">
        <w:rPr>
          <w:rFonts w:cs="Calibri"/>
          <w:sz w:val="22"/>
        </w:rPr>
        <w:t xml:space="preserve">safety and working conditions. </w:t>
      </w:r>
      <w:r w:rsidR="009A2418">
        <w:rPr>
          <w:rFonts w:cs="Calibri"/>
          <w:sz w:val="22"/>
        </w:rPr>
        <w:t xml:space="preserve">They are as follows: </w:t>
      </w:r>
    </w:p>
    <w:p w14:paraId="73351FD9" w14:textId="77777777" w:rsidR="00A31794" w:rsidRPr="0086490B" w:rsidRDefault="00AC785C" w:rsidP="0086490B">
      <w:pPr>
        <w:spacing w:before="0" w:after="0"/>
        <w:contextualSpacing/>
        <w:jc w:val="left"/>
        <w:rPr>
          <w:rFonts w:cs="Calibri"/>
          <w:sz w:val="22"/>
          <w:lang w:eastAsia="zh-CN"/>
        </w:rPr>
      </w:pPr>
      <w:r w:rsidRPr="00AD66EB">
        <w:rPr>
          <w:sz w:val="22"/>
          <w:lang w:eastAsia="zh-CN"/>
        </w:rPr>
        <w:t xml:space="preserve">Risk </w:t>
      </w:r>
      <w:r w:rsidR="00611C0B" w:rsidRPr="00AD66EB">
        <w:rPr>
          <w:sz w:val="22"/>
          <w:lang w:eastAsia="zh-CN"/>
        </w:rPr>
        <w:t>4</w:t>
      </w:r>
      <w:r w:rsidRPr="00815660">
        <w:rPr>
          <w:sz w:val="22"/>
          <w:lang w:eastAsia="zh-CN"/>
        </w:rPr>
        <w:t xml:space="preserve">:  </w:t>
      </w:r>
      <w:r w:rsidRPr="00815660">
        <w:rPr>
          <w:sz w:val="22"/>
          <w:lang w:eastAsia="zh-CN"/>
        </w:rPr>
        <w:tab/>
      </w:r>
      <w:r w:rsidR="00A31794" w:rsidRPr="0086490B">
        <w:rPr>
          <w:rFonts w:cs="Calibri"/>
          <w:sz w:val="22"/>
          <w:lang w:eastAsia="zh-CN"/>
        </w:rPr>
        <w:t xml:space="preserve">The potential outcomes of the </w:t>
      </w:r>
      <w:proofErr w:type="spellStart"/>
      <w:r w:rsidR="00A31794" w:rsidRPr="0086490B">
        <w:rPr>
          <w:rFonts w:cs="Calibri"/>
          <w:sz w:val="22"/>
          <w:lang w:eastAsia="zh-CN"/>
        </w:rPr>
        <w:t>PhosChemEE</w:t>
      </w:r>
      <w:proofErr w:type="spellEnd"/>
      <w:r w:rsidR="00A31794" w:rsidRPr="0086490B">
        <w:rPr>
          <w:rFonts w:cs="Calibri"/>
          <w:sz w:val="22"/>
          <w:lang w:eastAsia="zh-CN"/>
        </w:rPr>
        <w:t xml:space="preserve"> Project will be sensitive or vulnerable to potential impacts of climate change. </w:t>
      </w:r>
      <w:r w:rsidR="00A31794" w:rsidRPr="0086490B">
        <w:rPr>
          <w:rFonts w:eastAsia="Yu Mincho" w:cs="Arial"/>
          <w:sz w:val="22"/>
          <w:lang w:eastAsia="zh-CN"/>
        </w:rPr>
        <w:t>Yunnan, Sichuan, Guizhou, and Hubei, where the demos are located, have risks of extreme weather</w:t>
      </w:r>
      <w:r w:rsidR="00A31794" w:rsidRPr="0086490B">
        <w:rPr>
          <w:rFonts w:cs="Calibri"/>
          <w:sz w:val="22"/>
          <w:lang w:eastAsia="zh-CN"/>
        </w:rPr>
        <w:t xml:space="preserve"> that are exacerbated by climate change</w:t>
      </w:r>
      <w:r w:rsidR="00A31794" w:rsidRPr="0086490B">
        <w:rPr>
          <w:rFonts w:eastAsia="Yu Mincho" w:cs="Arial"/>
          <w:sz w:val="22"/>
          <w:lang w:eastAsia="zh-CN"/>
        </w:rPr>
        <w:t>.</w:t>
      </w:r>
      <w:r w:rsidR="00A31794" w:rsidRPr="0086490B">
        <w:rPr>
          <w:rFonts w:cs="Calibri"/>
          <w:sz w:val="22"/>
          <w:lang w:eastAsia="zh-CN"/>
        </w:rPr>
        <w:t xml:space="preserve"> Thus, some of the demonstration activities of the project (located outdoors) can be impacted by weather events</w:t>
      </w:r>
    </w:p>
    <w:p w14:paraId="247C608E" w14:textId="7EF1B6B1" w:rsidR="00AC785C" w:rsidRPr="00AD66EB" w:rsidRDefault="00AC785C" w:rsidP="00AC785C">
      <w:pPr>
        <w:spacing w:before="0" w:after="160"/>
        <w:ind w:left="720" w:hanging="720"/>
        <w:rPr>
          <w:sz w:val="22"/>
          <w:lang w:eastAsia="zh-CN"/>
        </w:rPr>
      </w:pPr>
    </w:p>
    <w:p w14:paraId="743FA82A" w14:textId="394FE4E6" w:rsidR="004B499D" w:rsidRPr="0086490B" w:rsidRDefault="00AC785C" w:rsidP="00D2157C">
      <w:pPr>
        <w:spacing w:before="0" w:after="160"/>
        <w:ind w:left="720" w:hanging="720"/>
        <w:rPr>
          <w:rFonts w:cs="Calibri"/>
          <w:sz w:val="22"/>
          <w:lang w:eastAsia="zh-CN"/>
        </w:rPr>
      </w:pPr>
      <w:r w:rsidRPr="00AD66EB">
        <w:rPr>
          <w:sz w:val="22"/>
          <w:lang w:eastAsia="zh-CN"/>
        </w:rPr>
        <w:t xml:space="preserve">Risk </w:t>
      </w:r>
      <w:r w:rsidR="00A31794" w:rsidRPr="00AD66EB">
        <w:rPr>
          <w:sz w:val="22"/>
          <w:lang w:eastAsia="zh-CN"/>
        </w:rPr>
        <w:t>8</w:t>
      </w:r>
      <w:r w:rsidRPr="00AD66EB">
        <w:rPr>
          <w:sz w:val="22"/>
          <w:lang w:eastAsia="zh-CN"/>
        </w:rPr>
        <w:t xml:space="preserve">: </w:t>
      </w:r>
      <w:r w:rsidRPr="00AD66EB">
        <w:rPr>
          <w:sz w:val="22"/>
          <w:lang w:eastAsia="zh-CN"/>
        </w:rPr>
        <w:tab/>
      </w:r>
      <w:r w:rsidR="00A31794" w:rsidRPr="0086490B">
        <w:rPr>
          <w:rFonts w:eastAsia="Times New Roman" w:cs="Calibri"/>
          <w:sz w:val="22"/>
          <w:lang w:eastAsia="ja-JP"/>
        </w:rPr>
        <w:t xml:space="preserve">The </w:t>
      </w:r>
      <w:proofErr w:type="spellStart"/>
      <w:r w:rsidR="00A31794" w:rsidRPr="0086490B">
        <w:rPr>
          <w:rFonts w:eastAsia="Times New Roman" w:cs="Calibri"/>
          <w:sz w:val="22"/>
          <w:lang w:eastAsia="ja-JP"/>
        </w:rPr>
        <w:t>phosphogypsum</w:t>
      </w:r>
      <w:proofErr w:type="spellEnd"/>
      <w:r w:rsidR="00A31794" w:rsidRPr="0086490B">
        <w:rPr>
          <w:rFonts w:eastAsia="Times New Roman" w:cs="Calibri"/>
          <w:sz w:val="22"/>
          <w:lang w:eastAsia="ja-JP"/>
        </w:rPr>
        <w:t xml:space="preserve"> processing and reuse demos have been planned to be implemented in the existing </w:t>
      </w:r>
      <w:r w:rsidR="00A31794" w:rsidRPr="0086490B">
        <w:rPr>
          <w:rFonts w:cs="Calibri"/>
          <w:sz w:val="22"/>
          <w:lang w:eastAsia="zh-CN"/>
        </w:rPr>
        <w:t xml:space="preserve">facility. Legacy pollution issues may </w:t>
      </w:r>
      <w:proofErr w:type="gramStart"/>
      <w:r w:rsidR="00A31794" w:rsidRPr="0086490B">
        <w:rPr>
          <w:rFonts w:cs="Calibri"/>
          <w:sz w:val="22"/>
          <w:lang w:eastAsia="zh-CN"/>
        </w:rPr>
        <w:t>exists</w:t>
      </w:r>
      <w:proofErr w:type="gramEnd"/>
      <w:r w:rsidR="00A31794" w:rsidRPr="0086490B">
        <w:rPr>
          <w:rFonts w:cs="Calibri"/>
          <w:sz w:val="22"/>
          <w:lang w:eastAsia="zh-CN"/>
        </w:rPr>
        <w:t xml:space="preserve"> that have on-going environmental impacts which will have to be managed in line with UNDP SES requirements. </w:t>
      </w:r>
    </w:p>
    <w:p w14:paraId="6191F978" w14:textId="1F0EE7CF" w:rsidR="00A31794" w:rsidRPr="00AD66EB" w:rsidRDefault="00A31794" w:rsidP="00D2157C">
      <w:pPr>
        <w:spacing w:before="0" w:after="160"/>
        <w:ind w:left="720" w:hanging="720"/>
        <w:rPr>
          <w:sz w:val="22"/>
          <w:lang w:eastAsia="zh-CN"/>
        </w:rPr>
      </w:pPr>
      <w:r w:rsidRPr="00AD66EB">
        <w:rPr>
          <w:sz w:val="22"/>
          <w:lang w:eastAsia="zh-CN"/>
        </w:rPr>
        <w:t>Risk 9</w:t>
      </w:r>
      <w:r w:rsidRPr="00815660">
        <w:rPr>
          <w:sz w:val="22"/>
          <w:lang w:eastAsia="zh-CN"/>
        </w:rPr>
        <w:t>:</w:t>
      </w:r>
      <w:r w:rsidRPr="00A37134">
        <w:rPr>
          <w:sz w:val="22"/>
          <w:lang w:eastAsia="zh-CN"/>
        </w:rPr>
        <w:t xml:space="preserve"> </w:t>
      </w:r>
      <w:r w:rsidRPr="0086490B">
        <w:rPr>
          <w:rFonts w:cs="Calibri"/>
          <w:sz w:val="22"/>
          <w:lang w:eastAsia="ja-JP"/>
        </w:rPr>
        <w:t xml:space="preserve">There </w:t>
      </w:r>
      <w:proofErr w:type="gramStart"/>
      <w:r w:rsidRPr="0086490B">
        <w:rPr>
          <w:rFonts w:cs="Calibri"/>
          <w:sz w:val="22"/>
          <w:lang w:eastAsia="ja-JP"/>
        </w:rPr>
        <w:t>is  the</w:t>
      </w:r>
      <w:proofErr w:type="gramEnd"/>
      <w:r w:rsidRPr="0086490B">
        <w:rPr>
          <w:rFonts w:cs="Calibri"/>
          <w:sz w:val="22"/>
          <w:lang w:eastAsia="ja-JP"/>
        </w:rPr>
        <w:t xml:space="preserve"> possibility, that through some possible changes to the use of lands and resources in the </w:t>
      </w:r>
      <w:proofErr w:type="spellStart"/>
      <w:r w:rsidRPr="0086490B">
        <w:rPr>
          <w:rFonts w:eastAsia="Times New Roman" w:cs="Calibri"/>
          <w:sz w:val="22"/>
          <w:lang w:eastAsia="ja-JP"/>
        </w:rPr>
        <w:t>phosphogypsum</w:t>
      </w:r>
      <w:proofErr w:type="spellEnd"/>
      <w:r w:rsidRPr="0086490B">
        <w:rPr>
          <w:rFonts w:eastAsia="Times New Roman" w:cs="Calibri"/>
          <w:sz w:val="22"/>
          <w:lang w:eastAsia="ja-JP"/>
        </w:rPr>
        <w:t xml:space="preserve"> processing and reuse demo</w:t>
      </w:r>
      <w:r w:rsidRPr="0086490B">
        <w:rPr>
          <w:rFonts w:cs="Calibri"/>
          <w:sz w:val="22"/>
          <w:lang w:eastAsia="ja-JP"/>
        </w:rPr>
        <w:t xml:space="preserve"> outputs of the project, access restrictions/economic displacement may occur as a result of indirect impacts emanating from the project’s interventions</w:t>
      </w:r>
      <w:r w:rsidR="0010707F" w:rsidRPr="0086490B">
        <w:rPr>
          <w:rFonts w:cs="Calibri"/>
          <w:sz w:val="22"/>
          <w:lang w:eastAsia="ja-JP"/>
        </w:rPr>
        <w:t>.</w:t>
      </w:r>
    </w:p>
    <w:p w14:paraId="0066C3AF" w14:textId="54895F75" w:rsidR="00F5445E" w:rsidRDefault="00F5445E" w:rsidP="00420A86">
      <w:pPr>
        <w:spacing w:before="0" w:after="0"/>
        <w:rPr>
          <w:rFonts w:cs="Calibri"/>
          <w:sz w:val="22"/>
        </w:rPr>
      </w:pPr>
    </w:p>
    <w:p w14:paraId="7D9D3473" w14:textId="4575F2A6" w:rsidR="001C180F" w:rsidRPr="001C180F" w:rsidRDefault="001C180F" w:rsidP="0086490B">
      <w:pPr>
        <w:spacing w:before="0" w:after="160"/>
        <w:ind w:left="720" w:hanging="720"/>
        <w:rPr>
          <w:sz w:val="22"/>
          <w:lang w:val="en-ZA" w:eastAsia="zh-CN"/>
        </w:rPr>
      </w:pPr>
      <w:r w:rsidRPr="001C180F">
        <w:rPr>
          <w:rFonts w:eastAsiaTheme="majorEastAsia"/>
          <w:sz w:val="22"/>
        </w:rPr>
        <w:t xml:space="preserve">More detailed information on project-specific risks is contained in the completed SESP in </w:t>
      </w:r>
      <w:r w:rsidRPr="001C180F">
        <w:rPr>
          <w:rFonts w:eastAsiaTheme="majorEastAsia"/>
          <w:b/>
          <w:bCs/>
          <w:sz w:val="22"/>
        </w:rPr>
        <w:t>Annex 9.1</w:t>
      </w:r>
      <w:r w:rsidRPr="001C180F">
        <w:rPr>
          <w:rFonts w:eastAsiaTheme="majorEastAsia"/>
          <w:sz w:val="22"/>
        </w:rPr>
        <w:t>.</w:t>
      </w:r>
    </w:p>
    <w:p w14:paraId="12F22E38" w14:textId="6B92C534" w:rsidR="001C180F" w:rsidRPr="001C180F" w:rsidRDefault="001C180F" w:rsidP="001C180F">
      <w:pPr>
        <w:spacing w:before="0" w:after="160"/>
        <w:contextualSpacing/>
        <w:rPr>
          <w:sz w:val="22"/>
          <w:lang w:val="en-ZA" w:eastAsia="zh-CN"/>
        </w:rPr>
      </w:pPr>
      <w:r w:rsidRPr="001C180F">
        <w:rPr>
          <w:sz w:val="22"/>
          <w:lang w:val="en-ZA" w:eastAsia="zh-CN"/>
        </w:rPr>
        <w:t>Further assessment is required as project activities are further defined during the inception phas</w:t>
      </w:r>
      <w:r w:rsidR="0011615D">
        <w:rPr>
          <w:sz w:val="22"/>
          <w:lang w:val="en-ZA" w:eastAsia="zh-CN"/>
        </w:rPr>
        <w:t xml:space="preserve">e. The main areas that will need to be further screened/assessed relate to the demo sites </w:t>
      </w:r>
      <w:r w:rsidR="0011615D" w:rsidRPr="0011615D">
        <w:rPr>
          <w:sz w:val="22"/>
          <w:lang w:val="en-ZA" w:eastAsia="zh-CN"/>
        </w:rPr>
        <w:t>(</w:t>
      </w:r>
      <w:proofErr w:type="gramStart"/>
      <w:r w:rsidR="0011615D" w:rsidRPr="0011615D">
        <w:rPr>
          <w:sz w:val="22"/>
          <w:lang w:val="en-ZA" w:eastAsia="zh-CN"/>
        </w:rPr>
        <w:t>i.e.</w:t>
      </w:r>
      <w:proofErr w:type="gramEnd"/>
      <w:r w:rsidR="0011615D" w:rsidRPr="0086490B">
        <w:rPr>
          <w:rFonts w:eastAsia="Times New Roman" w:cs="Calibri"/>
          <w:lang w:eastAsia="ja-JP"/>
        </w:rPr>
        <w:t xml:space="preserve"> </w:t>
      </w:r>
      <w:r w:rsidR="0011615D" w:rsidRPr="0086490B">
        <w:rPr>
          <w:sz w:val="22"/>
          <w:lang w:eastAsia="zh-CN"/>
        </w:rPr>
        <w:t>Outputs 1.2.2, 2.2.2, 3.2.2</w:t>
      </w:r>
      <w:r w:rsidR="0011615D" w:rsidRPr="0011615D">
        <w:rPr>
          <w:sz w:val="22"/>
          <w:lang w:eastAsia="zh-CN"/>
        </w:rPr>
        <w:t xml:space="preserve">) </w:t>
      </w:r>
      <w:r w:rsidR="00884260">
        <w:rPr>
          <w:sz w:val="22"/>
          <w:lang w:eastAsia="zh-CN"/>
        </w:rPr>
        <w:t xml:space="preserve">that are yet to have their final siting identified. </w:t>
      </w:r>
      <w:proofErr w:type="gramStart"/>
      <w:r w:rsidR="00884260">
        <w:rPr>
          <w:sz w:val="22"/>
          <w:lang w:eastAsia="zh-CN"/>
        </w:rPr>
        <w:t>In order to</w:t>
      </w:r>
      <w:proofErr w:type="gramEnd"/>
      <w:r w:rsidR="00884260">
        <w:rPr>
          <w:sz w:val="22"/>
          <w:lang w:eastAsia="zh-CN"/>
        </w:rPr>
        <w:t xml:space="preserve"> adequately identify, assess and manage</w:t>
      </w:r>
      <w:r w:rsidR="00DB4082">
        <w:rPr>
          <w:sz w:val="22"/>
          <w:lang w:eastAsia="zh-CN"/>
        </w:rPr>
        <w:t>/mitigate</w:t>
      </w:r>
      <w:r w:rsidR="00884260">
        <w:rPr>
          <w:sz w:val="22"/>
          <w:lang w:eastAsia="zh-CN"/>
        </w:rPr>
        <w:t xml:space="preserve"> any of the impacts associated with the construction and operation of the demos, Outputs 1.2.2, 2.2.2 and 3.2.2 cannot commence until site </w:t>
      </w:r>
      <w:r w:rsidR="00DB4082">
        <w:rPr>
          <w:sz w:val="22"/>
          <w:lang w:eastAsia="zh-CN"/>
        </w:rPr>
        <w:t>specific</w:t>
      </w:r>
      <w:r w:rsidR="00884260">
        <w:rPr>
          <w:sz w:val="22"/>
          <w:lang w:eastAsia="zh-CN"/>
        </w:rPr>
        <w:t xml:space="preserve"> risk screening and ESIA´s have been completed</w:t>
      </w:r>
      <w:r w:rsidR="005C2797">
        <w:rPr>
          <w:sz w:val="22"/>
          <w:lang w:eastAsia="zh-CN"/>
        </w:rPr>
        <w:t xml:space="preserve"> and reviewed by </w:t>
      </w:r>
      <w:r w:rsidR="00CD5C72">
        <w:rPr>
          <w:sz w:val="22"/>
          <w:lang w:eastAsia="zh-CN"/>
        </w:rPr>
        <w:t>UNDP</w:t>
      </w:r>
      <w:r w:rsidR="00884260">
        <w:rPr>
          <w:sz w:val="22"/>
          <w:lang w:eastAsia="zh-CN"/>
        </w:rPr>
        <w:t xml:space="preserve">. </w:t>
      </w:r>
    </w:p>
    <w:p w14:paraId="6FE3D95B" w14:textId="77777777" w:rsidR="001C180F" w:rsidRPr="001C180F" w:rsidRDefault="001C180F" w:rsidP="001C180F">
      <w:pPr>
        <w:spacing w:before="0" w:after="160"/>
        <w:contextualSpacing/>
        <w:rPr>
          <w:sz w:val="22"/>
          <w:lang w:val="en-ZA" w:eastAsia="zh-CN"/>
        </w:rPr>
      </w:pPr>
    </w:p>
    <w:p w14:paraId="1B5CB20A" w14:textId="05D2E42C" w:rsidR="001C180F" w:rsidRDefault="001C180F" w:rsidP="00420A86">
      <w:pPr>
        <w:spacing w:before="0" w:after="0"/>
        <w:rPr>
          <w:rFonts w:cs="Calibri"/>
          <w:sz w:val="22"/>
        </w:rPr>
      </w:pPr>
    </w:p>
    <w:p w14:paraId="0688259C" w14:textId="77777777" w:rsidR="001C180F" w:rsidRPr="00420A86" w:rsidRDefault="001C180F" w:rsidP="00420A86">
      <w:pPr>
        <w:spacing w:before="0" w:after="0"/>
        <w:rPr>
          <w:rFonts w:cs="Calibri"/>
          <w:sz w:val="22"/>
        </w:rPr>
      </w:pPr>
    </w:p>
    <w:p w14:paraId="7B93F478" w14:textId="77777777" w:rsidR="00CD177B" w:rsidRPr="00420A86" w:rsidRDefault="007E68B7" w:rsidP="00420A86">
      <w:pPr>
        <w:pStyle w:val="Heading1"/>
        <w:spacing w:before="0" w:after="0"/>
        <w:rPr>
          <w:rFonts w:cs="Calibri"/>
          <w:color w:val="002060"/>
          <w:sz w:val="22"/>
          <w:szCs w:val="22"/>
        </w:rPr>
      </w:pPr>
      <w:bookmarkStart w:id="15" w:name="_Toc86064153"/>
      <w:r w:rsidRPr="00420A86">
        <w:rPr>
          <w:rFonts w:cs="Calibri"/>
          <w:color w:val="002060"/>
          <w:sz w:val="22"/>
          <w:szCs w:val="22"/>
        </w:rPr>
        <w:t>Legislation and Institutional Framework</w:t>
      </w:r>
      <w:r w:rsidR="00AA0633" w:rsidRPr="00420A86">
        <w:rPr>
          <w:rFonts w:cs="Calibri"/>
          <w:color w:val="002060"/>
          <w:sz w:val="22"/>
          <w:szCs w:val="22"/>
        </w:rPr>
        <w:t>s</w:t>
      </w:r>
      <w:r w:rsidR="005A3FBB" w:rsidRPr="00420A86">
        <w:rPr>
          <w:rFonts w:cs="Calibri"/>
          <w:color w:val="002060"/>
          <w:sz w:val="22"/>
          <w:szCs w:val="22"/>
        </w:rPr>
        <w:t xml:space="preserve"> for environmental and social matters</w:t>
      </w:r>
      <w:bookmarkEnd w:id="15"/>
    </w:p>
    <w:p w14:paraId="7616A989" w14:textId="77777777" w:rsidR="00A84577" w:rsidRPr="00420A86" w:rsidRDefault="00A84577" w:rsidP="003E7799">
      <w:bookmarkStart w:id="16" w:name="_Hlk504339398"/>
    </w:p>
    <w:p w14:paraId="5E72D60B" w14:textId="77777777" w:rsidR="007E68B7" w:rsidRPr="00420A86" w:rsidRDefault="00CD46A6" w:rsidP="00420A86">
      <w:pPr>
        <w:pStyle w:val="Heading2"/>
        <w:spacing w:before="0" w:after="0"/>
        <w:ind w:left="567" w:hanging="567"/>
        <w:rPr>
          <w:rFonts w:cs="Calibri"/>
          <w:sz w:val="22"/>
          <w:szCs w:val="22"/>
        </w:rPr>
      </w:pPr>
      <w:bookmarkStart w:id="17" w:name="_Toc86064154"/>
      <w:r w:rsidRPr="00420A86">
        <w:rPr>
          <w:rFonts w:cs="Calibri"/>
          <w:sz w:val="22"/>
          <w:szCs w:val="22"/>
        </w:rPr>
        <w:t xml:space="preserve">National </w:t>
      </w:r>
      <w:r w:rsidR="007E68B7" w:rsidRPr="00420A86">
        <w:rPr>
          <w:rFonts w:cs="Calibri"/>
          <w:sz w:val="22"/>
          <w:szCs w:val="22"/>
        </w:rPr>
        <w:t>Legislation, Policies and Regulations</w:t>
      </w:r>
      <w:bookmarkEnd w:id="17"/>
    </w:p>
    <w:p w14:paraId="768A45C6" w14:textId="77777777" w:rsidR="00A84577" w:rsidRPr="00420A86" w:rsidRDefault="00A84577" w:rsidP="00420A86">
      <w:pPr>
        <w:spacing w:before="0" w:after="0"/>
        <w:rPr>
          <w:rFonts w:cs="Calibri"/>
          <w:sz w:val="22"/>
        </w:rPr>
      </w:pPr>
    </w:p>
    <w:p w14:paraId="31A3BEB5" w14:textId="0E2EC97A" w:rsidR="003B12F8" w:rsidRPr="00420A86" w:rsidRDefault="003B12F8" w:rsidP="00420A86">
      <w:pPr>
        <w:spacing w:before="0" w:after="0"/>
        <w:rPr>
          <w:rFonts w:cs="Calibri"/>
          <w:sz w:val="22"/>
        </w:rPr>
      </w:pPr>
      <w:r w:rsidRPr="00420A86">
        <w:rPr>
          <w:rFonts w:cs="Calibri"/>
          <w:sz w:val="22"/>
        </w:rPr>
        <w:t xml:space="preserve">The following </w:t>
      </w:r>
      <w:r w:rsidR="006D0939">
        <w:rPr>
          <w:rFonts w:cs="Calibri"/>
          <w:sz w:val="22"/>
        </w:rPr>
        <w:t xml:space="preserve">national/host country </w:t>
      </w:r>
      <w:r w:rsidRPr="00420A86">
        <w:rPr>
          <w:rFonts w:cs="Calibri"/>
          <w:sz w:val="22"/>
        </w:rPr>
        <w:t>legislation</w:t>
      </w:r>
      <w:r w:rsidRPr="00420A86">
        <w:rPr>
          <w:rFonts w:cs="Calibri"/>
          <w:sz w:val="22"/>
          <w:lang w:eastAsia="zh-CN"/>
        </w:rPr>
        <w:t>, policies and regulations are</w:t>
      </w:r>
      <w:r w:rsidRPr="00420A86">
        <w:rPr>
          <w:rFonts w:cs="Calibri"/>
          <w:sz w:val="22"/>
        </w:rPr>
        <w:t xml:space="preserve"> relevant to the implementation of the </w:t>
      </w:r>
      <w:proofErr w:type="spellStart"/>
      <w:r w:rsidR="005E4849">
        <w:rPr>
          <w:rFonts w:cs="Calibri"/>
          <w:sz w:val="22"/>
          <w:lang w:eastAsia="zh-CN"/>
        </w:rPr>
        <w:t>PhosChemEE</w:t>
      </w:r>
      <w:proofErr w:type="spellEnd"/>
      <w:r w:rsidRPr="00420A86">
        <w:rPr>
          <w:rFonts w:cs="Calibri"/>
          <w:sz w:val="22"/>
          <w:lang w:eastAsia="zh-CN"/>
        </w:rPr>
        <w:t xml:space="preserve"> </w:t>
      </w:r>
      <w:r w:rsidR="00EB1A4D">
        <w:rPr>
          <w:rFonts w:cs="Calibri"/>
          <w:sz w:val="22"/>
          <w:lang w:eastAsia="zh-CN"/>
        </w:rPr>
        <w:t>P</w:t>
      </w:r>
      <w:r w:rsidRPr="00420A86">
        <w:rPr>
          <w:rFonts w:cs="Calibri"/>
          <w:sz w:val="22"/>
          <w:lang w:eastAsia="zh-CN"/>
        </w:rPr>
        <w:t>roject</w:t>
      </w:r>
      <w:r w:rsidRPr="00420A86">
        <w:rPr>
          <w:rFonts w:cs="Calibri"/>
          <w:sz w:val="22"/>
        </w:rPr>
        <w:t>.</w:t>
      </w:r>
    </w:p>
    <w:p w14:paraId="71D7F04E" w14:textId="77777777" w:rsidR="00A84577" w:rsidRPr="00420A86" w:rsidRDefault="00A84577" w:rsidP="00420A86">
      <w:pPr>
        <w:spacing w:before="0" w:after="0"/>
        <w:rPr>
          <w:rFonts w:cs="Calibri"/>
          <w:b/>
          <w:sz w:val="22"/>
          <w:u w:val="single"/>
          <w:lang w:eastAsia="zh-CN"/>
        </w:rPr>
      </w:pPr>
    </w:p>
    <w:p w14:paraId="042AD647" w14:textId="77777777" w:rsidR="003B12F8" w:rsidRPr="00420A86" w:rsidRDefault="003B12F8" w:rsidP="00420A86">
      <w:pPr>
        <w:spacing w:before="0" w:after="0"/>
        <w:rPr>
          <w:rFonts w:cs="Calibri"/>
          <w:b/>
          <w:sz w:val="22"/>
          <w:u w:val="single"/>
          <w:lang w:eastAsia="zh-CN"/>
        </w:rPr>
      </w:pPr>
      <w:r w:rsidRPr="00420A86">
        <w:rPr>
          <w:rFonts w:cs="Calibri"/>
          <w:b/>
          <w:sz w:val="22"/>
          <w:u w:val="single"/>
          <w:lang w:eastAsia="zh-CN"/>
        </w:rPr>
        <w:t xml:space="preserve">General </w:t>
      </w:r>
      <w:r w:rsidR="00EB1A4D">
        <w:rPr>
          <w:rFonts w:cs="Calibri"/>
          <w:b/>
          <w:sz w:val="22"/>
          <w:u w:val="single"/>
          <w:lang w:eastAsia="zh-CN"/>
        </w:rPr>
        <w:t>E</w:t>
      </w:r>
      <w:r w:rsidRPr="00420A86">
        <w:rPr>
          <w:rFonts w:cs="Calibri"/>
          <w:b/>
          <w:sz w:val="22"/>
          <w:u w:val="single"/>
          <w:lang w:eastAsia="zh-CN"/>
        </w:rPr>
        <w:t xml:space="preserve">nvironmental </w:t>
      </w:r>
      <w:r w:rsidR="00EB1A4D">
        <w:rPr>
          <w:rFonts w:cs="Calibri"/>
          <w:b/>
          <w:sz w:val="22"/>
          <w:u w:val="single"/>
          <w:lang w:eastAsia="zh-CN"/>
        </w:rPr>
        <w:t>M</w:t>
      </w:r>
      <w:r w:rsidR="00961810" w:rsidRPr="00420A86">
        <w:rPr>
          <w:rFonts w:cs="Calibri"/>
          <w:b/>
          <w:sz w:val="22"/>
          <w:u w:val="single"/>
          <w:lang w:eastAsia="zh-CN"/>
        </w:rPr>
        <w:t>anagement</w:t>
      </w:r>
      <w:r w:rsidRPr="00420A86">
        <w:rPr>
          <w:rFonts w:cs="Calibri"/>
          <w:b/>
          <w:sz w:val="22"/>
          <w:u w:val="single"/>
          <w:lang w:eastAsia="zh-CN"/>
        </w:rPr>
        <w:t>:</w:t>
      </w:r>
    </w:p>
    <w:p w14:paraId="7A6B11AB" w14:textId="77777777" w:rsidR="00A84577" w:rsidRPr="00420A86" w:rsidRDefault="00A84577" w:rsidP="00420A86">
      <w:pPr>
        <w:spacing w:before="0" w:after="0"/>
        <w:rPr>
          <w:rFonts w:cs="Calibri"/>
          <w:sz w:val="22"/>
          <w:lang w:eastAsia="zh-CN"/>
        </w:rPr>
      </w:pPr>
    </w:p>
    <w:p w14:paraId="7891CFF1" w14:textId="77777777" w:rsidR="00961810" w:rsidRPr="00420A86" w:rsidRDefault="00961810" w:rsidP="00420A86">
      <w:pPr>
        <w:spacing w:before="0" w:after="0"/>
        <w:rPr>
          <w:rFonts w:cs="Calibri"/>
          <w:sz w:val="22"/>
          <w:lang w:eastAsia="zh-CN"/>
        </w:rPr>
      </w:pPr>
      <w:r w:rsidRPr="00420A86">
        <w:rPr>
          <w:rFonts w:cs="Calibri"/>
          <w:sz w:val="22"/>
          <w:lang w:eastAsia="zh-CN"/>
        </w:rPr>
        <w:lastRenderedPageBreak/>
        <w:t xml:space="preserve">President Xi Jinping put forward in the general debate of the seventy-fifth UN General Assembly: "China will enhance the state's independent contribution and adopt more effective policies and measures. </w:t>
      </w:r>
      <w:r w:rsidRPr="00420A86">
        <w:rPr>
          <w:rFonts w:cs="Calibri"/>
          <w:b/>
          <w:sz w:val="22"/>
          <w:lang w:eastAsia="zh-CN"/>
        </w:rPr>
        <w:t xml:space="preserve">Carbon dioxide emissions will strive to peak before </w:t>
      </w:r>
      <w:r w:rsidR="00296E36" w:rsidRPr="00420A86">
        <w:rPr>
          <w:rFonts w:cs="Calibri"/>
          <w:b/>
          <w:sz w:val="22"/>
          <w:lang w:eastAsia="zh-CN"/>
        </w:rPr>
        <w:t>2030 and</w:t>
      </w:r>
      <w:r w:rsidRPr="00420A86">
        <w:rPr>
          <w:rFonts w:cs="Calibri"/>
          <w:b/>
          <w:sz w:val="22"/>
          <w:lang w:eastAsia="zh-CN"/>
        </w:rPr>
        <w:t xml:space="preserve"> strive to achieve carbon neutralization by 2060</w:t>
      </w:r>
      <w:r w:rsidRPr="00420A86">
        <w:rPr>
          <w:rFonts w:cs="Calibri"/>
          <w:sz w:val="22"/>
          <w:lang w:eastAsia="zh-CN"/>
        </w:rPr>
        <w:t>."</w:t>
      </w:r>
      <w:r w:rsidRPr="00420A86">
        <w:rPr>
          <w:rFonts w:cs="Calibri"/>
          <w:sz w:val="22"/>
        </w:rPr>
        <w:t xml:space="preserve"> </w:t>
      </w:r>
      <w:r w:rsidRPr="00420A86">
        <w:rPr>
          <w:rFonts w:cs="Calibri"/>
          <w:sz w:val="22"/>
          <w:lang w:eastAsia="zh-CN"/>
        </w:rPr>
        <w:t>This goal is extremely consistent with the</w:t>
      </w:r>
      <w:r w:rsidRPr="00420A86">
        <w:rPr>
          <w:rFonts w:cs="Calibri"/>
          <w:sz w:val="22"/>
        </w:rPr>
        <w:t xml:space="preserve"> </w:t>
      </w:r>
      <w:r w:rsidR="00296E36" w:rsidRPr="00420A86">
        <w:rPr>
          <w:rFonts w:cs="Calibri"/>
          <w:sz w:val="22"/>
          <w:lang w:eastAsia="zh-CN"/>
        </w:rPr>
        <w:t>zero-carbon</w:t>
      </w:r>
      <w:r w:rsidRPr="00420A86">
        <w:rPr>
          <w:rFonts w:cs="Calibri"/>
          <w:sz w:val="22"/>
          <w:lang w:eastAsia="zh-CN"/>
        </w:rPr>
        <w:t xml:space="preserve"> community constructed by this project.</w:t>
      </w:r>
    </w:p>
    <w:p w14:paraId="0CE35673" w14:textId="77777777" w:rsidR="00A84577" w:rsidRPr="00420A86" w:rsidRDefault="00A84577" w:rsidP="00420A86">
      <w:pPr>
        <w:spacing w:before="0" w:after="0"/>
        <w:rPr>
          <w:rFonts w:cs="Calibri"/>
          <w:sz w:val="22"/>
          <w:lang w:eastAsia="zh-CN"/>
        </w:rPr>
      </w:pPr>
    </w:p>
    <w:p w14:paraId="08784409" w14:textId="77777777" w:rsidR="003B12F8" w:rsidRPr="00420A86" w:rsidRDefault="003B12F8" w:rsidP="00420A86">
      <w:pPr>
        <w:spacing w:before="0" w:after="0"/>
        <w:rPr>
          <w:rFonts w:cs="Calibri"/>
          <w:sz w:val="22"/>
          <w:lang w:eastAsia="zh-CN"/>
        </w:rPr>
      </w:pPr>
      <w:r w:rsidRPr="00420A86">
        <w:rPr>
          <w:rFonts w:cs="Calibri"/>
          <w:sz w:val="22"/>
          <w:lang w:eastAsia="zh-CN"/>
        </w:rPr>
        <w:t xml:space="preserve">The </w:t>
      </w:r>
      <w:r w:rsidR="00C37C6B">
        <w:rPr>
          <w:rFonts w:cs="Calibri"/>
          <w:b/>
          <w:sz w:val="22"/>
          <w:lang w:eastAsia="zh-CN"/>
        </w:rPr>
        <w:t>E</w:t>
      </w:r>
      <w:r w:rsidRPr="00420A86">
        <w:rPr>
          <w:rFonts w:cs="Calibri"/>
          <w:b/>
          <w:sz w:val="22"/>
          <w:lang w:eastAsia="zh-CN"/>
        </w:rPr>
        <w:t xml:space="preserve">nvironmental </w:t>
      </w:r>
      <w:r w:rsidR="00EB1A4D">
        <w:rPr>
          <w:rFonts w:cs="Calibri"/>
          <w:b/>
          <w:sz w:val="22"/>
          <w:lang w:eastAsia="zh-CN"/>
        </w:rPr>
        <w:t>P</w:t>
      </w:r>
      <w:r w:rsidRPr="00420A86">
        <w:rPr>
          <w:rFonts w:cs="Calibri"/>
          <w:b/>
          <w:sz w:val="22"/>
          <w:lang w:eastAsia="zh-CN"/>
        </w:rPr>
        <w:t xml:space="preserve">rotection </w:t>
      </w:r>
      <w:r w:rsidR="00EB1A4D">
        <w:rPr>
          <w:rFonts w:cs="Calibri"/>
          <w:b/>
          <w:sz w:val="22"/>
          <w:lang w:eastAsia="zh-CN"/>
        </w:rPr>
        <w:t>L</w:t>
      </w:r>
      <w:r w:rsidRPr="00420A86">
        <w:rPr>
          <w:rFonts w:cs="Calibri"/>
          <w:b/>
          <w:sz w:val="22"/>
          <w:lang w:eastAsia="zh-CN"/>
        </w:rPr>
        <w:t>aw</w:t>
      </w:r>
      <w:r w:rsidRPr="00420A86">
        <w:rPr>
          <w:rFonts w:cs="Calibri"/>
          <w:sz w:val="22"/>
          <w:lang w:eastAsia="zh-CN"/>
        </w:rPr>
        <w:t xml:space="preserve"> (2015) </w:t>
      </w:r>
      <w:r w:rsidR="00EB1A4D">
        <w:rPr>
          <w:rFonts w:cs="Calibri"/>
          <w:sz w:val="22"/>
          <w:lang w:eastAsia="zh-CN"/>
        </w:rPr>
        <w:t>was</w:t>
      </w:r>
      <w:r w:rsidRPr="00420A86">
        <w:rPr>
          <w:rFonts w:cs="Calibri"/>
          <w:sz w:val="22"/>
          <w:lang w:eastAsia="zh-CN"/>
        </w:rPr>
        <w:t xml:space="preserve"> formulated to protect and improve the living environment and ecological environment, prevent and control pollution and other public hazards, protect human health, and promote the development of socialist modernization. </w:t>
      </w:r>
      <w:r w:rsidR="00EB1A4D">
        <w:rPr>
          <w:rFonts w:cs="Calibri"/>
          <w:sz w:val="22"/>
          <w:lang w:eastAsia="zh-CN"/>
        </w:rPr>
        <w:t xml:space="preserve">This Law </w:t>
      </w:r>
      <w:r w:rsidRPr="00420A86">
        <w:rPr>
          <w:rFonts w:cs="Calibri"/>
          <w:sz w:val="22"/>
          <w:lang w:eastAsia="zh-CN"/>
        </w:rPr>
        <w:t xml:space="preserve">declares that environmental protection is the basic national policy of the country. The State adopts economic and technological policies and measures conducive to saving and recycling resources, </w:t>
      </w:r>
      <w:r w:rsidR="00296E36" w:rsidRPr="00420A86">
        <w:rPr>
          <w:rFonts w:cs="Calibri"/>
          <w:sz w:val="22"/>
          <w:lang w:eastAsia="zh-CN"/>
        </w:rPr>
        <w:t>protecting,</w:t>
      </w:r>
      <w:r w:rsidRPr="00420A86">
        <w:rPr>
          <w:rFonts w:cs="Calibri"/>
          <w:sz w:val="22"/>
          <w:lang w:eastAsia="zh-CN"/>
        </w:rPr>
        <w:t xml:space="preserve"> and improving the environment, and promoting harmony between man and nature, </w:t>
      </w:r>
      <w:r w:rsidR="00296E36" w:rsidRPr="00420A86">
        <w:rPr>
          <w:rFonts w:cs="Calibri"/>
          <w:sz w:val="22"/>
          <w:lang w:eastAsia="zh-CN"/>
        </w:rPr>
        <w:t>to</w:t>
      </w:r>
      <w:r w:rsidRPr="00420A86">
        <w:rPr>
          <w:rFonts w:cs="Calibri"/>
          <w:sz w:val="22"/>
          <w:lang w:eastAsia="zh-CN"/>
        </w:rPr>
        <w:t xml:space="preserve"> coordinate economic and social development with environmental protection. Among the</w:t>
      </w:r>
      <w:r w:rsidR="00EB1A4D">
        <w:rPr>
          <w:rFonts w:cs="Calibri"/>
          <w:sz w:val="22"/>
          <w:lang w:eastAsia="zh-CN"/>
        </w:rPr>
        <w:t>se</w:t>
      </w:r>
      <w:r w:rsidRPr="00420A86">
        <w:rPr>
          <w:rFonts w:cs="Calibri"/>
          <w:sz w:val="22"/>
          <w:lang w:eastAsia="zh-CN"/>
        </w:rPr>
        <w:t xml:space="preserve">, Article 36 stipulates that the State encourages and guides citizens, legal </w:t>
      </w:r>
      <w:proofErr w:type="gramStart"/>
      <w:r w:rsidRPr="00420A86">
        <w:rPr>
          <w:rFonts w:cs="Calibri"/>
          <w:sz w:val="22"/>
          <w:lang w:eastAsia="zh-CN"/>
        </w:rPr>
        <w:t>persons</w:t>
      </w:r>
      <w:proofErr w:type="gramEnd"/>
      <w:r w:rsidRPr="00420A86">
        <w:rPr>
          <w:rFonts w:cs="Calibri"/>
          <w:sz w:val="22"/>
          <w:lang w:eastAsia="zh-CN"/>
        </w:rPr>
        <w:t xml:space="preserve"> and other organizations to use products and recycled products that are conducive to environmental protection to reduce the generation of wastes; Article 40 stipulates that the state promotes cleaner production and resource recycling.</w:t>
      </w:r>
    </w:p>
    <w:p w14:paraId="08D6C0F9" w14:textId="77777777" w:rsidR="00A84577" w:rsidRPr="00420A86" w:rsidRDefault="00A84577" w:rsidP="00420A86">
      <w:pPr>
        <w:spacing w:before="0" w:after="0"/>
        <w:rPr>
          <w:rFonts w:cs="Calibri"/>
          <w:sz w:val="22"/>
          <w:lang w:eastAsia="zh-CN"/>
        </w:rPr>
      </w:pPr>
    </w:p>
    <w:p w14:paraId="31B5D0AC" w14:textId="35785022" w:rsidR="003B12F8" w:rsidRPr="00420A86" w:rsidRDefault="003B12F8" w:rsidP="00420A86">
      <w:pPr>
        <w:spacing w:before="0" w:after="0"/>
        <w:rPr>
          <w:rFonts w:cs="Calibri"/>
          <w:sz w:val="22"/>
          <w:lang w:eastAsia="zh-CN"/>
        </w:rPr>
      </w:pPr>
      <w:r w:rsidRPr="00420A86">
        <w:rPr>
          <w:rFonts w:cs="Calibri"/>
          <w:sz w:val="22"/>
          <w:lang w:eastAsia="zh-CN"/>
        </w:rPr>
        <w:t xml:space="preserve">The </w:t>
      </w:r>
      <w:r w:rsidRPr="00420A86">
        <w:rPr>
          <w:rFonts w:cs="Calibri"/>
          <w:b/>
          <w:sz w:val="22"/>
          <w:lang w:eastAsia="zh-CN"/>
        </w:rPr>
        <w:t>Environmental Impact Assessment Law</w:t>
      </w:r>
      <w:r w:rsidRPr="00420A86">
        <w:rPr>
          <w:rFonts w:cs="Calibri"/>
          <w:sz w:val="22"/>
          <w:lang w:eastAsia="zh-CN"/>
        </w:rPr>
        <w:t xml:space="preserve"> (2003, reviewed in 2018) </w:t>
      </w:r>
      <w:r w:rsidR="00EB1A4D">
        <w:rPr>
          <w:rFonts w:cs="Calibri"/>
          <w:sz w:val="22"/>
          <w:lang w:eastAsia="zh-CN"/>
        </w:rPr>
        <w:t>was</w:t>
      </w:r>
      <w:r w:rsidRPr="00420A86">
        <w:rPr>
          <w:rFonts w:cs="Calibri"/>
          <w:sz w:val="22"/>
          <w:lang w:eastAsia="zh-CN"/>
        </w:rPr>
        <w:t xml:space="preserve"> designed to implement sustainable development strategy, prevent adverse impact on the environment after the implementation of planning and constructions projects, and promote the coordinated development of economy, society</w:t>
      </w:r>
      <w:r w:rsidR="00E56659">
        <w:rPr>
          <w:rFonts w:cs="Calibri"/>
          <w:sz w:val="22"/>
          <w:lang w:eastAsia="zh-CN"/>
        </w:rPr>
        <w:t>,</w:t>
      </w:r>
      <w:r w:rsidRPr="00420A86">
        <w:rPr>
          <w:rFonts w:cs="Calibri"/>
          <w:sz w:val="22"/>
          <w:lang w:eastAsia="zh-CN"/>
        </w:rPr>
        <w:t xml:space="preserve"> and environment.</w:t>
      </w:r>
    </w:p>
    <w:p w14:paraId="27132383" w14:textId="77777777" w:rsidR="00A84577" w:rsidRPr="00420A86" w:rsidRDefault="00A84577" w:rsidP="00420A86">
      <w:pPr>
        <w:spacing w:before="0" w:after="0"/>
        <w:rPr>
          <w:rFonts w:cs="Calibri"/>
          <w:sz w:val="22"/>
          <w:lang w:eastAsia="zh-CN"/>
        </w:rPr>
      </w:pPr>
    </w:p>
    <w:p w14:paraId="244627F1" w14:textId="2A045932" w:rsidR="003B12F8" w:rsidRDefault="003B12F8" w:rsidP="00420A86">
      <w:pPr>
        <w:spacing w:before="0" w:after="0"/>
        <w:rPr>
          <w:rFonts w:cs="Calibri"/>
          <w:sz w:val="22"/>
          <w:lang w:eastAsia="zh-CN"/>
        </w:rPr>
      </w:pPr>
      <w:r w:rsidRPr="00420A86">
        <w:rPr>
          <w:rFonts w:cs="Calibri"/>
          <w:sz w:val="22"/>
          <w:lang w:eastAsia="zh-CN"/>
        </w:rPr>
        <w:t xml:space="preserve">Articles 4 and 6 of </w:t>
      </w:r>
      <w:r w:rsidRPr="00420A86">
        <w:rPr>
          <w:rFonts w:cs="Calibri"/>
          <w:b/>
          <w:sz w:val="22"/>
          <w:lang w:eastAsia="zh-CN"/>
        </w:rPr>
        <w:t>the Cleaner Production Promotion Law</w:t>
      </w:r>
      <w:r w:rsidRPr="00420A86">
        <w:rPr>
          <w:rFonts w:cs="Calibri"/>
          <w:sz w:val="22"/>
          <w:lang w:eastAsia="zh-CN"/>
        </w:rPr>
        <w:t xml:space="preserve"> (2003) stipulate that the State encourages and promotes cleaner production and scientific research, technological development and international cooperation related to cleaner production. In addition, it also organizes publicity and popularization of cleaner production knowledge and promotes cleaner production technology. </w:t>
      </w:r>
      <w:r w:rsidR="00296E36" w:rsidRPr="00420A86">
        <w:rPr>
          <w:rFonts w:cs="Calibri"/>
          <w:sz w:val="22"/>
          <w:lang w:eastAsia="zh-CN"/>
        </w:rPr>
        <w:t>To</w:t>
      </w:r>
      <w:r w:rsidRPr="00420A86">
        <w:rPr>
          <w:rFonts w:cs="Calibri"/>
          <w:sz w:val="22"/>
          <w:lang w:eastAsia="zh-CN"/>
        </w:rPr>
        <w:t xml:space="preserve"> promote cleaner production, the law also formulated relevant provisions on financial support and information system establishment. During the implementation of cleaner production, industry, </w:t>
      </w:r>
      <w:r w:rsidR="00296E36" w:rsidRPr="00420A86">
        <w:rPr>
          <w:rFonts w:cs="Calibri"/>
          <w:sz w:val="22"/>
          <w:lang w:eastAsia="zh-CN"/>
        </w:rPr>
        <w:t>agriculture,</w:t>
      </w:r>
      <w:r w:rsidRPr="00420A86">
        <w:rPr>
          <w:rFonts w:cs="Calibri"/>
          <w:sz w:val="22"/>
          <w:lang w:eastAsia="zh-CN"/>
        </w:rPr>
        <w:t xml:space="preserve"> and service sectors have corresponding legal provisions.</w:t>
      </w:r>
    </w:p>
    <w:p w14:paraId="66F23093" w14:textId="77777777" w:rsidR="00772A4C" w:rsidRDefault="00772A4C" w:rsidP="00772A4C">
      <w:pPr>
        <w:spacing w:before="0" w:after="0"/>
        <w:rPr>
          <w:rFonts w:cs="Calibri"/>
          <w:bCs/>
          <w:i/>
          <w:sz w:val="22"/>
          <w:lang w:eastAsia="zh-CN"/>
        </w:rPr>
      </w:pPr>
    </w:p>
    <w:p w14:paraId="7F568CD4" w14:textId="2102D86E" w:rsidR="00304FFB" w:rsidRDefault="00304FFB" w:rsidP="00772A4C">
      <w:pPr>
        <w:spacing w:before="0" w:after="0"/>
        <w:rPr>
          <w:rFonts w:cs="Calibri"/>
          <w:b/>
          <w:iCs/>
          <w:sz w:val="22"/>
          <w:lang w:eastAsia="zh-CN"/>
        </w:rPr>
      </w:pPr>
      <w:r w:rsidRPr="00304FFB">
        <w:rPr>
          <w:rFonts w:cs="Calibri"/>
          <w:bCs/>
          <w:i/>
          <w:sz w:val="22"/>
          <w:lang w:eastAsia="zh-CN"/>
        </w:rPr>
        <w:t xml:space="preserve"> </w:t>
      </w:r>
      <w:r w:rsidRPr="0086490B">
        <w:rPr>
          <w:rFonts w:cs="Calibri"/>
          <w:b/>
          <w:iCs/>
          <w:sz w:val="22"/>
          <w:lang w:eastAsia="zh-CN"/>
        </w:rPr>
        <w:t>Legislation Related to Air, Water and Noise Standards</w:t>
      </w:r>
      <w:r w:rsidR="00772A4C">
        <w:rPr>
          <w:rFonts w:cs="Calibri"/>
          <w:b/>
          <w:iCs/>
          <w:sz w:val="22"/>
          <w:lang w:eastAsia="zh-CN"/>
        </w:rPr>
        <w:t xml:space="preserve">: </w:t>
      </w:r>
    </w:p>
    <w:p w14:paraId="0535B022" w14:textId="77777777" w:rsidR="00772A4C" w:rsidRPr="0086490B" w:rsidRDefault="00772A4C" w:rsidP="0086490B">
      <w:pPr>
        <w:spacing w:before="0" w:after="0"/>
        <w:rPr>
          <w:rFonts w:cs="Calibri"/>
          <w:b/>
          <w:iCs/>
          <w:sz w:val="22"/>
          <w:lang w:eastAsia="zh-CN"/>
        </w:rPr>
      </w:pPr>
    </w:p>
    <w:p w14:paraId="36658BB7" w14:textId="4C221D2C" w:rsidR="00304FFB" w:rsidRDefault="00304FFB" w:rsidP="00304FFB">
      <w:pPr>
        <w:spacing w:before="0" w:after="0"/>
        <w:rPr>
          <w:rFonts w:cs="Calibri"/>
          <w:sz w:val="22"/>
          <w:lang w:val="en-US" w:eastAsia="zh-CN"/>
        </w:rPr>
      </w:pPr>
      <w:r w:rsidRPr="00304FFB">
        <w:rPr>
          <w:rFonts w:cs="Calibri"/>
          <w:sz w:val="22"/>
          <w:lang w:val="en-US" w:eastAsia="zh-CN"/>
        </w:rPr>
        <w:t xml:space="preserve">The aim of </w:t>
      </w:r>
      <w:r w:rsidRPr="00304FFB">
        <w:rPr>
          <w:rFonts w:cs="Calibri"/>
          <w:b/>
          <w:bCs/>
          <w:sz w:val="22"/>
          <w:lang w:val="en-US" w:eastAsia="zh-CN"/>
        </w:rPr>
        <w:t>Law of the People's Republic of China on the Prevention and Control of Atmospheric Pollution</w:t>
      </w:r>
      <w:r w:rsidRPr="00304FFB">
        <w:rPr>
          <w:rFonts w:cs="Calibri" w:hint="eastAsia"/>
          <w:sz w:val="22"/>
          <w:lang w:val="en-US" w:eastAsia="zh-CN"/>
        </w:rPr>
        <w:t>（</w:t>
      </w:r>
      <w:r w:rsidRPr="00304FFB">
        <w:rPr>
          <w:rFonts w:cs="Calibri"/>
          <w:sz w:val="22"/>
          <w:lang w:val="en-US" w:eastAsia="zh-CN"/>
        </w:rPr>
        <w:t xml:space="preserve">revised in </w:t>
      </w:r>
      <w:r w:rsidRPr="00304FFB">
        <w:rPr>
          <w:rFonts w:cs="Calibri" w:hint="eastAsia"/>
          <w:sz w:val="22"/>
          <w:lang w:val="en-US" w:eastAsia="zh-CN"/>
        </w:rPr>
        <w:t>2</w:t>
      </w:r>
      <w:r w:rsidRPr="00304FFB">
        <w:rPr>
          <w:rFonts w:cs="Calibri"/>
          <w:sz w:val="22"/>
          <w:lang w:val="en-US" w:eastAsia="zh-CN"/>
        </w:rPr>
        <w:t>018</w:t>
      </w:r>
      <w:r w:rsidRPr="00304FFB">
        <w:rPr>
          <w:rFonts w:cs="Calibri" w:hint="eastAsia"/>
          <w:sz w:val="22"/>
          <w:lang w:val="en-US" w:eastAsia="zh-CN"/>
        </w:rPr>
        <w:t>）</w:t>
      </w:r>
      <w:r w:rsidRPr="00304FFB">
        <w:rPr>
          <w:rFonts w:cs="Calibri"/>
          <w:sz w:val="22"/>
          <w:lang w:val="en-US" w:eastAsia="zh-CN"/>
        </w:rPr>
        <w:t xml:space="preserve">is to protect and improve the environment, </w:t>
      </w:r>
      <w:proofErr w:type="gramStart"/>
      <w:r w:rsidRPr="00304FFB">
        <w:rPr>
          <w:rFonts w:cs="Calibri"/>
          <w:sz w:val="22"/>
          <w:lang w:val="en-US" w:eastAsia="zh-CN"/>
        </w:rPr>
        <w:t>prevent</w:t>
      </w:r>
      <w:proofErr w:type="gramEnd"/>
      <w:r w:rsidRPr="00304FFB">
        <w:rPr>
          <w:rFonts w:cs="Calibri"/>
          <w:sz w:val="22"/>
          <w:lang w:val="en-US" w:eastAsia="zh-CN"/>
        </w:rPr>
        <w:t xml:space="preserve"> and control air pollution, safeguard public health, promote ecological civilization and promote sustainable economic and social development. The law stipulates that </w:t>
      </w:r>
      <w:r w:rsidRPr="00304FFB">
        <w:rPr>
          <w:rFonts w:cs="Calibri" w:hint="eastAsia"/>
          <w:sz w:val="22"/>
          <w:lang w:val="en-US" w:eastAsia="zh-CN"/>
        </w:rPr>
        <w:t>t</w:t>
      </w:r>
      <w:r w:rsidRPr="00304FFB">
        <w:rPr>
          <w:rFonts w:cs="Calibri"/>
          <w:sz w:val="22"/>
          <w:lang w:val="en-US" w:eastAsia="zh-CN"/>
        </w:rPr>
        <w:t>he competent ecological and environmental departments of the people's governments at or above the county level shall exercise unified supervision and administration over the prevention and control of air pollution. Other relevant departments of the people's governments at or above the county level shall, within the scope of their respective functions and duties, exercise supervision and administration over the prevention and control of air pollution.</w:t>
      </w:r>
      <w:r w:rsidRPr="00304FFB">
        <w:rPr>
          <w:rFonts w:cs="Calibri" w:hint="eastAsia"/>
          <w:sz w:val="22"/>
          <w:lang w:val="en-US" w:eastAsia="zh-CN"/>
        </w:rPr>
        <w:t xml:space="preserve"> </w:t>
      </w:r>
    </w:p>
    <w:p w14:paraId="53C60C0E" w14:textId="77777777" w:rsidR="00754EAF" w:rsidRPr="00304FFB" w:rsidRDefault="00754EAF" w:rsidP="00304FFB">
      <w:pPr>
        <w:spacing w:before="0" w:after="0"/>
        <w:rPr>
          <w:rFonts w:cs="Calibri"/>
          <w:sz w:val="22"/>
          <w:lang w:val="en-US" w:eastAsia="zh-CN"/>
        </w:rPr>
      </w:pPr>
    </w:p>
    <w:p w14:paraId="70ADB821" w14:textId="6FC96494" w:rsidR="00304FFB" w:rsidRDefault="00304FFB" w:rsidP="00304FFB">
      <w:pPr>
        <w:spacing w:before="0" w:after="0"/>
        <w:rPr>
          <w:rFonts w:cs="Calibri"/>
          <w:sz w:val="22"/>
          <w:lang w:val="en-US" w:eastAsia="zh-CN"/>
        </w:rPr>
      </w:pPr>
      <w:r w:rsidRPr="00304FFB">
        <w:rPr>
          <w:rFonts w:cs="Calibri"/>
          <w:sz w:val="22"/>
          <w:lang w:val="en-US" w:eastAsia="zh-CN"/>
        </w:rPr>
        <w:t xml:space="preserve">The </w:t>
      </w:r>
      <w:r w:rsidRPr="00304FFB">
        <w:rPr>
          <w:rFonts w:cs="Calibri" w:hint="eastAsia"/>
          <w:sz w:val="22"/>
          <w:lang w:val="en-US" w:eastAsia="zh-CN"/>
        </w:rPr>
        <w:t>goal</w:t>
      </w:r>
      <w:r w:rsidRPr="00304FFB">
        <w:rPr>
          <w:rFonts w:cs="Calibri"/>
          <w:sz w:val="22"/>
          <w:lang w:val="en-US" w:eastAsia="zh-CN"/>
        </w:rPr>
        <w:t xml:space="preserve"> of the </w:t>
      </w:r>
      <w:r w:rsidRPr="00304FFB">
        <w:rPr>
          <w:rFonts w:cs="Calibri"/>
          <w:b/>
          <w:bCs/>
          <w:sz w:val="22"/>
          <w:lang w:val="en-US" w:eastAsia="zh-CN"/>
        </w:rPr>
        <w:t>Law of the People's Republic of China on the Prevention and Control of Noise Pollution</w:t>
      </w:r>
      <w:r w:rsidRPr="00304FFB">
        <w:rPr>
          <w:rFonts w:cs="Calibri" w:hint="eastAsia"/>
          <w:b/>
          <w:bCs/>
          <w:sz w:val="22"/>
          <w:lang w:val="en-US" w:eastAsia="zh-CN"/>
        </w:rPr>
        <w:t>（</w:t>
      </w:r>
      <w:r w:rsidRPr="00304FFB">
        <w:rPr>
          <w:rFonts w:cs="Calibri"/>
          <w:b/>
          <w:bCs/>
          <w:sz w:val="22"/>
          <w:lang w:val="en-US" w:eastAsia="zh-CN"/>
        </w:rPr>
        <w:t>2022</w:t>
      </w:r>
      <w:r w:rsidRPr="00304FFB">
        <w:rPr>
          <w:rFonts w:cs="Calibri" w:hint="eastAsia"/>
          <w:b/>
          <w:bCs/>
          <w:sz w:val="22"/>
          <w:lang w:val="en-US" w:eastAsia="zh-CN"/>
        </w:rPr>
        <w:t>）</w:t>
      </w:r>
      <w:r w:rsidRPr="00304FFB">
        <w:rPr>
          <w:rFonts w:cs="Calibri"/>
          <w:sz w:val="22"/>
          <w:lang w:val="en-US" w:eastAsia="zh-CN"/>
        </w:rPr>
        <w:t xml:space="preserve">is to prevent and control environmental noise pollution, </w:t>
      </w:r>
      <w:proofErr w:type="gramStart"/>
      <w:r w:rsidRPr="00304FFB">
        <w:rPr>
          <w:rFonts w:cs="Calibri"/>
          <w:sz w:val="22"/>
          <w:lang w:val="en-US" w:eastAsia="zh-CN"/>
        </w:rPr>
        <w:t>protect</w:t>
      </w:r>
      <w:proofErr w:type="gramEnd"/>
      <w:r w:rsidRPr="00304FFB">
        <w:rPr>
          <w:rFonts w:cs="Calibri"/>
          <w:sz w:val="22"/>
          <w:lang w:val="en-US" w:eastAsia="zh-CN"/>
        </w:rPr>
        <w:t xml:space="preserve"> and improve the living environment, and ensure human health. I</w:t>
      </w:r>
      <w:r w:rsidRPr="00304FFB">
        <w:rPr>
          <w:rFonts w:cs="Calibri" w:hint="eastAsia"/>
          <w:sz w:val="22"/>
          <w:lang w:val="en-US" w:eastAsia="zh-CN"/>
        </w:rPr>
        <w:t>t</w:t>
      </w:r>
      <w:r w:rsidRPr="00304FFB">
        <w:rPr>
          <w:rFonts w:cs="Calibri"/>
          <w:sz w:val="22"/>
          <w:lang w:val="en-US" w:eastAsia="zh-CN"/>
        </w:rPr>
        <w:t xml:space="preserve"> stipulates that </w:t>
      </w:r>
      <w:r w:rsidRPr="00304FFB">
        <w:rPr>
          <w:rFonts w:cs="Calibri" w:hint="eastAsia"/>
          <w:sz w:val="22"/>
          <w:lang w:val="en-US" w:eastAsia="zh-CN"/>
        </w:rPr>
        <w:t>l</w:t>
      </w:r>
      <w:r w:rsidRPr="00304FFB">
        <w:rPr>
          <w:rFonts w:cs="Calibri"/>
          <w:sz w:val="22"/>
          <w:lang w:val="en-US" w:eastAsia="zh-CN"/>
        </w:rPr>
        <w:t xml:space="preserve">ocal people's governments at various levels shall be responsible for the quality of acoustic environment within their respective administrative areas and take effective measures to improve the quality of acoustic environment. The emission of noise and the generation of vibration shall conform to the noise emission standards, the relevant environmental vibration control standards and the requirements of relevant laws, </w:t>
      </w:r>
      <w:proofErr w:type="gramStart"/>
      <w:r w:rsidRPr="00304FFB">
        <w:rPr>
          <w:rFonts w:cs="Calibri"/>
          <w:sz w:val="22"/>
          <w:lang w:val="en-US" w:eastAsia="zh-CN"/>
        </w:rPr>
        <w:t>regulations</w:t>
      </w:r>
      <w:proofErr w:type="gramEnd"/>
      <w:r w:rsidRPr="00304FFB">
        <w:rPr>
          <w:rFonts w:cs="Calibri"/>
          <w:sz w:val="22"/>
          <w:lang w:val="en-US" w:eastAsia="zh-CN"/>
        </w:rPr>
        <w:t xml:space="preserve"> and rules.</w:t>
      </w:r>
    </w:p>
    <w:p w14:paraId="1C246666" w14:textId="77777777" w:rsidR="00754EAF" w:rsidRPr="00304FFB" w:rsidRDefault="00754EAF" w:rsidP="00304FFB">
      <w:pPr>
        <w:spacing w:before="0" w:after="0"/>
        <w:rPr>
          <w:rFonts w:cs="Calibri"/>
          <w:sz w:val="22"/>
          <w:lang w:val="en-US" w:eastAsia="zh-CN"/>
        </w:rPr>
      </w:pPr>
    </w:p>
    <w:p w14:paraId="537DC339" w14:textId="56336504" w:rsidR="00304FFB" w:rsidRPr="00304FFB" w:rsidRDefault="00304FFB" w:rsidP="00304FFB">
      <w:pPr>
        <w:spacing w:before="0" w:after="0"/>
        <w:rPr>
          <w:rFonts w:cs="Calibri"/>
          <w:sz w:val="22"/>
          <w:lang w:val="en-US" w:eastAsia="zh-CN"/>
        </w:rPr>
      </w:pPr>
      <w:r w:rsidRPr="00304FFB">
        <w:rPr>
          <w:rFonts w:cs="Calibri"/>
          <w:sz w:val="22"/>
          <w:lang w:val="en-US" w:eastAsia="zh-CN"/>
        </w:rPr>
        <w:t>The purpose</w:t>
      </w:r>
      <w:r w:rsidRPr="00304FFB">
        <w:rPr>
          <w:rFonts w:cs="Calibri"/>
          <w:b/>
          <w:bCs/>
          <w:sz w:val="22"/>
          <w:lang w:val="en-US" w:eastAsia="zh-CN"/>
        </w:rPr>
        <w:t xml:space="preserve"> </w:t>
      </w:r>
      <w:r w:rsidRPr="00304FFB">
        <w:rPr>
          <w:rFonts w:cs="Calibri" w:hint="eastAsia"/>
          <w:b/>
          <w:bCs/>
          <w:sz w:val="22"/>
          <w:lang w:val="en-US" w:eastAsia="zh-CN"/>
        </w:rPr>
        <w:t>of</w:t>
      </w:r>
      <w:r w:rsidRPr="00304FFB">
        <w:rPr>
          <w:rFonts w:cs="Calibri"/>
          <w:b/>
          <w:bCs/>
          <w:sz w:val="22"/>
          <w:lang w:val="en-US" w:eastAsia="zh-CN"/>
        </w:rPr>
        <w:t xml:space="preserve"> Law of the People's Republic of China on the Prevention and Control of Water Pollution</w:t>
      </w:r>
      <w:r w:rsidRPr="00304FFB">
        <w:rPr>
          <w:rFonts w:cs="Calibri" w:hint="eastAsia"/>
          <w:sz w:val="22"/>
          <w:lang w:val="en-US" w:eastAsia="zh-CN"/>
        </w:rPr>
        <w:t>（</w:t>
      </w:r>
      <w:r w:rsidRPr="00304FFB">
        <w:rPr>
          <w:rFonts w:cs="Calibri"/>
          <w:sz w:val="22"/>
          <w:lang w:val="en-US" w:eastAsia="zh-CN"/>
        </w:rPr>
        <w:t xml:space="preserve">revised in </w:t>
      </w:r>
      <w:r w:rsidRPr="00304FFB">
        <w:rPr>
          <w:rFonts w:cs="Calibri" w:hint="eastAsia"/>
          <w:sz w:val="22"/>
          <w:lang w:val="en-US" w:eastAsia="zh-CN"/>
        </w:rPr>
        <w:t>2</w:t>
      </w:r>
      <w:r w:rsidRPr="00304FFB">
        <w:rPr>
          <w:rFonts w:cs="Calibri"/>
          <w:sz w:val="22"/>
          <w:lang w:val="en-US" w:eastAsia="zh-CN"/>
        </w:rPr>
        <w:t>017</w:t>
      </w:r>
      <w:r w:rsidRPr="00304FFB">
        <w:rPr>
          <w:rFonts w:cs="Calibri" w:hint="eastAsia"/>
          <w:sz w:val="22"/>
          <w:lang w:val="en-US" w:eastAsia="zh-CN"/>
        </w:rPr>
        <w:t>）</w:t>
      </w:r>
      <w:r w:rsidRPr="00304FFB">
        <w:rPr>
          <w:rFonts w:cs="Calibri"/>
          <w:sz w:val="22"/>
          <w:lang w:val="en-US" w:eastAsia="zh-CN"/>
        </w:rPr>
        <w:t xml:space="preserve">is to protect and improve the environment, </w:t>
      </w:r>
      <w:proofErr w:type="gramStart"/>
      <w:r w:rsidRPr="00304FFB">
        <w:rPr>
          <w:rFonts w:cs="Calibri"/>
          <w:sz w:val="22"/>
          <w:lang w:val="en-US" w:eastAsia="zh-CN"/>
        </w:rPr>
        <w:t>prevent</w:t>
      </w:r>
      <w:proofErr w:type="gramEnd"/>
      <w:r w:rsidRPr="00304FFB">
        <w:rPr>
          <w:rFonts w:cs="Calibri"/>
          <w:sz w:val="22"/>
          <w:lang w:val="en-US" w:eastAsia="zh-CN"/>
        </w:rPr>
        <w:t xml:space="preserve"> and control water pollution, protect water ecology, ensure drinking water safety, safeguard public health, promote ecological civilization construction, and promote sustainable economic and social development. The law stipulates that </w:t>
      </w:r>
      <w:r w:rsidRPr="00304FFB">
        <w:rPr>
          <w:rFonts w:cs="Calibri" w:hint="eastAsia"/>
          <w:sz w:val="22"/>
          <w:lang w:val="en-US" w:eastAsia="zh-CN"/>
        </w:rPr>
        <w:t>t</w:t>
      </w:r>
      <w:r w:rsidRPr="00304FFB">
        <w:rPr>
          <w:rFonts w:cs="Calibri"/>
          <w:sz w:val="22"/>
          <w:lang w:val="en-US" w:eastAsia="zh-CN"/>
        </w:rPr>
        <w:t xml:space="preserve">he discharge of water pollutants shall not exceed the national or local standards for the discharge of water pollutants and the total discharge control targets of key water pollutants. </w:t>
      </w:r>
      <w:proofErr w:type="gramStart"/>
      <w:r w:rsidRPr="00304FFB">
        <w:rPr>
          <w:rFonts w:cs="Calibri"/>
          <w:sz w:val="22"/>
          <w:lang w:val="en-US" w:eastAsia="zh-CN"/>
        </w:rPr>
        <w:t>In particular, people's</w:t>
      </w:r>
      <w:proofErr w:type="gramEnd"/>
      <w:r w:rsidRPr="00304FFB">
        <w:rPr>
          <w:rFonts w:cs="Calibri"/>
          <w:sz w:val="22"/>
          <w:lang w:val="en-US" w:eastAsia="zh-CN"/>
        </w:rPr>
        <w:t xml:space="preserve"> governments at or above the county level may delimit protection zones for water bodies in scenic spots, important fishery water bodies and other water bodies of special economic and cultural value and take measures to ensure that the water quality in the protection zones meets the water environmental quality standards for specified purposes.</w:t>
      </w:r>
    </w:p>
    <w:p w14:paraId="03DEAA3C" w14:textId="6ACF0C22" w:rsidR="00304FFB" w:rsidRDefault="00304FFB" w:rsidP="00420A86">
      <w:pPr>
        <w:spacing w:before="0" w:after="0"/>
        <w:rPr>
          <w:rFonts w:cs="Calibri"/>
          <w:sz w:val="22"/>
          <w:lang w:val="en-US" w:eastAsia="zh-CN"/>
        </w:rPr>
      </w:pPr>
    </w:p>
    <w:p w14:paraId="5D933D7A" w14:textId="551F02BD" w:rsidR="00772A4C" w:rsidRDefault="00772A4C" w:rsidP="00772A4C">
      <w:pPr>
        <w:spacing w:before="0" w:after="0"/>
        <w:rPr>
          <w:rFonts w:cs="Calibri"/>
          <w:b/>
          <w:iCs/>
          <w:sz w:val="22"/>
          <w:lang w:eastAsia="zh-CN"/>
        </w:rPr>
      </w:pPr>
      <w:r w:rsidRPr="0086490B">
        <w:rPr>
          <w:rFonts w:cs="Calibri"/>
          <w:b/>
          <w:iCs/>
          <w:sz w:val="22"/>
          <w:lang w:eastAsia="zh-CN"/>
        </w:rPr>
        <w:t>Legislation relating to Cultural Heritage:</w:t>
      </w:r>
    </w:p>
    <w:p w14:paraId="21B8DDCF" w14:textId="77777777" w:rsidR="00754EAF" w:rsidRPr="0086490B" w:rsidRDefault="00754EAF" w:rsidP="0086490B">
      <w:pPr>
        <w:spacing w:before="0" w:after="0"/>
        <w:rPr>
          <w:rFonts w:cs="Calibri"/>
          <w:b/>
          <w:iCs/>
          <w:sz w:val="22"/>
          <w:lang w:eastAsia="zh-CN"/>
        </w:rPr>
      </w:pPr>
    </w:p>
    <w:p w14:paraId="74AA5678" w14:textId="3B79086F" w:rsidR="00772A4C" w:rsidRDefault="00772A4C" w:rsidP="00772A4C">
      <w:pPr>
        <w:spacing w:before="0" w:after="0"/>
        <w:rPr>
          <w:rFonts w:cs="Calibri"/>
          <w:sz w:val="22"/>
          <w:lang w:val="en-US" w:eastAsia="zh-CN"/>
        </w:rPr>
      </w:pPr>
      <w:r w:rsidRPr="00772A4C">
        <w:rPr>
          <w:rFonts w:cs="Calibri"/>
          <w:sz w:val="22"/>
          <w:lang w:val="en-US" w:eastAsia="zh-CN"/>
        </w:rPr>
        <w:t xml:space="preserve">Cultural heritage includes material cultural heritage and intangible cultural heritage. Cultural heritage refers to cultural relics with historical, </w:t>
      </w:r>
      <w:proofErr w:type="gramStart"/>
      <w:r w:rsidRPr="00772A4C">
        <w:rPr>
          <w:rFonts w:cs="Calibri"/>
          <w:sz w:val="22"/>
          <w:lang w:val="en-US" w:eastAsia="zh-CN"/>
        </w:rPr>
        <w:t>artistic</w:t>
      </w:r>
      <w:proofErr w:type="gramEnd"/>
      <w:r w:rsidRPr="00772A4C">
        <w:rPr>
          <w:rFonts w:cs="Calibri"/>
          <w:sz w:val="22"/>
          <w:lang w:val="en-US" w:eastAsia="zh-CN"/>
        </w:rPr>
        <w:t xml:space="preserve"> and scientific value. Intangible cultural heritage refers to various traditional cultures that exist in non-material forms and are closely related to people's life and inherited from generation to generation.</w:t>
      </w:r>
    </w:p>
    <w:p w14:paraId="2D4558B3" w14:textId="77777777" w:rsidR="00754EAF" w:rsidRPr="00772A4C" w:rsidRDefault="00754EAF" w:rsidP="00772A4C">
      <w:pPr>
        <w:spacing w:before="0" w:after="0"/>
        <w:rPr>
          <w:rFonts w:cs="Calibri"/>
          <w:sz w:val="22"/>
          <w:lang w:val="en-US" w:eastAsia="zh-CN"/>
        </w:rPr>
      </w:pPr>
    </w:p>
    <w:p w14:paraId="45C4420A" w14:textId="5868A4B7" w:rsidR="00772A4C" w:rsidRDefault="00772A4C" w:rsidP="00772A4C">
      <w:pPr>
        <w:spacing w:before="0" w:after="0"/>
        <w:rPr>
          <w:rFonts w:cs="Calibri"/>
          <w:sz w:val="22"/>
          <w:lang w:val="en-US" w:eastAsia="zh-CN"/>
        </w:rPr>
      </w:pPr>
      <w:proofErr w:type="gramStart"/>
      <w:r w:rsidRPr="00772A4C">
        <w:rPr>
          <w:rFonts w:cs="Calibri"/>
          <w:sz w:val="22"/>
          <w:lang w:val="en-US" w:eastAsia="zh-CN"/>
        </w:rPr>
        <w:t>In order to</w:t>
      </w:r>
      <w:proofErr w:type="gramEnd"/>
      <w:r w:rsidRPr="00772A4C">
        <w:rPr>
          <w:rFonts w:cs="Calibri"/>
          <w:sz w:val="22"/>
          <w:lang w:val="en-US" w:eastAsia="zh-CN"/>
        </w:rPr>
        <w:t xml:space="preserve"> inherit and carry forward the fine traditional culture of the Chinese nation, </w:t>
      </w:r>
      <w:r w:rsidRPr="00772A4C">
        <w:rPr>
          <w:rFonts w:cs="Calibri"/>
          <w:b/>
          <w:bCs/>
          <w:sz w:val="22"/>
          <w:lang w:val="en-US" w:eastAsia="zh-CN"/>
        </w:rPr>
        <w:t>Law of the People's Republic of China on the Protection of Cultural Relics</w:t>
      </w:r>
      <w:r w:rsidRPr="00772A4C">
        <w:rPr>
          <w:rFonts w:cs="Calibri"/>
          <w:sz w:val="22"/>
          <w:lang w:val="en-US" w:eastAsia="zh-CN"/>
        </w:rPr>
        <w:t xml:space="preserve"> (revised in 2017) stipulates that</w:t>
      </w:r>
      <w:r w:rsidRPr="00772A4C">
        <w:rPr>
          <w:rFonts w:cs="Calibri"/>
          <w:b/>
          <w:bCs/>
          <w:sz w:val="22"/>
          <w:lang w:val="en-US" w:eastAsia="zh-CN"/>
        </w:rPr>
        <w:t xml:space="preserve"> </w:t>
      </w:r>
      <w:r w:rsidRPr="00772A4C">
        <w:rPr>
          <w:rFonts w:cs="Calibri"/>
          <w:sz w:val="22"/>
          <w:lang w:val="en-US" w:eastAsia="zh-CN"/>
        </w:rPr>
        <w:t xml:space="preserve">people's governments at all levels shall attach importance to the protection of cultural relics, correctly handle the relationship between economic construction, social development and the protection of cultural relics, and ensure the safety of cultural relics. Capital construction and tourism development must abide by the guidelines for the protection of cultural relics, and their activities shall not cause damage to cultural relics. Public security organs, administrative departments for Industry and commerce, customs, urban and rural construction planning </w:t>
      </w:r>
      <w:proofErr w:type="gramStart"/>
      <w:r w:rsidRPr="00772A4C">
        <w:rPr>
          <w:rFonts w:cs="Calibri"/>
          <w:sz w:val="22"/>
          <w:lang w:val="en-US" w:eastAsia="zh-CN"/>
        </w:rPr>
        <w:t>departments</w:t>
      </w:r>
      <w:proofErr w:type="gramEnd"/>
      <w:r w:rsidRPr="00772A4C">
        <w:rPr>
          <w:rFonts w:cs="Calibri"/>
          <w:sz w:val="22"/>
          <w:lang w:val="en-US" w:eastAsia="zh-CN"/>
        </w:rPr>
        <w:t xml:space="preserve"> and other relevant state organs shall earnestly perform their duties of protecting cultural relics according to law and maintain the order of cultural relics management. </w:t>
      </w:r>
    </w:p>
    <w:p w14:paraId="4183EA94" w14:textId="77777777" w:rsidR="00754EAF" w:rsidRPr="00772A4C" w:rsidRDefault="00754EAF" w:rsidP="00772A4C">
      <w:pPr>
        <w:spacing w:before="0" w:after="0"/>
        <w:rPr>
          <w:rFonts w:cs="Calibri"/>
          <w:sz w:val="22"/>
          <w:lang w:val="en-US" w:eastAsia="zh-CN"/>
        </w:rPr>
      </w:pPr>
    </w:p>
    <w:p w14:paraId="15264AA2" w14:textId="5D2504F5" w:rsidR="00772A4C" w:rsidRDefault="00772A4C" w:rsidP="00772A4C">
      <w:pPr>
        <w:spacing w:before="0" w:after="0"/>
        <w:rPr>
          <w:rFonts w:cs="Calibri"/>
          <w:sz w:val="22"/>
          <w:lang w:val="en-US" w:eastAsia="zh-CN"/>
        </w:rPr>
      </w:pPr>
      <w:r w:rsidRPr="00772A4C">
        <w:rPr>
          <w:rFonts w:cs="Calibri"/>
          <w:b/>
          <w:bCs/>
          <w:sz w:val="22"/>
          <w:lang w:val="en-US" w:eastAsia="zh-CN"/>
        </w:rPr>
        <w:t xml:space="preserve">Intangible cultural heritage law of the People's Republic of China (2011) </w:t>
      </w:r>
      <w:r w:rsidRPr="00772A4C">
        <w:rPr>
          <w:rFonts w:cs="Calibri"/>
          <w:sz w:val="22"/>
          <w:lang w:val="en-US" w:eastAsia="zh-CN"/>
        </w:rPr>
        <w:t xml:space="preserve">stipulates that </w:t>
      </w:r>
      <w:r w:rsidRPr="00772A4C">
        <w:rPr>
          <w:rFonts w:cs="Calibri" w:hint="eastAsia"/>
          <w:sz w:val="22"/>
          <w:lang w:val="en-US" w:eastAsia="zh-CN"/>
        </w:rPr>
        <w:t>t</w:t>
      </w:r>
      <w:r w:rsidRPr="00772A4C">
        <w:rPr>
          <w:rFonts w:cs="Calibri"/>
          <w:sz w:val="22"/>
          <w:lang w:val="en-US" w:eastAsia="zh-CN"/>
        </w:rPr>
        <w:t xml:space="preserve">he State adopts measures such as identification, recording and filing to preserve intangible cultural heritage, and adopts measures such as inheritance and dissemination to protect intangible cultural heritage that embodies the excellent traditional culture of the Chinese nation and has historical, literary, </w:t>
      </w:r>
      <w:proofErr w:type="gramStart"/>
      <w:r w:rsidRPr="00772A4C">
        <w:rPr>
          <w:rFonts w:cs="Calibri"/>
          <w:sz w:val="22"/>
          <w:lang w:val="en-US" w:eastAsia="zh-CN"/>
        </w:rPr>
        <w:t>artistic</w:t>
      </w:r>
      <w:proofErr w:type="gramEnd"/>
      <w:r w:rsidRPr="00772A4C">
        <w:rPr>
          <w:rFonts w:cs="Calibri"/>
          <w:sz w:val="22"/>
          <w:lang w:val="en-US" w:eastAsia="zh-CN"/>
        </w:rPr>
        <w:t xml:space="preserve"> and scientific values.</w:t>
      </w:r>
    </w:p>
    <w:p w14:paraId="703C2030" w14:textId="77777777" w:rsidR="00772A4C" w:rsidRPr="0086490B" w:rsidRDefault="00772A4C" w:rsidP="00772A4C">
      <w:pPr>
        <w:spacing w:before="0" w:after="0"/>
        <w:rPr>
          <w:rFonts w:cs="Calibri"/>
          <w:b/>
          <w:iCs/>
          <w:sz w:val="22"/>
          <w:u w:val="single"/>
          <w:lang w:val="en-US" w:eastAsia="zh-CN"/>
        </w:rPr>
      </w:pPr>
    </w:p>
    <w:p w14:paraId="7909E9E3" w14:textId="5F8C401A" w:rsidR="00772A4C" w:rsidRDefault="00772A4C" w:rsidP="00772A4C">
      <w:pPr>
        <w:spacing w:before="0" w:after="0"/>
        <w:rPr>
          <w:rFonts w:cs="Calibri"/>
          <w:b/>
          <w:iCs/>
          <w:sz w:val="22"/>
          <w:u w:val="single"/>
          <w:lang w:eastAsia="zh-CN"/>
        </w:rPr>
      </w:pPr>
      <w:bookmarkStart w:id="18" w:name="_Toc93907349"/>
      <w:r w:rsidRPr="00772A4C">
        <w:rPr>
          <w:rFonts w:cs="Calibri"/>
          <w:b/>
          <w:iCs/>
          <w:sz w:val="22"/>
          <w:u w:val="single"/>
          <w:lang w:eastAsia="zh-CN"/>
        </w:rPr>
        <w:t>Legislation</w:t>
      </w:r>
      <w:r w:rsidRPr="0086490B">
        <w:rPr>
          <w:rFonts w:cs="Calibri"/>
          <w:b/>
          <w:iCs/>
          <w:sz w:val="22"/>
          <w:u w:val="single"/>
          <w:lang w:eastAsia="zh-CN"/>
        </w:rPr>
        <w:t xml:space="preserve"> </w:t>
      </w:r>
      <w:r w:rsidRPr="00772A4C">
        <w:rPr>
          <w:rFonts w:cs="Calibri"/>
          <w:b/>
          <w:iCs/>
          <w:sz w:val="22"/>
          <w:u w:val="single"/>
          <w:lang w:eastAsia="zh-CN"/>
        </w:rPr>
        <w:t>Relating</w:t>
      </w:r>
      <w:r w:rsidRPr="0086490B">
        <w:rPr>
          <w:rFonts w:cs="Calibri"/>
          <w:b/>
          <w:iCs/>
          <w:sz w:val="22"/>
          <w:u w:val="single"/>
          <w:lang w:eastAsia="zh-CN"/>
        </w:rPr>
        <w:t xml:space="preserve"> </w:t>
      </w:r>
      <w:r w:rsidR="00E56659" w:rsidRPr="0086490B">
        <w:rPr>
          <w:rFonts w:cs="Calibri"/>
          <w:b/>
          <w:iCs/>
          <w:sz w:val="22"/>
          <w:u w:val="single"/>
          <w:lang w:eastAsia="zh-CN"/>
        </w:rPr>
        <w:t>to Community</w:t>
      </w:r>
      <w:r w:rsidRPr="0086490B">
        <w:rPr>
          <w:rFonts w:cs="Calibri"/>
          <w:b/>
          <w:iCs/>
          <w:sz w:val="22"/>
          <w:u w:val="single"/>
          <w:lang w:eastAsia="zh-CN"/>
        </w:rPr>
        <w:t xml:space="preserve"> Health and Working Conditions</w:t>
      </w:r>
      <w:bookmarkEnd w:id="18"/>
      <w:r>
        <w:rPr>
          <w:rFonts w:cs="Calibri"/>
          <w:b/>
          <w:iCs/>
          <w:sz w:val="22"/>
          <w:u w:val="single"/>
          <w:lang w:eastAsia="zh-CN"/>
        </w:rPr>
        <w:t>:</w:t>
      </w:r>
    </w:p>
    <w:p w14:paraId="661B0AF6" w14:textId="77777777" w:rsidR="00772A4C" w:rsidRPr="0086490B" w:rsidRDefault="00772A4C" w:rsidP="0086490B">
      <w:pPr>
        <w:spacing w:before="0" w:after="0"/>
        <w:rPr>
          <w:rFonts w:cs="Calibri"/>
          <w:b/>
          <w:iCs/>
          <w:sz w:val="22"/>
          <w:u w:val="single"/>
          <w:lang w:eastAsia="zh-CN"/>
        </w:rPr>
      </w:pPr>
    </w:p>
    <w:p w14:paraId="24116AAA" w14:textId="247059EF" w:rsidR="00772A4C" w:rsidRPr="0086490B" w:rsidRDefault="00772A4C" w:rsidP="00772A4C">
      <w:pPr>
        <w:spacing w:before="0" w:after="0"/>
        <w:rPr>
          <w:rFonts w:cs="Calibri"/>
          <w:sz w:val="22"/>
          <w:lang w:val="en-US" w:eastAsia="zh-CN"/>
        </w:rPr>
      </w:pPr>
      <w:r w:rsidRPr="00772A4C">
        <w:rPr>
          <w:rFonts w:cs="Calibri"/>
          <w:sz w:val="22"/>
          <w:lang w:eastAsia="zh-CN"/>
        </w:rPr>
        <w:t xml:space="preserve">Workers' right to working environment is the right of workers to protect their physical and mental health from being harmed by working environment. </w:t>
      </w:r>
      <w:r w:rsidRPr="00772A4C">
        <w:rPr>
          <w:rFonts w:cs="Calibri"/>
          <w:b/>
          <w:bCs/>
          <w:sz w:val="22"/>
          <w:lang w:eastAsia="zh-CN"/>
        </w:rPr>
        <w:t>L</w:t>
      </w:r>
      <w:r w:rsidRPr="00772A4C">
        <w:rPr>
          <w:rFonts w:cs="Calibri"/>
          <w:b/>
          <w:bCs/>
          <w:sz w:val="22"/>
          <w:lang w:val="en-US" w:eastAsia="zh-CN"/>
        </w:rPr>
        <w:t xml:space="preserve">aw of the </w:t>
      </w:r>
      <w:r w:rsidR="00132E65">
        <w:rPr>
          <w:rFonts w:cs="Calibri"/>
          <w:b/>
          <w:bCs/>
          <w:sz w:val="22"/>
          <w:lang w:val="en-US" w:eastAsia="zh-CN"/>
        </w:rPr>
        <w:t>People’s Republic of China</w:t>
      </w:r>
      <w:r w:rsidRPr="00772A4C">
        <w:rPr>
          <w:rFonts w:cs="Calibri"/>
          <w:b/>
          <w:bCs/>
          <w:sz w:val="22"/>
          <w:lang w:val="en-US" w:eastAsia="zh-CN"/>
        </w:rPr>
        <w:t xml:space="preserve"> on </w:t>
      </w:r>
      <w:r w:rsidR="00C30651" w:rsidRPr="00772A4C">
        <w:rPr>
          <w:rFonts w:cs="Calibri"/>
          <w:b/>
          <w:bCs/>
          <w:sz w:val="22"/>
          <w:lang w:val="en-US" w:eastAsia="zh-CN"/>
        </w:rPr>
        <w:t>employment</w:t>
      </w:r>
      <w:r w:rsidRPr="00772A4C">
        <w:rPr>
          <w:rFonts w:cs="Calibri"/>
          <w:b/>
          <w:bCs/>
          <w:sz w:val="22"/>
          <w:lang w:val="en-US" w:eastAsia="zh-CN"/>
        </w:rPr>
        <w:t xml:space="preserve"> </w:t>
      </w:r>
      <w:r w:rsidRPr="00772A4C">
        <w:rPr>
          <w:rFonts w:cs="Calibri"/>
          <w:b/>
          <w:bCs/>
          <w:sz w:val="22"/>
          <w:lang w:eastAsia="zh-CN"/>
        </w:rPr>
        <w:t>C</w:t>
      </w:r>
      <w:r w:rsidR="00C30651" w:rsidRPr="00772A4C">
        <w:rPr>
          <w:rFonts w:cs="Calibri"/>
          <w:b/>
          <w:bCs/>
          <w:sz w:val="22"/>
          <w:lang w:val="en-US" w:eastAsia="zh-CN"/>
        </w:rPr>
        <w:t>contracts</w:t>
      </w:r>
      <w:r w:rsidRPr="00772A4C">
        <w:rPr>
          <w:rFonts w:cs="Calibri"/>
          <w:sz w:val="22"/>
          <w:lang w:eastAsia="zh-CN"/>
        </w:rPr>
        <w:t xml:space="preserve"> (revised in 2012) stipulates that where an employing unit is under any of the following circumstances, it shall be subject to administrative punishment according to law. If such a case constitutes a crime, criminal responsibility shall be investigated according to law. Those who cause damage to laborers shall be liable for compensation</w:t>
      </w:r>
    </w:p>
    <w:p w14:paraId="6D64EDFF" w14:textId="7DFCD162" w:rsidR="00A53C87" w:rsidRPr="0086490B" w:rsidRDefault="00772A4C" w:rsidP="00A53C87">
      <w:pPr>
        <w:rPr>
          <w:rFonts w:cstheme="minorHAnsi"/>
          <w:sz w:val="22"/>
        </w:rPr>
      </w:pPr>
      <w:r w:rsidRPr="0086490B">
        <w:rPr>
          <w:rFonts w:cstheme="minorHAnsi"/>
          <w:b/>
          <w:sz w:val="22"/>
          <w:u w:val="single"/>
        </w:rPr>
        <w:t xml:space="preserve">Legislation relating to </w:t>
      </w:r>
      <w:r w:rsidR="00A53C87" w:rsidRPr="0086490B">
        <w:rPr>
          <w:rFonts w:cstheme="minorHAnsi"/>
          <w:b/>
          <w:sz w:val="22"/>
          <w:u w:val="single"/>
        </w:rPr>
        <w:t>Land Rights (resettlement)</w:t>
      </w:r>
      <w:r w:rsidR="00A53C87" w:rsidRPr="0086490B">
        <w:rPr>
          <w:rFonts w:cstheme="minorHAnsi"/>
          <w:sz w:val="22"/>
        </w:rPr>
        <w:t>:</w:t>
      </w:r>
    </w:p>
    <w:p w14:paraId="540B311F" w14:textId="63A6F753" w:rsidR="00A53C87" w:rsidRPr="0086490B" w:rsidRDefault="00A53C87" w:rsidP="00A53C87">
      <w:pPr>
        <w:rPr>
          <w:rFonts w:cstheme="minorHAnsi"/>
          <w:color w:val="221E1F"/>
          <w:sz w:val="22"/>
        </w:rPr>
      </w:pPr>
      <w:r w:rsidRPr="0086490B">
        <w:rPr>
          <w:rFonts w:cstheme="minorHAnsi"/>
          <w:color w:val="221E1F"/>
          <w:sz w:val="22"/>
        </w:rPr>
        <w:t>China has a long history of establishing and implementing laws and regulations associated with displacement and resettlement, many of which have been associated with hydroelectric water projects. The National Construction Land Acquisition Measures, promulgated in 1953, was the first statute on land acquisition, demolition, removal</w:t>
      </w:r>
      <w:r w:rsidR="00E56659">
        <w:rPr>
          <w:rFonts w:cstheme="minorHAnsi"/>
          <w:color w:val="221E1F"/>
          <w:sz w:val="22"/>
        </w:rPr>
        <w:t>,</w:t>
      </w:r>
      <w:r w:rsidRPr="0086490B">
        <w:rPr>
          <w:rFonts w:cstheme="minorHAnsi"/>
          <w:color w:val="221E1F"/>
          <w:sz w:val="22"/>
        </w:rPr>
        <w:t xml:space="preserve"> and resettlement. These measures outlined the principles and procedures for land acquisition and set the standards for payment of compensation for </w:t>
      </w:r>
      <w:r w:rsidRPr="0086490B">
        <w:rPr>
          <w:rFonts w:cstheme="minorHAnsi"/>
          <w:color w:val="221E1F"/>
          <w:sz w:val="22"/>
        </w:rPr>
        <w:lastRenderedPageBreak/>
        <w:t xml:space="preserve">acquired land, serving as the basis for the subsequent Land Administration Law. The </w:t>
      </w:r>
      <w:r w:rsidRPr="0086490B">
        <w:rPr>
          <w:rFonts w:cstheme="minorHAnsi"/>
          <w:b/>
          <w:i/>
          <w:color w:val="221E1F"/>
          <w:sz w:val="22"/>
        </w:rPr>
        <w:t>Land Administration Law</w:t>
      </w:r>
      <w:r w:rsidRPr="0086490B">
        <w:rPr>
          <w:rFonts w:cstheme="minorHAnsi"/>
          <w:color w:val="221E1F"/>
          <w:sz w:val="22"/>
        </w:rPr>
        <w:t xml:space="preserve"> has been updated and amended several times, with regulations added to enhance the land law, including the Land Acquisition and Resettlement Regulation for Construction of Large and Medium-Sized Water Conservation Projects (1991 and 2006).  The 2006 Regulations added subsidies for relocation and training for livelihoods, annual post-relocation fund support of RMB 600 per year per capita for 20 years</w:t>
      </w:r>
      <w:r w:rsidRPr="0086490B">
        <w:rPr>
          <w:rStyle w:val="FootnoteReference"/>
          <w:rFonts w:cstheme="minorHAnsi"/>
          <w:color w:val="221E1F"/>
          <w:sz w:val="22"/>
        </w:rPr>
        <w:footnoteReference w:id="2"/>
      </w:r>
      <w:r w:rsidRPr="0086490B">
        <w:rPr>
          <w:rFonts w:cstheme="minorHAnsi"/>
          <w:color w:val="221E1F"/>
          <w:sz w:val="22"/>
        </w:rPr>
        <w:t>, and community infrastructure rehabilitation and improvement based on the needs of resettled people. Additional guidelines promulgated in 2006 – Guidelines for Provision of Job Retraining and Social Insurance for Farmers that Lose Land – stipulated that the compensation and rehabilitation package also include a social security fund for rural farmers whose land is acquired and become urban citizens, and long-term compensation annually. The aim of both the 1991 and 2006 Regulations was to maintain or surpass pre-resettlement living standards which aligned China’s resettlement policy with the international standards of organizations such as the World Bank and Asian Development Bank.</w:t>
      </w:r>
      <w:r w:rsidRPr="0086490B">
        <w:rPr>
          <w:rStyle w:val="FootnoteReference"/>
          <w:rFonts w:cstheme="minorHAnsi"/>
          <w:color w:val="221E1F"/>
          <w:sz w:val="22"/>
        </w:rPr>
        <w:footnoteReference w:id="3"/>
      </w:r>
    </w:p>
    <w:p w14:paraId="4C6848CE" w14:textId="77777777" w:rsidR="00A53C87" w:rsidRPr="0086490B" w:rsidRDefault="00A53C87" w:rsidP="00A53C87">
      <w:pPr>
        <w:rPr>
          <w:rFonts w:cstheme="minorHAnsi"/>
          <w:color w:val="221E1F"/>
          <w:sz w:val="22"/>
        </w:rPr>
      </w:pPr>
      <w:r w:rsidRPr="0086490B">
        <w:rPr>
          <w:rFonts w:cstheme="minorHAnsi"/>
          <w:sz w:val="22"/>
          <w:u w:val="single"/>
        </w:rPr>
        <w:t>Administration of Resettlement</w:t>
      </w:r>
      <w:r w:rsidRPr="0086490B">
        <w:rPr>
          <w:rFonts w:cstheme="minorHAnsi"/>
          <w:sz w:val="22"/>
        </w:rPr>
        <w:t>: The</w:t>
      </w:r>
      <w:r w:rsidRPr="0086490B">
        <w:rPr>
          <w:rFonts w:cstheme="minorHAnsi"/>
          <w:color w:val="221E1F"/>
          <w:sz w:val="22"/>
        </w:rPr>
        <w:t xml:space="preserve"> administration and implementa</w:t>
      </w:r>
      <w:r w:rsidRPr="0086490B">
        <w:rPr>
          <w:rFonts w:cstheme="minorHAnsi"/>
          <w:color w:val="221E1F"/>
          <w:sz w:val="22"/>
        </w:rPr>
        <w:softHyphen/>
        <w:t>tion of resettlement policy is essentially decentralized. Under the decentralized model of resettlement administration and management, provinces issue their own administrative standards within the guidelines of national regulations. Different provinces and even different counties apply different standards of compensation. The county government sets the multiplication figure within the range of the national standard. Major projects of national interest, such as highways and energy development (including large dams), tend to attract lower compensation standards than commercial projects. Paddy fields attract a higher multiplication factor than mountainous woodlands, and orchards have a higher multiplication factor than economic woodlands. The 2006 Regulations are also weighted towards compensation as a means of restor</w:t>
      </w:r>
      <w:r w:rsidRPr="0086490B">
        <w:rPr>
          <w:rFonts w:cstheme="minorHAnsi"/>
          <w:color w:val="221E1F"/>
          <w:sz w:val="22"/>
        </w:rPr>
        <w:softHyphen/>
        <w:t>ing rights rather than benefit sharing or development.</w:t>
      </w:r>
    </w:p>
    <w:p w14:paraId="6DB6A6D3" w14:textId="15674389" w:rsidR="00A53C87" w:rsidRPr="0086490B" w:rsidRDefault="00754EAF" w:rsidP="00A53C87">
      <w:pPr>
        <w:rPr>
          <w:rFonts w:cstheme="minorHAnsi"/>
          <w:sz w:val="22"/>
        </w:rPr>
      </w:pPr>
      <w:r w:rsidRPr="0086490B">
        <w:rPr>
          <w:rFonts w:cstheme="minorHAnsi"/>
          <w:b/>
          <w:sz w:val="22"/>
          <w:u w:val="single"/>
        </w:rPr>
        <w:t>Legislation</w:t>
      </w:r>
      <w:r w:rsidR="00772A4C" w:rsidRPr="0086490B">
        <w:rPr>
          <w:rFonts w:cstheme="minorHAnsi"/>
          <w:b/>
          <w:sz w:val="22"/>
          <w:u w:val="single"/>
        </w:rPr>
        <w:t xml:space="preserve"> relating to </w:t>
      </w:r>
      <w:r w:rsidR="00A53C87" w:rsidRPr="0086490B">
        <w:rPr>
          <w:rFonts w:cstheme="minorHAnsi"/>
          <w:b/>
          <w:sz w:val="22"/>
          <w:u w:val="single"/>
        </w:rPr>
        <w:t>Ethnic Minorities</w:t>
      </w:r>
      <w:r w:rsidR="00A53C87" w:rsidRPr="0086490B">
        <w:rPr>
          <w:rFonts w:cstheme="minorHAnsi"/>
          <w:sz w:val="22"/>
        </w:rPr>
        <w:t>:</w:t>
      </w:r>
    </w:p>
    <w:p w14:paraId="132AE571" w14:textId="77777777" w:rsidR="00A53C87" w:rsidRPr="0086490B" w:rsidRDefault="00A53C87" w:rsidP="00A53C87">
      <w:pPr>
        <w:rPr>
          <w:rFonts w:cstheme="minorHAnsi"/>
          <w:sz w:val="22"/>
        </w:rPr>
      </w:pPr>
      <w:r w:rsidRPr="0086490B">
        <w:rPr>
          <w:rFonts w:cstheme="minorHAnsi"/>
          <w:sz w:val="22"/>
        </w:rPr>
        <w:t xml:space="preserve">There are a total of 56 ethnic groups identified in China, mainly based on their similarities such as common </w:t>
      </w:r>
      <w:hyperlink r:id="rId17" w:tooltip="Ancestry" w:history="1">
        <w:r w:rsidRPr="0086490B">
          <w:rPr>
            <w:rFonts w:cstheme="minorHAnsi"/>
            <w:sz w:val="22"/>
          </w:rPr>
          <w:t>ancestry</w:t>
        </w:r>
      </w:hyperlink>
      <w:r w:rsidRPr="0086490B">
        <w:rPr>
          <w:rFonts w:cstheme="minorHAnsi"/>
          <w:sz w:val="22"/>
        </w:rPr>
        <w:t xml:space="preserve">, </w:t>
      </w:r>
      <w:hyperlink r:id="rId18" w:tooltip="Language" w:history="1">
        <w:r w:rsidRPr="0086490B">
          <w:rPr>
            <w:rFonts w:cstheme="minorHAnsi"/>
            <w:sz w:val="22"/>
          </w:rPr>
          <w:t>language</w:t>
        </w:r>
      </w:hyperlink>
      <w:r w:rsidRPr="0086490B">
        <w:rPr>
          <w:rFonts w:cstheme="minorHAnsi"/>
          <w:sz w:val="22"/>
        </w:rPr>
        <w:t xml:space="preserve">, </w:t>
      </w:r>
      <w:hyperlink r:id="rId19" w:tooltip="Society" w:history="1">
        <w:r w:rsidRPr="0086490B">
          <w:rPr>
            <w:rFonts w:cstheme="minorHAnsi"/>
            <w:sz w:val="22"/>
          </w:rPr>
          <w:t>society</w:t>
        </w:r>
      </w:hyperlink>
      <w:r w:rsidRPr="0086490B">
        <w:rPr>
          <w:rFonts w:cstheme="minorHAnsi"/>
          <w:sz w:val="22"/>
        </w:rPr>
        <w:t xml:space="preserve">, and </w:t>
      </w:r>
      <w:hyperlink r:id="rId20" w:tooltip="Culture" w:history="1">
        <w:r w:rsidRPr="0086490B">
          <w:rPr>
            <w:rFonts w:cstheme="minorHAnsi"/>
            <w:sz w:val="22"/>
          </w:rPr>
          <w:t>culture</w:t>
        </w:r>
      </w:hyperlink>
      <w:r w:rsidRPr="0086490B">
        <w:rPr>
          <w:rFonts w:cstheme="minorHAnsi"/>
          <w:sz w:val="22"/>
        </w:rPr>
        <w:t xml:space="preserve">. Of the 56 ethnic groups, Han ethnicity is the ethnic </w:t>
      </w:r>
      <w:proofErr w:type="gramStart"/>
      <w:r w:rsidRPr="0086490B">
        <w:rPr>
          <w:rFonts w:cstheme="minorHAnsi"/>
          <w:sz w:val="22"/>
        </w:rPr>
        <w:t>majority</w:t>
      </w:r>
      <w:proofErr w:type="gramEnd"/>
      <w:r w:rsidRPr="0086490B">
        <w:rPr>
          <w:rFonts w:cstheme="minorHAnsi"/>
          <w:sz w:val="22"/>
        </w:rPr>
        <w:t xml:space="preserve"> and the other 55 ethnic groups are considered ethnic minorities. The term “</w:t>
      </w:r>
      <w:r w:rsidRPr="0086490B">
        <w:rPr>
          <w:rFonts w:cstheme="minorHAnsi"/>
          <w:i/>
          <w:sz w:val="22"/>
        </w:rPr>
        <w:t>indigenous peoples</w:t>
      </w:r>
      <w:r w:rsidRPr="0086490B">
        <w:rPr>
          <w:rFonts w:cstheme="minorHAnsi"/>
          <w:sz w:val="22"/>
        </w:rPr>
        <w:t>” is not used in China.</w:t>
      </w:r>
    </w:p>
    <w:p w14:paraId="6FB0CC08" w14:textId="176B163A" w:rsidR="00A53C87" w:rsidRPr="0086490B" w:rsidRDefault="00A53C87" w:rsidP="00A53C87">
      <w:pPr>
        <w:rPr>
          <w:rFonts w:cstheme="minorHAnsi"/>
          <w:sz w:val="22"/>
        </w:rPr>
      </w:pPr>
      <w:r w:rsidRPr="0086490B">
        <w:rPr>
          <w:rFonts w:cstheme="minorHAnsi"/>
          <w:sz w:val="22"/>
        </w:rPr>
        <w:t xml:space="preserve">The </w:t>
      </w:r>
      <w:r w:rsidRPr="0086490B">
        <w:rPr>
          <w:rFonts w:cstheme="minorHAnsi"/>
          <w:b/>
          <w:i/>
          <w:sz w:val="22"/>
        </w:rPr>
        <w:t>Constitution</w:t>
      </w:r>
      <w:r w:rsidRPr="0086490B">
        <w:rPr>
          <w:rFonts w:cstheme="minorHAnsi"/>
          <w:b/>
          <w:sz w:val="22"/>
        </w:rPr>
        <w:t xml:space="preserve"> (1982, revised in 2004)</w:t>
      </w:r>
      <w:r w:rsidRPr="0086490B">
        <w:rPr>
          <w:rFonts w:cstheme="minorHAnsi"/>
          <w:sz w:val="22"/>
        </w:rPr>
        <w:t xml:space="preserve"> addresses the issue of PA through confirming the state and collective ownership of land and natural resources and prescribing the State’s responsibility in environmental and resource protection. The Constitution emphasizes that all nationalities in the People’s Republic of China are equal. The State protects the lawful rights and interests of minority nationalities and upholds and develops a relationship of equality, unity</w:t>
      </w:r>
      <w:r w:rsidR="00E56659">
        <w:rPr>
          <w:rFonts w:cstheme="minorHAnsi"/>
          <w:sz w:val="22"/>
        </w:rPr>
        <w:t>,</w:t>
      </w:r>
      <w:r w:rsidRPr="0086490B">
        <w:rPr>
          <w:rFonts w:cstheme="minorHAnsi"/>
          <w:sz w:val="22"/>
        </w:rPr>
        <w:t xml:space="preserve"> and mutual assistance among all of China’s nationalities. The State assists areas inhabited by minority nationalities in accelerating their economic and cultural development according to the characteristics and needs of the various minority nationalities. Regional autonomy is practiced in areas where people of minority nationalities live in concentrated communities; in these areas organs of self-government are established to exercise the power of autonomy. And in exploiting natural resources and building enterprises in the national autonomous areas, the State shall give due consideration to the interests of those areas. And all these provisions are reiterated in the </w:t>
      </w:r>
      <w:r w:rsidRPr="0086490B">
        <w:rPr>
          <w:rFonts w:cstheme="minorHAnsi"/>
          <w:b/>
          <w:i/>
          <w:sz w:val="22"/>
        </w:rPr>
        <w:t>Regional Ethnic Autonomy Law</w:t>
      </w:r>
      <w:r w:rsidRPr="0086490B">
        <w:rPr>
          <w:rFonts w:cstheme="minorHAnsi"/>
          <w:sz w:val="22"/>
        </w:rPr>
        <w:t xml:space="preserve"> (1984, revised in 2001)</w:t>
      </w:r>
      <w:r w:rsidRPr="0086490B">
        <w:rPr>
          <w:rStyle w:val="FootnoteReference"/>
          <w:rFonts w:cstheme="minorHAnsi"/>
          <w:sz w:val="22"/>
        </w:rPr>
        <w:footnoteReference w:id="4"/>
      </w:r>
      <w:r w:rsidRPr="0086490B">
        <w:rPr>
          <w:rFonts w:cstheme="minorHAnsi"/>
          <w:sz w:val="22"/>
        </w:rPr>
        <w:t>.</w:t>
      </w:r>
    </w:p>
    <w:p w14:paraId="327709BD" w14:textId="28DE8D84" w:rsidR="00A84577" w:rsidRPr="0086490B" w:rsidRDefault="00A53C87" w:rsidP="0086490B">
      <w:pPr>
        <w:rPr>
          <w:rFonts w:eastAsia="仿宋" w:cstheme="minorHAnsi"/>
          <w:sz w:val="22"/>
        </w:rPr>
      </w:pPr>
      <w:r w:rsidRPr="0086490B">
        <w:rPr>
          <w:rFonts w:eastAsia="仿宋" w:cstheme="minorHAnsi"/>
          <w:sz w:val="22"/>
        </w:rPr>
        <w:lastRenderedPageBreak/>
        <w:t xml:space="preserve">The </w:t>
      </w:r>
      <w:r w:rsidRPr="0086490B">
        <w:rPr>
          <w:rFonts w:cstheme="minorHAnsi"/>
          <w:b/>
          <w:i/>
          <w:sz w:val="22"/>
        </w:rPr>
        <w:t xml:space="preserve">Rules of the State Council on the implementation of the Law of the People's Republic of China on Regional National Autonomy </w:t>
      </w:r>
      <w:r w:rsidRPr="0086490B">
        <w:rPr>
          <w:rFonts w:cstheme="minorHAnsi"/>
          <w:sz w:val="22"/>
        </w:rPr>
        <w:t>(2005)</w:t>
      </w:r>
      <w:r w:rsidRPr="0086490B">
        <w:rPr>
          <w:rStyle w:val="FootnoteReference"/>
          <w:rFonts w:cstheme="minorHAnsi"/>
          <w:sz w:val="22"/>
        </w:rPr>
        <w:footnoteReference w:id="5"/>
      </w:r>
      <w:r w:rsidRPr="0086490B">
        <w:rPr>
          <w:rFonts w:eastAsia="仿宋" w:cstheme="minorHAnsi"/>
          <w:sz w:val="22"/>
        </w:rPr>
        <w:t xml:space="preserve"> stipulates that the state strengthens the poverty alleviation and development of the ethnic autonomous areas, and emphasizes the infrastructure and the basic construction of the farmland in the poor rural areas of the autonomous areas, which focus on water, electricity, access, radio, television construction, and the transform of thatched house and dilapidated house, and ecological migration. And all these activities are based on the residents’ willingness.</w:t>
      </w:r>
    </w:p>
    <w:p w14:paraId="46A394EE" w14:textId="77777777" w:rsidR="00A53C87" w:rsidRDefault="00A53C87" w:rsidP="00420A86">
      <w:pPr>
        <w:spacing w:before="0" w:after="0"/>
        <w:rPr>
          <w:rFonts w:cs="Calibri"/>
          <w:b/>
          <w:sz w:val="22"/>
          <w:u w:val="single"/>
          <w:lang w:eastAsia="zh-CN"/>
        </w:rPr>
      </w:pPr>
    </w:p>
    <w:p w14:paraId="1BBD728D" w14:textId="14A76705" w:rsidR="003B12F8" w:rsidRPr="00420A86" w:rsidRDefault="00772A4C" w:rsidP="00420A86">
      <w:pPr>
        <w:spacing w:before="0" w:after="0"/>
        <w:rPr>
          <w:rFonts w:cs="Calibri"/>
          <w:b/>
          <w:sz w:val="22"/>
          <w:u w:val="single"/>
          <w:lang w:eastAsia="zh-CN"/>
        </w:rPr>
      </w:pPr>
      <w:r>
        <w:rPr>
          <w:rFonts w:cs="Calibri"/>
          <w:b/>
          <w:sz w:val="22"/>
          <w:u w:val="single"/>
          <w:lang w:eastAsia="zh-CN"/>
        </w:rPr>
        <w:t xml:space="preserve">Legislation relating to </w:t>
      </w:r>
      <w:r w:rsidR="003B12F8" w:rsidRPr="00420A86">
        <w:rPr>
          <w:rFonts w:cs="Calibri"/>
          <w:b/>
          <w:sz w:val="22"/>
          <w:u w:val="single"/>
          <w:lang w:eastAsia="zh-CN"/>
        </w:rPr>
        <w:t xml:space="preserve">Energy </w:t>
      </w:r>
      <w:r w:rsidR="00EB1A4D">
        <w:rPr>
          <w:rFonts w:cs="Calibri"/>
          <w:b/>
          <w:sz w:val="22"/>
          <w:u w:val="single"/>
          <w:lang w:eastAsia="zh-CN"/>
        </w:rPr>
        <w:t>D</w:t>
      </w:r>
      <w:r w:rsidR="003B12F8" w:rsidRPr="00420A86">
        <w:rPr>
          <w:rFonts w:cs="Calibri"/>
          <w:b/>
          <w:sz w:val="22"/>
          <w:u w:val="single"/>
          <w:lang w:eastAsia="zh-CN"/>
        </w:rPr>
        <w:t xml:space="preserve">evelopment and </w:t>
      </w:r>
      <w:r w:rsidR="00EB1A4D">
        <w:rPr>
          <w:rFonts w:cs="Calibri"/>
          <w:b/>
          <w:sz w:val="22"/>
          <w:u w:val="single"/>
          <w:lang w:eastAsia="zh-CN"/>
        </w:rPr>
        <w:t>T</w:t>
      </w:r>
      <w:r w:rsidR="003B12F8" w:rsidRPr="00420A86">
        <w:rPr>
          <w:rFonts w:cs="Calibri"/>
          <w:b/>
          <w:sz w:val="22"/>
          <w:u w:val="single"/>
          <w:lang w:eastAsia="zh-CN"/>
        </w:rPr>
        <w:t>ransition:</w:t>
      </w:r>
    </w:p>
    <w:p w14:paraId="4DE04B5C" w14:textId="77777777" w:rsidR="00A84577" w:rsidRPr="00420A86" w:rsidRDefault="00A84577" w:rsidP="00420A86">
      <w:pPr>
        <w:spacing w:before="0" w:after="0"/>
        <w:rPr>
          <w:rFonts w:cs="Calibri"/>
          <w:sz w:val="22"/>
          <w:lang w:eastAsia="zh-CN"/>
        </w:rPr>
      </w:pPr>
    </w:p>
    <w:p w14:paraId="30B7F4D8" w14:textId="77777777" w:rsidR="003B12F8" w:rsidRPr="00420A86" w:rsidRDefault="003B12F8" w:rsidP="00420A86">
      <w:pPr>
        <w:spacing w:before="0" w:after="0"/>
        <w:rPr>
          <w:rFonts w:cs="Calibri"/>
          <w:sz w:val="22"/>
          <w:lang w:eastAsia="zh-CN"/>
        </w:rPr>
      </w:pPr>
      <w:r w:rsidRPr="00420A86">
        <w:rPr>
          <w:rFonts w:cs="Calibri"/>
          <w:sz w:val="22"/>
          <w:lang w:eastAsia="zh-CN"/>
        </w:rPr>
        <w:t xml:space="preserve">The </w:t>
      </w:r>
      <w:r w:rsidR="00A84577" w:rsidRPr="00420A86">
        <w:rPr>
          <w:rFonts w:cs="Calibri"/>
          <w:b/>
          <w:bCs/>
          <w:sz w:val="22"/>
          <w:lang w:eastAsia="zh-CN"/>
        </w:rPr>
        <w:t>E</w:t>
      </w:r>
      <w:r w:rsidRPr="00420A86">
        <w:rPr>
          <w:rFonts w:cs="Calibri"/>
          <w:b/>
          <w:sz w:val="22"/>
          <w:lang w:eastAsia="zh-CN"/>
        </w:rPr>
        <w:t xml:space="preserve">nergy </w:t>
      </w:r>
      <w:r w:rsidR="00A84577" w:rsidRPr="00420A86">
        <w:rPr>
          <w:rFonts w:cs="Calibri"/>
          <w:b/>
          <w:sz w:val="22"/>
          <w:lang w:eastAsia="zh-CN"/>
        </w:rPr>
        <w:t>C</w:t>
      </w:r>
      <w:r w:rsidRPr="00420A86">
        <w:rPr>
          <w:rFonts w:cs="Calibri"/>
          <w:b/>
          <w:sz w:val="22"/>
          <w:lang w:eastAsia="zh-CN"/>
        </w:rPr>
        <w:t xml:space="preserve">onservation </w:t>
      </w:r>
      <w:r w:rsidR="00A84577" w:rsidRPr="00420A86">
        <w:rPr>
          <w:rFonts w:cs="Calibri"/>
          <w:b/>
          <w:sz w:val="22"/>
          <w:lang w:eastAsia="zh-CN"/>
        </w:rPr>
        <w:t>L</w:t>
      </w:r>
      <w:r w:rsidRPr="00420A86">
        <w:rPr>
          <w:rFonts w:cs="Calibri"/>
          <w:b/>
          <w:sz w:val="22"/>
          <w:lang w:eastAsia="zh-CN"/>
        </w:rPr>
        <w:t>aw</w:t>
      </w:r>
      <w:r w:rsidRPr="00420A86">
        <w:rPr>
          <w:rFonts w:cs="Calibri"/>
          <w:sz w:val="22"/>
          <w:lang w:eastAsia="zh-CN"/>
        </w:rPr>
        <w:t xml:space="preserve"> (1998, revised in 2018) states that resource conservation is the basic national policy of China. The law establishes a set of energy-saving legal documents, such as energy-saving management and energy-saving technology progress. Article 7 mentions that the State encourages and supports the development and utilization of new and renewable energy. For rural areas, Article 59 stipulates that people's governments at or above the county level shall, in accordance with the principles of suiting measures to local conditions, complementing each other's various energies, comprehensive utilization and stressing efficiency, strengthen the work of energy conservation in agriculture and rural areas, and increase the investment in the popularization and application of energy-saving technologies and products in agriculture and rural areas.</w:t>
      </w:r>
    </w:p>
    <w:p w14:paraId="1C38D5F1" w14:textId="77777777" w:rsidR="00A84577" w:rsidRPr="00420A86" w:rsidRDefault="00A84577" w:rsidP="00420A86">
      <w:pPr>
        <w:spacing w:before="0" w:after="0"/>
        <w:rPr>
          <w:rFonts w:cs="Calibri"/>
          <w:sz w:val="22"/>
          <w:lang w:eastAsia="zh-CN"/>
        </w:rPr>
      </w:pPr>
    </w:p>
    <w:p w14:paraId="4B743F5D" w14:textId="77777777" w:rsidR="003B12F8" w:rsidRPr="00420A86" w:rsidRDefault="003B12F8" w:rsidP="00420A86">
      <w:pPr>
        <w:spacing w:before="0" w:after="0"/>
        <w:rPr>
          <w:rFonts w:cs="Calibri"/>
          <w:sz w:val="22"/>
          <w:lang w:eastAsia="zh-CN"/>
        </w:rPr>
      </w:pPr>
      <w:r w:rsidRPr="00420A86">
        <w:rPr>
          <w:rFonts w:cs="Calibri"/>
          <w:sz w:val="22"/>
          <w:lang w:eastAsia="zh-CN"/>
        </w:rPr>
        <w:t xml:space="preserve">The </w:t>
      </w:r>
      <w:r w:rsidR="00A84577" w:rsidRPr="00420A86">
        <w:rPr>
          <w:rFonts w:cs="Calibri"/>
          <w:b/>
          <w:sz w:val="22"/>
          <w:lang w:eastAsia="zh-CN"/>
        </w:rPr>
        <w:t>R</w:t>
      </w:r>
      <w:r w:rsidRPr="00420A86">
        <w:rPr>
          <w:rFonts w:cs="Calibri"/>
          <w:b/>
          <w:sz w:val="22"/>
          <w:lang w:eastAsia="zh-CN"/>
        </w:rPr>
        <w:t xml:space="preserve">enewable </w:t>
      </w:r>
      <w:r w:rsidR="00A84577" w:rsidRPr="00420A86">
        <w:rPr>
          <w:rFonts w:cs="Calibri"/>
          <w:b/>
          <w:sz w:val="22"/>
          <w:lang w:eastAsia="zh-CN"/>
        </w:rPr>
        <w:t>E</w:t>
      </w:r>
      <w:r w:rsidRPr="00420A86">
        <w:rPr>
          <w:rFonts w:cs="Calibri"/>
          <w:b/>
          <w:sz w:val="22"/>
          <w:lang w:eastAsia="zh-CN"/>
        </w:rPr>
        <w:t xml:space="preserve">nergy </w:t>
      </w:r>
      <w:r w:rsidR="00A84577" w:rsidRPr="00420A86">
        <w:rPr>
          <w:rFonts w:cs="Calibri"/>
          <w:b/>
          <w:sz w:val="22"/>
          <w:lang w:eastAsia="zh-CN"/>
        </w:rPr>
        <w:t>L</w:t>
      </w:r>
      <w:r w:rsidRPr="00420A86">
        <w:rPr>
          <w:rFonts w:cs="Calibri"/>
          <w:b/>
          <w:sz w:val="22"/>
          <w:lang w:eastAsia="zh-CN"/>
        </w:rPr>
        <w:t>aw</w:t>
      </w:r>
      <w:r w:rsidRPr="00420A86">
        <w:rPr>
          <w:rFonts w:cs="Calibri"/>
          <w:sz w:val="22"/>
          <w:lang w:eastAsia="zh-CN"/>
        </w:rPr>
        <w:t xml:space="preserve"> (2016) </w:t>
      </w:r>
      <w:r w:rsidR="00EB1A4D">
        <w:rPr>
          <w:rFonts w:cs="Calibri"/>
          <w:sz w:val="22"/>
          <w:lang w:eastAsia="zh-CN"/>
        </w:rPr>
        <w:t>was</w:t>
      </w:r>
      <w:r w:rsidRPr="00420A86">
        <w:rPr>
          <w:rFonts w:cs="Calibri"/>
          <w:sz w:val="22"/>
          <w:lang w:eastAsia="zh-CN"/>
        </w:rPr>
        <w:t xml:space="preserve"> formulated to promote the development and utilization of renewable energy, increase energy supply, improve energy structure, ensure energy security, protect the environment, and achieve sustainable economic and social development. Article 18 stipulates that the State encourages and supports the development and utilization of renewable energy in rural areas. The energy management departments of the local people's governments at or above the county level shall, together with the relevant departments, formulate plans for the development of renewable energy in rural areas in accordance with the actual situation of local economic and social development, ecological </w:t>
      </w:r>
      <w:proofErr w:type="gramStart"/>
      <w:r w:rsidRPr="00420A86">
        <w:rPr>
          <w:rFonts w:cs="Calibri"/>
          <w:sz w:val="22"/>
          <w:lang w:eastAsia="zh-CN"/>
        </w:rPr>
        <w:t>protection</w:t>
      </w:r>
      <w:proofErr w:type="gramEnd"/>
      <w:r w:rsidRPr="00420A86">
        <w:rPr>
          <w:rFonts w:cs="Calibri"/>
          <w:sz w:val="22"/>
          <w:lang w:eastAsia="zh-CN"/>
        </w:rPr>
        <w:t xml:space="preserve"> and comprehensive health management, and promote the application of technologies such as biogas conversion, household solar energy, small wind energy and small water energy.</w:t>
      </w:r>
    </w:p>
    <w:p w14:paraId="45AFB132" w14:textId="77777777" w:rsidR="00A84577" w:rsidRPr="00420A86" w:rsidRDefault="00A84577" w:rsidP="00420A86">
      <w:pPr>
        <w:spacing w:before="0" w:after="0"/>
        <w:rPr>
          <w:rFonts w:cs="Calibri"/>
          <w:sz w:val="22"/>
          <w:lang w:val="en-US" w:eastAsia="zh-CN"/>
        </w:rPr>
      </w:pPr>
    </w:p>
    <w:p w14:paraId="002D9FEA" w14:textId="77777777" w:rsidR="003B12F8" w:rsidRPr="00420A86" w:rsidRDefault="003B12F8" w:rsidP="00420A86">
      <w:pPr>
        <w:spacing w:before="0" w:after="0"/>
        <w:rPr>
          <w:rFonts w:cs="Calibri"/>
          <w:sz w:val="22"/>
          <w:lang w:val="en-US" w:eastAsia="zh-CN"/>
        </w:rPr>
      </w:pPr>
      <w:r w:rsidRPr="00420A86">
        <w:rPr>
          <w:rFonts w:cs="Calibri"/>
          <w:sz w:val="22"/>
          <w:lang w:val="en-US" w:eastAsia="zh-CN"/>
        </w:rPr>
        <w:t xml:space="preserve">The </w:t>
      </w:r>
      <w:r w:rsidR="00C37C6B">
        <w:rPr>
          <w:rFonts w:cs="Calibri"/>
          <w:b/>
          <w:sz w:val="22"/>
          <w:lang w:val="en-US" w:eastAsia="zh-CN"/>
        </w:rPr>
        <w:t>S</w:t>
      </w:r>
      <w:r w:rsidRPr="00420A86">
        <w:rPr>
          <w:rFonts w:cs="Calibri"/>
          <w:b/>
          <w:sz w:val="22"/>
          <w:lang w:val="en-US" w:eastAsia="zh-CN"/>
        </w:rPr>
        <w:t xml:space="preserve">trategic </w:t>
      </w:r>
      <w:r w:rsidR="00EB1A4D">
        <w:rPr>
          <w:rFonts w:cs="Calibri"/>
          <w:b/>
          <w:sz w:val="22"/>
          <w:lang w:val="en-US" w:eastAsia="zh-CN"/>
        </w:rPr>
        <w:t>A</w:t>
      </w:r>
      <w:r w:rsidRPr="00420A86">
        <w:rPr>
          <w:rFonts w:cs="Calibri"/>
          <w:b/>
          <w:sz w:val="22"/>
          <w:lang w:val="en-US" w:eastAsia="zh-CN"/>
        </w:rPr>
        <w:t xml:space="preserve">ction </w:t>
      </w:r>
      <w:r w:rsidR="00EB1A4D">
        <w:rPr>
          <w:rFonts w:cs="Calibri"/>
          <w:b/>
          <w:sz w:val="22"/>
          <w:lang w:val="en-US" w:eastAsia="zh-CN"/>
        </w:rPr>
        <w:t>P</w:t>
      </w:r>
      <w:r w:rsidRPr="00420A86">
        <w:rPr>
          <w:rFonts w:cs="Calibri"/>
          <w:b/>
          <w:sz w:val="22"/>
          <w:lang w:val="en-US" w:eastAsia="zh-CN"/>
        </w:rPr>
        <w:t xml:space="preserve">lan for </w:t>
      </w:r>
      <w:r w:rsidR="00C37C6B">
        <w:rPr>
          <w:rFonts w:cs="Calibri"/>
          <w:b/>
          <w:sz w:val="22"/>
          <w:lang w:val="en-US" w:eastAsia="zh-CN"/>
        </w:rPr>
        <w:t>E</w:t>
      </w:r>
      <w:r w:rsidRPr="00420A86">
        <w:rPr>
          <w:rFonts w:cs="Calibri"/>
          <w:b/>
          <w:sz w:val="22"/>
          <w:lang w:val="en-US" w:eastAsia="zh-CN"/>
        </w:rPr>
        <w:t xml:space="preserve">nergy </w:t>
      </w:r>
      <w:r w:rsidR="00EB1A4D">
        <w:rPr>
          <w:rFonts w:cs="Calibri"/>
          <w:b/>
          <w:sz w:val="22"/>
          <w:lang w:val="en-US" w:eastAsia="zh-CN"/>
        </w:rPr>
        <w:t>D</w:t>
      </w:r>
      <w:r w:rsidRPr="00420A86">
        <w:rPr>
          <w:rFonts w:cs="Calibri"/>
          <w:b/>
          <w:sz w:val="22"/>
          <w:lang w:val="en-US" w:eastAsia="zh-CN"/>
        </w:rPr>
        <w:t xml:space="preserve">evelopment </w:t>
      </w:r>
      <w:r w:rsidRPr="00420A86">
        <w:rPr>
          <w:rFonts w:cs="Calibri"/>
          <w:sz w:val="22"/>
          <w:lang w:val="en-US" w:eastAsia="zh-CN"/>
        </w:rPr>
        <w:t>(2014-2020) adheres to the strategic principle of "saving, clean and safe", speeds up the construction of a clean, efficient, safe and sustainable modern energy system, and focuses on the implementation of four strategies: first, the priority strategy for saving (intensive and efficient development of energy, scientific and rational use of energy, and vigorously improving energy efficiency); second, the strategy based on the domestic strategy; third, the green low-carbon strategy (optimizing the energy structure, taking the development of clean low-carbon energy as the main direction of adjusting the energy structure); the last is the innovation driven strategy (strengthening the construction of energy science and technology innovation system, relying on major projects to promote independent innovation in science and technology, and building a strong country in energy science and Technology).</w:t>
      </w:r>
      <w:r w:rsidRPr="00420A86">
        <w:rPr>
          <w:rFonts w:cs="Calibri"/>
          <w:sz w:val="22"/>
        </w:rPr>
        <w:t xml:space="preserve"> </w:t>
      </w:r>
      <w:r w:rsidRPr="00420A86">
        <w:rPr>
          <w:rFonts w:cs="Calibri"/>
          <w:sz w:val="22"/>
          <w:lang w:val="en-US" w:eastAsia="zh-CN"/>
        </w:rPr>
        <w:t xml:space="preserve">In addition, </w:t>
      </w:r>
      <w:proofErr w:type="gramStart"/>
      <w:r w:rsidRPr="00420A86">
        <w:rPr>
          <w:rFonts w:cs="Calibri"/>
          <w:sz w:val="22"/>
          <w:lang w:val="en-US" w:eastAsia="zh-CN"/>
        </w:rPr>
        <w:t>in order to</w:t>
      </w:r>
      <w:proofErr w:type="gramEnd"/>
      <w:r w:rsidRPr="00420A86">
        <w:rPr>
          <w:rFonts w:cs="Calibri"/>
          <w:sz w:val="22"/>
          <w:lang w:val="en-US" w:eastAsia="zh-CN"/>
        </w:rPr>
        <w:t xml:space="preserve"> achieve the goal of non-fossil energy accounting for 15% and 20% of primary energy consumption in 2020 and 2030, accelerate the establishment of a clean and low-carbon modern energy system and promote the sustainable and healthy development of renewable energy industry, the national development and Reform Commission has formulated </w:t>
      </w:r>
      <w:r w:rsidRPr="00420A86">
        <w:rPr>
          <w:rFonts w:cs="Calibri"/>
          <w:b/>
          <w:sz w:val="22"/>
          <w:lang w:val="en-US" w:eastAsia="zh-CN"/>
        </w:rPr>
        <w:t xml:space="preserve">the 13th </w:t>
      </w:r>
      <w:r w:rsidR="00EB1A4D">
        <w:rPr>
          <w:rFonts w:cs="Calibri"/>
          <w:b/>
          <w:sz w:val="22"/>
          <w:lang w:val="en-US" w:eastAsia="zh-CN"/>
        </w:rPr>
        <w:t>F</w:t>
      </w:r>
      <w:r w:rsidRPr="00420A86">
        <w:rPr>
          <w:rFonts w:cs="Calibri"/>
          <w:b/>
          <w:sz w:val="22"/>
          <w:lang w:val="en-US" w:eastAsia="zh-CN"/>
        </w:rPr>
        <w:t xml:space="preserve">ive </w:t>
      </w:r>
      <w:r w:rsidR="00EB1A4D">
        <w:rPr>
          <w:rFonts w:cs="Calibri"/>
          <w:b/>
          <w:sz w:val="22"/>
          <w:lang w:val="en-US" w:eastAsia="zh-CN"/>
        </w:rPr>
        <w:t>Y</w:t>
      </w:r>
      <w:r w:rsidRPr="00420A86">
        <w:rPr>
          <w:rFonts w:cs="Calibri"/>
          <w:b/>
          <w:sz w:val="22"/>
          <w:lang w:val="en-US" w:eastAsia="zh-CN"/>
        </w:rPr>
        <w:t xml:space="preserve">ear </w:t>
      </w:r>
      <w:r w:rsidR="00EB1A4D">
        <w:rPr>
          <w:rFonts w:cs="Calibri"/>
          <w:b/>
          <w:sz w:val="22"/>
          <w:lang w:val="en-US" w:eastAsia="zh-CN"/>
        </w:rPr>
        <w:t>P</w:t>
      </w:r>
      <w:r w:rsidRPr="00420A86">
        <w:rPr>
          <w:rFonts w:cs="Calibri"/>
          <w:b/>
          <w:sz w:val="22"/>
          <w:lang w:val="en-US" w:eastAsia="zh-CN"/>
        </w:rPr>
        <w:t xml:space="preserve">lan for </w:t>
      </w:r>
      <w:r w:rsidR="00EB1A4D">
        <w:rPr>
          <w:rFonts w:cs="Calibri"/>
          <w:b/>
          <w:sz w:val="22"/>
          <w:lang w:val="en-US" w:eastAsia="zh-CN"/>
        </w:rPr>
        <w:t>R</w:t>
      </w:r>
      <w:r w:rsidRPr="00420A86">
        <w:rPr>
          <w:rFonts w:cs="Calibri"/>
          <w:b/>
          <w:sz w:val="22"/>
          <w:lang w:val="en-US" w:eastAsia="zh-CN"/>
        </w:rPr>
        <w:t xml:space="preserve">enewable </w:t>
      </w:r>
      <w:r w:rsidR="00EB1A4D">
        <w:rPr>
          <w:rFonts w:cs="Calibri"/>
          <w:b/>
          <w:sz w:val="22"/>
          <w:lang w:val="en-US" w:eastAsia="zh-CN"/>
        </w:rPr>
        <w:t>E</w:t>
      </w:r>
      <w:r w:rsidRPr="00420A86">
        <w:rPr>
          <w:rFonts w:cs="Calibri"/>
          <w:b/>
          <w:sz w:val="22"/>
          <w:lang w:val="en-US" w:eastAsia="zh-CN"/>
        </w:rPr>
        <w:t xml:space="preserve">nergy </w:t>
      </w:r>
      <w:r w:rsidR="00EB1A4D">
        <w:rPr>
          <w:rFonts w:cs="Calibri"/>
          <w:b/>
          <w:sz w:val="22"/>
          <w:lang w:val="en-US" w:eastAsia="zh-CN"/>
        </w:rPr>
        <w:t>D</w:t>
      </w:r>
      <w:r w:rsidRPr="00420A86">
        <w:rPr>
          <w:rFonts w:cs="Calibri"/>
          <w:b/>
          <w:sz w:val="22"/>
          <w:lang w:val="en-US" w:eastAsia="zh-CN"/>
        </w:rPr>
        <w:t>evelopment</w:t>
      </w:r>
      <w:r w:rsidRPr="00420A86">
        <w:rPr>
          <w:rFonts w:cs="Calibri"/>
          <w:sz w:val="22"/>
          <w:lang w:val="en-US" w:eastAsia="zh-CN"/>
        </w:rPr>
        <w:t xml:space="preserve"> (2016).</w:t>
      </w:r>
      <w:r w:rsidRPr="00420A86">
        <w:rPr>
          <w:rFonts w:cs="Calibri"/>
          <w:sz w:val="22"/>
        </w:rPr>
        <w:t xml:space="preserve"> </w:t>
      </w:r>
      <w:r w:rsidRPr="00420A86">
        <w:rPr>
          <w:rFonts w:cs="Calibri"/>
          <w:sz w:val="22"/>
          <w:lang w:val="en-US" w:eastAsia="zh-CN"/>
        </w:rPr>
        <w:t xml:space="preserve">According to the data of the National Bureau of statistics, in 2020, China's total energy consumption will be about 4.97 billion tons of standard coal, achieving the goal of controlling at 5 billion tons of standard coal; the proportion of coal consumption will be reduced to 56.7%, achieving the goal of less </w:t>
      </w:r>
      <w:r w:rsidRPr="00420A86">
        <w:rPr>
          <w:rFonts w:cs="Calibri"/>
          <w:sz w:val="22"/>
          <w:lang w:val="en-US" w:eastAsia="zh-CN"/>
        </w:rPr>
        <w:lastRenderedPageBreak/>
        <w:t>than 58%;</w:t>
      </w:r>
      <w:r w:rsidRPr="00420A86">
        <w:rPr>
          <w:rFonts w:cs="Calibri"/>
          <w:sz w:val="22"/>
        </w:rPr>
        <w:t xml:space="preserve"> </w:t>
      </w:r>
      <w:r w:rsidRPr="00420A86">
        <w:rPr>
          <w:rFonts w:cs="Calibri"/>
          <w:sz w:val="22"/>
          <w:lang w:val="en-US" w:eastAsia="zh-CN"/>
        </w:rPr>
        <w:t xml:space="preserve">The proportion of natural gas, hydropower, nuclear power, wind power and other clean energy consumption has risen to 24.5%, and the target of increasing the proportion of non-fossil energy consumption to more than 15% has been achieved in 2019, and the energy structure has been continuously optimized; the power generation in 2020 will be 7.4 trillion kwh, slightly higher than the 7.2 trillion kwh level proposed in the plan. According to the national energy administration, the 14th </w:t>
      </w:r>
      <w:proofErr w:type="gramStart"/>
      <w:r w:rsidRPr="00420A86">
        <w:rPr>
          <w:rFonts w:cs="Calibri"/>
          <w:sz w:val="22"/>
          <w:lang w:val="en-US" w:eastAsia="zh-CN"/>
        </w:rPr>
        <w:t>five year</w:t>
      </w:r>
      <w:proofErr w:type="gramEnd"/>
      <w:r w:rsidRPr="00420A86">
        <w:rPr>
          <w:rFonts w:cs="Calibri"/>
          <w:sz w:val="22"/>
          <w:lang w:val="en-US" w:eastAsia="zh-CN"/>
        </w:rPr>
        <w:t xml:space="preserve"> plan for renewable energy development is under preparation, and more positive development goals are initially considered to promote the large-scale and high proportion development and utilization of renewable energy.</w:t>
      </w:r>
    </w:p>
    <w:p w14:paraId="715C71D4" w14:textId="77777777" w:rsidR="00A84577" w:rsidRPr="00420A86" w:rsidRDefault="00A84577" w:rsidP="00420A86">
      <w:pPr>
        <w:spacing w:before="0" w:after="0"/>
        <w:rPr>
          <w:rFonts w:cs="Calibri"/>
          <w:sz w:val="22"/>
          <w:lang w:val="en-US" w:eastAsia="zh-CN"/>
        </w:rPr>
      </w:pPr>
    </w:p>
    <w:p w14:paraId="0287B719" w14:textId="77777777" w:rsidR="003B12F8" w:rsidRPr="00420A86" w:rsidRDefault="003B12F8" w:rsidP="00420A86">
      <w:pPr>
        <w:spacing w:before="0" w:after="0"/>
        <w:rPr>
          <w:rFonts w:cs="Calibri"/>
          <w:sz w:val="22"/>
          <w:lang w:val="en-US" w:eastAsia="zh-CN"/>
        </w:rPr>
      </w:pPr>
      <w:r w:rsidRPr="00420A86">
        <w:rPr>
          <w:rFonts w:cs="Calibri"/>
          <w:sz w:val="22"/>
          <w:lang w:val="en-US" w:eastAsia="zh-CN"/>
        </w:rPr>
        <w:t xml:space="preserve">Since the promulgation of the </w:t>
      </w:r>
      <w:r w:rsidR="00EB1A4D">
        <w:rPr>
          <w:rFonts w:cs="Calibri"/>
          <w:b/>
          <w:sz w:val="22"/>
          <w:lang w:val="en-US" w:eastAsia="zh-CN"/>
        </w:rPr>
        <w:t>R</w:t>
      </w:r>
      <w:r w:rsidRPr="00420A86">
        <w:rPr>
          <w:rFonts w:cs="Calibri"/>
          <w:b/>
          <w:sz w:val="22"/>
          <w:lang w:val="en-US" w:eastAsia="zh-CN"/>
        </w:rPr>
        <w:t xml:space="preserve">enewable </w:t>
      </w:r>
      <w:r w:rsidR="00EB1A4D">
        <w:rPr>
          <w:rFonts w:cs="Calibri"/>
          <w:b/>
          <w:sz w:val="22"/>
          <w:lang w:val="en-US" w:eastAsia="zh-CN"/>
        </w:rPr>
        <w:t>E</w:t>
      </w:r>
      <w:r w:rsidRPr="00420A86">
        <w:rPr>
          <w:rFonts w:cs="Calibri"/>
          <w:b/>
          <w:sz w:val="22"/>
          <w:lang w:val="en-US" w:eastAsia="zh-CN"/>
        </w:rPr>
        <w:t xml:space="preserve">nergy </w:t>
      </w:r>
      <w:r w:rsidR="00EB1A4D">
        <w:rPr>
          <w:rFonts w:cs="Calibri"/>
          <w:b/>
          <w:sz w:val="22"/>
          <w:lang w:val="en-US" w:eastAsia="zh-CN"/>
        </w:rPr>
        <w:t>L</w:t>
      </w:r>
      <w:r w:rsidRPr="00420A86">
        <w:rPr>
          <w:rFonts w:cs="Calibri"/>
          <w:b/>
          <w:sz w:val="22"/>
          <w:lang w:val="en-US" w:eastAsia="zh-CN"/>
        </w:rPr>
        <w:t xml:space="preserve">aw </w:t>
      </w:r>
      <w:r w:rsidRPr="00420A86">
        <w:rPr>
          <w:rFonts w:cs="Calibri"/>
          <w:sz w:val="22"/>
          <w:lang w:eastAsia="zh-CN"/>
        </w:rPr>
        <w:t>(2016)</w:t>
      </w:r>
      <w:r w:rsidRPr="00420A86">
        <w:rPr>
          <w:rFonts w:cs="Calibri"/>
          <w:sz w:val="22"/>
          <w:lang w:val="en-US" w:eastAsia="zh-CN"/>
        </w:rPr>
        <w:t>, the national development and Reform Commission at the central level, various construction departments and various provinces at the local level have successively issued relevant policies, which constitute a policy framework system to promote the development of renewable energy, mainly covering policy planning, cost sharing, compulsory acquisition, supporting electricity prices and financial and tax incentives.</w:t>
      </w:r>
      <w:r w:rsidRPr="00420A86">
        <w:rPr>
          <w:rFonts w:cs="Calibri"/>
          <w:sz w:val="22"/>
        </w:rPr>
        <w:t xml:space="preserve"> </w:t>
      </w:r>
      <w:r w:rsidRPr="00420A86">
        <w:rPr>
          <w:rFonts w:cs="Calibri"/>
          <w:sz w:val="22"/>
          <w:lang w:val="en-US" w:eastAsia="zh-CN"/>
        </w:rPr>
        <w:t xml:space="preserve">Some of these policies are implemented nationwide, such as the </w:t>
      </w:r>
      <w:r w:rsidRPr="00420A86">
        <w:rPr>
          <w:rFonts w:cs="Calibri"/>
          <w:b/>
          <w:sz w:val="22"/>
          <w:lang w:val="en-US" w:eastAsia="zh-CN"/>
        </w:rPr>
        <w:t xml:space="preserve">Interim Measures for the management of special funds for renewable energy development </w:t>
      </w:r>
      <w:r w:rsidRPr="00420A86">
        <w:rPr>
          <w:rFonts w:cs="Calibri"/>
          <w:sz w:val="22"/>
          <w:lang w:val="en-US" w:eastAsia="zh-CN"/>
        </w:rPr>
        <w:t xml:space="preserve">(2015), the </w:t>
      </w:r>
      <w:r w:rsidRPr="00420A86">
        <w:rPr>
          <w:rFonts w:cs="Calibri"/>
          <w:b/>
          <w:sz w:val="22"/>
          <w:lang w:val="en-US" w:eastAsia="zh-CN"/>
        </w:rPr>
        <w:t xml:space="preserve">directory of renewable energy industry </w:t>
      </w:r>
      <w:r w:rsidRPr="00420A86">
        <w:rPr>
          <w:rFonts w:cs="Calibri"/>
          <w:sz w:val="22"/>
          <w:lang w:val="en-US" w:eastAsia="zh-CN"/>
        </w:rPr>
        <w:t xml:space="preserve">(2005), and the </w:t>
      </w:r>
      <w:r w:rsidRPr="00420A86">
        <w:rPr>
          <w:rFonts w:cs="Calibri"/>
          <w:b/>
          <w:sz w:val="22"/>
          <w:lang w:val="en-US" w:eastAsia="zh-CN"/>
        </w:rPr>
        <w:t xml:space="preserve">notice on establishing and improving the </w:t>
      </w:r>
      <w:r w:rsidR="00EB1A4D">
        <w:rPr>
          <w:rFonts w:cs="Calibri"/>
          <w:b/>
          <w:sz w:val="22"/>
          <w:lang w:val="en-US" w:eastAsia="zh-CN"/>
        </w:rPr>
        <w:t>“</w:t>
      </w:r>
      <w:r w:rsidRPr="00420A86">
        <w:rPr>
          <w:rFonts w:cs="Calibri"/>
          <w:b/>
          <w:sz w:val="22"/>
          <w:lang w:val="en-US" w:eastAsia="zh-CN"/>
        </w:rPr>
        <w:t>guarantee mechanism</w:t>
      </w:r>
      <w:r w:rsidR="00EB1A4D">
        <w:rPr>
          <w:rFonts w:cs="Calibri"/>
          <w:b/>
          <w:sz w:val="22"/>
          <w:lang w:val="en-US" w:eastAsia="zh-CN"/>
        </w:rPr>
        <w:t>”</w:t>
      </w:r>
      <w:r w:rsidRPr="00420A86">
        <w:rPr>
          <w:rFonts w:cs="Calibri"/>
          <w:b/>
          <w:sz w:val="22"/>
          <w:lang w:val="en-US" w:eastAsia="zh-CN"/>
        </w:rPr>
        <w:t xml:space="preserve"> for renewable energy power consumption </w:t>
      </w:r>
      <w:r w:rsidRPr="00420A86">
        <w:rPr>
          <w:rFonts w:cs="Calibri"/>
          <w:sz w:val="22"/>
          <w:lang w:val="en-US" w:eastAsia="zh-CN"/>
        </w:rPr>
        <w:t xml:space="preserve">(2019). In the other part, the central government formulates measures and regulations, and each local government arranges time schedule and standards according to its own situation, such as the </w:t>
      </w:r>
      <w:r w:rsidRPr="00420A86">
        <w:rPr>
          <w:rFonts w:cs="Calibri"/>
          <w:b/>
          <w:sz w:val="22"/>
          <w:lang w:val="en-US" w:eastAsia="zh-CN"/>
        </w:rPr>
        <w:t xml:space="preserve">Trial Measures for the management of renewable energy power generation price and cost sharing </w:t>
      </w:r>
      <w:r w:rsidRPr="00420A86">
        <w:rPr>
          <w:rFonts w:cs="Calibri"/>
          <w:sz w:val="22"/>
          <w:lang w:val="en-US" w:eastAsia="zh-CN"/>
        </w:rPr>
        <w:t>(2006), the</w:t>
      </w:r>
      <w:r w:rsidRPr="00420A86">
        <w:rPr>
          <w:rFonts w:cs="Calibri"/>
          <w:b/>
          <w:sz w:val="22"/>
          <w:lang w:val="en-US" w:eastAsia="zh-CN"/>
        </w:rPr>
        <w:t xml:space="preserve"> Interim Measures for the allocation of additional income from renewable energy electricity price </w:t>
      </w:r>
      <w:r w:rsidRPr="00420A86">
        <w:rPr>
          <w:rFonts w:cs="Calibri"/>
          <w:sz w:val="22"/>
          <w:lang w:val="en-US" w:eastAsia="zh-CN"/>
        </w:rPr>
        <w:t xml:space="preserve">(2007), the </w:t>
      </w:r>
      <w:r w:rsidRPr="00420A86">
        <w:rPr>
          <w:rFonts w:cs="Calibri"/>
          <w:b/>
          <w:sz w:val="22"/>
          <w:lang w:val="en-US" w:eastAsia="zh-CN"/>
        </w:rPr>
        <w:t xml:space="preserve">relevant regulations for the management of renewable energy power generation </w:t>
      </w:r>
      <w:r w:rsidRPr="00420A86">
        <w:rPr>
          <w:rFonts w:cs="Calibri"/>
          <w:sz w:val="22"/>
          <w:lang w:val="en-US" w:eastAsia="zh-CN"/>
        </w:rPr>
        <w:t xml:space="preserve">(2006),  the </w:t>
      </w:r>
      <w:r w:rsidRPr="00420A86">
        <w:rPr>
          <w:rFonts w:cs="Calibri"/>
          <w:b/>
          <w:sz w:val="22"/>
          <w:lang w:val="en-US" w:eastAsia="zh-CN"/>
        </w:rPr>
        <w:t xml:space="preserve">full guarantee purchase management of renewable energy power generation </w:t>
      </w:r>
      <w:r w:rsidRPr="00420A86">
        <w:rPr>
          <w:rFonts w:cs="Calibri"/>
          <w:sz w:val="22"/>
          <w:lang w:eastAsia="zh-CN"/>
        </w:rPr>
        <w:t>(2015)</w:t>
      </w:r>
      <w:r w:rsidRPr="00420A86">
        <w:rPr>
          <w:rFonts w:cs="Calibri"/>
          <w:sz w:val="22"/>
          <w:lang w:val="en-US" w:eastAsia="zh-CN"/>
        </w:rPr>
        <w:t xml:space="preserve">, and the </w:t>
      </w:r>
      <w:r w:rsidRPr="00420A86">
        <w:rPr>
          <w:rFonts w:cs="Calibri"/>
          <w:b/>
          <w:sz w:val="22"/>
          <w:lang w:val="en-US" w:eastAsia="zh-CN"/>
        </w:rPr>
        <w:t xml:space="preserve">pilot measures for priority power generation of peak shaving units with renewable energy </w:t>
      </w:r>
      <w:r w:rsidRPr="00420A86">
        <w:rPr>
          <w:rFonts w:cs="Calibri"/>
          <w:sz w:val="22"/>
          <w:lang w:eastAsia="zh-CN"/>
        </w:rPr>
        <w:t>(2016)</w:t>
      </w:r>
      <w:r w:rsidRPr="00420A86">
        <w:rPr>
          <w:rFonts w:cs="Calibri"/>
          <w:sz w:val="22"/>
          <w:lang w:val="en-US" w:eastAsia="zh-CN"/>
        </w:rPr>
        <w:t>.</w:t>
      </w:r>
    </w:p>
    <w:p w14:paraId="2B87FD4B" w14:textId="77777777" w:rsidR="00A84577" w:rsidRPr="00420A86" w:rsidRDefault="00A84577" w:rsidP="00420A86">
      <w:pPr>
        <w:spacing w:before="0" w:after="0"/>
        <w:rPr>
          <w:rFonts w:cs="Calibri"/>
          <w:b/>
          <w:sz w:val="22"/>
          <w:u w:val="single"/>
          <w:lang w:val="en-US" w:eastAsia="zh-CN"/>
        </w:rPr>
      </w:pPr>
    </w:p>
    <w:p w14:paraId="1B0CFD78" w14:textId="77777777" w:rsidR="003B12F8" w:rsidRPr="00420A86" w:rsidRDefault="006F0476" w:rsidP="00420A86">
      <w:pPr>
        <w:spacing w:before="0" w:after="0"/>
        <w:rPr>
          <w:rFonts w:cs="Calibri"/>
          <w:b/>
          <w:sz w:val="22"/>
          <w:u w:val="single"/>
          <w:lang w:val="en-US" w:eastAsia="zh-CN"/>
        </w:rPr>
      </w:pPr>
      <w:r>
        <w:rPr>
          <w:rFonts w:cs="Calibri"/>
          <w:b/>
          <w:sz w:val="22"/>
          <w:u w:val="single"/>
          <w:lang w:val="en-US" w:eastAsia="zh-CN"/>
        </w:rPr>
        <w:t>L</w:t>
      </w:r>
      <w:r w:rsidRPr="006F0476">
        <w:rPr>
          <w:rFonts w:cs="Calibri"/>
          <w:b/>
          <w:sz w:val="22"/>
          <w:u w:val="single"/>
          <w:lang w:val="en-US" w:eastAsia="zh-CN"/>
        </w:rPr>
        <w:t>ow-carbon transformation and green development of the PCI chain</w:t>
      </w:r>
      <w:r w:rsidR="003B12F8" w:rsidRPr="00420A86">
        <w:rPr>
          <w:rFonts w:cs="Calibri"/>
          <w:b/>
          <w:sz w:val="22"/>
          <w:u w:val="single"/>
          <w:lang w:val="en-US" w:eastAsia="zh-CN"/>
        </w:rPr>
        <w:t>:</w:t>
      </w:r>
    </w:p>
    <w:p w14:paraId="5C649931" w14:textId="77777777" w:rsidR="006F0476" w:rsidRPr="006F0476" w:rsidRDefault="006F0476" w:rsidP="006F0476">
      <w:pPr>
        <w:spacing w:before="0" w:after="0"/>
        <w:rPr>
          <w:rFonts w:cs="Calibri"/>
          <w:sz w:val="22"/>
          <w:lang w:val="en-US" w:eastAsia="zh-CN"/>
        </w:rPr>
      </w:pPr>
    </w:p>
    <w:p w14:paraId="1A55DA46" w14:textId="77777777" w:rsidR="006F0476" w:rsidRDefault="006F0476" w:rsidP="006F0476">
      <w:pPr>
        <w:spacing w:before="0" w:after="0"/>
        <w:rPr>
          <w:rFonts w:cs="Calibri"/>
          <w:sz w:val="22"/>
          <w:lang w:val="en-US" w:eastAsia="zh-CN"/>
        </w:rPr>
      </w:pPr>
      <w:r w:rsidRPr="006F0476">
        <w:rPr>
          <w:rFonts w:cs="Calibri"/>
          <w:sz w:val="22"/>
          <w:lang w:val="en-US" w:eastAsia="zh-CN"/>
        </w:rPr>
        <w:t>(1)</w:t>
      </w:r>
      <w:r>
        <w:rPr>
          <w:rFonts w:cs="Calibri"/>
          <w:sz w:val="22"/>
          <w:lang w:val="en-US" w:eastAsia="zh-CN"/>
        </w:rPr>
        <w:t xml:space="preserve"> </w:t>
      </w:r>
      <w:r w:rsidRPr="006F0476">
        <w:rPr>
          <w:rFonts w:cs="Calibri"/>
          <w:sz w:val="22"/>
          <w:lang w:val="en-US" w:eastAsia="zh-CN"/>
        </w:rPr>
        <w:t xml:space="preserve">Promotion of energy conservation and emission reduction in phosphate rock mining through the strategy of building "green mine". In 2017, the Ministry of Land and Resources (MLR), the Ministry of Finance (MoF), the Ministry of Environmental Protection, the General Administration of quality supervision, inspection and Quarantine of the People's Republic of China, China Banking Regulatory Commission and China Securities Regulatory Commission jointly issued the implementation opinions on speeding up the construction of green mines. It requires all </w:t>
      </w:r>
      <w:proofErr w:type="gramStart"/>
      <w:r w:rsidRPr="006F0476">
        <w:rPr>
          <w:rFonts w:cs="Calibri"/>
          <w:sz w:val="22"/>
          <w:lang w:val="en-US" w:eastAsia="zh-CN"/>
        </w:rPr>
        <w:t>newly-built</w:t>
      </w:r>
      <w:proofErr w:type="gramEnd"/>
      <w:r w:rsidRPr="006F0476">
        <w:rPr>
          <w:rFonts w:cs="Calibri"/>
          <w:sz w:val="22"/>
          <w:lang w:val="en-US" w:eastAsia="zh-CN"/>
        </w:rPr>
        <w:t xml:space="preserve"> mines to meet the requirements of green mine construction. In 2019, there were 953 mines in China that met the green mine standard, of which 37 were phosphate mines, accounting for about 4%. About 12.3% of all phosphate mines in China passed the green </w:t>
      </w:r>
      <w:proofErr w:type="gramStart"/>
      <w:r w:rsidRPr="006F0476">
        <w:rPr>
          <w:rFonts w:cs="Calibri"/>
          <w:sz w:val="22"/>
          <w:lang w:val="en-US" w:eastAsia="zh-CN"/>
        </w:rPr>
        <w:t>mine</w:t>
      </w:r>
      <w:proofErr w:type="gramEnd"/>
      <w:r w:rsidRPr="006F0476">
        <w:rPr>
          <w:rFonts w:cs="Calibri"/>
          <w:sz w:val="22"/>
          <w:lang w:val="en-US" w:eastAsia="zh-CN"/>
        </w:rPr>
        <w:t xml:space="preserve"> selection. In 2019, the Ministry of Natural Resources (MNR) issued the notice of its General Office on updating the catalogue of advanced and applicable technologies for savings and comprehensive utilization of mineral resources. It requires the technical progress recommended by the provincial natural resources department authorities through selection and comprehensive demonstration and screening with the first 6 batches of 334 technologies from 2012 to 2017. There were 360 technologies that were selected, including 19 technologies on phosphate rock development.</w:t>
      </w:r>
    </w:p>
    <w:p w14:paraId="6AA3715D" w14:textId="77777777" w:rsidR="006F0476" w:rsidRPr="006F0476" w:rsidRDefault="006F0476" w:rsidP="006F0476">
      <w:pPr>
        <w:spacing w:before="0" w:after="0"/>
        <w:rPr>
          <w:rFonts w:cs="Calibri"/>
          <w:sz w:val="22"/>
          <w:lang w:val="en-US" w:eastAsia="zh-CN"/>
        </w:rPr>
      </w:pPr>
    </w:p>
    <w:p w14:paraId="1B40F6FF" w14:textId="77777777" w:rsidR="006F0476" w:rsidRDefault="006F0476" w:rsidP="006F0476">
      <w:pPr>
        <w:spacing w:before="0" w:after="0"/>
        <w:rPr>
          <w:rFonts w:cs="Calibri"/>
          <w:sz w:val="22"/>
          <w:lang w:val="en-US" w:eastAsia="zh-CN"/>
        </w:rPr>
      </w:pPr>
      <w:r w:rsidRPr="006F0476">
        <w:rPr>
          <w:rFonts w:cs="Calibri"/>
          <w:sz w:val="22"/>
          <w:lang w:val="en-US" w:eastAsia="zh-CN"/>
        </w:rPr>
        <w:t>(2)</w:t>
      </w:r>
      <w:r>
        <w:rPr>
          <w:rFonts w:cs="Calibri"/>
          <w:sz w:val="22"/>
          <w:lang w:val="en-US" w:eastAsia="zh-CN"/>
        </w:rPr>
        <w:t xml:space="preserve"> </w:t>
      </w:r>
      <w:r w:rsidRPr="006F0476">
        <w:rPr>
          <w:rFonts w:cs="Calibri"/>
          <w:sz w:val="22"/>
          <w:lang w:val="en-US" w:eastAsia="zh-CN"/>
        </w:rPr>
        <w:t xml:space="preserve">The phosphate chemical industry has policy constraints on environmental protection and energy saving. The Ministry of Ecology and Environment (MEE) issued the implementation plan for the special investigation and remediation action of "three phosphorus" in the Yangtze River, focusing on the pollution of "three phosphorus" on May 2, 2019. The plan specifies the overall requirements and work arrangements for the special investigation and regulation of "three phosphorus" projects in the Yangtze River, which can be summarized as three key points and five stages. China Inorganic Salt </w:t>
      </w:r>
      <w:r w:rsidRPr="006F0476">
        <w:rPr>
          <w:rFonts w:cs="Calibri"/>
          <w:sz w:val="22"/>
          <w:lang w:val="en-US" w:eastAsia="zh-CN"/>
        </w:rPr>
        <w:lastRenderedPageBreak/>
        <w:t>Industry Association put forward the 13th Five Year Plan development idea of PCI and put forward the target of energy utilization efficiency of the industry. The Ministry of Industry and Information Technology (MIIT) also supports the research and development of key technologies for green and low-carbon development of phosphate chemical industry.</w:t>
      </w:r>
    </w:p>
    <w:p w14:paraId="265051EE" w14:textId="77777777" w:rsidR="006F0476" w:rsidRPr="006F0476" w:rsidRDefault="006F0476" w:rsidP="006F0476">
      <w:pPr>
        <w:spacing w:before="0" w:after="0"/>
        <w:rPr>
          <w:rFonts w:cs="Calibri"/>
          <w:sz w:val="22"/>
          <w:lang w:val="en-US" w:eastAsia="zh-CN"/>
        </w:rPr>
      </w:pPr>
    </w:p>
    <w:p w14:paraId="7263E143" w14:textId="77777777" w:rsidR="006F0476" w:rsidRPr="006F0476" w:rsidRDefault="006F0476" w:rsidP="006F0476">
      <w:pPr>
        <w:spacing w:before="0" w:after="0"/>
        <w:rPr>
          <w:rFonts w:cs="Calibri"/>
          <w:sz w:val="22"/>
          <w:lang w:val="en-US" w:eastAsia="zh-CN"/>
        </w:rPr>
      </w:pPr>
      <w:r w:rsidRPr="006F0476">
        <w:rPr>
          <w:rFonts w:cs="Calibri"/>
          <w:sz w:val="22"/>
          <w:lang w:val="en-US" w:eastAsia="zh-CN"/>
        </w:rPr>
        <w:t>(3)</w:t>
      </w:r>
      <w:r>
        <w:rPr>
          <w:rFonts w:cs="Calibri"/>
          <w:sz w:val="22"/>
          <w:lang w:val="en-US" w:eastAsia="zh-CN"/>
        </w:rPr>
        <w:t xml:space="preserve"> </w:t>
      </w:r>
      <w:r w:rsidRPr="006F0476">
        <w:rPr>
          <w:rFonts w:cs="Calibri"/>
          <w:sz w:val="22"/>
          <w:lang w:val="en-US" w:eastAsia="zh-CN"/>
        </w:rPr>
        <w:t xml:space="preserve">The government has gradually attached importance to the treatment and disposal of </w:t>
      </w:r>
      <w:proofErr w:type="spellStart"/>
      <w:r w:rsidRPr="006F0476">
        <w:rPr>
          <w:rFonts w:cs="Calibri"/>
          <w:sz w:val="22"/>
          <w:lang w:val="en-US" w:eastAsia="zh-CN"/>
        </w:rPr>
        <w:t>phosphogypsum</w:t>
      </w:r>
      <w:proofErr w:type="spellEnd"/>
      <w:r w:rsidRPr="006F0476">
        <w:rPr>
          <w:rFonts w:cs="Calibri"/>
          <w:sz w:val="22"/>
          <w:lang w:val="en-US" w:eastAsia="zh-CN"/>
        </w:rPr>
        <w:t xml:space="preserve">. In 2011, the MIIT issued the "guidance on comprehensive utilization of industrial by-product gypsum", to improve the tax preferential policy of industrial by-product gypsum used in cement retarder production, and guide enterprises to use industrial by-product gypsum as cement retarder. Local governments have gradually attached importance to the comprehensive utilization of </w:t>
      </w:r>
      <w:proofErr w:type="spellStart"/>
      <w:r w:rsidRPr="006F0476">
        <w:rPr>
          <w:rFonts w:cs="Calibri"/>
          <w:sz w:val="22"/>
          <w:lang w:val="en-US" w:eastAsia="zh-CN"/>
        </w:rPr>
        <w:t>phosphogypsum</w:t>
      </w:r>
      <w:proofErr w:type="spellEnd"/>
      <w:r w:rsidRPr="006F0476">
        <w:rPr>
          <w:rFonts w:cs="Calibri"/>
          <w:sz w:val="22"/>
          <w:lang w:val="en-US" w:eastAsia="zh-CN"/>
        </w:rPr>
        <w:t xml:space="preserve">. In 2017, Guizhou Province formulated a special plan for the development of </w:t>
      </w:r>
      <w:proofErr w:type="spellStart"/>
      <w:r w:rsidRPr="006F0476">
        <w:rPr>
          <w:rFonts w:cs="Calibri"/>
          <w:sz w:val="22"/>
          <w:lang w:val="en-US" w:eastAsia="zh-CN"/>
        </w:rPr>
        <w:t>phosphogypsum</w:t>
      </w:r>
      <w:proofErr w:type="spellEnd"/>
      <w:r w:rsidRPr="006F0476">
        <w:rPr>
          <w:rFonts w:cs="Calibri"/>
          <w:sz w:val="22"/>
          <w:lang w:val="en-US" w:eastAsia="zh-CN"/>
        </w:rPr>
        <w:t xml:space="preserve"> industry and implemented the "fixed production by use" of </w:t>
      </w:r>
      <w:proofErr w:type="spellStart"/>
      <w:r w:rsidRPr="006F0476">
        <w:rPr>
          <w:rFonts w:cs="Calibri"/>
          <w:sz w:val="22"/>
          <w:lang w:val="en-US" w:eastAsia="zh-CN"/>
        </w:rPr>
        <w:t>phosphogypsum</w:t>
      </w:r>
      <w:proofErr w:type="spellEnd"/>
      <w:r w:rsidRPr="006F0476">
        <w:rPr>
          <w:rFonts w:cs="Calibri"/>
          <w:sz w:val="22"/>
          <w:lang w:val="en-US" w:eastAsia="zh-CN"/>
        </w:rPr>
        <w:t xml:space="preserve">. Governments in Hubei, Sichuan, Yunnan, and other provinces have issued policies to promote green transformation of the PCI in their provinces. The MIIT issued the "industrial green development plan (2016-2020)", which proposed to promote </w:t>
      </w:r>
      <w:proofErr w:type="gramStart"/>
      <w:r w:rsidRPr="006F0476">
        <w:rPr>
          <w:rFonts w:cs="Calibri"/>
          <w:sz w:val="22"/>
          <w:lang w:val="en-US" w:eastAsia="zh-CN"/>
        </w:rPr>
        <w:t>a number of</w:t>
      </w:r>
      <w:proofErr w:type="gramEnd"/>
      <w:r w:rsidRPr="006F0476">
        <w:rPr>
          <w:rFonts w:cs="Calibri"/>
          <w:sz w:val="22"/>
          <w:lang w:val="en-US" w:eastAsia="zh-CN"/>
        </w:rPr>
        <w:t xml:space="preserve"> advanced and applicable technology and equipment around </w:t>
      </w:r>
      <w:proofErr w:type="spellStart"/>
      <w:r w:rsidRPr="006F0476">
        <w:rPr>
          <w:rFonts w:cs="Calibri"/>
          <w:sz w:val="22"/>
          <w:lang w:val="en-US" w:eastAsia="zh-CN"/>
        </w:rPr>
        <w:t>phosphogypsum</w:t>
      </w:r>
      <w:proofErr w:type="spellEnd"/>
      <w:r w:rsidRPr="006F0476">
        <w:rPr>
          <w:rFonts w:cs="Calibri"/>
          <w:sz w:val="22"/>
          <w:lang w:val="en-US" w:eastAsia="zh-CN"/>
        </w:rPr>
        <w:t xml:space="preserve"> and other industrial solid waste and promote enhanced resource utilization.</w:t>
      </w:r>
    </w:p>
    <w:p w14:paraId="7CC5C451" w14:textId="77777777" w:rsidR="006F0476" w:rsidRPr="00420A86" w:rsidRDefault="006F0476" w:rsidP="006F0476">
      <w:pPr>
        <w:spacing w:before="0" w:after="0"/>
        <w:rPr>
          <w:rFonts w:cs="Calibri"/>
          <w:sz w:val="22"/>
          <w:lang w:val="en-US" w:eastAsia="zh-CN"/>
        </w:rPr>
      </w:pPr>
    </w:p>
    <w:bookmarkEnd w:id="16"/>
    <w:p w14:paraId="4A0956BB" w14:textId="77777777" w:rsidR="00A84577" w:rsidRPr="00420A86" w:rsidRDefault="00A84577" w:rsidP="006F0476">
      <w:pPr>
        <w:pStyle w:val="BodyText1"/>
      </w:pPr>
    </w:p>
    <w:p w14:paraId="63510EC9" w14:textId="77777777" w:rsidR="00F42F8A" w:rsidRPr="00420A86" w:rsidRDefault="00F42F8A" w:rsidP="00420A86">
      <w:pPr>
        <w:pStyle w:val="Heading2"/>
        <w:spacing w:before="0" w:after="0"/>
        <w:ind w:left="709" w:hanging="709"/>
        <w:rPr>
          <w:rFonts w:cs="Calibri"/>
          <w:sz w:val="22"/>
          <w:szCs w:val="22"/>
        </w:rPr>
      </w:pPr>
      <w:bookmarkStart w:id="19" w:name="_Toc86064155"/>
      <w:r w:rsidRPr="00420A86">
        <w:rPr>
          <w:rFonts w:cs="Calibri"/>
          <w:sz w:val="22"/>
          <w:szCs w:val="22"/>
        </w:rPr>
        <w:t>UNDP</w:t>
      </w:r>
      <w:r w:rsidR="00D10F81" w:rsidRPr="00420A86">
        <w:rPr>
          <w:rFonts w:cs="Calibri"/>
          <w:sz w:val="22"/>
          <w:szCs w:val="22"/>
        </w:rPr>
        <w:t>’s</w:t>
      </w:r>
      <w:r w:rsidR="00950896" w:rsidRPr="00420A86">
        <w:rPr>
          <w:rFonts w:cs="Calibri"/>
          <w:sz w:val="22"/>
          <w:szCs w:val="22"/>
        </w:rPr>
        <w:t xml:space="preserve"> </w:t>
      </w:r>
      <w:r w:rsidR="00870B72" w:rsidRPr="00420A86">
        <w:rPr>
          <w:rFonts w:cs="Calibri"/>
          <w:sz w:val="22"/>
          <w:szCs w:val="22"/>
        </w:rPr>
        <w:t xml:space="preserve">Social and </w:t>
      </w:r>
      <w:r w:rsidRPr="00420A86">
        <w:rPr>
          <w:rFonts w:cs="Calibri"/>
          <w:sz w:val="22"/>
          <w:szCs w:val="22"/>
        </w:rPr>
        <w:t xml:space="preserve">Environmental </w:t>
      </w:r>
      <w:r w:rsidR="00D10F81" w:rsidRPr="00420A86">
        <w:rPr>
          <w:rFonts w:cs="Calibri"/>
          <w:sz w:val="22"/>
          <w:szCs w:val="22"/>
        </w:rPr>
        <w:t>Standards</w:t>
      </w:r>
      <w:bookmarkEnd w:id="19"/>
    </w:p>
    <w:p w14:paraId="37B12078" w14:textId="77777777" w:rsidR="00A84577" w:rsidRPr="00420A86" w:rsidRDefault="00A84577" w:rsidP="00420A86">
      <w:pPr>
        <w:spacing w:before="0" w:after="0"/>
        <w:rPr>
          <w:rFonts w:cs="Calibri"/>
          <w:sz w:val="22"/>
        </w:rPr>
      </w:pPr>
    </w:p>
    <w:p w14:paraId="21376134" w14:textId="5139B6E6" w:rsidR="004C1158" w:rsidRPr="00420A86" w:rsidRDefault="0030137D" w:rsidP="00420A86">
      <w:pPr>
        <w:spacing w:before="0" w:after="0"/>
        <w:rPr>
          <w:rFonts w:cs="Calibri"/>
          <w:sz w:val="22"/>
        </w:rPr>
      </w:pPr>
      <w:r w:rsidRPr="00420A86">
        <w:rPr>
          <w:rFonts w:cs="Calibri"/>
          <w:sz w:val="22"/>
        </w:rPr>
        <w:t xml:space="preserve">The </w:t>
      </w:r>
      <w:proofErr w:type="spellStart"/>
      <w:r w:rsidR="005E4849">
        <w:rPr>
          <w:rFonts w:cs="Calibri"/>
          <w:sz w:val="22"/>
          <w:lang w:eastAsia="zh-CN"/>
        </w:rPr>
        <w:t>PhosChemEE</w:t>
      </w:r>
      <w:proofErr w:type="spellEnd"/>
      <w:r w:rsidR="00BB3DF6" w:rsidRPr="00420A86">
        <w:rPr>
          <w:rFonts w:cs="Calibri"/>
          <w:sz w:val="22"/>
          <w:lang w:eastAsia="zh-CN"/>
        </w:rPr>
        <w:t xml:space="preserve"> </w:t>
      </w:r>
      <w:r w:rsidR="00EB1A4D">
        <w:rPr>
          <w:rFonts w:cs="Calibri"/>
          <w:sz w:val="22"/>
          <w:lang w:eastAsia="zh-CN"/>
        </w:rPr>
        <w:t>P</w:t>
      </w:r>
      <w:r w:rsidR="00BB3DF6" w:rsidRPr="00420A86">
        <w:rPr>
          <w:rFonts w:cs="Calibri"/>
          <w:sz w:val="22"/>
          <w:lang w:eastAsia="zh-CN"/>
        </w:rPr>
        <w:t>roject</w:t>
      </w:r>
      <w:r w:rsidRPr="00420A86">
        <w:rPr>
          <w:rFonts w:cs="Calibri"/>
          <w:sz w:val="22"/>
        </w:rPr>
        <w:t xml:space="preserve"> </w:t>
      </w:r>
      <w:r w:rsidR="00BB3DF6" w:rsidRPr="00420A86">
        <w:rPr>
          <w:rFonts w:cs="Calibri"/>
          <w:sz w:val="22"/>
          <w:lang w:eastAsia="zh-CN"/>
        </w:rPr>
        <w:t>framed</w:t>
      </w:r>
      <w:r w:rsidR="00BB3DF6" w:rsidRPr="00420A86">
        <w:rPr>
          <w:rFonts w:cs="Calibri"/>
          <w:sz w:val="22"/>
        </w:rPr>
        <w:t xml:space="preserve"> </w:t>
      </w:r>
      <w:r w:rsidRPr="00420A86">
        <w:rPr>
          <w:rFonts w:cs="Calibri"/>
          <w:sz w:val="22"/>
        </w:rPr>
        <w:t>by this ESMF will comply with UNDP’s Social and Environmental Standards (SES), which came into effect 1 January 2015</w:t>
      </w:r>
      <w:r w:rsidR="003E7799">
        <w:rPr>
          <w:rFonts w:cs="Calibri"/>
          <w:sz w:val="22"/>
        </w:rPr>
        <w:t xml:space="preserve"> and </w:t>
      </w:r>
      <w:r w:rsidR="002A697A">
        <w:rPr>
          <w:rFonts w:cs="Calibri"/>
          <w:sz w:val="22"/>
        </w:rPr>
        <w:t xml:space="preserve">were </w:t>
      </w:r>
      <w:r w:rsidR="003E7799" w:rsidRPr="003E7799">
        <w:rPr>
          <w:rFonts w:cs="Calibri"/>
          <w:sz w:val="22"/>
        </w:rPr>
        <w:t xml:space="preserve">updated to take effect </w:t>
      </w:r>
      <w:r w:rsidR="003E7799">
        <w:rPr>
          <w:rFonts w:cs="Calibri"/>
          <w:sz w:val="22"/>
        </w:rPr>
        <w:t>in</w:t>
      </w:r>
      <w:r w:rsidR="003E7799" w:rsidRPr="003E7799">
        <w:rPr>
          <w:rFonts w:cs="Calibri"/>
          <w:sz w:val="22"/>
        </w:rPr>
        <w:t xml:space="preserve"> January 1, 202</w:t>
      </w:r>
      <w:r w:rsidR="003E7799">
        <w:rPr>
          <w:rFonts w:cs="Calibri"/>
          <w:sz w:val="22"/>
        </w:rPr>
        <w:t>1</w:t>
      </w:r>
      <w:r w:rsidRPr="00420A86">
        <w:rPr>
          <w:rFonts w:cs="Calibri"/>
          <w:sz w:val="22"/>
        </w:rPr>
        <w:t>. The</w:t>
      </w:r>
      <w:r w:rsidR="005A3FBB" w:rsidRPr="00420A86">
        <w:rPr>
          <w:rFonts w:cs="Calibri"/>
          <w:sz w:val="22"/>
        </w:rPr>
        <w:t xml:space="preserve">se </w:t>
      </w:r>
      <w:r w:rsidR="007756E1" w:rsidRPr="00420A86">
        <w:rPr>
          <w:rFonts w:cs="Calibri"/>
          <w:sz w:val="22"/>
        </w:rPr>
        <w:t>S</w:t>
      </w:r>
      <w:r w:rsidR="005A3FBB" w:rsidRPr="00420A86">
        <w:rPr>
          <w:rFonts w:cs="Calibri"/>
          <w:sz w:val="22"/>
        </w:rPr>
        <w:t>tandards</w:t>
      </w:r>
      <w:r w:rsidRPr="00420A86">
        <w:rPr>
          <w:rFonts w:cs="Calibri"/>
          <w:sz w:val="22"/>
        </w:rPr>
        <w:t xml:space="preserve"> underpin UNDP’s commitment to mainstream social and environmental sustainability in its </w:t>
      </w:r>
      <w:r w:rsidR="007710AC" w:rsidRPr="00420A86">
        <w:rPr>
          <w:rFonts w:cs="Calibri"/>
          <w:sz w:val="22"/>
        </w:rPr>
        <w:t>program</w:t>
      </w:r>
      <w:r w:rsidRPr="00420A86">
        <w:rPr>
          <w:rFonts w:cs="Calibri"/>
          <w:sz w:val="22"/>
        </w:rPr>
        <w:t xml:space="preserve">s and </w:t>
      </w:r>
      <w:r w:rsidR="00D10F81" w:rsidRPr="00420A86">
        <w:rPr>
          <w:rFonts w:cs="Calibri"/>
          <w:sz w:val="22"/>
        </w:rPr>
        <w:t>p</w:t>
      </w:r>
      <w:r w:rsidRPr="00420A86">
        <w:rPr>
          <w:rFonts w:cs="Calibri"/>
          <w:sz w:val="22"/>
        </w:rPr>
        <w:t>rojects to s</w:t>
      </w:r>
      <w:r w:rsidR="004C1158" w:rsidRPr="00420A86">
        <w:rPr>
          <w:rFonts w:cs="Calibri"/>
          <w:sz w:val="22"/>
        </w:rPr>
        <w:t>upport sustainable development and are an integral component of UNDP’s quality assurance and risk management approach to programming. T</w:t>
      </w:r>
      <w:r w:rsidR="007469A9" w:rsidRPr="00420A86">
        <w:rPr>
          <w:rFonts w:cs="Calibri"/>
          <w:sz w:val="22"/>
        </w:rPr>
        <w:t>hrough t</w:t>
      </w:r>
      <w:r w:rsidR="004C1158" w:rsidRPr="00420A86">
        <w:rPr>
          <w:rFonts w:cs="Calibri"/>
          <w:sz w:val="22"/>
        </w:rPr>
        <w:t>he SES</w:t>
      </w:r>
      <w:r w:rsidR="007469A9" w:rsidRPr="00420A86">
        <w:rPr>
          <w:rFonts w:cs="Calibri"/>
          <w:sz w:val="22"/>
        </w:rPr>
        <w:t>,</w:t>
      </w:r>
      <w:r w:rsidR="004C1158" w:rsidRPr="00420A86">
        <w:rPr>
          <w:rFonts w:cs="Calibri"/>
          <w:sz w:val="22"/>
        </w:rPr>
        <w:t xml:space="preserve"> </w:t>
      </w:r>
      <w:r w:rsidR="007469A9" w:rsidRPr="00420A86">
        <w:rPr>
          <w:rFonts w:cs="Calibri"/>
          <w:sz w:val="22"/>
        </w:rPr>
        <w:t xml:space="preserve">UNDP </w:t>
      </w:r>
      <w:r w:rsidR="005E6F89" w:rsidRPr="00420A86">
        <w:rPr>
          <w:rFonts w:cs="Calibri"/>
          <w:sz w:val="22"/>
        </w:rPr>
        <w:t>meet</w:t>
      </w:r>
      <w:r w:rsidR="007469A9" w:rsidRPr="00420A86">
        <w:rPr>
          <w:rFonts w:cs="Calibri"/>
          <w:sz w:val="22"/>
        </w:rPr>
        <w:t>s</w:t>
      </w:r>
      <w:r w:rsidR="005E6F89" w:rsidRPr="00420A86">
        <w:rPr>
          <w:rFonts w:cs="Calibri"/>
          <w:sz w:val="22"/>
        </w:rPr>
        <w:t xml:space="preserve"> the requirements of</w:t>
      </w:r>
      <w:r w:rsidR="004C1158" w:rsidRPr="00420A86">
        <w:rPr>
          <w:rFonts w:cs="Calibri"/>
          <w:sz w:val="22"/>
        </w:rPr>
        <w:t xml:space="preserve"> the GEF’s Environmental and Social Safeguards Policy.</w:t>
      </w:r>
    </w:p>
    <w:p w14:paraId="6498D7EA" w14:textId="77777777" w:rsidR="00A84577" w:rsidRPr="00420A86" w:rsidRDefault="00A84577" w:rsidP="00420A86">
      <w:pPr>
        <w:spacing w:before="0" w:after="0"/>
        <w:jc w:val="left"/>
        <w:rPr>
          <w:rFonts w:cs="Calibri"/>
          <w:sz w:val="22"/>
        </w:rPr>
      </w:pPr>
    </w:p>
    <w:p w14:paraId="56A0058C" w14:textId="77777777" w:rsidR="0030137D" w:rsidRPr="00420A86" w:rsidRDefault="0030137D" w:rsidP="00420A86">
      <w:pPr>
        <w:spacing w:before="0" w:after="0"/>
        <w:jc w:val="left"/>
        <w:rPr>
          <w:rFonts w:cs="Calibri"/>
          <w:sz w:val="22"/>
        </w:rPr>
      </w:pPr>
      <w:r w:rsidRPr="00420A86">
        <w:rPr>
          <w:rFonts w:cs="Calibri"/>
          <w:sz w:val="22"/>
        </w:rPr>
        <w:t xml:space="preserve">The objectives of the </w:t>
      </w:r>
      <w:r w:rsidR="007469A9" w:rsidRPr="00420A86">
        <w:rPr>
          <w:rFonts w:cs="Calibri"/>
          <w:sz w:val="22"/>
        </w:rPr>
        <w:t xml:space="preserve">SES </w:t>
      </w:r>
      <w:r w:rsidRPr="00420A86">
        <w:rPr>
          <w:rFonts w:cs="Calibri"/>
          <w:sz w:val="22"/>
        </w:rPr>
        <w:t>are to:</w:t>
      </w:r>
    </w:p>
    <w:p w14:paraId="5401A805" w14:textId="77777777" w:rsidR="00A84577" w:rsidRPr="00420A86" w:rsidRDefault="00A84577" w:rsidP="00420A86">
      <w:pPr>
        <w:pStyle w:val="ListParagraph"/>
        <w:spacing w:before="0" w:after="0"/>
        <w:jc w:val="left"/>
        <w:rPr>
          <w:rFonts w:cs="Calibri"/>
          <w:sz w:val="22"/>
        </w:rPr>
      </w:pPr>
    </w:p>
    <w:p w14:paraId="5E97B1B0" w14:textId="77777777" w:rsidR="0030137D" w:rsidRPr="00420A86" w:rsidRDefault="0030137D" w:rsidP="00420A86">
      <w:pPr>
        <w:pStyle w:val="ListParagraph"/>
        <w:numPr>
          <w:ilvl w:val="0"/>
          <w:numId w:val="3"/>
        </w:numPr>
        <w:spacing w:before="0" w:after="0"/>
        <w:jc w:val="left"/>
        <w:rPr>
          <w:rFonts w:cs="Calibri"/>
          <w:sz w:val="22"/>
        </w:rPr>
      </w:pPr>
      <w:r w:rsidRPr="00420A86">
        <w:rPr>
          <w:rFonts w:cs="Calibri"/>
          <w:sz w:val="22"/>
        </w:rPr>
        <w:t xml:space="preserve">Strengthen the social and environmental outcomes of </w:t>
      </w:r>
      <w:r w:rsidR="007710AC" w:rsidRPr="00420A86">
        <w:rPr>
          <w:rFonts w:cs="Calibri"/>
          <w:sz w:val="22"/>
        </w:rPr>
        <w:t>Program</w:t>
      </w:r>
      <w:r w:rsidRPr="00420A86">
        <w:rPr>
          <w:rFonts w:cs="Calibri"/>
          <w:sz w:val="22"/>
        </w:rPr>
        <w:t xml:space="preserve">s and </w:t>
      </w:r>
      <w:r w:rsidR="00296E36" w:rsidRPr="00420A86">
        <w:rPr>
          <w:rFonts w:cs="Calibri"/>
          <w:sz w:val="22"/>
        </w:rPr>
        <w:t>Projects.</w:t>
      </w:r>
    </w:p>
    <w:p w14:paraId="7C88A006" w14:textId="77777777" w:rsidR="0030137D" w:rsidRPr="00420A86" w:rsidRDefault="0030137D" w:rsidP="00420A86">
      <w:pPr>
        <w:pStyle w:val="ListParagraph"/>
        <w:numPr>
          <w:ilvl w:val="0"/>
          <w:numId w:val="3"/>
        </w:numPr>
        <w:spacing w:before="0" w:after="0"/>
        <w:jc w:val="left"/>
        <w:rPr>
          <w:rFonts w:cs="Calibri"/>
          <w:sz w:val="22"/>
        </w:rPr>
      </w:pPr>
      <w:r w:rsidRPr="00420A86">
        <w:rPr>
          <w:rFonts w:cs="Calibri"/>
          <w:sz w:val="22"/>
        </w:rPr>
        <w:t xml:space="preserve">Avoid adverse impacts to people and the </w:t>
      </w:r>
      <w:r w:rsidR="00296E36" w:rsidRPr="00420A86">
        <w:rPr>
          <w:rFonts w:cs="Calibri"/>
          <w:sz w:val="22"/>
        </w:rPr>
        <w:t>environment.</w:t>
      </w:r>
    </w:p>
    <w:p w14:paraId="20700662" w14:textId="77777777" w:rsidR="0030137D" w:rsidRPr="00420A86" w:rsidRDefault="0030137D" w:rsidP="00420A86">
      <w:pPr>
        <w:pStyle w:val="ListParagraph"/>
        <w:numPr>
          <w:ilvl w:val="0"/>
          <w:numId w:val="3"/>
        </w:numPr>
        <w:spacing w:before="0" w:after="0"/>
        <w:jc w:val="left"/>
        <w:rPr>
          <w:rFonts w:cs="Calibri"/>
          <w:sz w:val="22"/>
        </w:rPr>
      </w:pPr>
      <w:r w:rsidRPr="00420A86">
        <w:rPr>
          <w:rFonts w:cs="Calibri"/>
          <w:sz w:val="22"/>
        </w:rPr>
        <w:t xml:space="preserve">Minimize, mitigate, and manage adverse impacts where avoidance is not </w:t>
      </w:r>
      <w:r w:rsidR="00296E36" w:rsidRPr="00420A86">
        <w:rPr>
          <w:rFonts w:cs="Calibri"/>
          <w:sz w:val="22"/>
        </w:rPr>
        <w:t>possible.</w:t>
      </w:r>
    </w:p>
    <w:p w14:paraId="04B1AF5A" w14:textId="77777777" w:rsidR="0030137D" w:rsidRPr="00420A86" w:rsidRDefault="0030137D" w:rsidP="00420A86">
      <w:pPr>
        <w:pStyle w:val="ListParagraph"/>
        <w:numPr>
          <w:ilvl w:val="0"/>
          <w:numId w:val="3"/>
        </w:numPr>
        <w:spacing w:before="0" w:after="0"/>
        <w:jc w:val="left"/>
        <w:rPr>
          <w:rFonts w:cs="Calibri"/>
          <w:sz w:val="22"/>
        </w:rPr>
      </w:pPr>
      <w:r w:rsidRPr="00420A86">
        <w:rPr>
          <w:rFonts w:cs="Calibri"/>
          <w:sz w:val="22"/>
        </w:rPr>
        <w:t xml:space="preserve">Strengthen UNDP and partner capacities for managing social and environmental </w:t>
      </w:r>
      <w:r w:rsidR="00296E36" w:rsidRPr="00420A86">
        <w:rPr>
          <w:rFonts w:cs="Calibri"/>
          <w:sz w:val="22"/>
        </w:rPr>
        <w:t>risks.</w:t>
      </w:r>
    </w:p>
    <w:p w14:paraId="2FA0C9B1" w14:textId="77777777" w:rsidR="0030137D" w:rsidRPr="00420A86" w:rsidRDefault="0030137D" w:rsidP="00420A86">
      <w:pPr>
        <w:pStyle w:val="ListParagraph"/>
        <w:numPr>
          <w:ilvl w:val="0"/>
          <w:numId w:val="3"/>
        </w:numPr>
        <w:spacing w:before="0" w:after="0"/>
        <w:jc w:val="left"/>
        <w:rPr>
          <w:rFonts w:cs="Calibri"/>
          <w:sz w:val="22"/>
        </w:rPr>
      </w:pPr>
      <w:r w:rsidRPr="00420A86">
        <w:rPr>
          <w:rFonts w:cs="Calibri"/>
          <w:sz w:val="22"/>
        </w:rPr>
        <w:t xml:space="preserve">Ensure full and effective stakeholder engagement, including through a mechanism to respond to complaints from project-affected </w:t>
      </w:r>
      <w:r w:rsidR="00296E36" w:rsidRPr="00420A86">
        <w:rPr>
          <w:rFonts w:cs="Calibri"/>
          <w:sz w:val="22"/>
        </w:rPr>
        <w:t>people.</w:t>
      </w:r>
    </w:p>
    <w:p w14:paraId="46665568" w14:textId="77777777" w:rsidR="00A84577" w:rsidRPr="00420A86" w:rsidRDefault="00A84577" w:rsidP="00420A86">
      <w:pPr>
        <w:spacing w:before="0" w:after="0"/>
        <w:rPr>
          <w:rFonts w:cs="Calibri"/>
          <w:sz w:val="22"/>
        </w:rPr>
      </w:pPr>
    </w:p>
    <w:p w14:paraId="5EE742E8" w14:textId="0605CAA8" w:rsidR="0033291B" w:rsidRPr="00420A86" w:rsidRDefault="004C1158" w:rsidP="00420A86">
      <w:pPr>
        <w:spacing w:before="0" w:after="0"/>
        <w:rPr>
          <w:rFonts w:cs="Calibri"/>
          <w:sz w:val="22"/>
        </w:rPr>
      </w:pPr>
      <w:r w:rsidRPr="00420A86">
        <w:rPr>
          <w:rFonts w:cs="Calibri"/>
          <w:sz w:val="22"/>
        </w:rPr>
        <w:t xml:space="preserve">In accordance with UNDP </w:t>
      </w:r>
      <w:r w:rsidR="00796F2A" w:rsidRPr="00420A86">
        <w:rPr>
          <w:rFonts w:cs="Calibri"/>
          <w:sz w:val="22"/>
        </w:rPr>
        <w:t xml:space="preserve">SES </w:t>
      </w:r>
      <w:r w:rsidRPr="00420A86">
        <w:rPr>
          <w:rFonts w:cs="Calibri"/>
          <w:sz w:val="22"/>
        </w:rPr>
        <w:t xml:space="preserve">policy, the Social and Environmental Screening Procedure (SESP) has been applied to </w:t>
      </w:r>
      <w:r w:rsidR="00BB3DF6" w:rsidRPr="00420A86">
        <w:rPr>
          <w:rFonts w:cs="Calibri"/>
          <w:sz w:val="22"/>
        </w:rPr>
        <w:t xml:space="preserve">the </w:t>
      </w:r>
      <w:proofErr w:type="spellStart"/>
      <w:r w:rsidR="005E4849">
        <w:rPr>
          <w:rFonts w:cs="Calibri"/>
          <w:sz w:val="22"/>
          <w:lang w:eastAsia="zh-CN"/>
        </w:rPr>
        <w:t>PhosChemEE</w:t>
      </w:r>
      <w:proofErr w:type="spellEnd"/>
      <w:r w:rsidR="00BB3DF6" w:rsidRPr="00420A86">
        <w:rPr>
          <w:rFonts w:cs="Calibri"/>
          <w:sz w:val="22"/>
          <w:lang w:eastAsia="zh-CN"/>
        </w:rPr>
        <w:t xml:space="preserve"> </w:t>
      </w:r>
      <w:r w:rsidR="00EB1A4D">
        <w:rPr>
          <w:rFonts w:cs="Calibri"/>
          <w:sz w:val="22"/>
          <w:lang w:eastAsia="zh-CN"/>
        </w:rPr>
        <w:t>P</w:t>
      </w:r>
      <w:r w:rsidR="00BB3DF6" w:rsidRPr="00420A86">
        <w:rPr>
          <w:rFonts w:cs="Calibri"/>
          <w:sz w:val="22"/>
          <w:lang w:eastAsia="zh-CN"/>
        </w:rPr>
        <w:t>roject</w:t>
      </w:r>
      <w:r w:rsidRPr="00420A86">
        <w:rPr>
          <w:rFonts w:cs="Calibri"/>
          <w:sz w:val="22"/>
        </w:rPr>
        <w:t xml:space="preserve"> during the project development phase. </w:t>
      </w:r>
      <w:r w:rsidR="0033291B" w:rsidRPr="00420A86">
        <w:rPr>
          <w:rFonts w:cs="Calibri"/>
          <w:sz w:val="22"/>
        </w:rPr>
        <w:t xml:space="preserve">In accordance with UNDP SES policy, a </w:t>
      </w:r>
      <w:r w:rsidR="005B41A2" w:rsidRPr="00420A86">
        <w:rPr>
          <w:rFonts w:cs="Calibri"/>
          <w:sz w:val="22"/>
        </w:rPr>
        <w:t xml:space="preserve">SES principle or </w:t>
      </w:r>
      <w:r w:rsidR="0033291B" w:rsidRPr="00420A86">
        <w:rPr>
          <w:rFonts w:cs="Calibri"/>
          <w:sz w:val="22"/>
        </w:rPr>
        <w:t>standard is ‘triggered’ when a potential risk is identified and assessed as having either a ‘moderate’</w:t>
      </w:r>
      <w:r w:rsidR="00537551">
        <w:rPr>
          <w:rFonts w:cs="Calibri"/>
          <w:sz w:val="22"/>
        </w:rPr>
        <w:t>, ‘substantial’</w:t>
      </w:r>
      <w:r w:rsidR="0033291B" w:rsidRPr="00420A86">
        <w:rPr>
          <w:rFonts w:cs="Calibri"/>
          <w:sz w:val="22"/>
        </w:rPr>
        <w:t xml:space="preserve"> or ‘high’ risk rating based on its </w:t>
      </w:r>
      <w:r w:rsidR="00537551">
        <w:rPr>
          <w:rFonts w:cs="Calibri"/>
          <w:sz w:val="22"/>
        </w:rPr>
        <w:t>likelihood</w:t>
      </w:r>
      <w:r w:rsidR="0033291B" w:rsidRPr="00420A86">
        <w:rPr>
          <w:rFonts w:cs="Calibri"/>
          <w:sz w:val="22"/>
        </w:rPr>
        <w:t xml:space="preserve"> of occurrence and </w:t>
      </w:r>
      <w:r w:rsidR="005E6F89" w:rsidRPr="00420A86">
        <w:rPr>
          <w:rFonts w:cs="Calibri"/>
          <w:sz w:val="22"/>
        </w:rPr>
        <w:t xml:space="preserve">extent </w:t>
      </w:r>
      <w:r w:rsidR="0033291B" w:rsidRPr="00420A86">
        <w:rPr>
          <w:rFonts w:cs="Calibri"/>
          <w:sz w:val="22"/>
        </w:rPr>
        <w:t xml:space="preserve">of impact. Risks that are assessed as ‘low’ do not trigger </w:t>
      </w:r>
      <w:r w:rsidR="005B41A2" w:rsidRPr="00420A86">
        <w:rPr>
          <w:rFonts w:cs="Calibri"/>
          <w:sz w:val="22"/>
        </w:rPr>
        <w:t>the related principle or</w:t>
      </w:r>
      <w:r w:rsidR="0033291B" w:rsidRPr="00420A86">
        <w:rPr>
          <w:rFonts w:cs="Calibri"/>
          <w:sz w:val="22"/>
        </w:rPr>
        <w:t xml:space="preserve"> standard. </w:t>
      </w:r>
    </w:p>
    <w:p w14:paraId="68FEAD19" w14:textId="77777777" w:rsidR="00EB1A4D" w:rsidRDefault="00EB1A4D" w:rsidP="00420A86">
      <w:pPr>
        <w:spacing w:before="0" w:after="0"/>
        <w:rPr>
          <w:rFonts w:cs="Calibri"/>
          <w:sz w:val="22"/>
        </w:rPr>
      </w:pPr>
    </w:p>
    <w:p w14:paraId="0D438ABA" w14:textId="113A5B88" w:rsidR="00870682" w:rsidRPr="00420A86" w:rsidRDefault="00870682" w:rsidP="00420A86">
      <w:pPr>
        <w:spacing w:before="0" w:after="0"/>
        <w:rPr>
          <w:rFonts w:cs="Calibri"/>
          <w:sz w:val="22"/>
        </w:rPr>
      </w:pPr>
      <w:r w:rsidRPr="00420A86">
        <w:rPr>
          <w:rFonts w:cs="Calibri"/>
          <w:sz w:val="22"/>
        </w:rPr>
        <w:t>The screening</w:t>
      </w:r>
      <w:r w:rsidR="005B41A2" w:rsidRPr="00420A86">
        <w:rPr>
          <w:rFonts w:cs="Calibri"/>
          <w:sz w:val="22"/>
        </w:rPr>
        <w:t>s</w:t>
      </w:r>
      <w:r w:rsidRPr="00420A86">
        <w:rPr>
          <w:rFonts w:cs="Calibri"/>
          <w:sz w:val="22"/>
        </w:rPr>
        <w:t xml:space="preserve"> conducted during project development indicate that </w:t>
      </w:r>
      <w:r w:rsidR="00443282">
        <w:rPr>
          <w:rFonts w:cs="Calibri"/>
          <w:sz w:val="22"/>
        </w:rPr>
        <w:t xml:space="preserve">all eight of the social and environmental </w:t>
      </w:r>
      <w:proofErr w:type="gramStart"/>
      <w:r w:rsidR="00443282">
        <w:rPr>
          <w:rFonts w:cs="Calibri"/>
          <w:sz w:val="22"/>
        </w:rPr>
        <w:t xml:space="preserve">standards </w:t>
      </w:r>
      <w:r w:rsidR="004C1158" w:rsidRPr="00420A86">
        <w:rPr>
          <w:rFonts w:cs="Calibri"/>
          <w:sz w:val="22"/>
        </w:rPr>
        <w:t xml:space="preserve"> have</w:t>
      </w:r>
      <w:proofErr w:type="gramEnd"/>
      <w:r w:rsidR="004C1158" w:rsidRPr="00420A86">
        <w:rPr>
          <w:rFonts w:cs="Calibri"/>
          <w:sz w:val="22"/>
        </w:rPr>
        <w:t xml:space="preserve"> been triggered </w:t>
      </w:r>
      <w:r w:rsidR="0033291B" w:rsidRPr="00420A86">
        <w:rPr>
          <w:rFonts w:cs="Calibri"/>
          <w:sz w:val="22"/>
        </w:rPr>
        <w:t xml:space="preserve">due to </w:t>
      </w:r>
      <w:r w:rsidR="009B513B">
        <w:rPr>
          <w:rFonts w:cs="Calibri"/>
          <w:sz w:val="22"/>
          <w:lang w:eastAsia="zh-CN"/>
        </w:rPr>
        <w:t>‘</w:t>
      </w:r>
      <w:r w:rsidR="00537551" w:rsidRPr="00537551">
        <w:rPr>
          <w:rFonts w:cs="Calibri"/>
          <w:sz w:val="22"/>
        </w:rPr>
        <w:t>high’</w:t>
      </w:r>
      <w:r w:rsidR="00537551">
        <w:rPr>
          <w:rFonts w:cs="Calibri"/>
          <w:sz w:val="22"/>
        </w:rPr>
        <w:t xml:space="preserve">, ‘substantial’ </w:t>
      </w:r>
      <w:r w:rsidR="00537551" w:rsidRPr="00537551">
        <w:rPr>
          <w:rFonts w:cs="Calibri"/>
          <w:sz w:val="22"/>
        </w:rPr>
        <w:t>or ‘moderate’</w:t>
      </w:r>
      <w:r w:rsidR="00537551">
        <w:rPr>
          <w:rFonts w:cs="Calibri"/>
          <w:sz w:val="22"/>
        </w:rPr>
        <w:t xml:space="preserve"> </w:t>
      </w:r>
      <w:r w:rsidR="0033291B" w:rsidRPr="00420A86">
        <w:rPr>
          <w:rFonts w:cs="Calibri"/>
          <w:sz w:val="22"/>
        </w:rPr>
        <w:t xml:space="preserve">risks: </w:t>
      </w:r>
    </w:p>
    <w:p w14:paraId="732DB199" w14:textId="77777777" w:rsidR="00A84577" w:rsidRPr="00420A86" w:rsidRDefault="00A84577" w:rsidP="00420A86">
      <w:pPr>
        <w:pStyle w:val="ListParagraph"/>
        <w:spacing w:before="0" w:after="0"/>
        <w:rPr>
          <w:rFonts w:cs="Calibri"/>
          <w:sz w:val="22"/>
        </w:rPr>
      </w:pPr>
    </w:p>
    <w:p w14:paraId="11019CB5" w14:textId="77777777" w:rsidR="00537551" w:rsidRPr="00537551" w:rsidRDefault="00537551" w:rsidP="00537551">
      <w:pPr>
        <w:pStyle w:val="ListParagraph"/>
        <w:numPr>
          <w:ilvl w:val="0"/>
          <w:numId w:val="12"/>
        </w:numPr>
        <w:adjustRightInd w:val="0"/>
        <w:snapToGrid w:val="0"/>
        <w:spacing w:before="0" w:after="0"/>
        <w:rPr>
          <w:rFonts w:cs="Calibri"/>
          <w:sz w:val="22"/>
        </w:rPr>
      </w:pPr>
      <w:r w:rsidRPr="00537551">
        <w:rPr>
          <w:rFonts w:cs="Calibri" w:hint="eastAsia"/>
          <w:sz w:val="22"/>
        </w:rPr>
        <w:t>Principle 1: Human Rights</w:t>
      </w:r>
    </w:p>
    <w:p w14:paraId="05E585FA" w14:textId="6061FAE0" w:rsidR="00537551" w:rsidRDefault="00537551" w:rsidP="00537551">
      <w:pPr>
        <w:pStyle w:val="ListParagraph"/>
        <w:numPr>
          <w:ilvl w:val="0"/>
          <w:numId w:val="12"/>
        </w:numPr>
        <w:adjustRightInd w:val="0"/>
        <w:snapToGrid w:val="0"/>
        <w:spacing w:before="0" w:after="0"/>
        <w:rPr>
          <w:rFonts w:cs="Calibri"/>
          <w:sz w:val="22"/>
        </w:rPr>
      </w:pPr>
      <w:r w:rsidRPr="00537551">
        <w:rPr>
          <w:rFonts w:cs="Calibri" w:hint="eastAsia"/>
          <w:sz w:val="22"/>
        </w:rPr>
        <w:t>Principle 2: Gender Equality and Women</w:t>
      </w:r>
      <w:r>
        <w:rPr>
          <w:rFonts w:cs="Calibri"/>
          <w:sz w:val="22"/>
          <w:lang w:eastAsia="zh-CN"/>
        </w:rPr>
        <w:t>’</w:t>
      </w:r>
      <w:r w:rsidRPr="00537551">
        <w:rPr>
          <w:rFonts w:cs="Calibri" w:hint="eastAsia"/>
          <w:sz w:val="22"/>
        </w:rPr>
        <w:t>s Empowerment</w:t>
      </w:r>
    </w:p>
    <w:p w14:paraId="29E247DB" w14:textId="6EC8A2E6" w:rsidR="00443282" w:rsidRPr="00537551" w:rsidRDefault="00443282" w:rsidP="00537551">
      <w:pPr>
        <w:pStyle w:val="ListParagraph"/>
        <w:numPr>
          <w:ilvl w:val="0"/>
          <w:numId w:val="12"/>
        </w:numPr>
        <w:adjustRightInd w:val="0"/>
        <w:snapToGrid w:val="0"/>
        <w:spacing w:before="0" w:after="0"/>
        <w:rPr>
          <w:rFonts w:cs="Calibri"/>
          <w:sz w:val="22"/>
        </w:rPr>
      </w:pPr>
      <w:r>
        <w:rPr>
          <w:rFonts w:cs="Calibri"/>
          <w:sz w:val="22"/>
        </w:rPr>
        <w:t xml:space="preserve">Principle 3: Accountability </w:t>
      </w:r>
    </w:p>
    <w:p w14:paraId="51518077" w14:textId="77777777" w:rsidR="00537551" w:rsidRPr="00537551" w:rsidRDefault="00537551" w:rsidP="00537551">
      <w:pPr>
        <w:pStyle w:val="ListParagraph"/>
        <w:numPr>
          <w:ilvl w:val="0"/>
          <w:numId w:val="12"/>
        </w:numPr>
        <w:adjustRightInd w:val="0"/>
        <w:snapToGrid w:val="0"/>
        <w:spacing w:before="0" w:after="0"/>
        <w:rPr>
          <w:rFonts w:cs="Calibri"/>
          <w:sz w:val="22"/>
        </w:rPr>
      </w:pPr>
      <w:r w:rsidRPr="00537551">
        <w:rPr>
          <w:rFonts w:cs="Calibri"/>
          <w:sz w:val="22"/>
        </w:rPr>
        <w:lastRenderedPageBreak/>
        <w:t xml:space="preserve">Standard 1: Biodiversity Conservation and Sustainable Natural Resource Management (due to some possible changes to the use of lands and resources in the implementation of the planned demonstration activities) </w:t>
      </w:r>
    </w:p>
    <w:p w14:paraId="64913B31" w14:textId="77777777" w:rsidR="00537551" w:rsidRDefault="00537551" w:rsidP="001E2AAE">
      <w:pPr>
        <w:pStyle w:val="ListParagraph"/>
        <w:numPr>
          <w:ilvl w:val="0"/>
          <w:numId w:val="12"/>
        </w:numPr>
        <w:adjustRightInd w:val="0"/>
        <w:snapToGrid w:val="0"/>
        <w:spacing w:before="0" w:after="0"/>
        <w:rPr>
          <w:rFonts w:cs="Calibri"/>
          <w:sz w:val="22"/>
        </w:rPr>
      </w:pPr>
      <w:r w:rsidRPr="00537551">
        <w:rPr>
          <w:rFonts w:cs="Calibri"/>
          <w:sz w:val="22"/>
        </w:rPr>
        <w:t xml:space="preserve">Standard 2: Climate Change Mitigation and Adaptation (due to the risk that project outcomes will be vulnerable to impacts of climate change) </w:t>
      </w:r>
    </w:p>
    <w:p w14:paraId="09840201" w14:textId="221E5488" w:rsidR="00537551" w:rsidRDefault="00537551" w:rsidP="001E2AAE">
      <w:pPr>
        <w:pStyle w:val="ListParagraph"/>
        <w:numPr>
          <w:ilvl w:val="0"/>
          <w:numId w:val="12"/>
        </w:numPr>
        <w:adjustRightInd w:val="0"/>
        <w:snapToGrid w:val="0"/>
        <w:spacing w:before="0" w:after="0"/>
        <w:rPr>
          <w:rFonts w:cs="Calibri"/>
          <w:sz w:val="22"/>
        </w:rPr>
      </w:pPr>
      <w:r w:rsidRPr="00537551">
        <w:rPr>
          <w:rFonts w:cs="Calibri"/>
          <w:sz w:val="22"/>
        </w:rPr>
        <w:t xml:space="preserve">Standard 3: Community Health, Safety and Working Conditions (due to potential health and safety risks to local communities due to the transport, storage, and use and/or disposal of any hazardous or dangerous materials) </w:t>
      </w:r>
    </w:p>
    <w:p w14:paraId="009DAC5E" w14:textId="0C3E3CA1" w:rsidR="00443282" w:rsidRDefault="00443282" w:rsidP="001E2AAE">
      <w:pPr>
        <w:pStyle w:val="ListParagraph"/>
        <w:numPr>
          <w:ilvl w:val="0"/>
          <w:numId w:val="12"/>
        </w:numPr>
        <w:adjustRightInd w:val="0"/>
        <w:snapToGrid w:val="0"/>
        <w:spacing w:before="0" w:after="0"/>
        <w:rPr>
          <w:rFonts w:cs="Calibri"/>
          <w:sz w:val="22"/>
        </w:rPr>
      </w:pPr>
      <w:r>
        <w:rPr>
          <w:rFonts w:cs="Calibri"/>
          <w:sz w:val="22"/>
        </w:rPr>
        <w:t xml:space="preserve">Standard 4: Cultural Heritage </w:t>
      </w:r>
    </w:p>
    <w:p w14:paraId="4AA8A330" w14:textId="51309957" w:rsidR="00443282" w:rsidRPr="00537551" w:rsidRDefault="00443282" w:rsidP="001E2AAE">
      <w:pPr>
        <w:pStyle w:val="ListParagraph"/>
        <w:numPr>
          <w:ilvl w:val="0"/>
          <w:numId w:val="12"/>
        </w:numPr>
        <w:adjustRightInd w:val="0"/>
        <w:snapToGrid w:val="0"/>
        <w:spacing w:before="0" w:after="0"/>
        <w:rPr>
          <w:rFonts w:cs="Calibri"/>
          <w:sz w:val="22"/>
        </w:rPr>
      </w:pPr>
      <w:r>
        <w:rPr>
          <w:rFonts w:cs="Calibri"/>
          <w:sz w:val="22"/>
        </w:rPr>
        <w:t xml:space="preserve">Standard 5: Displacement and Resettlement </w:t>
      </w:r>
    </w:p>
    <w:p w14:paraId="454F9835" w14:textId="77777777" w:rsidR="00537551" w:rsidRPr="00537551" w:rsidRDefault="00537551" w:rsidP="00537551">
      <w:pPr>
        <w:pStyle w:val="ListParagraph"/>
        <w:numPr>
          <w:ilvl w:val="0"/>
          <w:numId w:val="12"/>
        </w:numPr>
        <w:adjustRightInd w:val="0"/>
        <w:snapToGrid w:val="0"/>
        <w:spacing w:before="0" w:after="0"/>
        <w:rPr>
          <w:rFonts w:cs="Calibri"/>
          <w:sz w:val="22"/>
        </w:rPr>
      </w:pPr>
      <w:r w:rsidRPr="00537551">
        <w:rPr>
          <w:rFonts w:cs="Calibri"/>
          <w:sz w:val="22"/>
        </w:rPr>
        <w:t>Standard 6: Indigenous Peoples</w:t>
      </w:r>
    </w:p>
    <w:p w14:paraId="198EF2E9" w14:textId="7130F518" w:rsidR="00537551" w:rsidRDefault="00537551" w:rsidP="00537551">
      <w:pPr>
        <w:pStyle w:val="ListParagraph"/>
        <w:numPr>
          <w:ilvl w:val="0"/>
          <w:numId w:val="12"/>
        </w:numPr>
        <w:adjustRightInd w:val="0"/>
        <w:snapToGrid w:val="0"/>
        <w:spacing w:before="0" w:after="0"/>
        <w:jc w:val="left"/>
        <w:rPr>
          <w:rFonts w:cs="Calibri"/>
          <w:sz w:val="22"/>
        </w:rPr>
      </w:pPr>
      <w:r w:rsidRPr="00537551">
        <w:rPr>
          <w:rFonts w:cs="Calibri"/>
          <w:sz w:val="22"/>
        </w:rPr>
        <w:t>Standard</w:t>
      </w:r>
      <w:r>
        <w:rPr>
          <w:rFonts w:cs="Calibri"/>
          <w:sz w:val="22"/>
        </w:rPr>
        <w:t xml:space="preserve"> 7</w:t>
      </w:r>
      <w:r w:rsidRPr="00537551">
        <w:rPr>
          <w:rFonts w:cs="Calibri"/>
          <w:sz w:val="22"/>
        </w:rPr>
        <w:t>:</w:t>
      </w:r>
      <w:r w:rsidRPr="00537551">
        <w:t xml:space="preserve"> </w:t>
      </w:r>
      <w:r w:rsidRPr="00537551">
        <w:rPr>
          <w:rFonts w:cs="Calibri"/>
          <w:sz w:val="22"/>
        </w:rPr>
        <w:t>Labour and Working Conditions</w:t>
      </w:r>
    </w:p>
    <w:p w14:paraId="1FD65E54" w14:textId="06FE9CB6" w:rsidR="00537551" w:rsidRDefault="00537551" w:rsidP="00537551">
      <w:pPr>
        <w:pStyle w:val="ListParagraph"/>
        <w:numPr>
          <w:ilvl w:val="0"/>
          <w:numId w:val="12"/>
        </w:numPr>
        <w:adjustRightInd w:val="0"/>
        <w:snapToGrid w:val="0"/>
        <w:spacing w:before="0" w:after="0"/>
        <w:jc w:val="left"/>
        <w:rPr>
          <w:rFonts w:cs="Calibri"/>
          <w:sz w:val="22"/>
        </w:rPr>
      </w:pPr>
      <w:r w:rsidRPr="00537551">
        <w:rPr>
          <w:rFonts w:cs="Calibri"/>
          <w:sz w:val="22"/>
        </w:rPr>
        <w:t xml:space="preserve">Standard </w:t>
      </w:r>
      <w:r>
        <w:rPr>
          <w:rFonts w:cs="Calibri"/>
          <w:sz w:val="22"/>
        </w:rPr>
        <w:t>8</w:t>
      </w:r>
      <w:r w:rsidRPr="00537551">
        <w:rPr>
          <w:rFonts w:cs="Calibri"/>
          <w:sz w:val="22"/>
        </w:rPr>
        <w:t>: Pollution Prevention and Resource Efficiency (due to potential generation of waste during the construction and operation of the RE/EE installation).</w:t>
      </w:r>
    </w:p>
    <w:p w14:paraId="23163E86" w14:textId="77777777" w:rsidR="00A84577" w:rsidRPr="00537551" w:rsidRDefault="00A84577" w:rsidP="00420A86">
      <w:pPr>
        <w:spacing w:before="0" w:after="0"/>
        <w:jc w:val="left"/>
        <w:rPr>
          <w:rFonts w:cs="Calibri"/>
          <w:sz w:val="22"/>
        </w:rPr>
      </w:pPr>
    </w:p>
    <w:p w14:paraId="2769726C" w14:textId="35BE409F" w:rsidR="0033291B" w:rsidRPr="00420A86" w:rsidRDefault="0033291B" w:rsidP="00420A86">
      <w:pPr>
        <w:spacing w:before="0" w:after="0"/>
        <w:jc w:val="left"/>
        <w:rPr>
          <w:rFonts w:cs="Calibri"/>
          <w:sz w:val="22"/>
        </w:rPr>
      </w:pPr>
      <w:r w:rsidRPr="00420A86">
        <w:rPr>
          <w:rFonts w:cs="Calibri"/>
          <w:sz w:val="22"/>
        </w:rPr>
        <w:t xml:space="preserve">A summary of the </w:t>
      </w:r>
      <w:r w:rsidR="007324D3" w:rsidRPr="00420A86">
        <w:rPr>
          <w:rFonts w:cs="Calibri"/>
          <w:sz w:val="22"/>
        </w:rPr>
        <w:t xml:space="preserve">risk significance under each SES principle and standard, </w:t>
      </w:r>
      <w:r w:rsidRPr="00420A86">
        <w:rPr>
          <w:rFonts w:cs="Calibri"/>
          <w:sz w:val="22"/>
        </w:rPr>
        <w:t xml:space="preserve">and </w:t>
      </w:r>
      <w:r w:rsidR="00870682" w:rsidRPr="00420A86">
        <w:rPr>
          <w:rFonts w:cs="Calibri"/>
          <w:sz w:val="22"/>
        </w:rPr>
        <w:t>the project-level safeguard standards</w:t>
      </w:r>
      <w:r w:rsidRPr="00420A86">
        <w:rPr>
          <w:rFonts w:cs="Calibri"/>
          <w:sz w:val="22"/>
        </w:rPr>
        <w:t xml:space="preserve"> triggered </w:t>
      </w:r>
      <w:r w:rsidR="00870682" w:rsidRPr="00420A86">
        <w:rPr>
          <w:rFonts w:cs="Calibri"/>
          <w:sz w:val="22"/>
        </w:rPr>
        <w:t>by each project</w:t>
      </w:r>
      <w:r w:rsidR="007324D3" w:rsidRPr="00420A86">
        <w:rPr>
          <w:rFonts w:cs="Calibri"/>
          <w:sz w:val="22"/>
        </w:rPr>
        <w:t xml:space="preserve"> (indicated</w:t>
      </w:r>
      <w:r w:rsidR="0038774B" w:rsidRPr="00420A86">
        <w:rPr>
          <w:rFonts w:cs="Calibri"/>
          <w:sz w:val="22"/>
        </w:rPr>
        <w:t xml:space="preserve"> with </w:t>
      </w:r>
      <w:r w:rsidR="00197159" w:rsidRPr="00420A86">
        <w:rPr>
          <w:rFonts w:cs="Calibri"/>
          <w:sz w:val="22"/>
        </w:rPr>
        <w:t>ticks</w:t>
      </w:r>
      <w:r w:rsidR="007324D3" w:rsidRPr="00420A86">
        <w:rPr>
          <w:rFonts w:cs="Calibri"/>
          <w:sz w:val="22"/>
        </w:rPr>
        <w:t>)</w:t>
      </w:r>
      <w:r w:rsidRPr="00420A86">
        <w:rPr>
          <w:rFonts w:cs="Calibri"/>
          <w:sz w:val="22"/>
        </w:rPr>
        <w:t xml:space="preserve"> </w:t>
      </w:r>
      <w:r w:rsidR="007324D3" w:rsidRPr="00420A86">
        <w:rPr>
          <w:rFonts w:cs="Calibri"/>
          <w:sz w:val="22"/>
        </w:rPr>
        <w:t>are</w:t>
      </w:r>
      <w:r w:rsidRPr="00420A86">
        <w:rPr>
          <w:rFonts w:cs="Calibri"/>
          <w:sz w:val="22"/>
        </w:rPr>
        <w:t xml:space="preserve"> shown in</w:t>
      </w:r>
      <w:r w:rsidR="00F52D98">
        <w:rPr>
          <w:rFonts w:cs="Calibri"/>
          <w:sz w:val="22"/>
        </w:rPr>
        <w:t xml:space="preserve"> </w:t>
      </w:r>
      <w:r w:rsidR="00F52D98">
        <w:rPr>
          <w:rFonts w:cs="Calibri"/>
          <w:sz w:val="22"/>
        </w:rPr>
        <w:fldChar w:fldCharType="begin"/>
      </w:r>
      <w:r w:rsidR="00F52D98">
        <w:rPr>
          <w:rFonts w:cs="Calibri"/>
          <w:sz w:val="22"/>
        </w:rPr>
        <w:instrText xml:space="preserve"> REF _Ref86065314 \h </w:instrText>
      </w:r>
      <w:r w:rsidR="00F52D98">
        <w:rPr>
          <w:rFonts w:cs="Calibri"/>
          <w:sz w:val="22"/>
        </w:rPr>
      </w:r>
      <w:r w:rsidR="00F52D98">
        <w:rPr>
          <w:rFonts w:cs="Calibri"/>
          <w:sz w:val="22"/>
        </w:rPr>
        <w:fldChar w:fldCharType="separate"/>
      </w:r>
      <w:r w:rsidR="00F52D98" w:rsidRPr="00420A86">
        <w:rPr>
          <w:rFonts w:cs="Calibri"/>
          <w:b/>
          <w:sz w:val="22"/>
        </w:rPr>
        <w:t xml:space="preserve">Table </w:t>
      </w:r>
      <w:r w:rsidR="00F52D98">
        <w:rPr>
          <w:rFonts w:cs="Calibri"/>
          <w:b/>
          <w:noProof/>
          <w:sz w:val="22"/>
        </w:rPr>
        <w:t>2</w:t>
      </w:r>
      <w:r w:rsidR="00F52D98">
        <w:rPr>
          <w:rFonts w:cs="Calibri"/>
          <w:sz w:val="22"/>
        </w:rPr>
        <w:fldChar w:fldCharType="end"/>
      </w:r>
      <w:r w:rsidRPr="00420A86">
        <w:rPr>
          <w:rFonts w:cs="Calibri"/>
          <w:sz w:val="22"/>
        </w:rPr>
        <w:t>.</w:t>
      </w:r>
    </w:p>
    <w:p w14:paraId="1357679D" w14:textId="77777777" w:rsidR="00A84577" w:rsidRPr="00420A86" w:rsidRDefault="00A84577" w:rsidP="00420A86">
      <w:pPr>
        <w:pStyle w:val="Caption"/>
        <w:keepNext/>
        <w:spacing w:after="0"/>
        <w:rPr>
          <w:rFonts w:cs="Calibri"/>
          <w:b/>
          <w:sz w:val="22"/>
          <w:szCs w:val="22"/>
        </w:rPr>
      </w:pPr>
      <w:bookmarkStart w:id="20" w:name="_Ref507349947"/>
      <w:bookmarkStart w:id="21" w:name="_Toc67572942"/>
    </w:p>
    <w:p w14:paraId="678AA485" w14:textId="5F50250E" w:rsidR="00A84577" w:rsidRDefault="00D92334" w:rsidP="00F52D98">
      <w:pPr>
        <w:pStyle w:val="Caption"/>
        <w:keepNext/>
        <w:spacing w:after="0"/>
        <w:jc w:val="left"/>
        <w:rPr>
          <w:rFonts w:cs="Calibri"/>
          <w:b/>
          <w:sz w:val="22"/>
          <w:szCs w:val="22"/>
        </w:rPr>
      </w:pPr>
      <w:bookmarkStart w:id="22" w:name="_Ref86065314"/>
      <w:bookmarkStart w:id="23" w:name="_Ref86065307"/>
      <w:r w:rsidRPr="00420A86">
        <w:rPr>
          <w:rFonts w:cs="Calibri"/>
          <w:b/>
          <w:sz w:val="22"/>
          <w:szCs w:val="22"/>
        </w:rPr>
        <w:t xml:space="preserve">Table </w:t>
      </w:r>
      <w:r w:rsidRPr="00420A86">
        <w:rPr>
          <w:rFonts w:cs="Calibri"/>
          <w:b/>
          <w:sz w:val="22"/>
          <w:szCs w:val="22"/>
        </w:rPr>
        <w:fldChar w:fldCharType="begin"/>
      </w:r>
      <w:r w:rsidRPr="00420A86">
        <w:rPr>
          <w:rFonts w:cs="Calibri"/>
          <w:b/>
          <w:sz w:val="22"/>
          <w:szCs w:val="22"/>
        </w:rPr>
        <w:instrText xml:space="preserve"> SEQ Table \* ARABIC </w:instrText>
      </w:r>
      <w:r w:rsidRPr="00420A86">
        <w:rPr>
          <w:rFonts w:cs="Calibri"/>
          <w:b/>
          <w:sz w:val="22"/>
          <w:szCs w:val="22"/>
        </w:rPr>
        <w:fldChar w:fldCharType="separate"/>
      </w:r>
      <w:r w:rsidR="00F52D98">
        <w:rPr>
          <w:rFonts w:cs="Calibri"/>
          <w:b/>
          <w:noProof/>
          <w:sz w:val="22"/>
          <w:szCs w:val="22"/>
        </w:rPr>
        <w:t>2</w:t>
      </w:r>
      <w:r w:rsidRPr="00420A86">
        <w:rPr>
          <w:rFonts w:cs="Calibri"/>
          <w:b/>
          <w:sz w:val="22"/>
          <w:szCs w:val="22"/>
        </w:rPr>
        <w:fldChar w:fldCharType="end"/>
      </w:r>
      <w:bookmarkEnd w:id="20"/>
      <w:bookmarkEnd w:id="22"/>
      <w:r w:rsidRPr="00420A86">
        <w:rPr>
          <w:rFonts w:cs="Calibri"/>
          <w:b/>
          <w:sz w:val="22"/>
          <w:szCs w:val="22"/>
        </w:rPr>
        <w:t xml:space="preserve">: Summary of </w:t>
      </w:r>
      <w:r w:rsidR="00A84577" w:rsidRPr="00420A86">
        <w:rPr>
          <w:rFonts w:cs="Calibri"/>
          <w:b/>
          <w:sz w:val="22"/>
          <w:szCs w:val="22"/>
        </w:rPr>
        <w:t>R</w:t>
      </w:r>
      <w:r w:rsidR="00B8066C" w:rsidRPr="00420A86">
        <w:rPr>
          <w:rFonts w:cs="Calibri"/>
          <w:b/>
          <w:sz w:val="22"/>
          <w:szCs w:val="22"/>
        </w:rPr>
        <w:t xml:space="preserve">isk </w:t>
      </w:r>
      <w:r w:rsidR="00A84577" w:rsidRPr="00420A86">
        <w:rPr>
          <w:rFonts w:cs="Calibri"/>
          <w:b/>
          <w:sz w:val="22"/>
          <w:szCs w:val="22"/>
        </w:rPr>
        <w:t>R</w:t>
      </w:r>
      <w:r w:rsidR="00B8066C" w:rsidRPr="00420A86">
        <w:rPr>
          <w:rFonts w:cs="Calibri"/>
          <w:b/>
          <w:sz w:val="22"/>
          <w:szCs w:val="22"/>
        </w:rPr>
        <w:t xml:space="preserve">ating and </w:t>
      </w:r>
      <w:r w:rsidR="00A84577" w:rsidRPr="00420A86">
        <w:rPr>
          <w:rFonts w:cs="Calibri"/>
          <w:b/>
          <w:sz w:val="22"/>
          <w:szCs w:val="22"/>
        </w:rPr>
        <w:t>S</w:t>
      </w:r>
      <w:r w:rsidRPr="00420A86">
        <w:rPr>
          <w:rFonts w:cs="Calibri"/>
          <w:b/>
          <w:sz w:val="22"/>
          <w:szCs w:val="22"/>
        </w:rPr>
        <w:t xml:space="preserve">afeguards </w:t>
      </w:r>
      <w:r w:rsidR="00A84577" w:rsidRPr="00420A86">
        <w:rPr>
          <w:rFonts w:cs="Calibri"/>
          <w:b/>
          <w:sz w:val="22"/>
          <w:szCs w:val="22"/>
        </w:rPr>
        <w:t>T</w:t>
      </w:r>
      <w:r w:rsidRPr="00420A86">
        <w:rPr>
          <w:rFonts w:cs="Calibri"/>
          <w:b/>
          <w:sz w:val="22"/>
          <w:szCs w:val="22"/>
        </w:rPr>
        <w:t>riggered by</w:t>
      </w:r>
      <w:r w:rsidR="00B8066C" w:rsidRPr="00420A86">
        <w:rPr>
          <w:rFonts w:cs="Calibri"/>
          <w:b/>
          <w:sz w:val="22"/>
          <w:szCs w:val="22"/>
        </w:rPr>
        <w:t xml:space="preserve"> the</w:t>
      </w:r>
      <w:r w:rsidRPr="00420A86">
        <w:rPr>
          <w:rFonts w:cs="Calibri"/>
          <w:b/>
          <w:sz w:val="22"/>
          <w:szCs w:val="22"/>
        </w:rPr>
        <w:t xml:space="preserve"> </w:t>
      </w:r>
      <w:proofErr w:type="spellStart"/>
      <w:r w:rsidR="005E4849">
        <w:rPr>
          <w:rFonts w:cs="Calibri"/>
          <w:b/>
          <w:sz w:val="22"/>
          <w:szCs w:val="22"/>
        </w:rPr>
        <w:t>PhosChemEE</w:t>
      </w:r>
      <w:proofErr w:type="spellEnd"/>
      <w:r w:rsidR="00B8066C" w:rsidRPr="00420A86">
        <w:rPr>
          <w:rFonts w:cs="Calibri"/>
          <w:b/>
          <w:sz w:val="22"/>
          <w:szCs w:val="22"/>
        </w:rPr>
        <w:t xml:space="preserve"> Project</w:t>
      </w:r>
      <w:bookmarkEnd w:id="21"/>
      <w:bookmarkEnd w:id="23"/>
    </w:p>
    <w:p w14:paraId="5AA380A5" w14:textId="77777777" w:rsidR="00F52D98" w:rsidRPr="00F52D98" w:rsidRDefault="00F52D98" w:rsidP="00F52D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147"/>
      </w:tblGrid>
      <w:tr w:rsidR="002324ED" w:rsidRPr="00420A86" w14:paraId="57C52EC1" w14:textId="77777777" w:rsidTr="6F282195">
        <w:trPr>
          <w:tblHeader/>
          <w:jc w:val="center"/>
        </w:trPr>
        <w:tc>
          <w:tcPr>
            <w:tcW w:w="6840" w:type="dxa"/>
            <w:gridSpan w:val="2"/>
            <w:shd w:val="clear" w:color="auto" w:fill="EEECE1"/>
            <w:vAlign w:val="center"/>
          </w:tcPr>
          <w:p w14:paraId="4CD663F3" w14:textId="77777777" w:rsidR="002324ED" w:rsidRPr="00420A86" w:rsidRDefault="002324ED" w:rsidP="00420A86">
            <w:pPr>
              <w:spacing w:before="0" w:after="0"/>
              <w:ind w:right="360"/>
              <w:jc w:val="center"/>
              <w:rPr>
                <w:rFonts w:cs="Calibri"/>
                <w:b/>
                <w:sz w:val="22"/>
              </w:rPr>
            </w:pPr>
            <w:r w:rsidRPr="00420A86">
              <w:rPr>
                <w:rFonts w:cs="Calibri"/>
                <w:b/>
                <w:sz w:val="22"/>
              </w:rPr>
              <w:t xml:space="preserve">The </w:t>
            </w:r>
            <w:proofErr w:type="spellStart"/>
            <w:r w:rsidR="005E4849">
              <w:rPr>
                <w:rFonts w:cs="Calibri"/>
                <w:b/>
                <w:sz w:val="22"/>
              </w:rPr>
              <w:t>PhosChemEE</w:t>
            </w:r>
            <w:proofErr w:type="spellEnd"/>
            <w:r w:rsidRPr="00420A86">
              <w:rPr>
                <w:rFonts w:cs="Calibri"/>
                <w:b/>
                <w:sz w:val="22"/>
              </w:rPr>
              <w:t xml:space="preserve"> Project</w:t>
            </w:r>
          </w:p>
        </w:tc>
      </w:tr>
      <w:tr w:rsidR="00B8066C" w:rsidRPr="00420A86" w14:paraId="24C121BB" w14:textId="77777777" w:rsidTr="6F282195">
        <w:trPr>
          <w:tblHeader/>
          <w:jc w:val="center"/>
        </w:trPr>
        <w:tc>
          <w:tcPr>
            <w:tcW w:w="6266" w:type="dxa"/>
            <w:shd w:val="clear" w:color="auto" w:fill="auto"/>
            <w:vAlign w:val="center"/>
          </w:tcPr>
          <w:p w14:paraId="429F74E9" w14:textId="77777777" w:rsidR="00B8066C" w:rsidRPr="00420A86" w:rsidRDefault="00B8066C" w:rsidP="00420A86">
            <w:pPr>
              <w:spacing w:before="0" w:after="0"/>
              <w:jc w:val="center"/>
              <w:rPr>
                <w:rFonts w:cs="Calibri"/>
                <w:b/>
                <w:sz w:val="22"/>
              </w:rPr>
            </w:pPr>
            <w:r w:rsidRPr="00420A86">
              <w:rPr>
                <w:rFonts w:cs="Calibri"/>
                <w:b/>
                <w:sz w:val="22"/>
              </w:rPr>
              <w:t>Overarching Principle / Project-level Standard</w:t>
            </w:r>
          </w:p>
        </w:tc>
        <w:tc>
          <w:tcPr>
            <w:tcW w:w="574" w:type="dxa"/>
            <w:shd w:val="clear" w:color="auto" w:fill="auto"/>
            <w:vAlign w:val="center"/>
          </w:tcPr>
          <w:p w14:paraId="7A54DD77" w14:textId="77777777" w:rsidR="00B8066C" w:rsidRPr="00420A86" w:rsidRDefault="00B8066C" w:rsidP="00420A86">
            <w:pPr>
              <w:spacing w:before="0" w:after="0"/>
              <w:jc w:val="center"/>
              <w:rPr>
                <w:rFonts w:cs="Calibri"/>
                <w:b/>
                <w:sz w:val="22"/>
              </w:rPr>
            </w:pPr>
            <w:r w:rsidRPr="00420A86">
              <w:rPr>
                <w:rFonts w:cs="Calibri"/>
                <w:b/>
                <w:sz w:val="22"/>
                <w:lang w:eastAsia="zh-CN"/>
              </w:rPr>
              <w:t>Risk</w:t>
            </w:r>
            <w:r w:rsidRPr="00420A86">
              <w:rPr>
                <w:rFonts w:cs="Calibri"/>
                <w:b/>
                <w:sz w:val="22"/>
              </w:rPr>
              <w:t xml:space="preserve"> </w:t>
            </w:r>
            <w:r w:rsidRPr="00420A86">
              <w:rPr>
                <w:rFonts w:cs="Calibri"/>
                <w:b/>
                <w:sz w:val="22"/>
                <w:lang w:eastAsia="zh-CN"/>
              </w:rPr>
              <w:t>rating</w:t>
            </w:r>
          </w:p>
        </w:tc>
      </w:tr>
      <w:tr w:rsidR="00D92334" w:rsidRPr="00420A86" w14:paraId="369ABE95" w14:textId="77777777" w:rsidTr="6F282195">
        <w:trPr>
          <w:jc w:val="center"/>
        </w:trPr>
        <w:tc>
          <w:tcPr>
            <w:tcW w:w="6266" w:type="dxa"/>
            <w:shd w:val="clear" w:color="auto" w:fill="auto"/>
            <w:vAlign w:val="center"/>
          </w:tcPr>
          <w:p w14:paraId="2037D462" w14:textId="77777777" w:rsidR="00D92334" w:rsidRPr="00420A86" w:rsidRDefault="00D92334" w:rsidP="00420A86">
            <w:pPr>
              <w:spacing w:before="0" w:after="0"/>
              <w:jc w:val="left"/>
              <w:rPr>
                <w:rFonts w:cs="Calibri"/>
                <w:szCs w:val="20"/>
              </w:rPr>
            </w:pPr>
            <w:r w:rsidRPr="00420A86">
              <w:rPr>
                <w:rFonts w:cs="Calibri"/>
                <w:szCs w:val="20"/>
              </w:rPr>
              <w:t>Principle 1: Human Rights</w:t>
            </w:r>
          </w:p>
        </w:tc>
        <w:tc>
          <w:tcPr>
            <w:tcW w:w="574" w:type="dxa"/>
            <w:shd w:val="clear" w:color="auto" w:fill="C00000"/>
            <w:vAlign w:val="center"/>
          </w:tcPr>
          <w:p w14:paraId="18DB7817" w14:textId="6CE0DCED" w:rsidR="00D92334" w:rsidRPr="00537551" w:rsidRDefault="00537551" w:rsidP="00420A86">
            <w:pPr>
              <w:spacing w:before="0" w:after="0"/>
              <w:jc w:val="center"/>
              <w:rPr>
                <w:rFonts w:cs="Calibri"/>
                <w:b/>
                <w:color w:val="000000" w:themeColor="text1"/>
                <w:szCs w:val="20"/>
                <w:lang w:eastAsia="zh-CN"/>
              </w:rPr>
            </w:pPr>
            <w:r w:rsidRPr="00537551">
              <w:rPr>
                <w:rFonts w:cs="Calibri"/>
                <w:b/>
                <w:color w:val="000000" w:themeColor="text1"/>
                <w:szCs w:val="20"/>
                <w:lang w:eastAsia="zh-CN"/>
              </w:rPr>
              <w:t>High</w:t>
            </w:r>
            <w:r w:rsidR="002324ED" w:rsidRPr="00537551">
              <w:rPr>
                <w:rFonts w:cs="Calibri"/>
                <w:b/>
                <w:color w:val="000000" w:themeColor="text1"/>
                <w:szCs w:val="20"/>
                <w:lang w:eastAsia="zh-CN"/>
              </w:rPr>
              <w:t xml:space="preserve"> </w:t>
            </w:r>
          </w:p>
        </w:tc>
      </w:tr>
      <w:tr w:rsidR="00D92334" w:rsidRPr="00420A86" w14:paraId="5F0B7AC9" w14:textId="77777777" w:rsidTr="6F282195">
        <w:trPr>
          <w:jc w:val="center"/>
        </w:trPr>
        <w:tc>
          <w:tcPr>
            <w:tcW w:w="6266" w:type="dxa"/>
            <w:shd w:val="clear" w:color="auto" w:fill="auto"/>
            <w:vAlign w:val="center"/>
          </w:tcPr>
          <w:p w14:paraId="698E24C1" w14:textId="77777777" w:rsidR="00D92334" w:rsidRPr="00420A86" w:rsidRDefault="00D92334" w:rsidP="00420A86">
            <w:pPr>
              <w:spacing w:before="0" w:after="0"/>
              <w:jc w:val="left"/>
              <w:rPr>
                <w:rFonts w:cs="Calibri"/>
                <w:szCs w:val="20"/>
              </w:rPr>
            </w:pPr>
            <w:r w:rsidRPr="00420A86">
              <w:rPr>
                <w:rFonts w:cs="Calibri"/>
                <w:szCs w:val="20"/>
              </w:rPr>
              <w:t>Principle 2: Gender Equality and Women’s Empowerment</w:t>
            </w:r>
          </w:p>
        </w:tc>
        <w:tc>
          <w:tcPr>
            <w:tcW w:w="574" w:type="dxa"/>
            <w:shd w:val="clear" w:color="auto" w:fill="C00000"/>
            <w:vAlign w:val="center"/>
          </w:tcPr>
          <w:p w14:paraId="0D24FD06" w14:textId="054289BF" w:rsidR="00D92334" w:rsidRPr="00537551" w:rsidRDefault="00537551" w:rsidP="00420A86">
            <w:pPr>
              <w:spacing w:before="0" w:after="0"/>
              <w:jc w:val="center"/>
              <w:rPr>
                <w:rFonts w:cs="Calibri"/>
                <w:b/>
                <w:color w:val="000000" w:themeColor="text1"/>
                <w:szCs w:val="20"/>
              </w:rPr>
            </w:pPr>
            <w:r w:rsidRPr="00537551">
              <w:rPr>
                <w:rFonts w:cs="Calibri"/>
                <w:b/>
                <w:color w:val="000000" w:themeColor="text1"/>
                <w:szCs w:val="20"/>
                <w:lang w:eastAsia="zh-CN"/>
              </w:rPr>
              <w:t>High</w:t>
            </w:r>
          </w:p>
        </w:tc>
      </w:tr>
      <w:tr w:rsidR="006F0476" w:rsidRPr="00420A86" w14:paraId="65A52397" w14:textId="77777777" w:rsidTr="0086490B">
        <w:trPr>
          <w:jc w:val="center"/>
        </w:trPr>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56726648" w14:textId="77777777" w:rsidR="006F0476" w:rsidRPr="00420A86" w:rsidRDefault="006F0476" w:rsidP="00420A86">
            <w:pPr>
              <w:spacing w:before="0" w:after="0"/>
              <w:jc w:val="left"/>
              <w:rPr>
                <w:rFonts w:cs="Calibri"/>
                <w:szCs w:val="20"/>
              </w:rPr>
            </w:pPr>
            <w:r w:rsidRPr="00420A86">
              <w:rPr>
                <w:rFonts w:cs="Calibri"/>
                <w:szCs w:val="20"/>
              </w:rPr>
              <w:t xml:space="preserve">Principle 3: </w:t>
            </w:r>
            <w:r w:rsidRPr="006F0476">
              <w:rPr>
                <w:rFonts w:cs="Calibri"/>
                <w:szCs w:val="20"/>
              </w:rPr>
              <w:t>Accountability</w:t>
            </w:r>
          </w:p>
        </w:tc>
        <w:tc>
          <w:tcPr>
            <w:tcW w:w="574" w:type="dxa"/>
            <w:tcBorders>
              <w:top w:val="single" w:sz="4" w:space="0" w:color="auto"/>
              <w:left w:val="single" w:sz="4" w:space="0" w:color="auto"/>
              <w:bottom w:val="single" w:sz="4" w:space="0" w:color="auto"/>
              <w:right w:val="single" w:sz="4" w:space="0" w:color="auto"/>
            </w:tcBorders>
            <w:shd w:val="clear" w:color="auto" w:fill="C00000"/>
            <w:vAlign w:val="center"/>
          </w:tcPr>
          <w:p w14:paraId="7DCABC42" w14:textId="06D635CB" w:rsidR="006F0476" w:rsidRPr="00537551" w:rsidRDefault="00443282" w:rsidP="00420A86">
            <w:pPr>
              <w:spacing w:before="0" w:after="0"/>
              <w:jc w:val="center"/>
              <w:rPr>
                <w:rFonts w:cs="Calibri"/>
                <w:b/>
                <w:color w:val="000000" w:themeColor="text1"/>
                <w:szCs w:val="20"/>
              </w:rPr>
            </w:pPr>
            <w:r>
              <w:rPr>
                <w:rFonts w:cs="Calibri"/>
                <w:b/>
                <w:color w:val="000000" w:themeColor="text1"/>
                <w:szCs w:val="20"/>
              </w:rPr>
              <w:t>High</w:t>
            </w:r>
          </w:p>
        </w:tc>
      </w:tr>
      <w:tr w:rsidR="002324ED" w:rsidRPr="00420A86" w14:paraId="1338B93C" w14:textId="77777777" w:rsidTr="6F282195">
        <w:trPr>
          <w:jc w:val="center"/>
        </w:trPr>
        <w:tc>
          <w:tcPr>
            <w:tcW w:w="6840" w:type="dxa"/>
            <w:gridSpan w:val="2"/>
            <w:shd w:val="clear" w:color="auto" w:fill="auto"/>
            <w:vAlign w:val="center"/>
          </w:tcPr>
          <w:p w14:paraId="0B533C30" w14:textId="62DA67DD" w:rsidR="002324ED" w:rsidRPr="00537551" w:rsidRDefault="002324ED" w:rsidP="00420A86">
            <w:pPr>
              <w:spacing w:before="0" w:after="0"/>
              <w:jc w:val="left"/>
              <w:rPr>
                <w:rFonts w:cs="Calibri"/>
                <w:b/>
                <w:color w:val="000000" w:themeColor="text1"/>
                <w:szCs w:val="20"/>
              </w:rPr>
            </w:pPr>
            <w:r w:rsidRPr="00537551">
              <w:rPr>
                <w:rFonts w:cs="Calibri"/>
                <w:color w:val="000000" w:themeColor="text1"/>
                <w:szCs w:val="20"/>
              </w:rPr>
              <w:t>Principle</w:t>
            </w:r>
            <w:r w:rsidR="00537551" w:rsidRPr="00537551">
              <w:rPr>
                <w:rFonts w:cs="Calibri"/>
                <w:color w:val="000000" w:themeColor="text1"/>
                <w:szCs w:val="20"/>
              </w:rPr>
              <w:t xml:space="preserve"> 4</w:t>
            </w:r>
            <w:r w:rsidRPr="00537551">
              <w:rPr>
                <w:rFonts w:cs="Calibri"/>
                <w:color w:val="000000" w:themeColor="text1"/>
                <w:szCs w:val="20"/>
              </w:rPr>
              <w:t>: Sustainability</w:t>
            </w:r>
            <w:r w:rsidR="00137428">
              <w:rPr>
                <w:rFonts w:cs="Calibri"/>
                <w:color w:val="000000" w:themeColor="text1"/>
                <w:szCs w:val="20"/>
              </w:rPr>
              <w:t xml:space="preserve"> &amp; Resilience</w:t>
            </w:r>
          </w:p>
        </w:tc>
      </w:tr>
      <w:tr w:rsidR="00D92334" w:rsidRPr="00420A86" w14:paraId="377446AE" w14:textId="77777777" w:rsidTr="6F282195">
        <w:trPr>
          <w:jc w:val="center"/>
        </w:trPr>
        <w:tc>
          <w:tcPr>
            <w:tcW w:w="6266" w:type="dxa"/>
            <w:shd w:val="clear" w:color="auto" w:fill="auto"/>
            <w:vAlign w:val="center"/>
          </w:tcPr>
          <w:p w14:paraId="0226E454" w14:textId="77777777" w:rsidR="00D92334" w:rsidRPr="00420A86" w:rsidRDefault="00D92334" w:rsidP="00420A86">
            <w:pPr>
              <w:spacing w:before="0" w:after="0"/>
              <w:jc w:val="left"/>
              <w:rPr>
                <w:rFonts w:cs="Calibri"/>
                <w:szCs w:val="20"/>
              </w:rPr>
            </w:pPr>
            <w:r w:rsidRPr="00420A86">
              <w:rPr>
                <w:rFonts w:cs="Calibri"/>
                <w:szCs w:val="20"/>
              </w:rPr>
              <w:t>-Standard 1: Biodiversity Conservation and Sustainable Natural Resource Management</w:t>
            </w:r>
          </w:p>
        </w:tc>
        <w:tc>
          <w:tcPr>
            <w:tcW w:w="574" w:type="dxa"/>
            <w:shd w:val="clear" w:color="auto" w:fill="FFC000" w:themeFill="accent4"/>
            <w:vAlign w:val="center"/>
          </w:tcPr>
          <w:p w14:paraId="29122077" w14:textId="51C780D1" w:rsidR="00D92334" w:rsidRPr="00537551" w:rsidRDefault="00FD46A3" w:rsidP="00420A86">
            <w:pPr>
              <w:spacing w:before="0" w:after="0"/>
              <w:jc w:val="center"/>
              <w:rPr>
                <w:rFonts w:cs="Calibri"/>
                <w:b/>
                <w:color w:val="000000" w:themeColor="text1"/>
                <w:szCs w:val="20"/>
              </w:rPr>
            </w:pPr>
            <w:r w:rsidRPr="00537551">
              <w:rPr>
                <w:rFonts w:cs="Calibri"/>
                <w:b/>
                <w:color w:val="000000" w:themeColor="text1"/>
                <w:szCs w:val="20"/>
              </w:rPr>
              <w:t>Substantial</w:t>
            </w:r>
          </w:p>
        </w:tc>
      </w:tr>
      <w:tr w:rsidR="00D92334" w:rsidRPr="00420A86" w14:paraId="1A1CBCAE" w14:textId="77777777" w:rsidTr="6F282195">
        <w:trPr>
          <w:jc w:val="center"/>
        </w:trPr>
        <w:tc>
          <w:tcPr>
            <w:tcW w:w="6266" w:type="dxa"/>
            <w:shd w:val="clear" w:color="auto" w:fill="auto"/>
            <w:vAlign w:val="center"/>
          </w:tcPr>
          <w:p w14:paraId="02C85CB4" w14:textId="77777777" w:rsidR="00D92334" w:rsidRPr="00420A86" w:rsidRDefault="00D92334" w:rsidP="00420A86">
            <w:pPr>
              <w:spacing w:before="0" w:after="0"/>
              <w:jc w:val="left"/>
              <w:rPr>
                <w:rFonts w:cs="Calibri"/>
                <w:szCs w:val="20"/>
              </w:rPr>
            </w:pPr>
            <w:r w:rsidRPr="00420A86">
              <w:rPr>
                <w:rFonts w:cs="Calibri"/>
                <w:szCs w:val="20"/>
              </w:rPr>
              <w:t>-Standard 2: Climate Change Mitigation and Adaptation</w:t>
            </w:r>
          </w:p>
        </w:tc>
        <w:tc>
          <w:tcPr>
            <w:tcW w:w="574" w:type="dxa"/>
            <w:shd w:val="clear" w:color="auto" w:fill="FFC000" w:themeFill="accent4"/>
            <w:vAlign w:val="center"/>
          </w:tcPr>
          <w:p w14:paraId="5B99108C" w14:textId="1364FF27" w:rsidR="00D92334" w:rsidRPr="00537551" w:rsidRDefault="00537551" w:rsidP="00420A86">
            <w:pPr>
              <w:spacing w:before="0" w:after="0"/>
              <w:jc w:val="center"/>
              <w:rPr>
                <w:rFonts w:cs="Calibri"/>
                <w:b/>
                <w:color w:val="000000" w:themeColor="text1"/>
                <w:szCs w:val="20"/>
              </w:rPr>
            </w:pPr>
            <w:r w:rsidRPr="00537551">
              <w:rPr>
                <w:rFonts w:cs="Calibri"/>
                <w:b/>
                <w:color w:val="000000" w:themeColor="text1"/>
                <w:szCs w:val="20"/>
              </w:rPr>
              <w:t>Substantial</w:t>
            </w:r>
          </w:p>
        </w:tc>
      </w:tr>
      <w:tr w:rsidR="002324ED" w:rsidRPr="00420A86" w14:paraId="3AC6886A" w14:textId="77777777" w:rsidTr="6F282195">
        <w:trPr>
          <w:jc w:val="center"/>
        </w:trPr>
        <w:tc>
          <w:tcPr>
            <w:tcW w:w="6266" w:type="dxa"/>
            <w:shd w:val="clear" w:color="auto" w:fill="auto"/>
            <w:vAlign w:val="center"/>
          </w:tcPr>
          <w:p w14:paraId="5B7F2651" w14:textId="77777777" w:rsidR="002324ED" w:rsidRPr="00420A86" w:rsidRDefault="002324ED" w:rsidP="00420A86">
            <w:pPr>
              <w:spacing w:before="0" w:after="0"/>
              <w:jc w:val="left"/>
              <w:rPr>
                <w:rFonts w:cs="Calibri"/>
                <w:szCs w:val="20"/>
              </w:rPr>
            </w:pPr>
            <w:r w:rsidRPr="00420A86">
              <w:rPr>
                <w:rFonts w:cs="Calibri"/>
                <w:szCs w:val="20"/>
              </w:rPr>
              <w:t>-Standard 3: Community Health, Safety and Working Conditions</w:t>
            </w:r>
          </w:p>
        </w:tc>
        <w:tc>
          <w:tcPr>
            <w:tcW w:w="574" w:type="dxa"/>
            <w:shd w:val="clear" w:color="auto" w:fill="FFC000" w:themeFill="accent4"/>
            <w:vAlign w:val="center"/>
          </w:tcPr>
          <w:p w14:paraId="37EDD9BA" w14:textId="57A20242" w:rsidR="002324ED" w:rsidRPr="00537551" w:rsidRDefault="00537551" w:rsidP="00420A86">
            <w:pPr>
              <w:spacing w:before="0" w:after="0"/>
              <w:jc w:val="center"/>
              <w:rPr>
                <w:rFonts w:cs="Calibri"/>
                <w:color w:val="000000" w:themeColor="text1"/>
                <w:szCs w:val="20"/>
              </w:rPr>
            </w:pPr>
            <w:r w:rsidRPr="00537551">
              <w:rPr>
                <w:rFonts w:cs="Calibri"/>
                <w:b/>
                <w:color w:val="000000" w:themeColor="text1"/>
                <w:szCs w:val="20"/>
              </w:rPr>
              <w:t>Substantial</w:t>
            </w:r>
          </w:p>
        </w:tc>
      </w:tr>
      <w:tr w:rsidR="002324ED" w:rsidRPr="00420A86" w14:paraId="6001FB81" w14:textId="77777777" w:rsidTr="0086490B">
        <w:trPr>
          <w:jc w:val="center"/>
        </w:trPr>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6D6C2E29" w14:textId="77777777" w:rsidR="002324ED" w:rsidRPr="00420A86" w:rsidRDefault="002324ED" w:rsidP="00420A86">
            <w:pPr>
              <w:spacing w:before="0" w:after="0"/>
              <w:jc w:val="left"/>
              <w:rPr>
                <w:rFonts w:cs="Calibri"/>
                <w:szCs w:val="20"/>
              </w:rPr>
            </w:pPr>
            <w:r w:rsidRPr="00420A86">
              <w:rPr>
                <w:rFonts w:cs="Calibri"/>
                <w:szCs w:val="20"/>
              </w:rPr>
              <w:t>-Standard 4: Cultural Heritage</w:t>
            </w:r>
          </w:p>
        </w:tc>
        <w:tc>
          <w:tcPr>
            <w:tcW w:w="574" w:type="dxa"/>
            <w:tcBorders>
              <w:top w:val="single" w:sz="4" w:space="0" w:color="auto"/>
              <w:left w:val="single" w:sz="4" w:space="0" w:color="auto"/>
              <w:bottom w:val="single" w:sz="4" w:space="0" w:color="auto"/>
              <w:right w:val="single" w:sz="4" w:space="0" w:color="auto"/>
            </w:tcBorders>
            <w:shd w:val="clear" w:color="auto" w:fill="FFC000" w:themeFill="accent4"/>
          </w:tcPr>
          <w:p w14:paraId="6A33CB0F" w14:textId="6FCF6F2F" w:rsidR="002324ED" w:rsidRPr="00537551" w:rsidRDefault="00443282" w:rsidP="00420A86">
            <w:pPr>
              <w:spacing w:before="0" w:after="0"/>
              <w:jc w:val="center"/>
              <w:rPr>
                <w:rFonts w:cs="Calibri"/>
                <w:b/>
                <w:color w:val="000000" w:themeColor="text1"/>
                <w:szCs w:val="20"/>
              </w:rPr>
            </w:pPr>
            <w:r>
              <w:rPr>
                <w:rFonts w:cs="Calibri"/>
                <w:b/>
                <w:color w:val="000000" w:themeColor="text1"/>
                <w:szCs w:val="20"/>
                <w:lang w:eastAsia="zh-CN"/>
              </w:rPr>
              <w:t>Substant</w:t>
            </w:r>
            <w:r w:rsidR="00D009CD">
              <w:rPr>
                <w:rFonts w:cs="Calibri"/>
                <w:b/>
                <w:color w:val="000000" w:themeColor="text1"/>
                <w:szCs w:val="20"/>
                <w:lang w:eastAsia="zh-CN"/>
              </w:rPr>
              <w:t>ial</w:t>
            </w:r>
          </w:p>
        </w:tc>
      </w:tr>
      <w:tr w:rsidR="002324ED" w:rsidRPr="00420A86" w14:paraId="72498458" w14:textId="77777777" w:rsidTr="0086490B">
        <w:trPr>
          <w:jc w:val="center"/>
        </w:trPr>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471A63C5" w14:textId="77777777" w:rsidR="002324ED" w:rsidRPr="00420A86" w:rsidRDefault="002324ED" w:rsidP="00420A86">
            <w:pPr>
              <w:spacing w:before="0" w:after="0"/>
              <w:jc w:val="left"/>
              <w:rPr>
                <w:rFonts w:cs="Calibri"/>
                <w:szCs w:val="20"/>
              </w:rPr>
            </w:pPr>
            <w:r w:rsidRPr="00420A86">
              <w:rPr>
                <w:rFonts w:cs="Calibri"/>
                <w:szCs w:val="20"/>
              </w:rPr>
              <w:t>-Standard 5: Displacement and Resettlement</w:t>
            </w:r>
          </w:p>
        </w:tc>
        <w:tc>
          <w:tcPr>
            <w:tcW w:w="574" w:type="dxa"/>
            <w:tcBorders>
              <w:top w:val="single" w:sz="4" w:space="0" w:color="auto"/>
              <w:left w:val="single" w:sz="4" w:space="0" w:color="auto"/>
              <w:bottom w:val="single" w:sz="4" w:space="0" w:color="auto"/>
              <w:right w:val="single" w:sz="4" w:space="0" w:color="auto"/>
            </w:tcBorders>
            <w:shd w:val="clear" w:color="auto" w:fill="FFFF00"/>
            <w:vAlign w:val="center"/>
          </w:tcPr>
          <w:p w14:paraId="5A726996" w14:textId="03E95F7B" w:rsidR="002324ED" w:rsidRPr="00537551" w:rsidRDefault="3806F899" w:rsidP="6F282195">
            <w:pPr>
              <w:spacing w:before="0" w:after="0"/>
              <w:jc w:val="center"/>
              <w:rPr>
                <w:rFonts w:cs="Calibri"/>
                <w:b/>
                <w:bCs/>
                <w:color w:val="000000" w:themeColor="text1"/>
              </w:rPr>
            </w:pPr>
            <w:r w:rsidRPr="6F282195">
              <w:rPr>
                <w:rFonts w:cs="Calibri"/>
                <w:b/>
                <w:bCs/>
                <w:color w:val="000000" w:themeColor="text1"/>
              </w:rPr>
              <w:t>Moderate</w:t>
            </w:r>
          </w:p>
        </w:tc>
      </w:tr>
      <w:tr w:rsidR="002324ED" w:rsidRPr="00420A86" w14:paraId="5A4AEFF0" w14:textId="77777777" w:rsidTr="6F282195">
        <w:trPr>
          <w:jc w:val="center"/>
        </w:trPr>
        <w:tc>
          <w:tcPr>
            <w:tcW w:w="6266" w:type="dxa"/>
            <w:shd w:val="clear" w:color="auto" w:fill="auto"/>
            <w:vAlign w:val="center"/>
          </w:tcPr>
          <w:p w14:paraId="0967108B" w14:textId="77777777" w:rsidR="002324ED" w:rsidRPr="00420A86" w:rsidRDefault="002324ED" w:rsidP="00420A86">
            <w:pPr>
              <w:spacing w:before="0" w:after="0"/>
              <w:jc w:val="left"/>
              <w:rPr>
                <w:rFonts w:cs="Calibri"/>
                <w:szCs w:val="20"/>
              </w:rPr>
            </w:pPr>
            <w:r w:rsidRPr="00420A86">
              <w:rPr>
                <w:rFonts w:cs="Calibri"/>
                <w:szCs w:val="20"/>
              </w:rPr>
              <w:t>-Standard 6: Indigenous Peoples</w:t>
            </w:r>
          </w:p>
        </w:tc>
        <w:tc>
          <w:tcPr>
            <w:tcW w:w="574" w:type="dxa"/>
            <w:shd w:val="clear" w:color="auto" w:fill="C00000"/>
            <w:vAlign w:val="center"/>
          </w:tcPr>
          <w:p w14:paraId="51F25F9D" w14:textId="0A9E5105" w:rsidR="002324ED" w:rsidRPr="00537551" w:rsidRDefault="00537551" w:rsidP="00420A86">
            <w:pPr>
              <w:spacing w:before="0" w:after="0"/>
              <w:jc w:val="center"/>
              <w:rPr>
                <w:rFonts w:cs="Calibri"/>
                <w:color w:val="000000" w:themeColor="text1"/>
                <w:szCs w:val="20"/>
              </w:rPr>
            </w:pPr>
            <w:r w:rsidRPr="00537551">
              <w:rPr>
                <w:rFonts w:cs="Calibri"/>
                <w:b/>
                <w:color w:val="000000" w:themeColor="text1"/>
                <w:szCs w:val="20"/>
              </w:rPr>
              <w:t>High</w:t>
            </w:r>
          </w:p>
        </w:tc>
      </w:tr>
      <w:tr w:rsidR="006F0476" w:rsidRPr="00420A86" w14:paraId="00491FA0" w14:textId="77777777" w:rsidTr="6F282195">
        <w:trPr>
          <w:jc w:val="center"/>
        </w:trPr>
        <w:tc>
          <w:tcPr>
            <w:tcW w:w="6266" w:type="dxa"/>
            <w:shd w:val="clear" w:color="auto" w:fill="auto"/>
            <w:vAlign w:val="center"/>
          </w:tcPr>
          <w:p w14:paraId="07E3A53B" w14:textId="5F4910DF" w:rsidR="006F0476" w:rsidRPr="00420A86" w:rsidRDefault="006F0476" w:rsidP="00420A86">
            <w:pPr>
              <w:spacing w:before="0" w:after="0"/>
              <w:jc w:val="left"/>
              <w:rPr>
                <w:rFonts w:cs="Calibri"/>
                <w:szCs w:val="20"/>
              </w:rPr>
            </w:pPr>
            <w:r w:rsidRPr="00420A86">
              <w:rPr>
                <w:rFonts w:cs="Calibri"/>
                <w:szCs w:val="20"/>
              </w:rPr>
              <w:t xml:space="preserve">-Standard </w:t>
            </w:r>
            <w:r w:rsidR="00BA0F43">
              <w:rPr>
                <w:rFonts w:cs="Calibri"/>
                <w:szCs w:val="20"/>
              </w:rPr>
              <w:t>7</w:t>
            </w:r>
            <w:r w:rsidRPr="00420A86">
              <w:rPr>
                <w:rFonts w:cs="Calibri"/>
                <w:szCs w:val="20"/>
              </w:rPr>
              <w:t xml:space="preserve">: </w:t>
            </w:r>
            <w:r w:rsidRPr="006F0476">
              <w:rPr>
                <w:rFonts w:cs="Calibri"/>
                <w:szCs w:val="20"/>
              </w:rPr>
              <w:t>Labour and Working Conditions</w:t>
            </w:r>
          </w:p>
        </w:tc>
        <w:tc>
          <w:tcPr>
            <w:tcW w:w="574" w:type="dxa"/>
            <w:shd w:val="clear" w:color="auto" w:fill="FFC000" w:themeFill="accent4"/>
            <w:vAlign w:val="center"/>
          </w:tcPr>
          <w:p w14:paraId="43467025" w14:textId="54CD709D" w:rsidR="006F0476" w:rsidRPr="00537551" w:rsidRDefault="00FD46A3" w:rsidP="00420A86">
            <w:pPr>
              <w:spacing w:before="0" w:after="0"/>
              <w:jc w:val="center"/>
              <w:rPr>
                <w:rFonts w:cs="Calibri"/>
                <w:b/>
                <w:color w:val="000000" w:themeColor="text1"/>
                <w:szCs w:val="20"/>
              </w:rPr>
            </w:pPr>
            <w:r w:rsidRPr="00FD46A3">
              <w:rPr>
                <w:rFonts w:cs="Calibri"/>
                <w:b/>
                <w:color w:val="000000" w:themeColor="text1"/>
                <w:szCs w:val="20"/>
              </w:rPr>
              <w:t>Substantial</w:t>
            </w:r>
          </w:p>
        </w:tc>
      </w:tr>
      <w:tr w:rsidR="002324ED" w:rsidRPr="00420A86" w14:paraId="21B6305C" w14:textId="77777777" w:rsidTr="6F282195">
        <w:trPr>
          <w:trHeight w:val="70"/>
          <w:jc w:val="center"/>
        </w:trPr>
        <w:tc>
          <w:tcPr>
            <w:tcW w:w="6266" w:type="dxa"/>
            <w:shd w:val="clear" w:color="auto" w:fill="auto"/>
            <w:vAlign w:val="center"/>
          </w:tcPr>
          <w:p w14:paraId="104EEAFC" w14:textId="0C4CE955" w:rsidR="002324ED" w:rsidRPr="00420A86" w:rsidRDefault="002324ED" w:rsidP="00420A86">
            <w:pPr>
              <w:spacing w:before="0" w:after="0"/>
              <w:jc w:val="left"/>
              <w:rPr>
                <w:rFonts w:cs="Calibri"/>
                <w:szCs w:val="20"/>
              </w:rPr>
            </w:pPr>
            <w:r w:rsidRPr="00420A86">
              <w:rPr>
                <w:rFonts w:cs="Calibri"/>
                <w:szCs w:val="20"/>
              </w:rPr>
              <w:t xml:space="preserve">-Standard </w:t>
            </w:r>
            <w:r w:rsidR="00BA0F43">
              <w:rPr>
                <w:rFonts w:cs="Calibri"/>
                <w:szCs w:val="20"/>
              </w:rPr>
              <w:t>8</w:t>
            </w:r>
            <w:r w:rsidRPr="00420A86">
              <w:rPr>
                <w:rFonts w:cs="Calibri"/>
                <w:szCs w:val="20"/>
              </w:rPr>
              <w:t>: Pollution Prevention and Resource Efficiency</w:t>
            </w:r>
          </w:p>
        </w:tc>
        <w:tc>
          <w:tcPr>
            <w:tcW w:w="574" w:type="dxa"/>
            <w:shd w:val="clear" w:color="auto" w:fill="FFC000" w:themeFill="accent4"/>
          </w:tcPr>
          <w:p w14:paraId="3E997F52" w14:textId="6F517BCF" w:rsidR="002324ED" w:rsidRPr="00537551" w:rsidRDefault="00537551" w:rsidP="00420A86">
            <w:pPr>
              <w:spacing w:before="0" w:after="0"/>
              <w:jc w:val="center"/>
              <w:rPr>
                <w:rFonts w:cs="Calibri"/>
                <w:b/>
                <w:color w:val="000000" w:themeColor="text1"/>
                <w:szCs w:val="20"/>
              </w:rPr>
            </w:pPr>
            <w:r w:rsidRPr="00537551">
              <w:rPr>
                <w:rFonts w:cs="Calibri"/>
                <w:b/>
                <w:color w:val="000000" w:themeColor="text1"/>
                <w:szCs w:val="20"/>
              </w:rPr>
              <w:t>Substantial</w:t>
            </w:r>
          </w:p>
        </w:tc>
      </w:tr>
      <w:tr w:rsidR="002324ED" w:rsidRPr="00420A86" w14:paraId="2BF42241" w14:textId="77777777" w:rsidTr="6F282195">
        <w:trPr>
          <w:trHeight w:val="70"/>
          <w:jc w:val="center"/>
        </w:trPr>
        <w:tc>
          <w:tcPr>
            <w:tcW w:w="6840" w:type="dxa"/>
            <w:gridSpan w:val="2"/>
            <w:shd w:val="clear" w:color="auto" w:fill="EEECE1"/>
            <w:vAlign w:val="center"/>
          </w:tcPr>
          <w:p w14:paraId="6569EE9E" w14:textId="77777777" w:rsidR="002324ED" w:rsidRPr="00537551" w:rsidRDefault="002324ED" w:rsidP="00420A86">
            <w:pPr>
              <w:spacing w:before="0" w:after="0"/>
              <w:jc w:val="center"/>
              <w:rPr>
                <w:rFonts w:cs="Calibri"/>
                <w:b/>
                <w:color w:val="000000" w:themeColor="text1"/>
                <w:sz w:val="22"/>
              </w:rPr>
            </w:pPr>
            <w:r w:rsidRPr="00537551">
              <w:rPr>
                <w:rFonts w:cs="Calibri"/>
                <w:b/>
                <w:color w:val="000000" w:themeColor="text1"/>
                <w:sz w:val="22"/>
              </w:rPr>
              <w:t>Number of risks in each risk rating category</w:t>
            </w:r>
          </w:p>
        </w:tc>
      </w:tr>
      <w:tr w:rsidR="002324ED" w:rsidRPr="00420A86" w14:paraId="425299F5" w14:textId="77777777" w:rsidTr="6F282195">
        <w:trPr>
          <w:trHeight w:val="70"/>
          <w:jc w:val="center"/>
        </w:trPr>
        <w:tc>
          <w:tcPr>
            <w:tcW w:w="6266" w:type="dxa"/>
            <w:shd w:val="clear" w:color="auto" w:fill="C00000"/>
            <w:vAlign w:val="center"/>
          </w:tcPr>
          <w:p w14:paraId="4FD2DEF2" w14:textId="77777777" w:rsidR="002324ED" w:rsidRPr="00420A86" w:rsidRDefault="002324ED" w:rsidP="00420A86">
            <w:pPr>
              <w:spacing w:before="0" w:after="0"/>
              <w:jc w:val="right"/>
              <w:rPr>
                <w:rFonts w:cs="Calibri"/>
                <w:b/>
                <w:sz w:val="22"/>
              </w:rPr>
            </w:pPr>
            <w:r w:rsidRPr="00537551">
              <w:rPr>
                <w:rFonts w:cs="Calibri"/>
                <w:b/>
                <w:color w:val="000000" w:themeColor="text1"/>
                <w:sz w:val="22"/>
              </w:rPr>
              <w:t>High</w:t>
            </w:r>
          </w:p>
        </w:tc>
        <w:tc>
          <w:tcPr>
            <w:tcW w:w="574" w:type="dxa"/>
            <w:shd w:val="clear" w:color="auto" w:fill="auto"/>
          </w:tcPr>
          <w:p w14:paraId="67BFC0C1" w14:textId="2B009979" w:rsidR="002324ED" w:rsidRPr="00537551" w:rsidRDefault="00D009CD" w:rsidP="00420A86">
            <w:pPr>
              <w:spacing w:before="0" w:after="0"/>
              <w:jc w:val="center"/>
              <w:rPr>
                <w:rFonts w:cs="Calibri"/>
                <w:color w:val="000000" w:themeColor="text1"/>
                <w:sz w:val="22"/>
              </w:rPr>
            </w:pPr>
            <w:r>
              <w:rPr>
                <w:rFonts w:cs="Calibri"/>
                <w:color w:val="000000" w:themeColor="text1"/>
                <w:sz w:val="22"/>
              </w:rPr>
              <w:t>1</w:t>
            </w:r>
          </w:p>
        </w:tc>
      </w:tr>
      <w:tr w:rsidR="00537551" w:rsidRPr="00420A86" w14:paraId="67F2198C" w14:textId="77777777" w:rsidTr="6F282195">
        <w:trPr>
          <w:trHeight w:val="70"/>
          <w:jc w:val="center"/>
        </w:trPr>
        <w:tc>
          <w:tcPr>
            <w:tcW w:w="6266" w:type="dxa"/>
            <w:shd w:val="clear" w:color="auto" w:fill="FFC000" w:themeFill="accent4"/>
            <w:vAlign w:val="center"/>
          </w:tcPr>
          <w:p w14:paraId="1F7FAE0C" w14:textId="3BCB99FC" w:rsidR="00537551" w:rsidRPr="00420A86" w:rsidRDefault="00537551" w:rsidP="00420A86">
            <w:pPr>
              <w:spacing w:before="0" w:after="0"/>
              <w:jc w:val="right"/>
              <w:rPr>
                <w:rFonts w:cs="Calibri"/>
                <w:b/>
                <w:sz w:val="22"/>
                <w:lang w:eastAsia="zh-CN"/>
              </w:rPr>
            </w:pPr>
            <w:r>
              <w:rPr>
                <w:rFonts w:cs="Calibri" w:hint="eastAsia"/>
                <w:b/>
                <w:sz w:val="22"/>
                <w:lang w:eastAsia="zh-CN"/>
              </w:rPr>
              <w:t>S</w:t>
            </w:r>
            <w:r>
              <w:rPr>
                <w:rFonts w:cs="Calibri"/>
                <w:b/>
                <w:sz w:val="22"/>
                <w:lang w:eastAsia="zh-CN"/>
              </w:rPr>
              <w:t>ubstantial</w:t>
            </w:r>
          </w:p>
        </w:tc>
        <w:tc>
          <w:tcPr>
            <w:tcW w:w="574" w:type="dxa"/>
            <w:shd w:val="clear" w:color="auto" w:fill="auto"/>
          </w:tcPr>
          <w:p w14:paraId="0044BC22" w14:textId="44A6B9B5" w:rsidR="00537551" w:rsidRPr="00537551" w:rsidRDefault="00F305D0" w:rsidP="00420A86">
            <w:pPr>
              <w:spacing w:before="0" w:after="0"/>
              <w:jc w:val="center"/>
              <w:rPr>
                <w:rFonts w:cs="Calibri"/>
                <w:color w:val="000000" w:themeColor="text1"/>
                <w:sz w:val="22"/>
                <w:lang w:eastAsia="zh-CN"/>
              </w:rPr>
            </w:pPr>
            <w:r>
              <w:rPr>
                <w:rFonts w:cs="Calibri"/>
                <w:color w:val="000000" w:themeColor="text1"/>
                <w:sz w:val="22"/>
                <w:lang w:eastAsia="zh-CN"/>
              </w:rPr>
              <w:t>5</w:t>
            </w:r>
          </w:p>
        </w:tc>
      </w:tr>
      <w:tr w:rsidR="002324ED" w:rsidRPr="00420A86" w14:paraId="63241F81" w14:textId="77777777" w:rsidTr="6F282195">
        <w:trPr>
          <w:trHeight w:val="70"/>
          <w:jc w:val="center"/>
        </w:trPr>
        <w:tc>
          <w:tcPr>
            <w:tcW w:w="6266" w:type="dxa"/>
            <w:shd w:val="clear" w:color="auto" w:fill="FFFF00"/>
            <w:vAlign w:val="center"/>
          </w:tcPr>
          <w:p w14:paraId="75E930C8" w14:textId="77777777" w:rsidR="002324ED" w:rsidRPr="00420A86" w:rsidRDefault="002324ED" w:rsidP="00420A86">
            <w:pPr>
              <w:spacing w:before="0" w:after="0"/>
              <w:jc w:val="right"/>
              <w:rPr>
                <w:rFonts w:cs="Calibri"/>
                <w:b/>
                <w:sz w:val="22"/>
              </w:rPr>
            </w:pPr>
            <w:r w:rsidRPr="00420A86">
              <w:rPr>
                <w:rFonts w:cs="Calibri"/>
                <w:b/>
                <w:sz w:val="22"/>
              </w:rPr>
              <w:t>Moderate</w:t>
            </w:r>
          </w:p>
        </w:tc>
        <w:tc>
          <w:tcPr>
            <w:tcW w:w="574" w:type="dxa"/>
            <w:shd w:val="clear" w:color="auto" w:fill="auto"/>
          </w:tcPr>
          <w:p w14:paraId="0E014E43" w14:textId="510C7BBE" w:rsidR="002324ED" w:rsidRPr="00537551" w:rsidRDefault="00D009CD" w:rsidP="00420A86">
            <w:pPr>
              <w:spacing w:before="0" w:after="0"/>
              <w:jc w:val="center"/>
              <w:rPr>
                <w:rFonts w:cs="Calibri"/>
                <w:color w:val="000000" w:themeColor="text1"/>
                <w:sz w:val="22"/>
              </w:rPr>
            </w:pPr>
            <w:r>
              <w:rPr>
                <w:rFonts w:cs="Calibri"/>
                <w:color w:val="000000" w:themeColor="text1"/>
                <w:sz w:val="22"/>
                <w:lang w:eastAsia="zh-CN"/>
              </w:rPr>
              <w:t>3</w:t>
            </w:r>
          </w:p>
        </w:tc>
      </w:tr>
      <w:tr w:rsidR="002324ED" w:rsidRPr="00420A86" w14:paraId="1920C664" w14:textId="77777777" w:rsidTr="6F282195">
        <w:trPr>
          <w:trHeight w:val="70"/>
          <w:jc w:val="center"/>
        </w:trPr>
        <w:tc>
          <w:tcPr>
            <w:tcW w:w="6266" w:type="dxa"/>
            <w:shd w:val="clear" w:color="auto" w:fill="92D050"/>
            <w:vAlign w:val="center"/>
          </w:tcPr>
          <w:p w14:paraId="7BD9766B" w14:textId="77777777" w:rsidR="002324ED" w:rsidRPr="00420A86" w:rsidRDefault="002324ED" w:rsidP="00420A86">
            <w:pPr>
              <w:spacing w:before="0" w:after="0"/>
              <w:jc w:val="right"/>
              <w:rPr>
                <w:rFonts w:cs="Calibri"/>
                <w:b/>
                <w:sz w:val="22"/>
              </w:rPr>
            </w:pPr>
            <w:r w:rsidRPr="00420A86">
              <w:rPr>
                <w:rFonts w:cs="Calibri"/>
                <w:b/>
                <w:sz w:val="22"/>
              </w:rPr>
              <w:t>Low</w:t>
            </w:r>
          </w:p>
        </w:tc>
        <w:tc>
          <w:tcPr>
            <w:tcW w:w="574" w:type="dxa"/>
            <w:shd w:val="clear" w:color="auto" w:fill="auto"/>
          </w:tcPr>
          <w:p w14:paraId="60A0EFEA" w14:textId="22723FD1" w:rsidR="002324ED" w:rsidRPr="00537551" w:rsidRDefault="00537551" w:rsidP="00420A86">
            <w:pPr>
              <w:spacing w:before="0" w:after="0"/>
              <w:jc w:val="center"/>
              <w:rPr>
                <w:rFonts w:cs="Calibri"/>
                <w:color w:val="000000" w:themeColor="text1"/>
                <w:sz w:val="22"/>
                <w:lang w:eastAsia="zh-CN"/>
              </w:rPr>
            </w:pPr>
            <w:r>
              <w:rPr>
                <w:rFonts w:cs="Calibri" w:hint="eastAsia"/>
                <w:color w:val="000000" w:themeColor="text1"/>
                <w:sz w:val="22"/>
                <w:lang w:eastAsia="zh-CN"/>
              </w:rPr>
              <w:t>-</w:t>
            </w:r>
          </w:p>
        </w:tc>
      </w:tr>
      <w:tr w:rsidR="002324ED" w:rsidRPr="00420A86" w14:paraId="05F92FF5" w14:textId="77777777" w:rsidTr="6F282195">
        <w:trPr>
          <w:trHeight w:val="70"/>
          <w:jc w:val="center"/>
        </w:trPr>
        <w:tc>
          <w:tcPr>
            <w:tcW w:w="6266" w:type="dxa"/>
            <w:shd w:val="clear" w:color="auto" w:fill="auto"/>
            <w:vAlign w:val="center"/>
          </w:tcPr>
          <w:p w14:paraId="1967B0C3" w14:textId="77777777" w:rsidR="002324ED" w:rsidRPr="00420A86" w:rsidRDefault="002324ED" w:rsidP="00420A86">
            <w:pPr>
              <w:spacing w:before="0" w:after="0"/>
              <w:jc w:val="right"/>
              <w:rPr>
                <w:rFonts w:cs="Calibri"/>
                <w:b/>
                <w:sz w:val="22"/>
              </w:rPr>
            </w:pPr>
            <w:r w:rsidRPr="00420A86">
              <w:rPr>
                <w:rFonts w:cs="Calibri"/>
                <w:b/>
                <w:sz w:val="22"/>
              </w:rPr>
              <w:t>Total number of project risks</w:t>
            </w:r>
          </w:p>
        </w:tc>
        <w:tc>
          <w:tcPr>
            <w:tcW w:w="574" w:type="dxa"/>
            <w:shd w:val="clear" w:color="auto" w:fill="auto"/>
          </w:tcPr>
          <w:p w14:paraId="39F4F8CA" w14:textId="6B497854" w:rsidR="002324ED" w:rsidRPr="00537551" w:rsidRDefault="00F305D0" w:rsidP="00420A86">
            <w:pPr>
              <w:spacing w:before="0" w:after="0"/>
              <w:jc w:val="center"/>
              <w:rPr>
                <w:rFonts w:cs="Calibri"/>
                <w:color w:val="000000" w:themeColor="text1"/>
                <w:sz w:val="22"/>
              </w:rPr>
            </w:pPr>
            <w:r>
              <w:rPr>
                <w:rFonts w:cs="Calibri"/>
                <w:color w:val="000000" w:themeColor="text1"/>
                <w:sz w:val="22"/>
                <w:lang w:eastAsia="zh-CN"/>
              </w:rPr>
              <w:t>9</w:t>
            </w:r>
          </w:p>
        </w:tc>
      </w:tr>
      <w:tr w:rsidR="002324ED" w:rsidRPr="00420A86" w14:paraId="1740740C" w14:textId="77777777" w:rsidTr="6F282195">
        <w:trPr>
          <w:trHeight w:val="70"/>
          <w:jc w:val="center"/>
        </w:trPr>
        <w:tc>
          <w:tcPr>
            <w:tcW w:w="6266" w:type="dxa"/>
            <w:shd w:val="clear" w:color="auto" w:fill="auto"/>
            <w:vAlign w:val="center"/>
          </w:tcPr>
          <w:p w14:paraId="43B183EC" w14:textId="77777777" w:rsidR="002324ED" w:rsidRPr="00420A86" w:rsidRDefault="002324ED" w:rsidP="00420A86">
            <w:pPr>
              <w:spacing w:before="0" w:after="0"/>
              <w:jc w:val="right"/>
              <w:rPr>
                <w:rFonts w:cs="Calibri"/>
                <w:b/>
                <w:sz w:val="22"/>
              </w:rPr>
            </w:pPr>
            <w:r w:rsidRPr="00420A86">
              <w:rPr>
                <w:rFonts w:cs="Calibri"/>
                <w:b/>
                <w:sz w:val="22"/>
              </w:rPr>
              <w:t>Overall Project Risk Categorization</w:t>
            </w:r>
          </w:p>
        </w:tc>
        <w:tc>
          <w:tcPr>
            <w:tcW w:w="574" w:type="dxa"/>
            <w:shd w:val="clear" w:color="auto" w:fill="C00000"/>
          </w:tcPr>
          <w:p w14:paraId="0C1EDE3D" w14:textId="0F70F6CD" w:rsidR="002324ED" w:rsidRPr="00537551" w:rsidRDefault="00537551" w:rsidP="00420A86">
            <w:pPr>
              <w:spacing w:before="0" w:after="0"/>
              <w:jc w:val="center"/>
              <w:rPr>
                <w:rFonts w:cs="Calibri"/>
                <w:b/>
                <w:color w:val="000000" w:themeColor="text1"/>
                <w:sz w:val="22"/>
                <w:lang w:eastAsia="zh-CN"/>
              </w:rPr>
            </w:pPr>
            <w:r w:rsidRPr="00537551">
              <w:rPr>
                <w:rFonts w:cs="Calibri"/>
                <w:b/>
                <w:color w:val="000000" w:themeColor="text1"/>
                <w:sz w:val="22"/>
                <w:lang w:eastAsia="zh-CN"/>
              </w:rPr>
              <w:t>High</w:t>
            </w:r>
          </w:p>
        </w:tc>
      </w:tr>
      <w:tr w:rsidR="002324ED" w:rsidRPr="00420A86" w14:paraId="37C7EDD5" w14:textId="77777777" w:rsidTr="6F282195">
        <w:trPr>
          <w:trHeight w:val="70"/>
          <w:jc w:val="center"/>
        </w:trPr>
        <w:tc>
          <w:tcPr>
            <w:tcW w:w="6266" w:type="dxa"/>
            <w:shd w:val="clear" w:color="auto" w:fill="auto"/>
            <w:vAlign w:val="center"/>
          </w:tcPr>
          <w:p w14:paraId="1EB0B871" w14:textId="77777777" w:rsidR="002324ED" w:rsidRPr="00420A86" w:rsidRDefault="002324ED" w:rsidP="00420A86">
            <w:pPr>
              <w:spacing w:before="0" w:after="0"/>
              <w:jc w:val="right"/>
              <w:rPr>
                <w:rFonts w:cs="Calibri"/>
                <w:b/>
                <w:sz w:val="22"/>
              </w:rPr>
            </w:pPr>
            <w:r w:rsidRPr="00420A86">
              <w:rPr>
                <w:rFonts w:cs="Calibri"/>
                <w:b/>
                <w:sz w:val="22"/>
              </w:rPr>
              <w:t>Number of safeguard standards triggered</w:t>
            </w:r>
          </w:p>
        </w:tc>
        <w:tc>
          <w:tcPr>
            <w:tcW w:w="574" w:type="dxa"/>
            <w:shd w:val="clear" w:color="auto" w:fill="auto"/>
            <w:vAlign w:val="center"/>
          </w:tcPr>
          <w:p w14:paraId="7CA096D9" w14:textId="66F3F81F" w:rsidR="002324ED" w:rsidRPr="00420A86" w:rsidRDefault="00D009CD" w:rsidP="00420A86">
            <w:pPr>
              <w:spacing w:before="0" w:after="0"/>
              <w:jc w:val="center"/>
              <w:rPr>
                <w:rFonts w:cs="Calibri"/>
                <w:b/>
                <w:sz w:val="22"/>
              </w:rPr>
            </w:pPr>
            <w:r>
              <w:rPr>
                <w:rFonts w:cs="Calibri"/>
                <w:b/>
                <w:sz w:val="22"/>
              </w:rPr>
              <w:t>8</w:t>
            </w:r>
          </w:p>
        </w:tc>
      </w:tr>
    </w:tbl>
    <w:p w14:paraId="020A02CB" w14:textId="77777777" w:rsidR="00DC0AE6" w:rsidRPr="00420A86" w:rsidRDefault="00DC0AE6" w:rsidP="00420A86">
      <w:pPr>
        <w:spacing w:before="0" w:after="0"/>
        <w:jc w:val="left"/>
        <w:rPr>
          <w:rFonts w:cs="Calibri"/>
          <w:sz w:val="22"/>
        </w:rPr>
      </w:pPr>
    </w:p>
    <w:p w14:paraId="54FC84E2" w14:textId="77777777" w:rsidR="00E307C6" w:rsidRPr="00420A86" w:rsidRDefault="00E307C6" w:rsidP="00420A86">
      <w:pPr>
        <w:pStyle w:val="Heading2"/>
        <w:spacing w:before="0" w:after="0"/>
        <w:ind w:left="578" w:hanging="578"/>
        <w:rPr>
          <w:rFonts w:cs="Calibri"/>
          <w:sz w:val="22"/>
          <w:szCs w:val="22"/>
        </w:rPr>
      </w:pPr>
      <w:bookmarkStart w:id="24" w:name="_Toc86064156"/>
      <w:r w:rsidRPr="00420A86">
        <w:rPr>
          <w:rFonts w:cs="Calibri"/>
          <w:sz w:val="22"/>
          <w:szCs w:val="22"/>
        </w:rPr>
        <w:t xml:space="preserve">Gaps in </w:t>
      </w:r>
      <w:r w:rsidR="00EB1A4D">
        <w:rPr>
          <w:rFonts w:cs="Calibri"/>
          <w:sz w:val="22"/>
          <w:szCs w:val="22"/>
        </w:rPr>
        <w:t>P</w:t>
      </w:r>
      <w:r w:rsidRPr="00420A86">
        <w:rPr>
          <w:rFonts w:cs="Calibri"/>
          <w:sz w:val="22"/>
          <w:szCs w:val="22"/>
        </w:rPr>
        <w:t xml:space="preserve">olicy </w:t>
      </w:r>
      <w:r w:rsidR="00EB1A4D">
        <w:rPr>
          <w:rFonts w:cs="Calibri"/>
          <w:sz w:val="22"/>
          <w:szCs w:val="22"/>
        </w:rPr>
        <w:t>F</w:t>
      </w:r>
      <w:r w:rsidRPr="00420A86">
        <w:rPr>
          <w:rFonts w:cs="Calibri"/>
          <w:sz w:val="22"/>
          <w:szCs w:val="22"/>
        </w:rPr>
        <w:t>ramework</w:t>
      </w:r>
      <w:bookmarkEnd w:id="24"/>
    </w:p>
    <w:p w14:paraId="7682A964" w14:textId="77777777" w:rsidR="00A84577" w:rsidRPr="00420A86" w:rsidRDefault="00A84577" w:rsidP="00420A86">
      <w:pPr>
        <w:spacing w:before="0" w:after="0"/>
        <w:rPr>
          <w:rFonts w:cs="Calibri"/>
          <w:sz w:val="22"/>
        </w:rPr>
      </w:pPr>
    </w:p>
    <w:p w14:paraId="0DA952A0" w14:textId="13266F74" w:rsidR="00E307C6" w:rsidRPr="00420A86" w:rsidRDefault="00E307C6" w:rsidP="00420A86">
      <w:pPr>
        <w:spacing w:before="0" w:after="0"/>
        <w:rPr>
          <w:rFonts w:cs="Calibri"/>
          <w:sz w:val="22"/>
        </w:rPr>
      </w:pPr>
      <w:r w:rsidRPr="00420A86">
        <w:rPr>
          <w:rFonts w:cs="Calibri"/>
          <w:sz w:val="22"/>
        </w:rPr>
        <w:t xml:space="preserve">Further analysis of the legal and policy frameworks that apply to the </w:t>
      </w:r>
      <w:proofErr w:type="spellStart"/>
      <w:r w:rsidR="005E4849">
        <w:rPr>
          <w:rFonts w:cs="Calibri"/>
          <w:sz w:val="22"/>
          <w:lang w:eastAsia="zh-CN"/>
        </w:rPr>
        <w:t>PhosChemEE</w:t>
      </w:r>
      <w:proofErr w:type="spellEnd"/>
      <w:r w:rsidRPr="00420A86">
        <w:rPr>
          <w:rFonts w:cs="Calibri"/>
          <w:sz w:val="22"/>
        </w:rPr>
        <w:t xml:space="preserve"> </w:t>
      </w:r>
      <w:r w:rsidR="00EB1A4D">
        <w:rPr>
          <w:rFonts w:cs="Calibri"/>
          <w:sz w:val="22"/>
        </w:rPr>
        <w:t>P</w:t>
      </w:r>
      <w:r w:rsidRPr="00420A86">
        <w:rPr>
          <w:rFonts w:cs="Calibri"/>
          <w:sz w:val="22"/>
        </w:rPr>
        <w:t>roject will be completed during the implementation of this ESMF</w:t>
      </w:r>
      <w:r w:rsidR="00DC0AE6" w:rsidRPr="00DC0AE6">
        <w:rPr>
          <w:rFonts w:cs="Calibri"/>
          <w:sz w:val="22"/>
        </w:rPr>
        <w:t xml:space="preserve"> (</w:t>
      </w:r>
      <w:proofErr w:type="gramStart"/>
      <w:r w:rsidR="00DC0AE6" w:rsidRPr="00DC0AE6">
        <w:rPr>
          <w:rFonts w:cs="Calibri"/>
          <w:sz w:val="22"/>
        </w:rPr>
        <w:t>i.e.</w:t>
      </w:r>
      <w:proofErr w:type="gramEnd"/>
      <w:r w:rsidR="00DC0AE6" w:rsidRPr="00DC0AE6">
        <w:rPr>
          <w:rFonts w:cs="Calibri"/>
          <w:sz w:val="22"/>
        </w:rPr>
        <w:t xml:space="preserve"> during the completion of further studies / </w:t>
      </w:r>
      <w:r w:rsidR="00DC0AE6" w:rsidRPr="00DC0AE6">
        <w:rPr>
          <w:rFonts w:cs="Calibri"/>
          <w:sz w:val="22"/>
        </w:rPr>
        <w:lastRenderedPageBreak/>
        <w:t>targeted assessment) to determine which standard (national, international or UNDP’s SES) must be followed for each risk area.</w:t>
      </w:r>
    </w:p>
    <w:p w14:paraId="33D369D1" w14:textId="77777777" w:rsidR="00A84577" w:rsidRPr="00420A86" w:rsidRDefault="00A84577" w:rsidP="00F52D98"/>
    <w:p w14:paraId="508F386A" w14:textId="4A7CD577" w:rsidR="008577E4" w:rsidRPr="00463F49" w:rsidRDefault="00461ECD" w:rsidP="00420A86">
      <w:pPr>
        <w:pStyle w:val="Heading1"/>
        <w:spacing w:before="0" w:after="0"/>
        <w:ind w:left="431" w:hanging="431"/>
        <w:rPr>
          <w:rFonts w:cs="Calibri"/>
          <w:color w:val="002060"/>
          <w:sz w:val="22"/>
          <w:szCs w:val="22"/>
        </w:rPr>
      </w:pPr>
      <w:bookmarkStart w:id="25" w:name="_Toc86064157"/>
      <w:r w:rsidRPr="00463F49">
        <w:rPr>
          <w:rFonts w:cs="Calibri"/>
          <w:color w:val="002060"/>
          <w:sz w:val="22"/>
          <w:szCs w:val="22"/>
        </w:rPr>
        <w:t xml:space="preserve">Procedures for </w:t>
      </w:r>
      <w:r w:rsidR="000641E0" w:rsidRPr="00463F49">
        <w:rPr>
          <w:rFonts w:cs="Calibri"/>
          <w:color w:val="002060"/>
          <w:sz w:val="22"/>
          <w:szCs w:val="22"/>
        </w:rPr>
        <w:t>Screening, Asses</w:t>
      </w:r>
      <w:r w:rsidR="00F025B3" w:rsidRPr="00463F49">
        <w:rPr>
          <w:rFonts w:cs="Calibri"/>
          <w:color w:val="002060"/>
          <w:sz w:val="22"/>
          <w:szCs w:val="22"/>
        </w:rPr>
        <w:t>sing</w:t>
      </w:r>
      <w:r w:rsidR="000641E0" w:rsidRPr="00463F49">
        <w:rPr>
          <w:rFonts w:cs="Calibri"/>
          <w:color w:val="002060"/>
          <w:sz w:val="22"/>
          <w:szCs w:val="22"/>
        </w:rPr>
        <w:t xml:space="preserve"> and Manag</w:t>
      </w:r>
      <w:r w:rsidR="00F025B3" w:rsidRPr="00463F49">
        <w:rPr>
          <w:rFonts w:cs="Calibri"/>
          <w:color w:val="002060"/>
          <w:sz w:val="22"/>
          <w:szCs w:val="22"/>
        </w:rPr>
        <w:t>ing</w:t>
      </w:r>
      <w:r w:rsidRPr="00463F49">
        <w:rPr>
          <w:rFonts w:cs="Calibri"/>
          <w:color w:val="002060"/>
          <w:sz w:val="22"/>
          <w:szCs w:val="22"/>
        </w:rPr>
        <w:t xml:space="preserve"> Social and Environmental Impacts</w:t>
      </w:r>
      <w:bookmarkEnd w:id="25"/>
      <w:r w:rsidR="00DA087A">
        <w:rPr>
          <w:rFonts w:cs="Calibri"/>
          <w:color w:val="002060"/>
          <w:sz w:val="22"/>
          <w:szCs w:val="22"/>
        </w:rPr>
        <w:t xml:space="preserve"> </w:t>
      </w:r>
    </w:p>
    <w:p w14:paraId="21740AE8" w14:textId="74EAC9A0" w:rsidR="00A84577" w:rsidRDefault="00A84577" w:rsidP="00420A86">
      <w:pPr>
        <w:spacing w:before="0" w:after="0"/>
        <w:rPr>
          <w:rFonts w:cs="Calibri"/>
          <w:sz w:val="22"/>
        </w:rPr>
      </w:pPr>
    </w:p>
    <w:p w14:paraId="04D99EB6" w14:textId="77777777" w:rsidR="00B13EAD" w:rsidRPr="0086490B" w:rsidRDefault="006727E2" w:rsidP="006727E2">
      <w:pPr>
        <w:spacing w:after="0"/>
        <w:rPr>
          <w:rFonts w:cs="Myriad Pro"/>
          <w:color w:val="000000"/>
          <w:sz w:val="22"/>
        </w:rPr>
      </w:pPr>
      <w:bookmarkStart w:id="26" w:name="_Toc44061988"/>
      <w:bookmarkStart w:id="27" w:name="_Toc66298916"/>
      <w:r w:rsidRPr="0086490B">
        <w:rPr>
          <w:rFonts w:cs="Myriad Pro"/>
          <w:color w:val="000000"/>
          <w:sz w:val="22"/>
        </w:rPr>
        <w:t xml:space="preserve">As detailed earlier, the project underwent an initial risk screening (pre-SESP) during the concept stage which resulted in the project being categorized as ‘high’ risk. During the conduct of the PPG SESP, a selection of further assessments and management tools were identified as necessary. In the case of this Project, assessments and the development of these specific management plans may need to take place during project implementation </w:t>
      </w:r>
      <w:proofErr w:type="gramStart"/>
      <w:r w:rsidRPr="0086490B">
        <w:rPr>
          <w:rFonts w:cs="Myriad Pro"/>
          <w:color w:val="000000"/>
          <w:sz w:val="22"/>
        </w:rPr>
        <w:t>due to the fact that</w:t>
      </w:r>
      <w:proofErr w:type="gramEnd"/>
      <w:r w:rsidRPr="0086490B">
        <w:rPr>
          <w:rFonts w:cs="Myriad Pro"/>
          <w:color w:val="000000"/>
          <w:sz w:val="22"/>
        </w:rPr>
        <w:t xml:space="preserve"> many site-specific activities are not yet known and that project resources from the budget are needed to complete the assessment and management plans for forthcoming project activities.  </w:t>
      </w:r>
    </w:p>
    <w:p w14:paraId="0DC01282" w14:textId="2B33FF65" w:rsidR="006727E2" w:rsidRPr="0086490B" w:rsidRDefault="006727E2" w:rsidP="006727E2">
      <w:pPr>
        <w:spacing w:after="0"/>
        <w:rPr>
          <w:rFonts w:cs="Myriad Pro"/>
          <w:color w:val="000000"/>
          <w:sz w:val="22"/>
        </w:rPr>
      </w:pPr>
      <w:r w:rsidRPr="0086490B">
        <w:rPr>
          <w:rFonts w:cs="Myriad Pro"/>
          <w:color w:val="000000"/>
          <w:sz w:val="22"/>
        </w:rPr>
        <w:t xml:space="preserve">As such, this ESMF has been developed to serve as a framework/tool that guides the screening and categorization, level of impact assessment, required institutional arrangements, and processes to be followed for components or activities that will be further specified during project implementation. The ESMF ensures that appropriate management measures that comply with the SES are adopted prior to implementation of the relevant forthcoming activities. </w:t>
      </w:r>
    </w:p>
    <w:p w14:paraId="5A358E5F" w14:textId="77777777" w:rsidR="00B13EAD" w:rsidRPr="0086490B" w:rsidRDefault="006727E2" w:rsidP="006727E2">
      <w:pPr>
        <w:spacing w:before="0" w:after="0"/>
        <w:rPr>
          <w:rFonts w:cs="Myriad Pro"/>
          <w:color w:val="000000"/>
          <w:sz w:val="22"/>
        </w:rPr>
      </w:pPr>
      <w:r w:rsidRPr="0086490B">
        <w:rPr>
          <w:rFonts w:cs="Myriad Pro"/>
          <w:color w:val="000000"/>
          <w:sz w:val="22"/>
        </w:rPr>
        <w:t xml:space="preserve">In addition to the ESMF, many of the initially identified risks were also addressed by including specific elements in the design of its activities. Four focused assessments were prepared during PPG phase: </w:t>
      </w:r>
      <w:proofErr w:type="spellStart"/>
      <w:r w:rsidRPr="0086490B">
        <w:rPr>
          <w:rFonts w:cs="Myriad Pro"/>
          <w:color w:val="000000"/>
          <w:sz w:val="22"/>
        </w:rPr>
        <w:t>i</w:t>
      </w:r>
      <w:proofErr w:type="spellEnd"/>
      <w:r w:rsidRPr="0086490B">
        <w:rPr>
          <w:rFonts w:cs="Myriad Pro"/>
          <w:color w:val="000000"/>
          <w:sz w:val="22"/>
        </w:rPr>
        <w:t xml:space="preserve">) a Stakeholder Engagement Plan (Annex 7 of the </w:t>
      </w:r>
      <w:proofErr w:type="spellStart"/>
      <w:r w:rsidRPr="0086490B">
        <w:rPr>
          <w:rFonts w:cs="Myriad Pro"/>
          <w:color w:val="000000"/>
          <w:sz w:val="22"/>
        </w:rPr>
        <w:t>ProDoc</w:t>
      </w:r>
      <w:proofErr w:type="spellEnd"/>
      <w:r w:rsidRPr="0086490B">
        <w:rPr>
          <w:rFonts w:cs="Myriad Pro"/>
          <w:color w:val="000000"/>
          <w:sz w:val="22"/>
        </w:rPr>
        <w:t xml:space="preserve">); ii) a Gender Analyses and Gender Action Plan (Annex 10 of the </w:t>
      </w:r>
      <w:proofErr w:type="spellStart"/>
      <w:r w:rsidRPr="0086490B">
        <w:rPr>
          <w:rFonts w:cs="Myriad Pro"/>
          <w:color w:val="000000"/>
          <w:sz w:val="22"/>
        </w:rPr>
        <w:t>ProDoc</w:t>
      </w:r>
      <w:proofErr w:type="spellEnd"/>
      <w:r w:rsidRPr="0086490B">
        <w:rPr>
          <w:rFonts w:cs="Myriad Pro"/>
          <w:color w:val="000000"/>
          <w:sz w:val="22"/>
        </w:rPr>
        <w:t xml:space="preserve">); and iii) </w:t>
      </w:r>
      <w:r w:rsidR="00B13EAD" w:rsidRPr="0086490B">
        <w:rPr>
          <w:rFonts w:cs="Myriad Pro"/>
          <w:color w:val="000000"/>
          <w:sz w:val="22"/>
        </w:rPr>
        <w:t>the project’s SESP</w:t>
      </w:r>
      <w:r w:rsidRPr="0086490B">
        <w:rPr>
          <w:rFonts w:cs="Myriad Pro"/>
          <w:color w:val="000000"/>
          <w:sz w:val="22"/>
        </w:rPr>
        <w:t>. These assessments establish measures to manage the associated risks.</w:t>
      </w:r>
    </w:p>
    <w:p w14:paraId="4A3CFD2D" w14:textId="77777777" w:rsidR="00B13EAD" w:rsidRPr="0086490B" w:rsidRDefault="00B13EAD" w:rsidP="006727E2">
      <w:pPr>
        <w:spacing w:before="0" w:after="0"/>
        <w:rPr>
          <w:rFonts w:cs="Myriad Pro"/>
          <w:color w:val="000000"/>
          <w:sz w:val="22"/>
        </w:rPr>
      </w:pPr>
    </w:p>
    <w:p w14:paraId="6E45FB21" w14:textId="02407834" w:rsidR="006727E2" w:rsidRPr="00A867EF" w:rsidRDefault="006727E2" w:rsidP="006727E2">
      <w:pPr>
        <w:spacing w:before="0" w:after="0"/>
        <w:rPr>
          <w:rFonts w:cs="Calibri"/>
          <w:sz w:val="22"/>
        </w:rPr>
      </w:pPr>
      <w:r w:rsidRPr="0086490B">
        <w:rPr>
          <w:rFonts w:cs="Myriad Pro"/>
          <w:color w:val="000000"/>
          <w:sz w:val="22"/>
        </w:rPr>
        <w:t xml:space="preserve"> </w:t>
      </w:r>
      <w:bookmarkEnd w:id="26"/>
      <w:bookmarkEnd w:id="27"/>
      <w:r w:rsidRPr="0086490B">
        <w:rPr>
          <w:rFonts w:cs="Myriad Pro"/>
          <w:color w:val="000000"/>
          <w:sz w:val="22"/>
        </w:rPr>
        <w:t>In addition to the focused assessments/frameworks listed above (that were undertaken during the project [preparation phase), screening, assessment</w:t>
      </w:r>
      <w:r w:rsidR="00E56659">
        <w:rPr>
          <w:rFonts w:cs="Myriad Pro"/>
          <w:color w:val="000000"/>
          <w:sz w:val="22"/>
        </w:rPr>
        <w:t>,</w:t>
      </w:r>
      <w:r w:rsidRPr="0086490B">
        <w:rPr>
          <w:rFonts w:cs="Myriad Pro"/>
          <w:color w:val="000000"/>
          <w:sz w:val="22"/>
        </w:rPr>
        <w:t xml:space="preserve"> and management/mitigation for future upstream (</w:t>
      </w:r>
      <w:proofErr w:type="gramStart"/>
      <w:r w:rsidRPr="0086490B">
        <w:rPr>
          <w:rFonts w:cs="Myriad Pro"/>
          <w:color w:val="000000"/>
          <w:sz w:val="22"/>
        </w:rPr>
        <w:t>i.e.</w:t>
      </w:r>
      <w:proofErr w:type="gramEnd"/>
      <w:r w:rsidRPr="0086490B">
        <w:rPr>
          <w:rFonts w:cs="Myriad Pro"/>
          <w:color w:val="000000"/>
          <w:sz w:val="22"/>
        </w:rPr>
        <w:t xml:space="preserve"> via SESA) and downstream (via scoped ESIAs) will need to take place. The procedures and requirements for both are outlined below.</w:t>
      </w:r>
    </w:p>
    <w:p w14:paraId="1FA0BFCC" w14:textId="77777777" w:rsidR="006727E2" w:rsidRDefault="006727E2" w:rsidP="00420A86">
      <w:pPr>
        <w:spacing w:before="0" w:after="0"/>
        <w:rPr>
          <w:rFonts w:cs="Calibri"/>
          <w:sz w:val="22"/>
        </w:rPr>
      </w:pPr>
    </w:p>
    <w:p w14:paraId="7BD33C4C" w14:textId="529E57F2" w:rsidR="00B5423B" w:rsidRDefault="000641E0" w:rsidP="00420A86">
      <w:pPr>
        <w:spacing w:before="0" w:after="0"/>
        <w:rPr>
          <w:rFonts w:cs="Calibri"/>
          <w:sz w:val="22"/>
        </w:rPr>
      </w:pPr>
      <w:r w:rsidRPr="00463F49">
        <w:rPr>
          <w:rFonts w:cs="Calibri"/>
          <w:sz w:val="22"/>
        </w:rPr>
        <w:t>This ESMF has been developed as part of UNDP’s due diligence process in the project cycle</w:t>
      </w:r>
      <w:r w:rsidR="00C50E57" w:rsidRPr="00463F49">
        <w:rPr>
          <w:rFonts w:cs="Calibri"/>
          <w:sz w:val="22"/>
        </w:rPr>
        <w:t xml:space="preserve">, following the screening of the </w:t>
      </w:r>
      <w:proofErr w:type="spellStart"/>
      <w:r w:rsidR="005E4849" w:rsidRPr="00463F49">
        <w:rPr>
          <w:rFonts w:cs="Calibri"/>
          <w:sz w:val="22"/>
          <w:lang w:eastAsia="zh-CN"/>
        </w:rPr>
        <w:t>PhosChemEE</w:t>
      </w:r>
      <w:proofErr w:type="spellEnd"/>
      <w:r w:rsidR="002324ED" w:rsidRPr="00463F49">
        <w:rPr>
          <w:rFonts w:cs="Calibri"/>
          <w:sz w:val="22"/>
        </w:rPr>
        <w:t xml:space="preserve"> </w:t>
      </w:r>
      <w:r w:rsidR="00EB1A4D" w:rsidRPr="00463F49">
        <w:rPr>
          <w:rFonts w:cs="Calibri"/>
          <w:sz w:val="22"/>
        </w:rPr>
        <w:t>P</w:t>
      </w:r>
      <w:r w:rsidR="002324ED" w:rsidRPr="00463F49">
        <w:rPr>
          <w:rFonts w:cs="Calibri"/>
          <w:sz w:val="22"/>
        </w:rPr>
        <w:t>roject</w:t>
      </w:r>
      <w:r w:rsidR="00C50E57" w:rsidRPr="00463F49">
        <w:rPr>
          <w:rFonts w:cs="Calibri"/>
          <w:sz w:val="22"/>
        </w:rPr>
        <w:t xml:space="preserve"> with the SESP template</w:t>
      </w:r>
      <w:r w:rsidR="00332EFB" w:rsidRPr="00463F49">
        <w:rPr>
          <w:rFonts w:cs="Calibri"/>
          <w:sz w:val="22"/>
        </w:rPr>
        <w:t xml:space="preserve">. </w:t>
      </w:r>
      <w:r w:rsidR="00461ECD" w:rsidRPr="00463F49">
        <w:rPr>
          <w:rFonts w:cs="Calibri"/>
          <w:sz w:val="22"/>
        </w:rPr>
        <w:t xml:space="preserve">Based on the project risk categorization, the following </w:t>
      </w:r>
      <w:r w:rsidR="001D3027" w:rsidRPr="00463F49">
        <w:rPr>
          <w:rFonts w:cs="Calibri"/>
          <w:sz w:val="22"/>
        </w:rPr>
        <w:t xml:space="preserve">procedures for screening, </w:t>
      </w:r>
      <w:r w:rsidR="00296E36" w:rsidRPr="00463F49">
        <w:rPr>
          <w:rFonts w:cs="Calibri"/>
          <w:sz w:val="22"/>
        </w:rPr>
        <w:t>assessing,</w:t>
      </w:r>
      <w:r w:rsidR="001D3027" w:rsidRPr="00463F49">
        <w:rPr>
          <w:rFonts w:cs="Calibri"/>
          <w:sz w:val="22"/>
        </w:rPr>
        <w:t xml:space="preserve"> and managing those risks must be undertaken</w:t>
      </w:r>
      <w:r w:rsidR="00C50E57" w:rsidRPr="00463F49">
        <w:rPr>
          <w:rFonts w:cs="Calibri"/>
          <w:sz w:val="22"/>
        </w:rPr>
        <w:t xml:space="preserve"> during the inception phase.</w:t>
      </w:r>
      <w:r w:rsidRPr="00463F49">
        <w:rPr>
          <w:rFonts w:cs="Calibri"/>
          <w:sz w:val="22"/>
        </w:rPr>
        <w:t xml:space="preserve"> </w:t>
      </w:r>
    </w:p>
    <w:p w14:paraId="17A788A0" w14:textId="11312E1B" w:rsidR="00463F49" w:rsidRDefault="00463F49" w:rsidP="00420A86">
      <w:pPr>
        <w:spacing w:before="0" w:after="0"/>
        <w:rPr>
          <w:rFonts w:cs="Calibri"/>
          <w:sz w:val="22"/>
        </w:rPr>
      </w:pPr>
    </w:p>
    <w:p w14:paraId="40A75AE5" w14:textId="77777777" w:rsidR="00463F49" w:rsidRDefault="00463F49" w:rsidP="00463F49">
      <w:pPr>
        <w:pStyle w:val="Heading2"/>
        <w:ind w:left="567" w:hanging="567"/>
      </w:pPr>
      <w:bookmarkStart w:id="28" w:name="_Toc35030071"/>
      <w:bookmarkStart w:id="29" w:name="_Toc37923834"/>
      <w:bookmarkStart w:id="30" w:name="_Toc86064158"/>
      <w:r>
        <w:t>Screening</w:t>
      </w:r>
      <w:bookmarkEnd w:id="28"/>
      <w:bookmarkEnd w:id="29"/>
      <w:bookmarkEnd w:id="30"/>
      <w:r>
        <w:t xml:space="preserve">  </w:t>
      </w:r>
    </w:p>
    <w:p w14:paraId="3F47CE97" w14:textId="0D00FC2D" w:rsidR="00463F49" w:rsidRPr="00463F49" w:rsidRDefault="00463F49" w:rsidP="00463F49">
      <w:pPr>
        <w:spacing w:before="0" w:after="0"/>
        <w:rPr>
          <w:rFonts w:cs="Calibri"/>
          <w:sz w:val="22"/>
        </w:rPr>
      </w:pPr>
      <w:r w:rsidRPr="00463F49">
        <w:rPr>
          <w:rFonts w:cs="Calibri"/>
          <w:sz w:val="22"/>
        </w:rPr>
        <w:t xml:space="preserve">The SESP has identified foreseen project impacts which apply across the </w:t>
      </w:r>
      <w:r>
        <w:rPr>
          <w:rFonts w:cs="Calibri"/>
          <w:sz w:val="22"/>
        </w:rPr>
        <w:t>construction, operation</w:t>
      </w:r>
      <w:r w:rsidR="00E56659">
        <w:rPr>
          <w:rFonts w:cs="Calibri"/>
          <w:sz w:val="22"/>
        </w:rPr>
        <w:t>,</w:t>
      </w:r>
      <w:r>
        <w:rPr>
          <w:rFonts w:cs="Calibri"/>
          <w:sz w:val="22"/>
        </w:rPr>
        <w:t xml:space="preserve"> and maintenance of </w:t>
      </w:r>
      <w:r w:rsidRPr="00463F49">
        <w:rPr>
          <w:rFonts w:cs="Calibri"/>
          <w:sz w:val="22"/>
        </w:rPr>
        <w:t>demo</w:t>
      </w:r>
      <w:r>
        <w:rPr>
          <w:rFonts w:cs="Calibri"/>
          <w:sz w:val="22"/>
        </w:rPr>
        <w:t>s</w:t>
      </w:r>
      <w:r w:rsidRPr="00463F49">
        <w:rPr>
          <w:rFonts w:cs="Calibri"/>
          <w:sz w:val="22"/>
        </w:rPr>
        <w:t>.</w:t>
      </w:r>
      <w:r w:rsidR="00E12612">
        <w:rPr>
          <w:rFonts w:cs="Calibri"/>
          <w:sz w:val="22"/>
        </w:rPr>
        <w:t xml:space="preserve"> As currently constituted, t</w:t>
      </w:r>
      <w:r w:rsidRPr="00463F49">
        <w:rPr>
          <w:rFonts w:cs="Calibri"/>
          <w:sz w:val="22"/>
        </w:rPr>
        <w:t xml:space="preserve">he risks are based on the broad scope of project activities, outputs and outcomes currently identified, and the allocated significance rating is based on a precautionary approach, reflecting a worst-case scenario. </w:t>
      </w:r>
      <w:r w:rsidR="00A05614">
        <w:rPr>
          <w:rFonts w:cs="Calibri"/>
          <w:sz w:val="22"/>
        </w:rPr>
        <w:t>Given the final siting of demo activities/</w:t>
      </w:r>
      <w:r w:rsidR="00055B15">
        <w:rPr>
          <w:rFonts w:cs="Calibri"/>
          <w:sz w:val="22"/>
        </w:rPr>
        <w:t>interventions</w:t>
      </w:r>
      <w:r w:rsidR="00A05614">
        <w:rPr>
          <w:rFonts w:cs="Calibri"/>
          <w:sz w:val="22"/>
        </w:rPr>
        <w:t xml:space="preserve"> is not known at this juncture, </w:t>
      </w:r>
      <w:r w:rsidR="00055B15">
        <w:rPr>
          <w:rFonts w:cs="Calibri"/>
          <w:sz w:val="22"/>
        </w:rPr>
        <w:t xml:space="preserve">re-screening will need to occur once decisions on siting have been completed (and before any </w:t>
      </w:r>
      <w:r w:rsidR="00E56659">
        <w:rPr>
          <w:rFonts w:cs="Calibri"/>
          <w:sz w:val="22"/>
        </w:rPr>
        <w:t>related construction</w:t>
      </w:r>
      <w:r w:rsidR="00055B15">
        <w:rPr>
          <w:rFonts w:cs="Calibri"/>
          <w:sz w:val="22"/>
        </w:rPr>
        <w:t>/</w:t>
      </w:r>
      <w:r w:rsidR="009E10B2">
        <w:rPr>
          <w:rFonts w:cs="Calibri"/>
          <w:sz w:val="22"/>
        </w:rPr>
        <w:t>instalment</w:t>
      </w:r>
      <w:r w:rsidR="00055B15">
        <w:rPr>
          <w:rFonts w:cs="Calibri"/>
          <w:sz w:val="22"/>
        </w:rPr>
        <w:t xml:space="preserve"> is undertaken). </w:t>
      </w:r>
    </w:p>
    <w:p w14:paraId="26C27C54" w14:textId="70627E74" w:rsidR="00463F49" w:rsidRDefault="00463F49" w:rsidP="00420A86">
      <w:pPr>
        <w:spacing w:before="0" w:after="0"/>
        <w:rPr>
          <w:rFonts w:cs="Calibri"/>
          <w:sz w:val="22"/>
        </w:rPr>
      </w:pPr>
    </w:p>
    <w:p w14:paraId="6B13ABDB" w14:textId="46A686E7" w:rsidR="008A388B" w:rsidRDefault="00926BB4" w:rsidP="008A388B">
      <w:pPr>
        <w:spacing w:before="0" w:after="0"/>
        <w:rPr>
          <w:rFonts w:cs="Calibri"/>
          <w:sz w:val="22"/>
        </w:rPr>
      </w:pPr>
      <w:r>
        <w:rPr>
          <w:rFonts w:cs="Calibri"/>
          <w:sz w:val="22"/>
        </w:rPr>
        <w:t>In addition to</w:t>
      </w:r>
      <w:r w:rsidR="009E10B2">
        <w:rPr>
          <w:rFonts w:cs="Calibri"/>
          <w:sz w:val="22"/>
        </w:rPr>
        <w:t xml:space="preserve"> the screening that is required once demo sites have been finalized (and the full </w:t>
      </w:r>
      <w:r w:rsidR="007852F9">
        <w:rPr>
          <w:rFonts w:cs="Calibri"/>
          <w:sz w:val="22"/>
        </w:rPr>
        <w:t>designs</w:t>
      </w:r>
      <w:r w:rsidR="009E10B2">
        <w:rPr>
          <w:rFonts w:cs="Calibri"/>
          <w:sz w:val="22"/>
        </w:rPr>
        <w:t xml:space="preserve"> completed)</w:t>
      </w:r>
      <w:r w:rsidR="008A388B" w:rsidRPr="008A388B">
        <w:rPr>
          <w:rFonts w:cs="Calibri"/>
          <w:sz w:val="22"/>
        </w:rPr>
        <w:t xml:space="preserve">, the project </w:t>
      </w:r>
      <w:r w:rsidR="00C03941">
        <w:rPr>
          <w:rFonts w:cs="Calibri"/>
          <w:sz w:val="22"/>
        </w:rPr>
        <w:t xml:space="preserve">as a whole </w:t>
      </w:r>
      <w:r w:rsidR="008A388B" w:rsidRPr="008A388B">
        <w:rPr>
          <w:rFonts w:cs="Calibri"/>
          <w:sz w:val="22"/>
        </w:rPr>
        <w:t xml:space="preserve">will be re-screened with the UNDP SESP as needed in the course of </w:t>
      </w:r>
      <w:r w:rsidR="0054058C">
        <w:rPr>
          <w:rFonts w:cs="Calibri"/>
          <w:sz w:val="22"/>
        </w:rPr>
        <w:t xml:space="preserve">conducting the </w:t>
      </w:r>
      <w:r w:rsidR="008A388B" w:rsidRPr="008A388B">
        <w:rPr>
          <w:rFonts w:cs="Calibri"/>
          <w:sz w:val="22"/>
        </w:rPr>
        <w:t>required assessments; as prescribed by the projects’ management plan</w:t>
      </w:r>
      <w:r w:rsidR="00512F93">
        <w:rPr>
          <w:rFonts w:cs="Calibri"/>
          <w:sz w:val="22"/>
        </w:rPr>
        <w:t>(s)</w:t>
      </w:r>
      <w:r w:rsidR="008A388B" w:rsidRPr="008A388B">
        <w:rPr>
          <w:rFonts w:cs="Calibri"/>
          <w:sz w:val="22"/>
        </w:rPr>
        <w:t>; when determined necessary by the respective Project Manager (after consideration of the advice from PMO staff with responsibility for safeguards), the Project Steering Committee, or UNDP; and/or when project circumstances change in a substantive or relevant way.</w:t>
      </w:r>
      <w:r w:rsidR="008A388B" w:rsidRPr="00420A86">
        <w:rPr>
          <w:rFonts w:cs="Calibri"/>
          <w:sz w:val="22"/>
        </w:rPr>
        <w:t xml:space="preserve"> </w:t>
      </w:r>
    </w:p>
    <w:p w14:paraId="0D9A1491" w14:textId="77777777" w:rsidR="008A388B" w:rsidRPr="008A388B" w:rsidRDefault="008A388B" w:rsidP="00420A86">
      <w:pPr>
        <w:spacing w:before="0" w:after="0"/>
        <w:rPr>
          <w:rFonts w:cs="Calibri"/>
          <w:sz w:val="22"/>
        </w:rPr>
      </w:pPr>
    </w:p>
    <w:p w14:paraId="2DB4E1E0" w14:textId="77777777" w:rsidR="00463F49" w:rsidRDefault="00463F49" w:rsidP="00463F49">
      <w:pPr>
        <w:pStyle w:val="Heading2"/>
        <w:ind w:left="567" w:hanging="567"/>
      </w:pPr>
      <w:bookmarkStart w:id="31" w:name="_Toc35030075"/>
      <w:bookmarkStart w:id="32" w:name="_Toc37923841"/>
      <w:bookmarkStart w:id="33" w:name="_Toc86064159"/>
      <w:r>
        <w:t>Assessment</w:t>
      </w:r>
      <w:bookmarkEnd w:id="31"/>
      <w:bookmarkEnd w:id="32"/>
      <w:bookmarkEnd w:id="33"/>
    </w:p>
    <w:p w14:paraId="66DEACFA" w14:textId="43C26F2C" w:rsidR="007852F9" w:rsidRDefault="009C34F6" w:rsidP="00463F49">
      <w:pPr>
        <w:rPr>
          <w:sz w:val="22"/>
        </w:rPr>
      </w:pPr>
      <w:r w:rsidRPr="009C34F6">
        <w:rPr>
          <w:sz w:val="22"/>
        </w:rPr>
        <w:t xml:space="preserve">In accordance with UNDP’s SES policy, High Risk projects require comprehensive forms of assessment. </w:t>
      </w:r>
      <w:r w:rsidR="00E56659">
        <w:rPr>
          <w:sz w:val="22"/>
        </w:rPr>
        <w:t>To</w:t>
      </w:r>
      <w:r w:rsidR="00BC2DD6">
        <w:rPr>
          <w:sz w:val="22"/>
        </w:rPr>
        <w:t xml:space="preserve"> meet the </w:t>
      </w:r>
      <w:r w:rsidR="007852F9">
        <w:rPr>
          <w:sz w:val="22"/>
        </w:rPr>
        <w:t>assessment requirements of high</w:t>
      </w:r>
      <w:r w:rsidR="00E56659">
        <w:rPr>
          <w:sz w:val="22"/>
        </w:rPr>
        <w:t>-</w:t>
      </w:r>
      <w:r w:rsidR="007852F9">
        <w:rPr>
          <w:sz w:val="22"/>
        </w:rPr>
        <w:t xml:space="preserve">risk UNDP supported projects, several key tools/avenues for further assessment of environmental and social risk have been developed for the </w:t>
      </w:r>
      <w:proofErr w:type="spellStart"/>
      <w:r w:rsidR="007852F9">
        <w:rPr>
          <w:sz w:val="22"/>
        </w:rPr>
        <w:t>PhoschemEE</w:t>
      </w:r>
      <w:proofErr w:type="spellEnd"/>
      <w:r w:rsidR="007852F9">
        <w:rPr>
          <w:sz w:val="22"/>
        </w:rPr>
        <w:t xml:space="preserve"> project. This includes and assessment </w:t>
      </w:r>
      <w:r w:rsidR="00E56659">
        <w:rPr>
          <w:sz w:val="22"/>
        </w:rPr>
        <w:t>of direct</w:t>
      </w:r>
      <w:r w:rsidR="007852F9">
        <w:rPr>
          <w:sz w:val="22"/>
        </w:rPr>
        <w:t>, indirect, cumulative, upstream</w:t>
      </w:r>
      <w:r w:rsidR="00E56659">
        <w:rPr>
          <w:sz w:val="22"/>
        </w:rPr>
        <w:t>,</w:t>
      </w:r>
      <w:r w:rsidR="007852F9">
        <w:rPr>
          <w:sz w:val="22"/>
        </w:rPr>
        <w:t xml:space="preserve"> and downstream impacts that may arise </w:t>
      </w:r>
      <w:r w:rsidR="00E56659">
        <w:rPr>
          <w:sz w:val="22"/>
        </w:rPr>
        <w:t>because of</w:t>
      </w:r>
      <w:r w:rsidR="007852F9">
        <w:rPr>
          <w:sz w:val="22"/>
        </w:rPr>
        <w:t xml:space="preserve"> project interventions. As such, tailored SES assessment tools have been proposed to adequately assess each of these potential impact areas</w:t>
      </w:r>
      <w:r w:rsidR="00E56659">
        <w:rPr>
          <w:sz w:val="22"/>
        </w:rPr>
        <w:t>.</w:t>
      </w:r>
      <w:r w:rsidR="007852F9">
        <w:rPr>
          <w:sz w:val="22"/>
        </w:rPr>
        <w:t xml:space="preserve"> The</w:t>
      </w:r>
      <w:r w:rsidR="00E56659">
        <w:rPr>
          <w:sz w:val="22"/>
        </w:rPr>
        <w:t xml:space="preserve"> </w:t>
      </w:r>
      <w:r w:rsidR="007852F9">
        <w:rPr>
          <w:sz w:val="22"/>
        </w:rPr>
        <w:t xml:space="preserve">required assessment studies for the project are as a </w:t>
      </w:r>
      <w:proofErr w:type="gramStart"/>
      <w:r w:rsidR="007852F9">
        <w:rPr>
          <w:sz w:val="22"/>
        </w:rPr>
        <w:t>follows</w:t>
      </w:r>
      <w:proofErr w:type="gramEnd"/>
      <w:r w:rsidR="007852F9">
        <w:rPr>
          <w:sz w:val="22"/>
        </w:rPr>
        <w:t xml:space="preserve">: </w:t>
      </w:r>
    </w:p>
    <w:p w14:paraId="72605E17" w14:textId="034FAB06" w:rsidR="007852F9" w:rsidRPr="00DA087A" w:rsidRDefault="005163AC" w:rsidP="0086490B">
      <w:pPr>
        <w:pStyle w:val="Heading3"/>
      </w:pPr>
      <w:r>
        <w:t xml:space="preserve">Site </w:t>
      </w:r>
      <w:r w:rsidR="00FC7D7C">
        <w:t>Specific</w:t>
      </w:r>
      <w:r>
        <w:t xml:space="preserve"> ESIAs for demo activities </w:t>
      </w:r>
    </w:p>
    <w:p w14:paraId="0F32B7DB" w14:textId="3307B923" w:rsidR="00D005DC" w:rsidRDefault="00BC2DD6" w:rsidP="00463F49">
      <w:pPr>
        <w:rPr>
          <w:sz w:val="22"/>
        </w:rPr>
      </w:pPr>
      <w:r>
        <w:rPr>
          <w:sz w:val="22"/>
        </w:rPr>
        <w:t xml:space="preserve"> </w:t>
      </w:r>
      <w:r w:rsidR="009C34F6">
        <w:rPr>
          <w:sz w:val="22"/>
        </w:rPr>
        <w:t xml:space="preserve">The </w:t>
      </w:r>
      <w:r w:rsidR="009C34F6" w:rsidRPr="009C34F6">
        <w:rPr>
          <w:sz w:val="22"/>
        </w:rPr>
        <w:t>(site-specific) ESIA</w:t>
      </w:r>
      <w:r w:rsidR="009C34F6">
        <w:rPr>
          <w:sz w:val="22"/>
        </w:rPr>
        <w:t>s</w:t>
      </w:r>
      <w:r w:rsidR="009C34F6" w:rsidRPr="009C34F6">
        <w:rPr>
          <w:sz w:val="22"/>
        </w:rPr>
        <w:t xml:space="preserve"> for </w:t>
      </w:r>
      <w:r w:rsidR="009C34F6">
        <w:rPr>
          <w:sz w:val="22"/>
        </w:rPr>
        <w:t xml:space="preserve">the </w:t>
      </w:r>
      <w:proofErr w:type="spellStart"/>
      <w:r w:rsidR="009C34F6" w:rsidRPr="00DE2579">
        <w:rPr>
          <w:rFonts w:cs="Calibri"/>
          <w:sz w:val="22"/>
        </w:rPr>
        <w:t>PhosChemEE</w:t>
      </w:r>
      <w:proofErr w:type="spellEnd"/>
      <w:r w:rsidR="009C34F6" w:rsidRPr="00DE2579">
        <w:rPr>
          <w:rFonts w:cs="Calibri"/>
          <w:sz w:val="22"/>
        </w:rPr>
        <w:t xml:space="preserve"> Project</w:t>
      </w:r>
      <w:r w:rsidR="009C34F6" w:rsidRPr="009C34F6">
        <w:rPr>
          <w:sz w:val="22"/>
        </w:rPr>
        <w:t xml:space="preserve"> will be developed and carried out by independent experts in a participatory manner with stakeholders during the i</w:t>
      </w:r>
      <w:r w:rsidR="009C34F6">
        <w:rPr>
          <w:sz w:val="22"/>
        </w:rPr>
        <w:t>mplementation</w:t>
      </w:r>
      <w:r w:rsidR="009C34F6" w:rsidRPr="009C34F6">
        <w:rPr>
          <w:sz w:val="22"/>
        </w:rPr>
        <w:t xml:space="preserve"> phase. </w:t>
      </w:r>
      <w:r w:rsidR="00D005DC">
        <w:rPr>
          <w:sz w:val="22"/>
        </w:rPr>
        <w:t xml:space="preserve">An annotated annex/template for the site-specific ESIAs has been included within this ESMF as Annex II. </w:t>
      </w:r>
    </w:p>
    <w:p w14:paraId="509EB451" w14:textId="7590C471" w:rsidR="009C34F6" w:rsidRDefault="009C34F6" w:rsidP="00463F49">
      <w:pPr>
        <w:rPr>
          <w:sz w:val="22"/>
        </w:rPr>
      </w:pPr>
      <w:r w:rsidRPr="009C34F6">
        <w:rPr>
          <w:sz w:val="22"/>
        </w:rPr>
        <w:t>Each ESIA will further identify and assess social and environmental impacts of each project and its area of influence; evaluate alternative; and design appropriate avoidance, mitigation, management, and monitoring measures</w:t>
      </w:r>
      <w:r>
        <w:rPr>
          <w:sz w:val="22"/>
        </w:rPr>
        <w:t xml:space="preserve">, especially the </w:t>
      </w:r>
      <w:r w:rsidRPr="00DE2579">
        <w:rPr>
          <w:rFonts w:cs="Calibri"/>
          <w:sz w:val="22"/>
        </w:rPr>
        <w:t xml:space="preserve">potential impacts </w:t>
      </w:r>
      <w:r>
        <w:rPr>
          <w:rFonts w:cs="Calibri"/>
          <w:sz w:val="22"/>
        </w:rPr>
        <w:t xml:space="preserve">of </w:t>
      </w:r>
      <w:r w:rsidRPr="00DE2579">
        <w:rPr>
          <w:rFonts w:cs="Calibri"/>
          <w:sz w:val="22"/>
        </w:rPr>
        <w:t>the planned construction and operation of new advanced PCI technology infrastructures on sustainable natural resource (efficiency) management and community health</w:t>
      </w:r>
      <w:r w:rsidRPr="009C34F6">
        <w:rPr>
          <w:sz w:val="22"/>
        </w:rPr>
        <w:t>. It will address all relevant issues related to the SES Overarching Principles and Project-level Standards.</w:t>
      </w:r>
    </w:p>
    <w:p w14:paraId="60D34CD6" w14:textId="6314D333" w:rsidR="00463F49" w:rsidRDefault="00463F49" w:rsidP="00463F49">
      <w:pPr>
        <w:rPr>
          <w:sz w:val="22"/>
        </w:rPr>
      </w:pPr>
      <w:r w:rsidRPr="00DE2579">
        <w:rPr>
          <w:sz w:val="22"/>
        </w:rPr>
        <w:t xml:space="preserve">These </w:t>
      </w:r>
      <w:r w:rsidR="009C34F6">
        <w:rPr>
          <w:sz w:val="22"/>
        </w:rPr>
        <w:t>ESIAs</w:t>
      </w:r>
      <w:r w:rsidRPr="00DE2579">
        <w:rPr>
          <w:sz w:val="22"/>
        </w:rPr>
        <w:t xml:space="preserve"> will include appropriate consultation with affected communities, including FPIC consultations with ethnic minorities if required for SES compliance, to consult on potential impacts and management measures and ensure community participation in planning, implementation</w:t>
      </w:r>
      <w:r w:rsidR="00E56659">
        <w:rPr>
          <w:sz w:val="22"/>
        </w:rPr>
        <w:t>,</w:t>
      </w:r>
      <w:r w:rsidRPr="00DE2579">
        <w:rPr>
          <w:sz w:val="22"/>
        </w:rPr>
        <w:t xml:space="preserve"> and monitoring.</w:t>
      </w:r>
      <w:r w:rsidR="009C34F6">
        <w:rPr>
          <w:rFonts w:hint="eastAsia"/>
          <w:sz w:val="22"/>
          <w:lang w:eastAsia="zh-CN"/>
        </w:rPr>
        <w:t xml:space="preserve"> </w:t>
      </w:r>
      <w:r w:rsidR="00DE2579" w:rsidRPr="00DE2579">
        <w:rPr>
          <w:sz w:val="22"/>
        </w:rPr>
        <w:t>The SESP completed during project development phase will be used as the basis of this targeted assessment, and a</w:t>
      </w:r>
      <w:r w:rsidRPr="00DE2579">
        <w:rPr>
          <w:sz w:val="22"/>
        </w:rPr>
        <w:t>ssessment reports will inform revision of the SESP, and the development of management plans.</w:t>
      </w:r>
    </w:p>
    <w:p w14:paraId="1D98A861" w14:textId="13DB29DF" w:rsidR="00DD3B27" w:rsidRPr="0055789E" w:rsidRDefault="00DA087A" w:rsidP="6F282195">
      <w:pPr>
        <w:rPr>
          <w:rFonts w:cs="Arial"/>
          <w:sz w:val="22"/>
          <w:lang w:eastAsia="zh-CN"/>
        </w:rPr>
      </w:pPr>
      <w:r w:rsidRPr="0086490B">
        <w:rPr>
          <w:rFonts w:cs="Arial"/>
          <w:sz w:val="22"/>
          <w:lang w:eastAsia="zh-CN"/>
        </w:rPr>
        <w:t>The design of the demo will take climate-related events and risks into consideration by</w:t>
      </w:r>
      <w:r w:rsidRPr="0086490B">
        <w:rPr>
          <w:rFonts w:eastAsia="Times New Roman" w:cs="Arial"/>
          <w:sz w:val="22"/>
          <w:lang w:eastAsia="ja-JP"/>
        </w:rPr>
        <w:t xml:space="preserve"> utilizing the findings of the risk assessment that shall be conducted as part of the ESIAs.  </w:t>
      </w:r>
      <w:r w:rsidRPr="0086490B">
        <w:rPr>
          <w:rFonts w:cs="Arial"/>
          <w:sz w:val="22"/>
          <w:lang w:eastAsia="zh-CN"/>
        </w:rPr>
        <w:t>Appropriate measures will be taken based on the specific climate-related events. For instance, the adverse impact of flood on demos can be eliminated by constructing diversion ditches, while sunshade roofs and cooling spray can reduce the impact of extreme high temperatures.</w:t>
      </w:r>
    </w:p>
    <w:p w14:paraId="1D83B3FE" w14:textId="4011FD73" w:rsidR="003A03B3" w:rsidRDefault="00DD3B27" w:rsidP="00DA087A">
      <w:pPr>
        <w:rPr>
          <w:rFonts w:cs="Arial"/>
          <w:lang w:eastAsia="zh-CN"/>
        </w:rPr>
      </w:pPr>
      <w:r w:rsidRPr="0086490B">
        <w:rPr>
          <w:rFonts w:cs="Arial"/>
          <w:sz w:val="22"/>
          <w:lang w:eastAsia="zh-CN"/>
        </w:rPr>
        <w:t xml:space="preserve">The demo site activities (which will require site specific ESIs) are not to commence until the reports have been produced and disclosed </w:t>
      </w:r>
      <w:r w:rsidRPr="0086490B">
        <w:rPr>
          <w:sz w:val="22"/>
          <w:lang w:val="en-US"/>
        </w:rPr>
        <w:t xml:space="preserve">(following UNDP SES requirements on information disclosure periods). </w:t>
      </w:r>
    </w:p>
    <w:p w14:paraId="73149CA7" w14:textId="2AE987CC" w:rsidR="00DA087A" w:rsidRDefault="003A03B3" w:rsidP="0086490B">
      <w:pPr>
        <w:pStyle w:val="Heading3"/>
      </w:pPr>
      <w:r w:rsidRPr="0086490B">
        <w:t xml:space="preserve">Life-cycle analysis </w:t>
      </w:r>
    </w:p>
    <w:p w14:paraId="29ECAB61" w14:textId="0D3506DD" w:rsidR="00AE07F2" w:rsidRDefault="00BB3323" w:rsidP="6F282195">
      <w:pPr>
        <w:rPr>
          <w:rFonts w:cs="Arial"/>
          <w:sz w:val="22"/>
          <w:lang w:eastAsia="zh-CN"/>
        </w:rPr>
      </w:pPr>
      <w:r w:rsidRPr="6F282195">
        <w:rPr>
          <w:rFonts w:cs="Arial"/>
          <w:sz w:val="22"/>
          <w:lang w:eastAsia="zh-CN"/>
        </w:rPr>
        <w:t>With regard to the design of the demos, and to assist with the implementation of Activity 2.1.3 (</w:t>
      </w:r>
      <w:r w:rsidRPr="0086490B">
        <w:rPr>
          <w:rFonts w:cs="Calibri"/>
          <w:i/>
          <w:iCs/>
        </w:rPr>
        <w:t>Implementation of the demos of new feasible and cost-effective RE technology application models designed in Activity 2.1.2</w:t>
      </w:r>
      <w:r w:rsidRPr="6F282195">
        <w:rPr>
          <w:rFonts w:cs="Calibri"/>
        </w:rPr>
        <w:t>) and Activity 2.2.1 (</w:t>
      </w:r>
      <w:r w:rsidR="00AE07F2" w:rsidRPr="0086490B">
        <w:rPr>
          <w:rFonts w:cs="Calibri"/>
          <w:i/>
          <w:iCs/>
        </w:rPr>
        <w:t>Development and approval of engineering designs and implementation plans of demos of new and cost-effective EE/EC technologies</w:t>
      </w:r>
      <w:r w:rsidR="00AE07F2" w:rsidRPr="6F282195">
        <w:rPr>
          <w:rFonts w:cs="Arial"/>
          <w:sz w:val="22"/>
          <w:lang w:eastAsia="zh-CN"/>
        </w:rPr>
        <w:t xml:space="preserve">) </w:t>
      </w:r>
      <w:r w:rsidR="003A03B3" w:rsidRPr="00B002EE">
        <w:rPr>
          <w:rFonts w:cs="Arial"/>
          <w:sz w:val="22"/>
          <w:lang w:eastAsia="zh-CN"/>
        </w:rPr>
        <w:t xml:space="preserve">life-cycle analysis (LCA) will be </w:t>
      </w:r>
      <w:r w:rsidR="00AE07F2" w:rsidRPr="6F282195">
        <w:rPr>
          <w:rFonts w:cs="Arial"/>
          <w:sz w:val="22"/>
          <w:lang w:eastAsia="zh-CN"/>
        </w:rPr>
        <w:t xml:space="preserve">applied to assess the </w:t>
      </w:r>
      <w:proofErr w:type="gramStart"/>
      <w:r w:rsidR="00AE07F2" w:rsidRPr="6F282195">
        <w:rPr>
          <w:rFonts w:cs="Arial"/>
          <w:sz w:val="22"/>
          <w:lang w:eastAsia="zh-CN"/>
        </w:rPr>
        <w:t>amount</w:t>
      </w:r>
      <w:proofErr w:type="gramEnd"/>
      <w:r w:rsidR="00AE07F2" w:rsidRPr="6F282195">
        <w:rPr>
          <w:rFonts w:cs="Arial"/>
          <w:sz w:val="22"/>
          <w:lang w:eastAsia="zh-CN"/>
        </w:rPr>
        <w:t xml:space="preserve"> of raw materials, energy, and water used by each technology. This will allow a comparison to be made as to the relative merits of each demo technology. LCA is a recognized framework for assessing the environmental impacts of specific technologies or products. </w:t>
      </w:r>
    </w:p>
    <w:p w14:paraId="77C82306" w14:textId="06E64A49" w:rsidR="003A03B3" w:rsidRPr="00774BD9" w:rsidRDefault="00AE07F2" w:rsidP="6F282195">
      <w:pPr>
        <w:rPr>
          <w:rFonts w:cs="Arial"/>
          <w:sz w:val="22"/>
          <w:lang w:eastAsia="zh-CN"/>
        </w:rPr>
      </w:pPr>
      <w:r w:rsidRPr="0086490B">
        <w:rPr>
          <w:rFonts w:cs="Arial"/>
          <w:sz w:val="22"/>
          <w:lang w:eastAsia="zh-CN"/>
        </w:rPr>
        <w:t>The steps in LCA are (1) goal and scope definition, (2) life cycle inventory analysis (LCI), (3) life cycle impact assessment (LCIA), and (4) interpretation of the results.</w:t>
      </w:r>
      <w:r w:rsidRPr="6F282195">
        <w:rPr>
          <w:rFonts w:cs="Arial"/>
          <w:sz w:val="22"/>
          <w:lang w:eastAsia="zh-CN"/>
        </w:rPr>
        <w:t xml:space="preserve"> </w:t>
      </w:r>
      <w:r w:rsidR="003A03B3" w:rsidRPr="00B002EE">
        <w:rPr>
          <w:rFonts w:cs="Arial"/>
          <w:sz w:val="22"/>
          <w:lang w:eastAsia="zh-CN"/>
        </w:rPr>
        <w:t xml:space="preserve">Based on LCA assessments, the project </w:t>
      </w:r>
      <w:r w:rsidR="003A03B3" w:rsidRPr="00B002EE">
        <w:rPr>
          <w:rFonts w:cs="Arial"/>
          <w:sz w:val="22"/>
          <w:lang w:eastAsia="zh-CN"/>
        </w:rPr>
        <w:lastRenderedPageBreak/>
        <w:t xml:space="preserve">will be designed to seek cleaner and more energy-efficient phosphate chemicals production and processing of </w:t>
      </w:r>
      <w:proofErr w:type="spellStart"/>
      <w:r w:rsidR="003A03B3" w:rsidRPr="00B002EE">
        <w:rPr>
          <w:rFonts w:cs="Arial"/>
          <w:sz w:val="22"/>
          <w:lang w:eastAsia="zh-CN"/>
        </w:rPr>
        <w:t>phosphogypsum</w:t>
      </w:r>
      <w:proofErr w:type="spellEnd"/>
      <w:r w:rsidR="003A03B3" w:rsidRPr="00B002EE">
        <w:rPr>
          <w:rFonts w:cs="Arial"/>
          <w:sz w:val="22"/>
          <w:lang w:eastAsia="zh-CN"/>
        </w:rPr>
        <w:t xml:space="preserve">. </w:t>
      </w:r>
    </w:p>
    <w:p w14:paraId="33FA7865" w14:textId="78D0362D" w:rsidR="003A03B3" w:rsidRPr="0086490B" w:rsidRDefault="003A03B3" w:rsidP="003A03B3">
      <w:pPr>
        <w:rPr>
          <w:b/>
          <w:bCs/>
          <w:sz w:val="22"/>
        </w:rPr>
      </w:pPr>
      <w:r w:rsidRPr="0086490B">
        <w:rPr>
          <w:rFonts w:cs="Arial"/>
          <w:sz w:val="22"/>
          <w:lang w:eastAsia="ja-JP"/>
        </w:rPr>
        <w:t>International practice for water and energy conservation will be applied in demos, especially the wastewater management and reuse technologies.</w:t>
      </w:r>
      <w:r w:rsidRPr="0086490B">
        <w:rPr>
          <w:rFonts w:cs="Calibri"/>
          <w:sz w:val="22"/>
          <w:lang w:eastAsia="zh-CN"/>
        </w:rPr>
        <w:t xml:space="preserve"> Emergency accident pools will be designed in each demo in accordance with the requirement of </w:t>
      </w:r>
      <w:r w:rsidRPr="0086490B">
        <w:rPr>
          <w:rFonts w:cs="Arial"/>
          <w:sz w:val="22"/>
          <w:lang w:eastAsia="ja-JP"/>
        </w:rPr>
        <w:t>contamination avoidance.</w:t>
      </w:r>
      <w:r w:rsidRPr="0086490B">
        <w:rPr>
          <w:rFonts w:cs="Calibri"/>
          <w:sz w:val="22"/>
          <w:lang w:eastAsia="zh-CN"/>
        </w:rPr>
        <w:t xml:space="preserve"> Additionally,</w:t>
      </w:r>
      <w:r w:rsidRPr="0086490B">
        <w:rPr>
          <w:rFonts w:cs="Arial"/>
          <w:sz w:val="22"/>
          <w:lang w:eastAsia="ja-JP"/>
        </w:rPr>
        <w:t xml:space="preserve"> the demos will establish the resource efficiency monitoring mechanism, including using benchmarking data to the relative level of efficiency</w:t>
      </w:r>
      <w:r w:rsidRPr="0086490B">
        <w:rPr>
          <w:rFonts w:cs="Arial"/>
          <w:sz w:val="22"/>
          <w:lang w:eastAsia="zh-CN"/>
        </w:rPr>
        <w:t xml:space="preserve"> and reporting water and energy consumption periodically</w:t>
      </w:r>
      <w:r w:rsidRPr="0086490B">
        <w:rPr>
          <w:rFonts w:cs="Arial"/>
          <w:sz w:val="22"/>
          <w:lang w:eastAsia="ja-JP"/>
        </w:rPr>
        <w:t xml:space="preserve">. This will ensure that the new and advanced technologies of </w:t>
      </w:r>
      <w:r w:rsidRPr="0086490B">
        <w:rPr>
          <w:rFonts w:cs="Calibri"/>
          <w:sz w:val="22"/>
          <w:lang w:eastAsia="zh-CN"/>
        </w:rPr>
        <w:t xml:space="preserve">phosphate chemicals production and </w:t>
      </w:r>
      <w:proofErr w:type="spellStart"/>
      <w:r w:rsidRPr="0086490B">
        <w:rPr>
          <w:rFonts w:cs="Calibri"/>
          <w:sz w:val="22"/>
          <w:lang w:eastAsia="zh-CN"/>
        </w:rPr>
        <w:t>phosphogypsum</w:t>
      </w:r>
      <w:proofErr w:type="spellEnd"/>
      <w:r w:rsidRPr="0086490B">
        <w:rPr>
          <w:rFonts w:cs="Calibri"/>
          <w:sz w:val="22"/>
          <w:lang w:eastAsia="zh-CN"/>
        </w:rPr>
        <w:t xml:space="preserve"> processing will reduce or optimize resource consumption,</w:t>
      </w:r>
      <w:r w:rsidRPr="0086490B">
        <w:rPr>
          <w:rFonts w:cs="Arial"/>
          <w:sz w:val="22"/>
          <w:lang w:eastAsia="ja-JP"/>
        </w:rPr>
        <w:t xml:space="preserve"> so that the project’s water consumption does not have significant adverse impacts on communities, other users or the environment and ecosystems. </w:t>
      </w:r>
    </w:p>
    <w:p w14:paraId="0B4DCC81" w14:textId="77777777" w:rsidR="00DA087A" w:rsidRDefault="00DA087A" w:rsidP="00DA087A">
      <w:pPr>
        <w:pStyle w:val="Heading3"/>
      </w:pPr>
      <w:r>
        <w:t xml:space="preserve">Strategic Environmental and Social Assessment for Upstream impacts </w:t>
      </w:r>
    </w:p>
    <w:p w14:paraId="416B69EA" w14:textId="76F22D58" w:rsidR="00463F49" w:rsidRPr="00986D3A" w:rsidRDefault="00E56659" w:rsidP="00420A86">
      <w:pPr>
        <w:spacing w:before="0" w:after="0"/>
        <w:rPr>
          <w:rFonts w:cs="Calibri"/>
          <w:sz w:val="22"/>
        </w:rPr>
      </w:pPr>
      <w:r w:rsidRPr="00986D3A">
        <w:rPr>
          <w:rFonts w:cs="Calibri"/>
          <w:sz w:val="22"/>
        </w:rPr>
        <w:t>To</w:t>
      </w:r>
      <w:r w:rsidR="003B2555" w:rsidRPr="00986D3A">
        <w:rPr>
          <w:rFonts w:cs="Calibri"/>
          <w:sz w:val="22"/>
        </w:rPr>
        <w:t xml:space="preserve"> adequately assess the potential </w:t>
      </w:r>
      <w:r w:rsidR="003B2555" w:rsidRPr="00AD66EB">
        <w:rPr>
          <w:rFonts w:cs="Calibri"/>
          <w:sz w:val="22"/>
        </w:rPr>
        <w:t xml:space="preserve">impacts that may arise due to upstream/policy-level project </w:t>
      </w:r>
      <w:r w:rsidR="003B2555" w:rsidRPr="00986D3A">
        <w:rPr>
          <w:rFonts w:cs="Calibri"/>
          <w:sz w:val="22"/>
        </w:rPr>
        <w:t xml:space="preserve">interventions and support, a Strategic Environmental and Social Assessment (SESA) will be conducted for this project. </w:t>
      </w:r>
    </w:p>
    <w:p w14:paraId="778F15A3" w14:textId="473E0414" w:rsidR="003B2555" w:rsidRPr="00986D3A" w:rsidRDefault="003B2555" w:rsidP="00420A86">
      <w:pPr>
        <w:spacing w:before="0" w:after="0"/>
        <w:rPr>
          <w:rFonts w:cs="Calibri"/>
          <w:sz w:val="22"/>
        </w:rPr>
      </w:pPr>
    </w:p>
    <w:p w14:paraId="09088060" w14:textId="705522A8" w:rsidR="00D005DC" w:rsidRDefault="003B2555" w:rsidP="00420A86">
      <w:pPr>
        <w:spacing w:before="0" w:after="0"/>
        <w:rPr>
          <w:rFonts w:cs="Calibri"/>
          <w:sz w:val="22"/>
        </w:rPr>
      </w:pPr>
      <w:r w:rsidRPr="00986D3A">
        <w:rPr>
          <w:rFonts w:cs="Calibri"/>
          <w:sz w:val="22"/>
        </w:rPr>
        <w:t xml:space="preserve">The scope </w:t>
      </w:r>
      <w:r w:rsidR="00D005DC" w:rsidRPr="00986D3A">
        <w:rPr>
          <w:rFonts w:cs="Calibri"/>
          <w:sz w:val="22"/>
        </w:rPr>
        <w:t>of</w:t>
      </w:r>
      <w:r w:rsidRPr="00986D3A">
        <w:rPr>
          <w:rFonts w:cs="Calibri"/>
          <w:sz w:val="22"/>
        </w:rPr>
        <w:t xml:space="preserve"> the SESA will include the following key project outputs</w:t>
      </w:r>
      <w:r w:rsidR="00DD3B27" w:rsidRPr="00986D3A">
        <w:rPr>
          <w:rFonts w:cs="Calibri"/>
          <w:sz w:val="22"/>
        </w:rPr>
        <w:t xml:space="preserve">; </w:t>
      </w:r>
      <w:r w:rsidR="00DD3B27" w:rsidRPr="0086490B">
        <w:rPr>
          <w:rFonts w:cs="Calibri"/>
          <w:sz w:val="22"/>
          <w:lang w:eastAsia="ja-JP"/>
        </w:rPr>
        <w:t xml:space="preserve">Outputs 1.1.1, 1.1.2, 2.1.1, 2.1.2, ,2.1.6, 2.2.4, 2.2.5, 3.1.1, and 3.1.2. </w:t>
      </w:r>
    </w:p>
    <w:p w14:paraId="4AA23F29" w14:textId="77777777" w:rsidR="00986D3A" w:rsidRPr="00986D3A" w:rsidRDefault="00986D3A" w:rsidP="00420A86">
      <w:pPr>
        <w:spacing w:before="0" w:after="0"/>
        <w:rPr>
          <w:rFonts w:cs="Calibri"/>
          <w:sz w:val="22"/>
        </w:rPr>
      </w:pPr>
    </w:p>
    <w:p w14:paraId="4F3FBF95" w14:textId="77777777" w:rsidR="00846684" w:rsidRPr="0086490B" w:rsidRDefault="00846684" w:rsidP="00846684">
      <w:pPr>
        <w:rPr>
          <w:sz w:val="22"/>
          <w:lang w:val="en-US"/>
        </w:rPr>
      </w:pPr>
      <w:r w:rsidRPr="0086490B">
        <w:rPr>
          <w:sz w:val="22"/>
          <w:lang w:val="en-US"/>
        </w:rPr>
        <w:t xml:space="preserve">The SESA will be carried out by independent experts in accordance with UNDP’s SES policy and the </w:t>
      </w:r>
      <w:hyperlink r:id="rId21" w:history="1">
        <w:r w:rsidRPr="0086490B">
          <w:rPr>
            <w:rStyle w:val="Hyperlink"/>
            <w:rFonts w:cstheme="minorHAnsi"/>
            <w:sz w:val="22"/>
            <w:lang w:val="en-US"/>
          </w:rPr>
          <w:t>UNDP SES Guidance Note on Assessment and Management</w:t>
        </w:r>
      </w:hyperlink>
      <w:r w:rsidRPr="0086490B">
        <w:rPr>
          <w:rFonts w:cstheme="minorHAnsi"/>
          <w:color w:val="000000"/>
          <w:sz w:val="22"/>
          <w:lang w:val="en-US"/>
        </w:rPr>
        <w:t xml:space="preserve"> </w:t>
      </w:r>
      <w:r w:rsidRPr="0086490B">
        <w:rPr>
          <w:sz w:val="22"/>
          <w:lang w:val="en-US"/>
        </w:rPr>
        <w:t>to identify and assess social and environmental impacts associated with the proposed regulations in a participatory manner with stakeholders as follows:</w:t>
      </w:r>
    </w:p>
    <w:p w14:paraId="5BA59982" w14:textId="77777777" w:rsidR="00846684" w:rsidRPr="0086490B" w:rsidRDefault="00846684" w:rsidP="00846684">
      <w:pPr>
        <w:pStyle w:val="ListParagraph"/>
        <w:numPr>
          <w:ilvl w:val="1"/>
          <w:numId w:val="14"/>
        </w:numPr>
        <w:ind w:left="720"/>
        <w:rPr>
          <w:sz w:val="22"/>
          <w:lang w:val="en-US"/>
        </w:rPr>
      </w:pPr>
      <w:r w:rsidRPr="0086490B">
        <w:rPr>
          <w:sz w:val="22"/>
          <w:lang w:val="en-US"/>
        </w:rPr>
        <w:t>Identify social and environmental priorities to be included in planning and policy processes</w:t>
      </w:r>
    </w:p>
    <w:p w14:paraId="7AFEFD05" w14:textId="77777777" w:rsidR="00846684" w:rsidRPr="0086490B" w:rsidRDefault="00846684" w:rsidP="00846684">
      <w:pPr>
        <w:pStyle w:val="ListParagraph"/>
        <w:numPr>
          <w:ilvl w:val="1"/>
          <w:numId w:val="14"/>
        </w:numPr>
        <w:ind w:left="720"/>
        <w:rPr>
          <w:sz w:val="22"/>
          <w:lang w:val="en-US"/>
        </w:rPr>
      </w:pPr>
      <w:r w:rsidRPr="0086490B">
        <w:rPr>
          <w:sz w:val="22"/>
          <w:lang w:val="en-US"/>
        </w:rPr>
        <w:t>Assess gaps in the institutional, policy, and legal frameworks to address these priorities</w:t>
      </w:r>
    </w:p>
    <w:p w14:paraId="233D9F21" w14:textId="77777777" w:rsidR="00846684" w:rsidRPr="0086490B" w:rsidRDefault="00846684" w:rsidP="00846684">
      <w:pPr>
        <w:pStyle w:val="ListParagraph"/>
        <w:numPr>
          <w:ilvl w:val="1"/>
          <w:numId w:val="14"/>
        </w:numPr>
        <w:ind w:left="720"/>
        <w:rPr>
          <w:sz w:val="22"/>
          <w:lang w:val="en-US"/>
        </w:rPr>
      </w:pPr>
      <w:r w:rsidRPr="0086490B">
        <w:rPr>
          <w:sz w:val="22"/>
          <w:lang w:val="en-US"/>
        </w:rPr>
        <w:t>Identify potential adverse social and environmental impacts associated with policy options</w:t>
      </w:r>
    </w:p>
    <w:p w14:paraId="0E0E87A3" w14:textId="77777777" w:rsidR="00846684" w:rsidRPr="0086490B" w:rsidRDefault="00846684" w:rsidP="00846684">
      <w:pPr>
        <w:pStyle w:val="ListParagraph"/>
        <w:numPr>
          <w:ilvl w:val="1"/>
          <w:numId w:val="14"/>
        </w:numPr>
        <w:ind w:left="720"/>
        <w:rPr>
          <w:sz w:val="22"/>
          <w:lang w:val="en-US"/>
        </w:rPr>
      </w:pPr>
      <w:r w:rsidRPr="0086490B">
        <w:rPr>
          <w:sz w:val="22"/>
          <w:lang w:val="en-US"/>
        </w:rPr>
        <w:t>Engage decision makers and stakeholders to ensure a common understanding and broad support for implementation</w:t>
      </w:r>
    </w:p>
    <w:p w14:paraId="5E76391A" w14:textId="77777777" w:rsidR="00846684" w:rsidRPr="0086490B" w:rsidRDefault="00846684" w:rsidP="00846684">
      <w:pPr>
        <w:pStyle w:val="ListParagraph"/>
        <w:numPr>
          <w:ilvl w:val="1"/>
          <w:numId w:val="14"/>
        </w:numPr>
        <w:ind w:left="720"/>
        <w:rPr>
          <w:sz w:val="22"/>
          <w:lang w:val="en-US"/>
        </w:rPr>
      </w:pPr>
      <w:r w:rsidRPr="0086490B">
        <w:rPr>
          <w:sz w:val="22"/>
          <w:lang w:val="en-US"/>
        </w:rPr>
        <w:t xml:space="preserve">Formulate policy and institutional measures needed to close policy and legal gaps, address institutional weaknesses, and avoid adverse social and environmental impacts. </w:t>
      </w:r>
    </w:p>
    <w:p w14:paraId="78797FD2" w14:textId="30F72A03" w:rsidR="00846684" w:rsidRPr="0086490B" w:rsidRDefault="00846684" w:rsidP="00846684">
      <w:pPr>
        <w:rPr>
          <w:sz w:val="22"/>
          <w:lang w:val="en-US"/>
        </w:rPr>
      </w:pPr>
      <w:r w:rsidRPr="0086490B">
        <w:rPr>
          <w:rFonts w:cstheme="minorHAnsi"/>
          <w:color w:val="000000"/>
          <w:sz w:val="22"/>
        </w:rPr>
        <w:t>The SESA process will ensure that impacts to local communities, their livelihoods, rights, resources</w:t>
      </w:r>
      <w:r w:rsidR="00E56659">
        <w:rPr>
          <w:rFonts w:cstheme="minorHAnsi"/>
          <w:color w:val="000000"/>
          <w:sz w:val="22"/>
        </w:rPr>
        <w:t>,</w:t>
      </w:r>
      <w:r w:rsidRPr="0086490B">
        <w:rPr>
          <w:rFonts w:cstheme="minorHAnsi"/>
          <w:color w:val="000000"/>
          <w:sz w:val="22"/>
        </w:rPr>
        <w:t xml:space="preserve"> and the biophysical receptor environment are taken into consideration in the decision-making process while developing legislative tools and strategies. </w:t>
      </w:r>
      <w:r w:rsidRPr="0086490B">
        <w:rPr>
          <w:sz w:val="22"/>
          <w:lang w:val="en-US"/>
        </w:rPr>
        <w:t>Any institutional and capacity gaps identified during this process will be addressed through the training that will be conducted for the specified activities.</w:t>
      </w:r>
    </w:p>
    <w:p w14:paraId="68299246" w14:textId="3DED1DA9" w:rsidR="00846684" w:rsidRPr="0086490B" w:rsidRDefault="00846684" w:rsidP="00846684">
      <w:pPr>
        <w:rPr>
          <w:sz w:val="22"/>
          <w:lang w:val="en-US"/>
        </w:rPr>
      </w:pPr>
      <w:r w:rsidRPr="0086490B">
        <w:rPr>
          <w:rFonts w:cstheme="minorHAnsi"/>
          <w:color w:val="000000"/>
          <w:sz w:val="22"/>
        </w:rPr>
        <w:t xml:space="preserve">The SESA will be comprised of a concise report that summarizes the main findings and results of SESA, including (a) SESA stakeholder engagement process; (b) key social and environmental priorities and issues associated with chosen policy/strategy initiative; (c) institutional arrangements for coordinating integration of social and environmental issues into chosen policy/strategy initiative; (d) legal, regulatory, policy, institutional and capacity recommendations to address any identified gaps for managing the social and environmental priorities and implementing applicable social and environmental policies; (e) results of assessment of social and environmental risks/impacts associated with the implementation of the proposed regulations; (f) identification of measures (e.g. policies, institutional strengthening, governance reform) to address and manage anticipated adverse social and environmental risks and impacts, including a summary Action Matrix. </w:t>
      </w:r>
    </w:p>
    <w:p w14:paraId="0C91C503" w14:textId="77777777" w:rsidR="00846684" w:rsidRPr="0086490B" w:rsidRDefault="00846684" w:rsidP="00420A86">
      <w:pPr>
        <w:spacing w:before="0" w:after="0"/>
        <w:rPr>
          <w:rFonts w:cs="Calibri"/>
          <w:sz w:val="22"/>
          <w:lang w:val="en-US"/>
        </w:rPr>
      </w:pPr>
    </w:p>
    <w:p w14:paraId="19E6E7F6" w14:textId="77777777" w:rsidR="00DE2579" w:rsidRDefault="00DE2579" w:rsidP="00DE2579">
      <w:pPr>
        <w:pStyle w:val="Heading2"/>
        <w:ind w:left="567" w:hanging="567"/>
      </w:pPr>
      <w:bookmarkStart w:id="34" w:name="_Toc35030079"/>
      <w:bookmarkStart w:id="35" w:name="_Toc86064160"/>
      <w:bookmarkStart w:id="36" w:name="_Toc37923880"/>
      <w:r>
        <w:lastRenderedPageBreak/>
        <w:t>Management</w:t>
      </w:r>
      <w:bookmarkEnd w:id="34"/>
      <w:bookmarkEnd w:id="35"/>
      <w:r>
        <w:t xml:space="preserve">  </w:t>
      </w:r>
      <w:bookmarkEnd w:id="36"/>
    </w:p>
    <w:p w14:paraId="20DBCCD7" w14:textId="7DFEFF44" w:rsidR="00226426" w:rsidRDefault="00226426" w:rsidP="0086490B">
      <w:pPr>
        <w:pStyle w:val="Heading3"/>
      </w:pPr>
      <w:r w:rsidRPr="0086490B">
        <w:t xml:space="preserve">Environmental and Social Management Plans </w:t>
      </w:r>
    </w:p>
    <w:p w14:paraId="513F21C2" w14:textId="77777777" w:rsidR="00A867EF" w:rsidRPr="0086490B" w:rsidRDefault="00A867EF" w:rsidP="00D02F68">
      <w:pPr>
        <w:spacing w:before="0" w:after="0"/>
        <w:rPr>
          <w:b/>
          <w:bCs/>
          <w:color w:val="211D1E"/>
          <w:sz w:val="22"/>
        </w:rPr>
      </w:pPr>
    </w:p>
    <w:p w14:paraId="1C6C138C" w14:textId="56DABEEF" w:rsidR="00DE2579" w:rsidRPr="009A77E2" w:rsidRDefault="00DE2579" w:rsidP="00D02F68">
      <w:pPr>
        <w:spacing w:before="0" w:after="0"/>
        <w:rPr>
          <w:color w:val="211D1E"/>
          <w:sz w:val="22"/>
        </w:rPr>
      </w:pPr>
      <w:r w:rsidRPr="009A77E2">
        <w:rPr>
          <w:color w:val="211D1E"/>
          <w:sz w:val="22"/>
        </w:rPr>
        <w:t xml:space="preserve">The </w:t>
      </w:r>
      <w:r w:rsidR="00D02F68" w:rsidRPr="009A77E2">
        <w:rPr>
          <w:color w:val="211D1E"/>
          <w:sz w:val="22"/>
        </w:rPr>
        <w:t xml:space="preserve">High-Risk </w:t>
      </w:r>
      <w:proofErr w:type="spellStart"/>
      <w:r w:rsidR="00D02F68" w:rsidRPr="009A77E2">
        <w:rPr>
          <w:rFonts w:cs="Calibri"/>
          <w:sz w:val="22"/>
        </w:rPr>
        <w:t>PhosChemEE</w:t>
      </w:r>
      <w:proofErr w:type="spellEnd"/>
      <w:r w:rsidR="00D02F68" w:rsidRPr="009A77E2">
        <w:rPr>
          <w:color w:val="211D1E"/>
          <w:sz w:val="22"/>
        </w:rPr>
        <w:t xml:space="preserve"> </w:t>
      </w:r>
      <w:r w:rsidRPr="009A77E2">
        <w:rPr>
          <w:color w:val="211D1E"/>
          <w:sz w:val="22"/>
        </w:rPr>
        <w:t xml:space="preserve">Project will create </w:t>
      </w:r>
      <w:r w:rsidR="00D02F68" w:rsidRPr="009A77E2">
        <w:rPr>
          <w:color w:val="211D1E"/>
          <w:sz w:val="22"/>
        </w:rPr>
        <w:t>the</w:t>
      </w:r>
      <w:r w:rsidRPr="009A77E2">
        <w:rPr>
          <w:color w:val="211D1E"/>
          <w:sz w:val="22"/>
        </w:rPr>
        <w:t xml:space="preserve"> Environmental and Social Management Plan</w:t>
      </w:r>
      <w:r w:rsidR="00D02F68" w:rsidRPr="009A77E2">
        <w:rPr>
          <w:color w:val="211D1E"/>
          <w:sz w:val="22"/>
        </w:rPr>
        <w:t>s</w:t>
      </w:r>
      <w:r w:rsidR="0080572F">
        <w:rPr>
          <w:color w:val="211D1E"/>
          <w:sz w:val="22"/>
        </w:rPr>
        <w:t xml:space="preserve"> (this has initially been identified to cover the impacts associated with the demo sites, which will be further understood after the conduct of the ESIAs as outlined in Section 3.2.1)</w:t>
      </w:r>
      <w:r w:rsidRPr="009A77E2">
        <w:rPr>
          <w:color w:val="211D1E"/>
          <w:sz w:val="22"/>
        </w:rPr>
        <w:t xml:space="preserve">, which will be informed by the SESP (overall and site-specific), assessment reports, and other management plans including the Gender Action Plan. </w:t>
      </w:r>
      <w:r w:rsidR="00D02F68" w:rsidRPr="009A77E2">
        <w:rPr>
          <w:color w:val="211D1E"/>
          <w:sz w:val="22"/>
        </w:rPr>
        <w:t xml:space="preserve">The ESMPs will provide a set of avoidance, mitigation, monitoring and institutional measures – as well as actions needed to implement these measures – to achieve the desired social and environmental sustainability outcomes. Complementing what has already been identified in the </w:t>
      </w:r>
      <w:proofErr w:type="spellStart"/>
      <w:r w:rsidR="00D02F68" w:rsidRPr="009A77E2">
        <w:rPr>
          <w:color w:val="211D1E"/>
          <w:sz w:val="22"/>
        </w:rPr>
        <w:t>ProDocs</w:t>
      </w:r>
      <w:proofErr w:type="spellEnd"/>
      <w:r w:rsidR="00D02F68" w:rsidRPr="009A77E2">
        <w:rPr>
          <w:color w:val="211D1E"/>
          <w:sz w:val="22"/>
        </w:rPr>
        <w:t xml:space="preserve">, the ESMP will further identify project activities that cannot take place until the relevant mitigation measures are approved and put in place. The measures will be adopted and integrated into the project activities, </w:t>
      </w:r>
      <w:proofErr w:type="gramStart"/>
      <w:r w:rsidR="00D02F68" w:rsidRPr="009A77E2">
        <w:rPr>
          <w:color w:val="211D1E"/>
          <w:sz w:val="22"/>
        </w:rPr>
        <w:t>monitoring</w:t>
      </w:r>
      <w:proofErr w:type="gramEnd"/>
      <w:r w:rsidR="00D02F68" w:rsidRPr="009A77E2">
        <w:rPr>
          <w:color w:val="211D1E"/>
          <w:sz w:val="22"/>
        </w:rPr>
        <w:t xml:space="preserve"> and reporting framework and budget, and captured in a revised SESP for each project.</w:t>
      </w:r>
    </w:p>
    <w:p w14:paraId="79369CC0" w14:textId="6127D302" w:rsidR="00DE2579" w:rsidRDefault="00DE2579" w:rsidP="00DE2579">
      <w:pPr>
        <w:rPr>
          <w:sz w:val="22"/>
        </w:rPr>
      </w:pPr>
      <w:r w:rsidRPr="009A77E2">
        <w:rPr>
          <w:sz w:val="22"/>
        </w:rPr>
        <w:t>In addition, ESMP</w:t>
      </w:r>
      <w:r w:rsidR="00D02F68" w:rsidRPr="009A77E2">
        <w:rPr>
          <w:sz w:val="22"/>
        </w:rPr>
        <w:t>s are</w:t>
      </w:r>
      <w:r w:rsidRPr="009A77E2">
        <w:rPr>
          <w:sz w:val="22"/>
        </w:rPr>
        <w:t xml:space="preserve"> dynamic, and will require amending as new project activities are identified, screened, </w:t>
      </w:r>
      <w:r w:rsidR="00E56659" w:rsidRPr="009A77E2">
        <w:rPr>
          <w:sz w:val="22"/>
        </w:rPr>
        <w:t>assessed,</w:t>
      </w:r>
      <w:r w:rsidRPr="009A77E2">
        <w:rPr>
          <w:sz w:val="22"/>
        </w:rPr>
        <w:t xml:space="preserve"> and implemented.</w:t>
      </w:r>
      <w:r w:rsidR="00D02F68" w:rsidRPr="009A77E2">
        <w:rPr>
          <w:sz w:val="22"/>
        </w:rPr>
        <w:t xml:space="preserve"> </w:t>
      </w:r>
      <w:r w:rsidRPr="009A77E2">
        <w:rPr>
          <w:sz w:val="22"/>
        </w:rPr>
        <w:t xml:space="preserve">Additional required mitigation and impact management measures must be integrated into management plans, and in some cases may require, or benefit from, input from the Project Gender Specialist. </w:t>
      </w:r>
      <w:r w:rsidR="0080572F">
        <w:rPr>
          <w:sz w:val="22"/>
        </w:rPr>
        <w:t xml:space="preserve">An annotated outlined for the ESMP that are to be produced for this project is included as Annex III to this document. </w:t>
      </w:r>
    </w:p>
    <w:p w14:paraId="0AFAE456" w14:textId="56167069" w:rsidR="00226426" w:rsidRDefault="00226426" w:rsidP="00DE2579">
      <w:pPr>
        <w:rPr>
          <w:sz w:val="22"/>
        </w:rPr>
      </w:pPr>
    </w:p>
    <w:p w14:paraId="35E35CB0" w14:textId="6EA254CC" w:rsidR="00226426" w:rsidRPr="0086490B" w:rsidRDefault="00226426" w:rsidP="00DE2579">
      <w:pPr>
        <w:rPr>
          <w:b/>
          <w:bCs/>
          <w:sz w:val="22"/>
        </w:rPr>
      </w:pPr>
      <w:r w:rsidRPr="0086490B">
        <w:rPr>
          <w:b/>
          <w:bCs/>
          <w:sz w:val="22"/>
        </w:rPr>
        <w:t xml:space="preserve">3.3.2 Labour Management </w:t>
      </w:r>
      <w:r w:rsidR="00A867EF" w:rsidRPr="0086490B">
        <w:rPr>
          <w:b/>
          <w:bCs/>
          <w:sz w:val="22"/>
        </w:rPr>
        <w:t>P</w:t>
      </w:r>
      <w:r w:rsidRPr="0086490B">
        <w:rPr>
          <w:b/>
          <w:bCs/>
          <w:sz w:val="22"/>
        </w:rPr>
        <w:t xml:space="preserve">rocedure </w:t>
      </w:r>
    </w:p>
    <w:p w14:paraId="7F7E0815" w14:textId="2ECDA2BE" w:rsidR="0080572F" w:rsidRPr="00986D3A" w:rsidRDefault="00226426" w:rsidP="00DE2579">
      <w:pPr>
        <w:rPr>
          <w:sz w:val="22"/>
        </w:rPr>
      </w:pPr>
      <w:r w:rsidRPr="00986D3A">
        <w:rPr>
          <w:sz w:val="22"/>
        </w:rPr>
        <w:t>In addition to the</w:t>
      </w:r>
      <w:r w:rsidRPr="00AD66EB">
        <w:rPr>
          <w:sz w:val="22"/>
        </w:rPr>
        <w:t xml:space="preserve"> </w:t>
      </w:r>
      <w:r w:rsidRPr="002B791E">
        <w:rPr>
          <w:sz w:val="22"/>
        </w:rPr>
        <w:t xml:space="preserve">ESMP that are </w:t>
      </w:r>
      <w:r w:rsidRPr="00815660">
        <w:rPr>
          <w:sz w:val="22"/>
        </w:rPr>
        <w:t xml:space="preserve">to be produced for the </w:t>
      </w:r>
      <w:proofErr w:type="spellStart"/>
      <w:r w:rsidRPr="00815660">
        <w:rPr>
          <w:sz w:val="22"/>
        </w:rPr>
        <w:t>Ph</w:t>
      </w:r>
      <w:r w:rsidRPr="00A37134">
        <w:rPr>
          <w:sz w:val="22"/>
        </w:rPr>
        <w:t>o</w:t>
      </w:r>
      <w:r w:rsidR="00040A9A" w:rsidRPr="00A867EF">
        <w:rPr>
          <w:sz w:val="22"/>
        </w:rPr>
        <w:t>s</w:t>
      </w:r>
      <w:r w:rsidRPr="00A867EF">
        <w:rPr>
          <w:sz w:val="22"/>
        </w:rPr>
        <w:t>chemEE</w:t>
      </w:r>
      <w:proofErr w:type="spellEnd"/>
      <w:r w:rsidRPr="00A867EF">
        <w:rPr>
          <w:sz w:val="22"/>
        </w:rPr>
        <w:t xml:space="preserve"> project, </w:t>
      </w:r>
      <w:r w:rsidR="00040A9A" w:rsidRPr="00A867EF">
        <w:rPr>
          <w:sz w:val="22"/>
        </w:rPr>
        <w:t>targeted</w:t>
      </w:r>
      <w:r w:rsidRPr="00E11FD3">
        <w:rPr>
          <w:sz w:val="22"/>
        </w:rPr>
        <w:t xml:space="preserve"> management </w:t>
      </w:r>
      <w:r w:rsidRPr="00986D3A">
        <w:rPr>
          <w:sz w:val="22"/>
        </w:rPr>
        <w:t xml:space="preserve">plans </w:t>
      </w:r>
      <w:r w:rsidR="00040A9A" w:rsidRPr="00986D3A">
        <w:rPr>
          <w:sz w:val="22"/>
        </w:rPr>
        <w:t>will</w:t>
      </w:r>
      <w:r w:rsidRPr="00986D3A">
        <w:rPr>
          <w:sz w:val="22"/>
        </w:rPr>
        <w:t xml:space="preserve"> be </w:t>
      </w:r>
      <w:r w:rsidR="00040A9A" w:rsidRPr="00986D3A">
        <w:rPr>
          <w:sz w:val="22"/>
        </w:rPr>
        <w:t>required</w:t>
      </w:r>
      <w:r w:rsidRPr="00986D3A">
        <w:rPr>
          <w:sz w:val="22"/>
        </w:rPr>
        <w:t xml:space="preserve"> to address residual</w:t>
      </w:r>
      <w:r w:rsidR="00040A9A" w:rsidRPr="00986D3A">
        <w:rPr>
          <w:sz w:val="22"/>
        </w:rPr>
        <w:t xml:space="preserve"> SES3 and SES 7 impacts. </w:t>
      </w:r>
    </w:p>
    <w:p w14:paraId="2310994D" w14:textId="4BEB1CC9" w:rsidR="00986D3A" w:rsidRPr="0086490B" w:rsidRDefault="00986D3A" w:rsidP="00986D3A">
      <w:pPr>
        <w:rPr>
          <w:rFonts w:eastAsia="Times New Roman" w:cs="Arial"/>
          <w:sz w:val="22"/>
          <w:lang w:eastAsia="ja-JP"/>
        </w:rPr>
      </w:pPr>
      <w:r>
        <w:rPr>
          <w:rFonts w:eastAsia="Times New Roman" w:cs="Arial"/>
          <w:sz w:val="22"/>
          <w:lang w:eastAsia="ja-JP"/>
        </w:rPr>
        <w:t>As outlined earlier (see section 3.2.1), s</w:t>
      </w:r>
      <w:r w:rsidRPr="0086490B">
        <w:rPr>
          <w:rFonts w:eastAsia="Times New Roman" w:cs="Arial"/>
          <w:sz w:val="22"/>
          <w:lang w:eastAsia="ja-JP"/>
        </w:rPr>
        <w:t>ite-specific environmental and social assessments will be conducted for each demo to identify the critical health and safety risks. Where public access is available,</w:t>
      </w:r>
      <w:r w:rsidRPr="0086490B">
        <w:rPr>
          <w:sz w:val="22"/>
        </w:rPr>
        <w:t xml:space="preserve"> </w:t>
      </w:r>
      <w:r w:rsidRPr="0086490B">
        <w:rPr>
          <w:rFonts w:eastAsia="Times New Roman" w:cs="Arial"/>
          <w:sz w:val="22"/>
          <w:lang w:eastAsia="ja-JP"/>
        </w:rPr>
        <w:t xml:space="preserve">appropriate engineering and administrative controls (e.g., detours, traffic calming, signs) will be considered and implemented in advance during the </w:t>
      </w:r>
      <w:r w:rsidRPr="0086490B">
        <w:rPr>
          <w:rFonts w:cs="Calibri"/>
          <w:sz w:val="22"/>
          <w:lang w:eastAsia="ja-JP"/>
        </w:rPr>
        <w:t>construction and operation of demos</w:t>
      </w:r>
      <w:r w:rsidRPr="0086490B">
        <w:rPr>
          <w:rFonts w:eastAsia="Times New Roman" w:cs="Arial"/>
          <w:sz w:val="22"/>
          <w:lang w:eastAsia="ja-JP"/>
        </w:rPr>
        <w:t xml:space="preserve">. </w:t>
      </w:r>
    </w:p>
    <w:p w14:paraId="7CF16C32" w14:textId="592F1F45" w:rsidR="00986D3A" w:rsidRPr="0086490B" w:rsidRDefault="00986D3A" w:rsidP="00986D3A">
      <w:pPr>
        <w:rPr>
          <w:rFonts w:eastAsia="Times New Roman" w:cs="Arial"/>
          <w:sz w:val="22"/>
          <w:lang w:eastAsia="ja-JP"/>
        </w:rPr>
      </w:pPr>
      <w:r w:rsidRPr="0086490B">
        <w:rPr>
          <w:rFonts w:eastAsia="Times New Roman" w:cs="Arial"/>
          <w:sz w:val="22"/>
          <w:lang w:eastAsia="ja-JP"/>
        </w:rPr>
        <w:t>All contractors (</w:t>
      </w:r>
      <w:proofErr w:type="gramStart"/>
      <w:r w:rsidR="00E56659" w:rsidRPr="0086490B">
        <w:rPr>
          <w:rFonts w:eastAsia="Times New Roman" w:cs="Arial"/>
          <w:sz w:val="22"/>
          <w:lang w:eastAsia="ja-JP"/>
        </w:rPr>
        <w:t>i.e.</w:t>
      </w:r>
      <w:proofErr w:type="gramEnd"/>
      <w:r w:rsidRPr="0086490B">
        <w:rPr>
          <w:rFonts w:eastAsia="Times New Roman" w:cs="Arial"/>
          <w:sz w:val="22"/>
          <w:lang w:eastAsia="ja-JP"/>
        </w:rPr>
        <w:t xml:space="preserve"> undertaken engineering and infrastructure works as part of the project) will be required to develop, submit and adhere to a Labour Management Plan that meets the requirements of both UNDP SES 7 and relevant national/host country law and regulation. </w:t>
      </w:r>
    </w:p>
    <w:p w14:paraId="262C8E3C" w14:textId="4BBC74FC" w:rsidR="00986D3A" w:rsidRDefault="00986D3A" w:rsidP="00986D3A">
      <w:pPr>
        <w:rPr>
          <w:rFonts w:eastAsia="等线" w:cs="Arial"/>
          <w:sz w:val="22"/>
          <w:lang w:eastAsia="zh-CN"/>
        </w:rPr>
      </w:pPr>
      <w:r w:rsidRPr="0086490B">
        <w:rPr>
          <w:rFonts w:eastAsia="Times New Roman" w:cs="Calibri"/>
          <w:sz w:val="22"/>
          <w:lang w:eastAsia="ja-JP"/>
        </w:rPr>
        <w:t>A</w:t>
      </w:r>
      <w:r w:rsidRPr="0086490B">
        <w:rPr>
          <w:rFonts w:eastAsia="Yu Mincho" w:cs="Arial"/>
          <w:sz w:val="22"/>
          <w:lang w:eastAsia="ja-JP"/>
        </w:rPr>
        <w:t xml:space="preserve">ppropriate training will be provided to workers to ensure that they install and operate the installed system correctly and safely, and properly control and manage the release or disposal of waste. </w:t>
      </w:r>
      <w:r w:rsidRPr="0086490B">
        <w:rPr>
          <w:rFonts w:eastAsia="Times New Roman" w:cs="Calibri"/>
          <w:sz w:val="22"/>
          <w:lang w:eastAsia="ja-JP"/>
        </w:rPr>
        <w:t xml:space="preserve">Training will also be provided to local governments </w:t>
      </w:r>
      <w:r w:rsidR="00E56659" w:rsidRPr="0086490B">
        <w:rPr>
          <w:rFonts w:eastAsia="Times New Roman" w:cs="Calibri"/>
          <w:sz w:val="22"/>
          <w:lang w:eastAsia="ja-JP"/>
        </w:rPr>
        <w:t>to</w:t>
      </w:r>
      <w:r w:rsidRPr="0086490B">
        <w:rPr>
          <w:rFonts w:eastAsia="Times New Roman" w:cs="Calibri"/>
          <w:sz w:val="22"/>
          <w:lang w:eastAsia="ja-JP"/>
        </w:rPr>
        <w:t xml:space="preserve"> enhance their regulation capacity to control </w:t>
      </w:r>
      <w:r w:rsidRPr="0086490B">
        <w:rPr>
          <w:rFonts w:cs="Calibri"/>
          <w:sz w:val="22"/>
          <w:lang w:eastAsia="ja-JP"/>
        </w:rPr>
        <w:t>potential risks in the demonstration.</w:t>
      </w:r>
      <w:r w:rsidRPr="0086490B">
        <w:rPr>
          <w:rFonts w:eastAsia="Yu Mincho" w:cs="Arial"/>
          <w:sz w:val="22"/>
          <w:lang w:eastAsia="ja-JP"/>
        </w:rPr>
        <w:t xml:space="preserve"> </w:t>
      </w:r>
      <w:r w:rsidRPr="0086490B">
        <w:rPr>
          <w:rFonts w:eastAsia="Times New Roman" w:cs="Arial"/>
          <w:sz w:val="22"/>
          <w:lang w:eastAsia="ja-JP"/>
        </w:rPr>
        <w:t xml:space="preserve">This will minimize or avoid any community health risks and safety issues for the communities regarding construction work involved in the installation of the demos, and the minimization and management of waste generated from these demos </w:t>
      </w:r>
      <w:r w:rsidRPr="0086490B">
        <w:rPr>
          <w:rFonts w:cs="Calibri"/>
          <w:sz w:val="22"/>
          <w:lang w:eastAsia="ja-JP"/>
        </w:rPr>
        <w:t xml:space="preserve">(e.g., explosives, </w:t>
      </w:r>
      <w:proofErr w:type="gramStart"/>
      <w:r w:rsidRPr="0086490B">
        <w:rPr>
          <w:rFonts w:cs="Calibri"/>
          <w:sz w:val="22"/>
          <w:lang w:eastAsia="ja-JP"/>
        </w:rPr>
        <w:t>fuel</w:t>
      </w:r>
      <w:proofErr w:type="gramEnd"/>
      <w:r w:rsidRPr="0086490B">
        <w:rPr>
          <w:rFonts w:cs="Calibri"/>
          <w:sz w:val="22"/>
          <w:lang w:eastAsia="ja-JP"/>
        </w:rPr>
        <w:t xml:space="preserve"> and other chemicals)</w:t>
      </w:r>
      <w:r w:rsidRPr="0086490B">
        <w:rPr>
          <w:rFonts w:eastAsia="Times New Roman" w:cs="Arial"/>
          <w:sz w:val="22"/>
          <w:lang w:eastAsia="ja-JP"/>
        </w:rPr>
        <w:t xml:space="preserve">. </w:t>
      </w:r>
      <w:r w:rsidRPr="0086490B">
        <w:rPr>
          <w:rFonts w:eastAsia="等线" w:cs="Arial"/>
          <w:sz w:val="22"/>
          <w:lang w:eastAsia="zh-CN"/>
        </w:rPr>
        <w:t xml:space="preserve"> </w:t>
      </w:r>
    </w:p>
    <w:p w14:paraId="42FABBBC" w14:textId="43A31FCD" w:rsidR="00986D3A" w:rsidRPr="00986D3A" w:rsidRDefault="00986D3A" w:rsidP="00986D3A">
      <w:pPr>
        <w:rPr>
          <w:sz w:val="22"/>
        </w:rPr>
      </w:pPr>
      <w:r>
        <w:rPr>
          <w:rFonts w:eastAsia="等线" w:cs="Arial"/>
          <w:sz w:val="22"/>
          <w:lang w:eastAsia="zh-CN"/>
        </w:rPr>
        <w:t xml:space="preserve">An annotated outlined for the Labour Management procures that are to be developed and followed by contractors for the project has been included in this document as Annex I. </w:t>
      </w:r>
    </w:p>
    <w:p w14:paraId="2BD7FDAB" w14:textId="77777777" w:rsidR="00A84577" w:rsidRPr="00420A86" w:rsidRDefault="00A84577" w:rsidP="00F52D98"/>
    <w:p w14:paraId="182B552D" w14:textId="77777777" w:rsidR="004C1158" w:rsidRPr="00420A86" w:rsidRDefault="004C1158" w:rsidP="00420A86">
      <w:pPr>
        <w:pStyle w:val="Heading1"/>
        <w:spacing w:before="0" w:after="0"/>
        <w:rPr>
          <w:rFonts w:cs="Calibri"/>
          <w:color w:val="002060"/>
          <w:sz w:val="22"/>
          <w:szCs w:val="22"/>
        </w:rPr>
      </w:pPr>
      <w:bookmarkStart w:id="37" w:name="_Toc86064161"/>
      <w:r w:rsidRPr="00420A86">
        <w:rPr>
          <w:rFonts w:cs="Calibri"/>
          <w:color w:val="002060"/>
          <w:sz w:val="22"/>
          <w:szCs w:val="22"/>
        </w:rPr>
        <w:t xml:space="preserve">Institutional </w:t>
      </w:r>
      <w:r w:rsidR="00EB1A4D">
        <w:rPr>
          <w:rFonts w:cs="Calibri"/>
          <w:color w:val="002060"/>
          <w:sz w:val="22"/>
          <w:szCs w:val="22"/>
        </w:rPr>
        <w:t>A</w:t>
      </w:r>
      <w:r w:rsidRPr="00420A86">
        <w:rPr>
          <w:rFonts w:cs="Calibri"/>
          <w:color w:val="002060"/>
          <w:sz w:val="22"/>
          <w:szCs w:val="22"/>
        </w:rPr>
        <w:t xml:space="preserve">rrangements and </w:t>
      </w:r>
      <w:r w:rsidR="00EB1A4D">
        <w:rPr>
          <w:rFonts w:cs="Calibri"/>
          <w:color w:val="002060"/>
          <w:sz w:val="22"/>
          <w:szCs w:val="22"/>
        </w:rPr>
        <w:t>C</w:t>
      </w:r>
      <w:r w:rsidRPr="00420A86">
        <w:rPr>
          <w:rFonts w:cs="Calibri"/>
          <w:color w:val="002060"/>
          <w:sz w:val="22"/>
          <w:szCs w:val="22"/>
        </w:rPr>
        <w:t xml:space="preserve">apacity </w:t>
      </w:r>
      <w:r w:rsidR="00EB1A4D">
        <w:rPr>
          <w:rFonts w:cs="Calibri"/>
          <w:color w:val="002060"/>
          <w:sz w:val="22"/>
          <w:szCs w:val="22"/>
        </w:rPr>
        <w:t>B</w:t>
      </w:r>
      <w:r w:rsidRPr="00420A86">
        <w:rPr>
          <w:rFonts w:cs="Calibri"/>
          <w:color w:val="002060"/>
          <w:sz w:val="22"/>
          <w:szCs w:val="22"/>
        </w:rPr>
        <w:t>uilding</w:t>
      </w:r>
      <w:bookmarkEnd w:id="37"/>
    </w:p>
    <w:p w14:paraId="516F60D6" w14:textId="77777777" w:rsidR="00A84577" w:rsidRPr="00420A86" w:rsidRDefault="00A84577" w:rsidP="00F52D98"/>
    <w:p w14:paraId="38E2C224" w14:textId="77777777" w:rsidR="001D5258" w:rsidRPr="00420A86" w:rsidRDefault="001D5258" w:rsidP="00420A86">
      <w:pPr>
        <w:pStyle w:val="Heading2"/>
        <w:spacing w:before="0" w:after="0"/>
        <w:ind w:left="576"/>
        <w:rPr>
          <w:rFonts w:cs="Calibri"/>
          <w:sz w:val="22"/>
          <w:szCs w:val="22"/>
        </w:rPr>
      </w:pPr>
      <w:bookmarkStart w:id="38" w:name="_Toc86064162"/>
      <w:r w:rsidRPr="00420A86">
        <w:rPr>
          <w:rFonts w:cs="Calibri"/>
          <w:sz w:val="22"/>
          <w:szCs w:val="22"/>
        </w:rPr>
        <w:t xml:space="preserve">Roles and </w:t>
      </w:r>
      <w:r w:rsidR="00EB1A4D">
        <w:rPr>
          <w:rFonts w:cs="Calibri"/>
          <w:sz w:val="22"/>
          <w:szCs w:val="22"/>
        </w:rPr>
        <w:t>R</w:t>
      </w:r>
      <w:r w:rsidRPr="00420A86">
        <w:rPr>
          <w:rFonts w:cs="Calibri"/>
          <w:sz w:val="22"/>
          <w:szCs w:val="22"/>
        </w:rPr>
        <w:t xml:space="preserve">esponsibilities for </w:t>
      </w:r>
      <w:r w:rsidR="00EB1A4D">
        <w:rPr>
          <w:rFonts w:cs="Calibri"/>
          <w:sz w:val="22"/>
          <w:szCs w:val="22"/>
        </w:rPr>
        <w:t>I</w:t>
      </w:r>
      <w:r w:rsidRPr="00420A86">
        <w:rPr>
          <w:rFonts w:cs="Calibri"/>
          <w:sz w:val="22"/>
          <w:szCs w:val="22"/>
        </w:rPr>
        <w:t xml:space="preserve">mplementing this </w:t>
      </w:r>
      <w:r w:rsidR="00296E36" w:rsidRPr="00420A86">
        <w:rPr>
          <w:rFonts w:cs="Calibri"/>
          <w:sz w:val="22"/>
          <w:szCs w:val="22"/>
        </w:rPr>
        <w:t>ESMF.</w:t>
      </w:r>
      <w:bookmarkEnd w:id="38"/>
    </w:p>
    <w:p w14:paraId="6E3EB518" w14:textId="77777777" w:rsidR="00A84577" w:rsidRPr="00420A86" w:rsidRDefault="00A84577" w:rsidP="00420A86">
      <w:pPr>
        <w:autoSpaceDE w:val="0"/>
        <w:autoSpaceDN w:val="0"/>
        <w:adjustRightInd w:val="0"/>
        <w:spacing w:before="0" w:after="0"/>
        <w:rPr>
          <w:rFonts w:cs="Calibri"/>
          <w:color w:val="000000"/>
          <w:sz w:val="22"/>
        </w:rPr>
      </w:pPr>
    </w:p>
    <w:p w14:paraId="76B647A3" w14:textId="77777777" w:rsidR="00F3799C" w:rsidRPr="00420A86" w:rsidRDefault="00F3799C" w:rsidP="00420A86">
      <w:pPr>
        <w:autoSpaceDE w:val="0"/>
        <w:autoSpaceDN w:val="0"/>
        <w:adjustRightInd w:val="0"/>
        <w:spacing w:before="0" w:after="0"/>
        <w:rPr>
          <w:rFonts w:cs="Calibri"/>
          <w:color w:val="000000"/>
          <w:sz w:val="22"/>
        </w:rPr>
      </w:pPr>
      <w:r w:rsidRPr="00420A86">
        <w:rPr>
          <w:rFonts w:cs="Calibri"/>
          <w:color w:val="000000"/>
          <w:sz w:val="22"/>
        </w:rPr>
        <w:lastRenderedPageBreak/>
        <w:t>The roles and responsibilities of project staff and associated agencies in implementation of this ESMF is as follows</w:t>
      </w:r>
      <w:r w:rsidR="00510C36" w:rsidRPr="00420A86">
        <w:rPr>
          <w:rFonts w:cs="Calibri"/>
          <w:color w:val="000000"/>
          <w:sz w:val="22"/>
        </w:rPr>
        <w:t>.</w:t>
      </w:r>
      <w:r w:rsidRPr="00420A86">
        <w:rPr>
          <w:rFonts w:cs="Calibri"/>
          <w:color w:val="000000"/>
          <w:sz w:val="22"/>
        </w:rPr>
        <w:t xml:space="preserve"> </w:t>
      </w:r>
      <w:r w:rsidR="00254B06" w:rsidRPr="00420A86">
        <w:rPr>
          <w:rFonts w:cs="Calibri"/>
          <w:color w:val="000000"/>
          <w:sz w:val="22"/>
        </w:rPr>
        <w:t xml:space="preserve">This ESMF does not cover </w:t>
      </w:r>
      <w:r w:rsidR="00510C36" w:rsidRPr="00420A86">
        <w:rPr>
          <w:rFonts w:cs="Calibri"/>
          <w:color w:val="000000"/>
          <w:sz w:val="22"/>
        </w:rPr>
        <w:t>the roles and responsibilities</w:t>
      </w:r>
      <w:r w:rsidR="00254B06" w:rsidRPr="00420A86">
        <w:rPr>
          <w:rFonts w:cs="Calibri"/>
          <w:color w:val="000000"/>
          <w:sz w:val="22"/>
        </w:rPr>
        <w:t xml:space="preserve"> </w:t>
      </w:r>
      <w:r w:rsidR="00980C88" w:rsidRPr="00420A86">
        <w:rPr>
          <w:rFonts w:cs="Calibri"/>
          <w:color w:val="000000"/>
          <w:sz w:val="22"/>
        </w:rPr>
        <w:t>associated with</w:t>
      </w:r>
      <w:r w:rsidR="00254B06" w:rsidRPr="00420A86">
        <w:rPr>
          <w:rFonts w:cs="Calibri"/>
          <w:color w:val="000000"/>
          <w:sz w:val="22"/>
        </w:rPr>
        <w:t xml:space="preserve"> </w:t>
      </w:r>
      <w:r w:rsidR="00980C88" w:rsidRPr="00420A86">
        <w:rPr>
          <w:rFonts w:cs="Calibri"/>
          <w:color w:val="000000"/>
          <w:sz w:val="22"/>
        </w:rPr>
        <w:t>implementation of the</w:t>
      </w:r>
      <w:r w:rsidR="00254B06" w:rsidRPr="00420A86">
        <w:rPr>
          <w:rFonts w:cs="Calibri"/>
          <w:color w:val="000000"/>
          <w:sz w:val="22"/>
        </w:rPr>
        <w:t xml:space="preserve"> subsequent stand-alone management plans</w:t>
      </w:r>
      <w:r w:rsidR="00980C88" w:rsidRPr="00420A86">
        <w:rPr>
          <w:rFonts w:cs="Calibri"/>
          <w:color w:val="000000"/>
          <w:sz w:val="22"/>
        </w:rPr>
        <w:t>; those</w:t>
      </w:r>
      <w:r w:rsidR="00510C36" w:rsidRPr="00420A86">
        <w:rPr>
          <w:rFonts w:cs="Calibri"/>
          <w:color w:val="000000"/>
          <w:sz w:val="22"/>
        </w:rPr>
        <w:t xml:space="preserve"> will be defined in </w:t>
      </w:r>
      <w:r w:rsidR="000D6F7B" w:rsidRPr="00420A86">
        <w:rPr>
          <w:rFonts w:cs="Calibri"/>
          <w:color w:val="000000"/>
          <w:sz w:val="22"/>
        </w:rPr>
        <w:t xml:space="preserve">demo </w:t>
      </w:r>
      <w:r w:rsidR="00510C36" w:rsidRPr="00420A86">
        <w:rPr>
          <w:rFonts w:cs="Calibri"/>
          <w:color w:val="000000"/>
          <w:sz w:val="22"/>
        </w:rPr>
        <w:t>projects</w:t>
      </w:r>
      <w:r w:rsidR="000D6F7B" w:rsidRPr="00420A86">
        <w:rPr>
          <w:rFonts w:cs="Calibri"/>
          <w:color w:val="000000"/>
          <w:sz w:val="22"/>
        </w:rPr>
        <w:t>’</w:t>
      </w:r>
      <w:r w:rsidR="00510C36" w:rsidRPr="00420A86">
        <w:rPr>
          <w:rFonts w:cs="Calibri"/>
          <w:color w:val="000000"/>
          <w:sz w:val="22"/>
        </w:rPr>
        <w:t xml:space="preserve"> subsequent management plan that is developed in the project inception phase.</w:t>
      </w:r>
    </w:p>
    <w:p w14:paraId="49E72409" w14:textId="77777777" w:rsidR="00A84577" w:rsidRPr="00420A86" w:rsidRDefault="00A84577" w:rsidP="00420A86">
      <w:pPr>
        <w:autoSpaceDE w:val="0"/>
        <w:autoSpaceDN w:val="0"/>
        <w:adjustRightInd w:val="0"/>
        <w:spacing w:before="0" w:after="0"/>
        <w:rPr>
          <w:rFonts w:cs="Calibri"/>
          <w:b/>
          <w:color w:val="000000"/>
          <w:sz w:val="22"/>
        </w:rPr>
      </w:pPr>
    </w:p>
    <w:p w14:paraId="435E55CB" w14:textId="77777777" w:rsidR="00F3799C" w:rsidRPr="00420A86" w:rsidRDefault="00F3799C" w:rsidP="00420A86">
      <w:pPr>
        <w:autoSpaceDE w:val="0"/>
        <w:autoSpaceDN w:val="0"/>
        <w:adjustRightInd w:val="0"/>
        <w:spacing w:before="0" w:after="0"/>
        <w:rPr>
          <w:rFonts w:cs="Calibri"/>
          <w:b/>
          <w:color w:val="000000"/>
          <w:sz w:val="22"/>
          <w:u w:val="single"/>
        </w:rPr>
      </w:pPr>
      <w:r w:rsidRPr="00420A86">
        <w:rPr>
          <w:rFonts w:cs="Calibri"/>
          <w:b/>
          <w:color w:val="000000"/>
          <w:sz w:val="22"/>
        </w:rPr>
        <w:t>Implementing Partner</w:t>
      </w:r>
      <w:r w:rsidR="00780F78" w:rsidRPr="00420A86">
        <w:rPr>
          <w:rFonts w:cs="Calibri"/>
          <w:b/>
          <w:color w:val="000000"/>
          <w:sz w:val="22"/>
        </w:rPr>
        <w:t>s</w:t>
      </w:r>
      <w:r w:rsidRPr="00420A86">
        <w:rPr>
          <w:rFonts w:cs="Calibri"/>
          <w:b/>
          <w:color w:val="000000"/>
          <w:sz w:val="22"/>
        </w:rPr>
        <w:t>:</w:t>
      </w:r>
      <w:r w:rsidR="000D6F7B" w:rsidRPr="00420A86">
        <w:rPr>
          <w:rFonts w:cs="Calibri"/>
          <w:b/>
          <w:color w:val="000000"/>
          <w:sz w:val="22"/>
          <w:u w:val="single"/>
        </w:rPr>
        <w:t xml:space="preserve"> </w:t>
      </w:r>
      <w:r w:rsidR="006F0476" w:rsidRPr="006F0476">
        <w:rPr>
          <w:rFonts w:cs="Calibri"/>
          <w:b/>
          <w:color w:val="000000"/>
          <w:sz w:val="22"/>
          <w:u w:val="single"/>
        </w:rPr>
        <w:t>Ministry of Industry and Information Technology (MIIT) and Ministry of Natural Resources (MNR)</w:t>
      </w:r>
    </w:p>
    <w:p w14:paraId="150E3580" w14:textId="77777777" w:rsidR="00A84577" w:rsidRPr="00420A86" w:rsidRDefault="00A84577" w:rsidP="00420A86">
      <w:pPr>
        <w:pStyle w:val="ListParagraph"/>
        <w:autoSpaceDE w:val="0"/>
        <w:autoSpaceDN w:val="0"/>
        <w:adjustRightInd w:val="0"/>
        <w:spacing w:before="0" w:after="0"/>
        <w:ind w:left="714"/>
        <w:contextualSpacing/>
        <w:rPr>
          <w:rFonts w:cs="Calibri"/>
          <w:color w:val="000000"/>
          <w:sz w:val="22"/>
        </w:rPr>
      </w:pPr>
    </w:p>
    <w:p w14:paraId="5D27206D"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Ensure that the</w:t>
      </w:r>
      <w:r w:rsidR="003E7020" w:rsidRPr="00420A86">
        <w:rPr>
          <w:rFonts w:cs="Calibri"/>
          <w:color w:val="000000"/>
          <w:sz w:val="22"/>
        </w:rPr>
        <w:t xml:space="preserve"> required assessment</w:t>
      </w:r>
      <w:r w:rsidRPr="00420A86">
        <w:rPr>
          <w:rFonts w:cs="Calibri"/>
          <w:color w:val="000000"/>
          <w:sz w:val="22"/>
        </w:rPr>
        <w:t xml:space="preserve"> </w:t>
      </w:r>
      <w:r w:rsidR="003E7020" w:rsidRPr="00420A86">
        <w:rPr>
          <w:rFonts w:cs="Calibri"/>
          <w:color w:val="000000"/>
          <w:sz w:val="22"/>
        </w:rPr>
        <w:t>(targeted assessment, as above)</w:t>
      </w:r>
      <w:r w:rsidRPr="00420A86">
        <w:rPr>
          <w:rFonts w:cs="Calibri"/>
          <w:color w:val="000000"/>
          <w:sz w:val="22"/>
        </w:rPr>
        <w:t xml:space="preserve"> </w:t>
      </w:r>
      <w:r w:rsidR="002477FF" w:rsidRPr="00420A86">
        <w:rPr>
          <w:rFonts w:cs="Calibri"/>
          <w:color w:val="000000"/>
          <w:sz w:val="22"/>
        </w:rPr>
        <w:t>and assessment report and</w:t>
      </w:r>
      <w:r w:rsidR="003E7020" w:rsidRPr="00420A86">
        <w:rPr>
          <w:rFonts w:cs="Calibri"/>
          <w:color w:val="000000"/>
          <w:sz w:val="22"/>
        </w:rPr>
        <w:t xml:space="preserve"> the required management plan</w:t>
      </w:r>
      <w:r w:rsidR="002477FF" w:rsidRPr="00420A86">
        <w:rPr>
          <w:rFonts w:cs="Calibri"/>
          <w:color w:val="000000"/>
          <w:sz w:val="22"/>
        </w:rPr>
        <w:t>(s)</w:t>
      </w:r>
      <w:r w:rsidRPr="00420A86">
        <w:rPr>
          <w:rFonts w:cs="Calibri"/>
          <w:color w:val="000000"/>
          <w:sz w:val="22"/>
        </w:rPr>
        <w:t xml:space="preserve"> </w:t>
      </w:r>
      <w:r w:rsidR="003E7020" w:rsidRPr="00420A86">
        <w:rPr>
          <w:rFonts w:cs="Calibri"/>
          <w:color w:val="000000"/>
          <w:sz w:val="22"/>
        </w:rPr>
        <w:t>(stand-alone management plan, as above)</w:t>
      </w:r>
      <w:r w:rsidRPr="00420A86">
        <w:rPr>
          <w:rFonts w:cs="Calibri"/>
          <w:color w:val="000000"/>
          <w:sz w:val="22"/>
        </w:rPr>
        <w:t xml:space="preserve"> </w:t>
      </w:r>
      <w:r w:rsidR="002477FF" w:rsidRPr="00420A86">
        <w:rPr>
          <w:rFonts w:cs="Calibri"/>
          <w:color w:val="000000"/>
          <w:sz w:val="22"/>
        </w:rPr>
        <w:t xml:space="preserve">are </w:t>
      </w:r>
      <w:r w:rsidRPr="00420A86">
        <w:rPr>
          <w:rFonts w:cs="Calibri"/>
          <w:color w:val="000000"/>
          <w:sz w:val="22"/>
        </w:rPr>
        <w:t>developed</w:t>
      </w:r>
      <w:r w:rsidR="00825C17" w:rsidRPr="00420A86">
        <w:rPr>
          <w:rFonts w:cs="Calibri"/>
          <w:color w:val="000000"/>
          <w:sz w:val="22"/>
        </w:rPr>
        <w:t>, disclosed for public consultation</w:t>
      </w:r>
      <w:r w:rsidRPr="00420A86">
        <w:rPr>
          <w:rFonts w:cs="Calibri"/>
          <w:color w:val="000000"/>
          <w:sz w:val="22"/>
        </w:rPr>
        <w:t xml:space="preserve"> and approved, and management measures are adopted and integrated during project </w:t>
      </w:r>
      <w:proofErr w:type="gramStart"/>
      <w:r w:rsidRPr="00420A86">
        <w:rPr>
          <w:rFonts w:cs="Calibri"/>
          <w:color w:val="000000"/>
          <w:sz w:val="22"/>
        </w:rPr>
        <w:t>implementation</w:t>
      </w:r>
      <w:r w:rsidR="00BA6E5E" w:rsidRPr="00420A86">
        <w:rPr>
          <w:rFonts w:cs="Calibri"/>
          <w:color w:val="000000"/>
          <w:sz w:val="22"/>
        </w:rPr>
        <w:t>;</w:t>
      </w:r>
      <w:proofErr w:type="gramEnd"/>
    </w:p>
    <w:p w14:paraId="4113E6E4" w14:textId="77777777" w:rsidR="00BA6E5E" w:rsidRPr="00420A86" w:rsidRDefault="00BA6E5E"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Report, fairly and accurately, on project progress against agreed work plans in accordance with the reporting schedule and required </w:t>
      </w:r>
      <w:r w:rsidR="00296E36" w:rsidRPr="00420A86">
        <w:rPr>
          <w:rFonts w:cs="Calibri"/>
          <w:color w:val="000000"/>
          <w:sz w:val="22"/>
        </w:rPr>
        <w:t>formats.</w:t>
      </w:r>
      <w:r w:rsidRPr="00420A86">
        <w:rPr>
          <w:rFonts w:cs="Calibri"/>
          <w:color w:val="000000"/>
          <w:sz w:val="22"/>
        </w:rPr>
        <w:t xml:space="preserve"> </w:t>
      </w:r>
    </w:p>
    <w:p w14:paraId="338D84E2" w14:textId="77777777" w:rsidR="00BA6E5E" w:rsidRPr="00420A86" w:rsidRDefault="00BA6E5E"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Maintain documentation and evidence that describes the proper and prudent use of project resources in conformity to the signed Project Document and in accordance with applicable regulations and procedures (</w:t>
      </w:r>
      <w:proofErr w:type="gramStart"/>
      <w:r w:rsidRPr="00420A86">
        <w:rPr>
          <w:rFonts w:cs="Calibri"/>
          <w:color w:val="000000"/>
          <w:sz w:val="22"/>
        </w:rPr>
        <w:t>e.g.</w:t>
      </w:r>
      <w:proofErr w:type="gramEnd"/>
      <w:r w:rsidRPr="00420A86">
        <w:rPr>
          <w:rFonts w:cs="Calibri"/>
          <w:color w:val="000000"/>
          <w:sz w:val="22"/>
        </w:rPr>
        <w:t xml:space="preserve"> SES</w:t>
      </w:r>
      <w:r w:rsidR="00296E36" w:rsidRPr="00420A86">
        <w:rPr>
          <w:rFonts w:cs="Calibri"/>
          <w:color w:val="000000"/>
          <w:sz w:val="22"/>
        </w:rPr>
        <w:t>).</w:t>
      </w:r>
    </w:p>
    <w:p w14:paraId="572F9396" w14:textId="77777777" w:rsidR="00182E75" w:rsidRPr="00420A86" w:rsidRDefault="00182E75"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Ensure all requirements of UNDP’s SES and national regulatory/policy frameworks have been </w:t>
      </w:r>
      <w:r w:rsidR="00296E36" w:rsidRPr="00420A86">
        <w:rPr>
          <w:rFonts w:cs="Calibri"/>
          <w:color w:val="000000"/>
          <w:sz w:val="22"/>
        </w:rPr>
        <w:t>addressed.</w:t>
      </w:r>
    </w:p>
    <w:p w14:paraId="573DD841" w14:textId="77777777" w:rsidR="00BA6E5E" w:rsidRPr="00420A86" w:rsidRDefault="00BA6E5E"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Hold </w:t>
      </w:r>
      <w:r w:rsidR="006B7799" w:rsidRPr="00420A86">
        <w:rPr>
          <w:rFonts w:cs="Calibri"/>
          <w:color w:val="000000"/>
          <w:sz w:val="22"/>
        </w:rPr>
        <w:t>responsibility</w:t>
      </w:r>
      <w:r w:rsidRPr="00420A86">
        <w:rPr>
          <w:rFonts w:cs="Calibri"/>
          <w:color w:val="000000"/>
          <w:sz w:val="22"/>
        </w:rPr>
        <w:t xml:space="preserve"> and accountability to UNDP for overall management of the project, including compliance with UNDP SES.</w:t>
      </w:r>
    </w:p>
    <w:p w14:paraId="7A9E0BA1" w14:textId="77777777" w:rsidR="00A84577" w:rsidRPr="00420A86" w:rsidRDefault="00A84577" w:rsidP="00420A86">
      <w:pPr>
        <w:pStyle w:val="ListParagraph"/>
        <w:autoSpaceDE w:val="0"/>
        <w:autoSpaceDN w:val="0"/>
        <w:adjustRightInd w:val="0"/>
        <w:spacing w:before="0" w:after="0"/>
        <w:ind w:left="132"/>
        <w:contextualSpacing/>
        <w:rPr>
          <w:rFonts w:cs="Calibri"/>
          <w:color w:val="000000"/>
          <w:sz w:val="22"/>
        </w:rPr>
      </w:pPr>
    </w:p>
    <w:p w14:paraId="1C310D69" w14:textId="77777777" w:rsidR="00A84577" w:rsidRPr="00420A86" w:rsidRDefault="00F3799C" w:rsidP="00420A86">
      <w:pPr>
        <w:autoSpaceDE w:val="0"/>
        <w:autoSpaceDN w:val="0"/>
        <w:adjustRightInd w:val="0"/>
        <w:spacing w:before="0" w:after="0"/>
        <w:rPr>
          <w:rFonts w:cs="Calibri"/>
          <w:b/>
          <w:color w:val="000000"/>
          <w:sz w:val="22"/>
        </w:rPr>
      </w:pPr>
      <w:r w:rsidRPr="00420A86">
        <w:rPr>
          <w:rFonts w:cs="Calibri"/>
          <w:b/>
          <w:color w:val="000000"/>
          <w:sz w:val="22"/>
        </w:rPr>
        <w:t>Project Steering Committee:</w:t>
      </w:r>
    </w:p>
    <w:p w14:paraId="20DC3A9B" w14:textId="77777777" w:rsidR="00F3799C" w:rsidRPr="00420A86" w:rsidRDefault="00F3799C" w:rsidP="00420A86">
      <w:pPr>
        <w:autoSpaceDE w:val="0"/>
        <w:autoSpaceDN w:val="0"/>
        <w:adjustRightInd w:val="0"/>
        <w:spacing w:before="0" w:after="0"/>
        <w:rPr>
          <w:rFonts w:cs="Calibri"/>
          <w:b/>
          <w:color w:val="000000"/>
          <w:sz w:val="22"/>
        </w:rPr>
      </w:pPr>
      <w:r w:rsidRPr="00420A86">
        <w:rPr>
          <w:rFonts w:cs="Calibri"/>
          <w:b/>
          <w:color w:val="000000"/>
          <w:sz w:val="22"/>
        </w:rPr>
        <w:t xml:space="preserve"> </w:t>
      </w:r>
    </w:p>
    <w:tbl>
      <w:tblPr>
        <w:tblW w:w="5000" w:type="pct"/>
        <w:shd w:val="clear" w:color="auto" w:fill="DDD9C3"/>
        <w:tblLook w:val="04A0" w:firstRow="1" w:lastRow="0" w:firstColumn="1" w:lastColumn="0" w:noHBand="0" w:noVBand="1"/>
      </w:tblPr>
      <w:tblGrid>
        <w:gridCol w:w="9027"/>
      </w:tblGrid>
      <w:tr w:rsidR="006767FE" w:rsidRPr="00420A86" w14:paraId="2373ED2E" w14:textId="77777777" w:rsidTr="006767FE">
        <w:tc>
          <w:tcPr>
            <w:tcW w:w="5000" w:type="pct"/>
            <w:shd w:val="clear" w:color="auto" w:fill="DDD9C3"/>
          </w:tcPr>
          <w:p w14:paraId="3BC10E65" w14:textId="77777777" w:rsidR="006767FE" w:rsidRPr="00420A86" w:rsidRDefault="006767FE" w:rsidP="00420A86">
            <w:pPr>
              <w:pStyle w:val="ListParagraph"/>
              <w:numPr>
                <w:ilvl w:val="0"/>
                <w:numId w:val="31"/>
              </w:numPr>
              <w:autoSpaceDE w:val="0"/>
              <w:autoSpaceDN w:val="0"/>
              <w:adjustRightInd w:val="0"/>
              <w:spacing w:before="0" w:after="0"/>
              <w:contextualSpacing/>
              <w:rPr>
                <w:rFonts w:cs="Calibri"/>
                <w:color w:val="000000"/>
                <w:sz w:val="22"/>
                <w:u w:val="single"/>
              </w:rPr>
            </w:pPr>
            <w:r w:rsidRPr="00420A86">
              <w:rPr>
                <w:rFonts w:cs="Calibri"/>
                <w:color w:val="000000"/>
                <w:sz w:val="22"/>
                <w:u w:val="single"/>
              </w:rPr>
              <w:t>Ministry of Finance (MOF)</w:t>
            </w:r>
          </w:p>
          <w:p w14:paraId="78521A78" w14:textId="77777777" w:rsidR="006F0476" w:rsidRPr="006F0476" w:rsidRDefault="006F0476" w:rsidP="00420A86">
            <w:pPr>
              <w:pStyle w:val="ListParagraph"/>
              <w:numPr>
                <w:ilvl w:val="0"/>
                <w:numId w:val="31"/>
              </w:numPr>
              <w:autoSpaceDE w:val="0"/>
              <w:autoSpaceDN w:val="0"/>
              <w:adjustRightInd w:val="0"/>
              <w:spacing w:before="0" w:after="0"/>
              <w:contextualSpacing/>
              <w:rPr>
                <w:rFonts w:cs="Calibri"/>
                <w:color w:val="000000"/>
                <w:sz w:val="22"/>
                <w:u w:val="single"/>
              </w:rPr>
            </w:pPr>
            <w:r w:rsidRPr="006F0476">
              <w:rPr>
                <w:rFonts w:cs="Calibri"/>
                <w:sz w:val="22"/>
                <w:u w:val="single"/>
                <w:lang w:eastAsia="zh-CN"/>
              </w:rPr>
              <w:t>Ministry of Industry and Information Technology (MIIT)</w:t>
            </w:r>
          </w:p>
          <w:p w14:paraId="00CE6F60" w14:textId="77777777" w:rsidR="006F0476" w:rsidRPr="006F0476" w:rsidRDefault="006F0476" w:rsidP="00420A86">
            <w:pPr>
              <w:pStyle w:val="ListParagraph"/>
              <w:numPr>
                <w:ilvl w:val="0"/>
                <w:numId w:val="31"/>
              </w:numPr>
              <w:autoSpaceDE w:val="0"/>
              <w:autoSpaceDN w:val="0"/>
              <w:adjustRightInd w:val="0"/>
              <w:spacing w:before="0" w:after="0"/>
              <w:contextualSpacing/>
              <w:rPr>
                <w:rFonts w:cs="Calibri"/>
                <w:color w:val="000000"/>
                <w:sz w:val="22"/>
                <w:u w:val="single"/>
              </w:rPr>
            </w:pPr>
            <w:r w:rsidRPr="006F0476">
              <w:rPr>
                <w:rFonts w:cs="Calibri"/>
                <w:sz w:val="22"/>
                <w:u w:val="single"/>
                <w:lang w:eastAsia="zh-CN"/>
              </w:rPr>
              <w:t>Ministry of Natural Resources (MNR)</w:t>
            </w:r>
          </w:p>
          <w:p w14:paraId="0A935A12" w14:textId="77777777" w:rsidR="006767FE" w:rsidRPr="00420A86" w:rsidRDefault="006767FE" w:rsidP="00420A86">
            <w:pPr>
              <w:pStyle w:val="ListParagraph"/>
              <w:numPr>
                <w:ilvl w:val="0"/>
                <w:numId w:val="31"/>
              </w:numPr>
              <w:autoSpaceDE w:val="0"/>
              <w:autoSpaceDN w:val="0"/>
              <w:adjustRightInd w:val="0"/>
              <w:spacing w:before="0" w:after="0"/>
              <w:contextualSpacing/>
              <w:rPr>
                <w:rFonts w:cs="Calibri"/>
                <w:color w:val="000000"/>
                <w:sz w:val="22"/>
                <w:u w:val="single"/>
              </w:rPr>
            </w:pPr>
            <w:r w:rsidRPr="00420A86">
              <w:rPr>
                <w:rFonts w:cs="Calibri"/>
                <w:color w:val="000000"/>
                <w:sz w:val="22"/>
                <w:u w:val="single"/>
              </w:rPr>
              <w:t>National Development and Reform Commission (NDRC)</w:t>
            </w:r>
          </w:p>
          <w:p w14:paraId="51F30DC0" w14:textId="77777777" w:rsidR="006767FE" w:rsidRPr="00420A86" w:rsidRDefault="006767FE" w:rsidP="00420A86">
            <w:pPr>
              <w:pStyle w:val="ListParagraph"/>
              <w:numPr>
                <w:ilvl w:val="0"/>
                <w:numId w:val="31"/>
              </w:numPr>
              <w:autoSpaceDE w:val="0"/>
              <w:autoSpaceDN w:val="0"/>
              <w:adjustRightInd w:val="0"/>
              <w:spacing w:before="0" w:after="0"/>
              <w:contextualSpacing/>
              <w:rPr>
                <w:rFonts w:cs="Calibri"/>
                <w:color w:val="000000"/>
                <w:sz w:val="22"/>
                <w:u w:val="single"/>
              </w:rPr>
            </w:pPr>
            <w:r w:rsidRPr="00420A86">
              <w:rPr>
                <w:rFonts w:cs="Calibri"/>
                <w:color w:val="000000"/>
                <w:sz w:val="22"/>
                <w:u w:val="single"/>
              </w:rPr>
              <w:t>All China Women’s Federation (ACWF)</w:t>
            </w:r>
          </w:p>
          <w:p w14:paraId="74636057" w14:textId="77777777" w:rsidR="006767FE" w:rsidRPr="00420A86" w:rsidRDefault="006767FE" w:rsidP="00420A86">
            <w:pPr>
              <w:pStyle w:val="ListParagraph"/>
              <w:numPr>
                <w:ilvl w:val="0"/>
                <w:numId w:val="31"/>
              </w:numPr>
              <w:autoSpaceDE w:val="0"/>
              <w:autoSpaceDN w:val="0"/>
              <w:adjustRightInd w:val="0"/>
              <w:spacing w:before="0" w:after="0"/>
              <w:contextualSpacing/>
              <w:rPr>
                <w:rFonts w:cs="Calibri"/>
                <w:color w:val="000000"/>
                <w:sz w:val="22"/>
              </w:rPr>
            </w:pPr>
            <w:r w:rsidRPr="00420A86">
              <w:rPr>
                <w:rFonts w:cs="Calibri"/>
                <w:color w:val="000000"/>
                <w:sz w:val="22"/>
                <w:u w:val="single"/>
              </w:rPr>
              <w:t xml:space="preserve">United Nations Development Program (UNDP) </w:t>
            </w:r>
          </w:p>
        </w:tc>
      </w:tr>
    </w:tbl>
    <w:p w14:paraId="315ED60D" w14:textId="77777777" w:rsidR="00A84577" w:rsidRPr="00420A86" w:rsidRDefault="00A84577" w:rsidP="00420A86">
      <w:pPr>
        <w:pStyle w:val="ListParagraph"/>
        <w:autoSpaceDE w:val="0"/>
        <w:autoSpaceDN w:val="0"/>
        <w:adjustRightInd w:val="0"/>
        <w:spacing w:before="0" w:after="0"/>
        <w:contextualSpacing/>
        <w:rPr>
          <w:rFonts w:cs="Calibri"/>
          <w:color w:val="000000"/>
          <w:sz w:val="22"/>
        </w:rPr>
      </w:pPr>
    </w:p>
    <w:p w14:paraId="1E46907C"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Monitor implementation of </w:t>
      </w:r>
      <w:r w:rsidR="004035EF" w:rsidRPr="00420A86">
        <w:rPr>
          <w:rFonts w:cs="Calibri"/>
          <w:color w:val="000000"/>
          <w:sz w:val="22"/>
        </w:rPr>
        <w:t xml:space="preserve">this </w:t>
      </w:r>
      <w:r w:rsidR="00510C36" w:rsidRPr="00420A86">
        <w:rPr>
          <w:rFonts w:cs="Calibri"/>
          <w:color w:val="000000"/>
          <w:sz w:val="22"/>
        </w:rPr>
        <w:t xml:space="preserve">ESMF </w:t>
      </w:r>
      <w:r w:rsidRPr="00420A86">
        <w:rPr>
          <w:rFonts w:cs="Calibri"/>
          <w:color w:val="000000"/>
          <w:sz w:val="22"/>
        </w:rPr>
        <w:t xml:space="preserve">and compliance with national and international regulations, and UNDP social and environmental </w:t>
      </w:r>
      <w:r w:rsidR="00296E36" w:rsidRPr="00420A86">
        <w:rPr>
          <w:rFonts w:cs="Calibri"/>
          <w:color w:val="000000"/>
          <w:sz w:val="22"/>
        </w:rPr>
        <w:t>standards.</w:t>
      </w:r>
      <w:r w:rsidRPr="00420A86">
        <w:rPr>
          <w:rFonts w:cs="Calibri"/>
          <w:color w:val="000000"/>
          <w:sz w:val="22"/>
        </w:rPr>
        <w:t xml:space="preserve"> </w:t>
      </w:r>
    </w:p>
    <w:p w14:paraId="14219DC5"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Decision making for the adoption of necessary measures </w:t>
      </w:r>
      <w:r w:rsidR="002478C5" w:rsidRPr="00420A86">
        <w:rPr>
          <w:rFonts w:cs="Calibri"/>
          <w:color w:val="000000"/>
          <w:sz w:val="22"/>
        </w:rPr>
        <w:t xml:space="preserve">including full integration of management measures within project Outputs and annual work </w:t>
      </w:r>
      <w:r w:rsidR="00296E36" w:rsidRPr="00420A86">
        <w:rPr>
          <w:rFonts w:cs="Calibri"/>
          <w:color w:val="000000"/>
          <w:sz w:val="22"/>
        </w:rPr>
        <w:t>plans.</w:t>
      </w:r>
    </w:p>
    <w:p w14:paraId="68AE554C"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Establish and support GRM </w:t>
      </w:r>
      <w:r w:rsidR="0099400C" w:rsidRPr="00420A86">
        <w:rPr>
          <w:rFonts w:cs="Calibri"/>
          <w:color w:val="000000"/>
          <w:sz w:val="22"/>
        </w:rPr>
        <w:t>mechanism to address any</w:t>
      </w:r>
      <w:r w:rsidRPr="00420A86">
        <w:rPr>
          <w:rFonts w:cs="Calibri"/>
          <w:color w:val="000000"/>
          <w:sz w:val="22"/>
        </w:rPr>
        <w:t xml:space="preserve"> grievances</w:t>
      </w:r>
      <w:r w:rsidR="009448A8" w:rsidRPr="00420A86">
        <w:rPr>
          <w:rFonts w:cs="Calibri"/>
          <w:color w:val="000000"/>
          <w:sz w:val="22"/>
        </w:rPr>
        <w:t>.</w:t>
      </w:r>
    </w:p>
    <w:p w14:paraId="030B306F" w14:textId="77777777" w:rsidR="00A84577" w:rsidRPr="00420A86" w:rsidRDefault="00A84577" w:rsidP="00420A86">
      <w:pPr>
        <w:autoSpaceDE w:val="0"/>
        <w:autoSpaceDN w:val="0"/>
        <w:adjustRightInd w:val="0"/>
        <w:spacing w:before="0" w:after="0"/>
        <w:rPr>
          <w:rFonts w:cs="Calibri"/>
          <w:b/>
          <w:color w:val="000000"/>
          <w:sz w:val="22"/>
        </w:rPr>
      </w:pPr>
    </w:p>
    <w:p w14:paraId="5F4DD469" w14:textId="77777777" w:rsidR="00F3799C" w:rsidRPr="00420A86" w:rsidRDefault="00F3799C" w:rsidP="00420A86">
      <w:pPr>
        <w:autoSpaceDE w:val="0"/>
        <w:autoSpaceDN w:val="0"/>
        <w:adjustRightInd w:val="0"/>
        <w:spacing w:before="0" w:after="0"/>
        <w:rPr>
          <w:rFonts w:cs="Calibri"/>
          <w:b/>
          <w:color w:val="000000"/>
          <w:sz w:val="22"/>
        </w:rPr>
      </w:pPr>
      <w:r w:rsidRPr="00420A86">
        <w:rPr>
          <w:rFonts w:cs="Calibri"/>
          <w:b/>
          <w:color w:val="000000"/>
          <w:sz w:val="22"/>
        </w:rPr>
        <w:t xml:space="preserve">UNDP: </w:t>
      </w:r>
    </w:p>
    <w:p w14:paraId="47DAA1EE" w14:textId="77777777" w:rsidR="00A84577" w:rsidRPr="00420A86" w:rsidRDefault="00A84577" w:rsidP="00420A86">
      <w:pPr>
        <w:pStyle w:val="ListParagraph"/>
        <w:autoSpaceDE w:val="0"/>
        <w:autoSpaceDN w:val="0"/>
        <w:adjustRightInd w:val="0"/>
        <w:spacing w:before="0" w:after="0"/>
        <w:contextualSpacing/>
        <w:rPr>
          <w:rFonts w:cs="Calibri"/>
          <w:color w:val="000000"/>
          <w:sz w:val="22"/>
        </w:rPr>
      </w:pPr>
    </w:p>
    <w:p w14:paraId="2982F384" w14:textId="77777777" w:rsidR="00F3799C" w:rsidRPr="00420A86" w:rsidRDefault="00493725"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Provide oversight on all matters related to </w:t>
      </w:r>
      <w:r w:rsidR="00296E36" w:rsidRPr="00420A86">
        <w:rPr>
          <w:rFonts w:cs="Calibri"/>
          <w:color w:val="000000"/>
          <w:sz w:val="22"/>
        </w:rPr>
        <w:t>safeguards.</w:t>
      </w:r>
    </w:p>
    <w:p w14:paraId="1FC4D071"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Inform all the stakeholders and right-holders involved in, or potentially impacted, positively or negatively, by the GEF</w:t>
      </w:r>
      <w:r w:rsidR="00510C36" w:rsidRPr="00420A86">
        <w:rPr>
          <w:rFonts w:cs="Calibri"/>
          <w:color w:val="000000"/>
          <w:sz w:val="22"/>
        </w:rPr>
        <w:t>-financed</w:t>
      </w:r>
      <w:r w:rsidRPr="00420A86">
        <w:rPr>
          <w:rFonts w:cs="Calibri"/>
          <w:color w:val="000000"/>
          <w:sz w:val="22"/>
        </w:rPr>
        <w:t xml:space="preserve"> project</w:t>
      </w:r>
      <w:r w:rsidR="00510C36" w:rsidRPr="00420A86">
        <w:rPr>
          <w:rFonts w:cs="Calibri"/>
          <w:color w:val="000000"/>
          <w:sz w:val="22"/>
        </w:rPr>
        <w:t>s</w:t>
      </w:r>
      <w:r w:rsidRPr="00420A86">
        <w:rPr>
          <w:rFonts w:cs="Calibri"/>
          <w:color w:val="000000"/>
          <w:sz w:val="22"/>
        </w:rPr>
        <w:t xml:space="preserve">, about the UNDP’s corporate Accountability Mechanism </w:t>
      </w:r>
      <w:r w:rsidR="00510C36" w:rsidRPr="00420A86">
        <w:rPr>
          <w:rFonts w:cs="Calibri"/>
          <w:color w:val="000000"/>
          <w:sz w:val="22"/>
        </w:rPr>
        <w:t>(described below</w:t>
      </w:r>
      <w:r w:rsidR="00296E36" w:rsidRPr="00420A86">
        <w:rPr>
          <w:rFonts w:cs="Calibri"/>
          <w:color w:val="000000"/>
          <w:sz w:val="22"/>
        </w:rPr>
        <w:t>).</w:t>
      </w:r>
    </w:p>
    <w:p w14:paraId="5C7D4F73"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Ensure that the Compliance Review and the Stakeholder Response Mechanisms are operational during the lifetime of the </w:t>
      </w:r>
      <w:r w:rsidR="00296E36" w:rsidRPr="00420A86">
        <w:rPr>
          <w:rFonts w:cs="Calibri"/>
          <w:color w:val="000000"/>
          <w:sz w:val="22"/>
        </w:rPr>
        <w:t>projects.</w:t>
      </w:r>
    </w:p>
    <w:p w14:paraId="4E5DC4CB" w14:textId="77777777" w:rsidR="00BA6E5E" w:rsidRPr="00420A86" w:rsidRDefault="00BA6E5E"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Ensure adhere to the SES for project activities implemented using funds </w:t>
      </w:r>
      <w:r w:rsidR="006B7799" w:rsidRPr="00420A86">
        <w:rPr>
          <w:rFonts w:cs="Calibri"/>
          <w:color w:val="000000"/>
          <w:sz w:val="22"/>
        </w:rPr>
        <w:t>channelled</w:t>
      </w:r>
      <w:r w:rsidRPr="00420A86">
        <w:rPr>
          <w:rFonts w:cs="Calibri"/>
          <w:color w:val="000000"/>
          <w:sz w:val="22"/>
        </w:rPr>
        <w:t xml:space="preserve"> </w:t>
      </w:r>
      <w:r w:rsidR="006B7799" w:rsidRPr="00420A86">
        <w:rPr>
          <w:rFonts w:cs="Calibri"/>
          <w:color w:val="000000"/>
          <w:sz w:val="22"/>
        </w:rPr>
        <w:t>through</w:t>
      </w:r>
      <w:r w:rsidRPr="00420A86">
        <w:rPr>
          <w:rFonts w:cs="Calibri"/>
          <w:color w:val="000000"/>
          <w:sz w:val="22"/>
        </w:rPr>
        <w:t xml:space="preserve"> UNDP’s</w:t>
      </w:r>
      <w:r w:rsidR="00182E75" w:rsidRPr="00420A86">
        <w:rPr>
          <w:rFonts w:cs="Calibri"/>
          <w:color w:val="000000"/>
          <w:sz w:val="22"/>
        </w:rPr>
        <w:t xml:space="preserve"> </w:t>
      </w:r>
      <w:proofErr w:type="gramStart"/>
      <w:r w:rsidR="00182E75" w:rsidRPr="00420A86">
        <w:rPr>
          <w:rFonts w:cs="Calibri"/>
          <w:color w:val="000000"/>
          <w:sz w:val="22"/>
        </w:rPr>
        <w:t>ac</w:t>
      </w:r>
      <w:r w:rsidRPr="00420A86">
        <w:rPr>
          <w:rFonts w:cs="Calibri"/>
          <w:color w:val="000000"/>
          <w:sz w:val="22"/>
        </w:rPr>
        <w:t>c</w:t>
      </w:r>
      <w:r w:rsidR="00182E75" w:rsidRPr="00420A86">
        <w:rPr>
          <w:rFonts w:cs="Calibri"/>
          <w:color w:val="000000"/>
          <w:sz w:val="22"/>
        </w:rPr>
        <w:t>o</w:t>
      </w:r>
      <w:r w:rsidRPr="00420A86">
        <w:rPr>
          <w:rFonts w:cs="Calibri"/>
          <w:color w:val="000000"/>
          <w:sz w:val="22"/>
        </w:rPr>
        <w:t>unts, and</w:t>
      </w:r>
      <w:proofErr w:type="gramEnd"/>
      <w:r w:rsidRPr="00420A86">
        <w:rPr>
          <w:rFonts w:cs="Calibri"/>
          <w:color w:val="000000"/>
          <w:sz w:val="22"/>
        </w:rPr>
        <w:t xml:space="preserve"> undertake appropriate measures to address any </w:t>
      </w:r>
      <w:r w:rsidR="00296E36" w:rsidRPr="00420A86">
        <w:rPr>
          <w:rFonts w:cs="Calibri"/>
          <w:color w:val="000000"/>
          <w:sz w:val="22"/>
        </w:rPr>
        <w:t>shortcomings.</w:t>
      </w:r>
    </w:p>
    <w:p w14:paraId="7E538DAA" w14:textId="77777777" w:rsidR="00182E75" w:rsidRPr="00420A86" w:rsidRDefault="00182E75"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Verify and document that all UNDP SES requirements have been </w:t>
      </w:r>
      <w:r w:rsidR="00296E36" w:rsidRPr="00420A86">
        <w:rPr>
          <w:rFonts w:cs="Calibri"/>
          <w:color w:val="000000"/>
          <w:sz w:val="22"/>
        </w:rPr>
        <w:t>addressed.</w:t>
      </w:r>
    </w:p>
    <w:p w14:paraId="666E9E81" w14:textId="77777777" w:rsidR="001D5258" w:rsidRPr="00420A86" w:rsidRDefault="00EE4FD3"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lastRenderedPageBreak/>
        <w:t>Provide</w:t>
      </w:r>
      <w:r w:rsidR="001D5258" w:rsidRPr="00420A86">
        <w:rPr>
          <w:rFonts w:cs="Calibri"/>
          <w:color w:val="000000"/>
          <w:sz w:val="22"/>
        </w:rPr>
        <w:t xml:space="preserve"> technical guidance</w:t>
      </w:r>
      <w:r w:rsidRPr="00420A86">
        <w:rPr>
          <w:rFonts w:cs="Calibri"/>
          <w:color w:val="000000"/>
          <w:sz w:val="22"/>
        </w:rPr>
        <w:t xml:space="preserve"> on implementation of this ESMF and </w:t>
      </w:r>
      <w:r w:rsidR="001D5258" w:rsidRPr="00420A86">
        <w:rPr>
          <w:rFonts w:cs="Calibri"/>
          <w:color w:val="000000"/>
          <w:sz w:val="22"/>
        </w:rPr>
        <w:t>administrative assistance in recruiting and contracting expert safeguards services</w:t>
      </w:r>
      <w:r w:rsidRPr="00420A86">
        <w:rPr>
          <w:rFonts w:cs="Calibri"/>
          <w:color w:val="000000"/>
          <w:sz w:val="22"/>
        </w:rPr>
        <w:t xml:space="preserve"> (as required</w:t>
      </w:r>
      <w:proofErr w:type="gramStart"/>
      <w:r w:rsidRPr="00420A86">
        <w:rPr>
          <w:rFonts w:cs="Calibri"/>
          <w:color w:val="000000"/>
          <w:sz w:val="22"/>
        </w:rPr>
        <w:t>), and</w:t>
      </w:r>
      <w:proofErr w:type="gramEnd"/>
      <w:r w:rsidRPr="00420A86">
        <w:rPr>
          <w:rFonts w:cs="Calibri"/>
          <w:color w:val="000000"/>
          <w:sz w:val="22"/>
        </w:rPr>
        <w:t xml:space="preserve"> monitor</w:t>
      </w:r>
      <w:r w:rsidR="001D5258" w:rsidRPr="00420A86">
        <w:rPr>
          <w:rFonts w:cs="Calibri"/>
          <w:color w:val="000000"/>
          <w:sz w:val="22"/>
        </w:rPr>
        <w:t xml:space="preserve"> adherence </w:t>
      </w:r>
      <w:r w:rsidRPr="00420A86">
        <w:rPr>
          <w:rFonts w:cs="Calibri"/>
          <w:color w:val="000000"/>
          <w:sz w:val="22"/>
        </w:rPr>
        <w:t xml:space="preserve">of each project </w:t>
      </w:r>
      <w:r w:rsidR="001D5258" w:rsidRPr="00420A86">
        <w:rPr>
          <w:rFonts w:cs="Calibri"/>
          <w:color w:val="000000"/>
          <w:sz w:val="22"/>
        </w:rPr>
        <w:t>to the ESMF and UNDP policies and procedures.</w:t>
      </w:r>
    </w:p>
    <w:p w14:paraId="3CC39C7F" w14:textId="77777777" w:rsidR="00A84577" w:rsidRPr="00420A86" w:rsidRDefault="00A84577" w:rsidP="00420A86">
      <w:pPr>
        <w:autoSpaceDE w:val="0"/>
        <w:autoSpaceDN w:val="0"/>
        <w:adjustRightInd w:val="0"/>
        <w:spacing w:before="0" w:after="0"/>
        <w:rPr>
          <w:rFonts w:cs="Calibri"/>
          <w:b/>
          <w:color w:val="000000"/>
          <w:sz w:val="22"/>
        </w:rPr>
      </w:pPr>
    </w:p>
    <w:p w14:paraId="3757819D" w14:textId="77777777" w:rsidR="00F3799C" w:rsidRPr="00420A86" w:rsidRDefault="00F3799C" w:rsidP="00420A86">
      <w:pPr>
        <w:autoSpaceDE w:val="0"/>
        <w:autoSpaceDN w:val="0"/>
        <w:adjustRightInd w:val="0"/>
        <w:spacing w:before="0" w:after="0"/>
        <w:rPr>
          <w:rFonts w:cs="Calibri"/>
          <w:b/>
          <w:color w:val="000000"/>
          <w:sz w:val="22"/>
        </w:rPr>
      </w:pPr>
      <w:r w:rsidRPr="00420A86">
        <w:rPr>
          <w:rFonts w:cs="Calibri"/>
          <w:b/>
          <w:color w:val="000000"/>
          <w:sz w:val="22"/>
        </w:rPr>
        <w:t xml:space="preserve">Project Management </w:t>
      </w:r>
      <w:r w:rsidR="00A26F34" w:rsidRPr="00420A86">
        <w:rPr>
          <w:rFonts w:cs="Calibri"/>
          <w:b/>
          <w:color w:val="000000"/>
          <w:sz w:val="22"/>
        </w:rPr>
        <w:t>Office</w:t>
      </w:r>
      <w:r w:rsidR="00AA4F99" w:rsidRPr="00420A86">
        <w:rPr>
          <w:rFonts w:cs="Calibri"/>
          <w:b/>
          <w:color w:val="000000"/>
          <w:sz w:val="22"/>
        </w:rPr>
        <w:t xml:space="preserve"> (PMO)</w:t>
      </w:r>
      <w:r w:rsidRPr="00420A86">
        <w:rPr>
          <w:rFonts w:cs="Calibri"/>
          <w:b/>
          <w:color w:val="000000"/>
          <w:sz w:val="22"/>
        </w:rPr>
        <w:t>:</w:t>
      </w:r>
    </w:p>
    <w:p w14:paraId="331436D5" w14:textId="77777777" w:rsidR="00A84577" w:rsidRPr="00420A86" w:rsidRDefault="00A84577" w:rsidP="00420A86">
      <w:pPr>
        <w:pStyle w:val="ListParagraph"/>
        <w:autoSpaceDE w:val="0"/>
        <w:autoSpaceDN w:val="0"/>
        <w:adjustRightInd w:val="0"/>
        <w:spacing w:before="0" w:after="0"/>
        <w:contextualSpacing/>
        <w:rPr>
          <w:rFonts w:cs="Calibri"/>
          <w:color w:val="000000"/>
          <w:sz w:val="22"/>
        </w:rPr>
      </w:pPr>
    </w:p>
    <w:p w14:paraId="29885835"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Supervise and manage implementation of measures defined in</w:t>
      </w:r>
      <w:r w:rsidR="00980CFF" w:rsidRPr="00420A86">
        <w:rPr>
          <w:rFonts w:cs="Calibri"/>
          <w:color w:val="000000"/>
          <w:sz w:val="22"/>
        </w:rPr>
        <w:t xml:space="preserve"> this </w:t>
      </w:r>
      <w:r w:rsidR="00296E36" w:rsidRPr="00420A86">
        <w:rPr>
          <w:rFonts w:cs="Calibri"/>
          <w:color w:val="000000"/>
          <w:sz w:val="22"/>
        </w:rPr>
        <w:t>ESMF.</w:t>
      </w:r>
    </w:p>
    <w:p w14:paraId="6EACA006" w14:textId="77777777" w:rsidR="001D5258" w:rsidRPr="00420A86" w:rsidRDefault="001D5258"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Assign specific responsibilities for implementation of this ESMF</w:t>
      </w:r>
      <w:r w:rsidR="009448A8" w:rsidRPr="00420A86">
        <w:rPr>
          <w:rFonts w:cs="Calibri"/>
          <w:color w:val="000000"/>
          <w:sz w:val="22"/>
        </w:rPr>
        <w:t>, including monitoring,</w:t>
      </w:r>
      <w:r w:rsidRPr="00420A86">
        <w:rPr>
          <w:rFonts w:cs="Calibri"/>
          <w:color w:val="000000"/>
          <w:sz w:val="22"/>
        </w:rPr>
        <w:t xml:space="preserve"> </w:t>
      </w:r>
      <w:r w:rsidR="00E42322" w:rsidRPr="00420A86">
        <w:rPr>
          <w:rFonts w:cs="Calibri"/>
          <w:color w:val="000000"/>
          <w:sz w:val="22"/>
        </w:rPr>
        <w:t>and community consultations on the</w:t>
      </w:r>
      <w:r w:rsidR="009448A8" w:rsidRPr="00420A86">
        <w:rPr>
          <w:rFonts w:cs="Calibri"/>
          <w:color w:val="000000"/>
          <w:sz w:val="22"/>
        </w:rPr>
        <w:t xml:space="preserve"> draft management</w:t>
      </w:r>
      <w:r w:rsidR="00E42322" w:rsidRPr="00420A86">
        <w:rPr>
          <w:rFonts w:cs="Calibri"/>
          <w:color w:val="000000"/>
          <w:sz w:val="22"/>
        </w:rPr>
        <w:t xml:space="preserve"> plans </w:t>
      </w:r>
      <w:r w:rsidRPr="00420A86">
        <w:rPr>
          <w:rFonts w:cs="Calibri"/>
          <w:color w:val="000000"/>
          <w:sz w:val="22"/>
        </w:rPr>
        <w:t xml:space="preserve">to a staff member(s) of the </w:t>
      </w:r>
      <w:r w:rsidR="00296E36" w:rsidRPr="00420A86">
        <w:rPr>
          <w:rFonts w:cs="Calibri"/>
          <w:color w:val="000000"/>
          <w:sz w:val="22"/>
        </w:rPr>
        <w:t>PMO.</w:t>
      </w:r>
    </w:p>
    <w:p w14:paraId="6F83FDEA" w14:textId="77777777" w:rsidR="00E42322" w:rsidRPr="00420A86" w:rsidRDefault="00E42322"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Maintain relevant records associated with management of environmental and social risks, including updated SESPs, impact assessments, a log of grievances together with documentation of </w:t>
      </w:r>
      <w:r w:rsidR="00980CFF" w:rsidRPr="00420A86">
        <w:rPr>
          <w:rFonts w:cs="Calibri"/>
          <w:color w:val="000000"/>
          <w:sz w:val="22"/>
        </w:rPr>
        <w:t xml:space="preserve">management </w:t>
      </w:r>
      <w:r w:rsidRPr="00420A86">
        <w:rPr>
          <w:rFonts w:cs="Calibri"/>
          <w:color w:val="000000"/>
          <w:sz w:val="22"/>
        </w:rPr>
        <w:t xml:space="preserve">measures </w:t>
      </w:r>
      <w:r w:rsidR="00296E36" w:rsidRPr="00420A86">
        <w:rPr>
          <w:rFonts w:cs="Calibri"/>
          <w:color w:val="000000"/>
          <w:sz w:val="22"/>
        </w:rPr>
        <w:t>implemented.</w:t>
      </w:r>
    </w:p>
    <w:p w14:paraId="35B0DE0A" w14:textId="77777777" w:rsidR="00F3799C" w:rsidRPr="00420A86" w:rsidRDefault="00F3799C" w:rsidP="00420A86">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Report to the Implementing Partner, the Project </w:t>
      </w:r>
      <w:r w:rsidR="00911748" w:rsidRPr="00420A86">
        <w:rPr>
          <w:rFonts w:cs="Calibri"/>
          <w:color w:val="000000"/>
          <w:sz w:val="22"/>
        </w:rPr>
        <w:t>Steering Committee</w:t>
      </w:r>
      <w:r w:rsidR="00AA4F99" w:rsidRPr="00420A86">
        <w:rPr>
          <w:rFonts w:cs="Calibri"/>
          <w:color w:val="000000"/>
          <w:sz w:val="22"/>
        </w:rPr>
        <w:t xml:space="preserve"> </w:t>
      </w:r>
      <w:r w:rsidRPr="00420A86">
        <w:rPr>
          <w:rFonts w:cs="Calibri"/>
          <w:color w:val="000000"/>
          <w:sz w:val="22"/>
        </w:rPr>
        <w:t xml:space="preserve">and UNDP on </w:t>
      </w:r>
      <w:r w:rsidR="00980CFF" w:rsidRPr="00420A86">
        <w:rPr>
          <w:rFonts w:cs="Calibri"/>
          <w:color w:val="000000"/>
          <w:sz w:val="22"/>
        </w:rPr>
        <w:t xml:space="preserve">the implementation of the </w:t>
      </w:r>
      <w:r w:rsidR="00296E36" w:rsidRPr="00420A86">
        <w:rPr>
          <w:rFonts w:cs="Calibri"/>
          <w:color w:val="000000"/>
          <w:sz w:val="22"/>
        </w:rPr>
        <w:t>ESMF.</w:t>
      </w:r>
    </w:p>
    <w:p w14:paraId="6B643840" w14:textId="0CAAA45F" w:rsidR="00A84577" w:rsidRDefault="00E42322" w:rsidP="00AE78DF">
      <w:pPr>
        <w:pStyle w:val="ListParagraph"/>
        <w:numPr>
          <w:ilvl w:val="0"/>
          <w:numId w:val="7"/>
        </w:numPr>
        <w:autoSpaceDE w:val="0"/>
        <w:autoSpaceDN w:val="0"/>
        <w:adjustRightInd w:val="0"/>
        <w:spacing w:before="0" w:after="0"/>
        <w:ind w:left="360"/>
        <w:contextualSpacing/>
        <w:rPr>
          <w:rFonts w:cs="Calibri"/>
          <w:color w:val="000000"/>
          <w:sz w:val="22"/>
        </w:rPr>
      </w:pPr>
      <w:r w:rsidRPr="00420A86">
        <w:rPr>
          <w:rFonts w:cs="Calibri"/>
          <w:color w:val="000000"/>
          <w:sz w:val="22"/>
        </w:rPr>
        <w:t xml:space="preserve">Ensure that all service providers are informed of their responsibilities for the </w:t>
      </w:r>
      <w:proofErr w:type="gramStart"/>
      <w:r w:rsidRPr="00420A86">
        <w:rPr>
          <w:rFonts w:cs="Calibri"/>
          <w:color w:val="000000"/>
          <w:sz w:val="22"/>
        </w:rPr>
        <w:t>day to day</w:t>
      </w:r>
      <w:proofErr w:type="gramEnd"/>
      <w:r w:rsidRPr="00420A86">
        <w:rPr>
          <w:rFonts w:cs="Calibri"/>
          <w:color w:val="000000"/>
          <w:sz w:val="22"/>
        </w:rPr>
        <w:t xml:space="preserve"> compliance </w:t>
      </w:r>
      <w:r w:rsidR="002478C5" w:rsidRPr="00420A86">
        <w:rPr>
          <w:rFonts w:cs="Calibri"/>
          <w:color w:val="000000"/>
          <w:sz w:val="22"/>
        </w:rPr>
        <w:t xml:space="preserve">with </w:t>
      </w:r>
      <w:r w:rsidRPr="00420A86">
        <w:rPr>
          <w:rFonts w:cs="Calibri"/>
          <w:color w:val="000000"/>
          <w:sz w:val="22"/>
        </w:rPr>
        <w:t>the ESMF.</w:t>
      </w:r>
    </w:p>
    <w:p w14:paraId="09709407" w14:textId="42784C88" w:rsidR="00AE78DF" w:rsidRDefault="00AE78DF" w:rsidP="00AE78DF">
      <w:pPr>
        <w:autoSpaceDE w:val="0"/>
        <w:autoSpaceDN w:val="0"/>
        <w:adjustRightInd w:val="0"/>
        <w:spacing w:before="0" w:after="0"/>
        <w:contextualSpacing/>
        <w:rPr>
          <w:rFonts w:cs="Calibri"/>
          <w:color w:val="000000"/>
          <w:sz w:val="22"/>
        </w:rPr>
      </w:pPr>
    </w:p>
    <w:p w14:paraId="74EAD384" w14:textId="77777777" w:rsidR="00AE78DF" w:rsidRPr="00AE78DF" w:rsidRDefault="00AE78DF" w:rsidP="00AE78DF">
      <w:pPr>
        <w:spacing w:before="0" w:after="0"/>
        <w:rPr>
          <w:rFonts w:cs="Calibri"/>
          <w:sz w:val="22"/>
          <w:lang w:val="en-US"/>
        </w:rPr>
      </w:pPr>
      <w:r w:rsidRPr="00AE78DF">
        <w:rPr>
          <w:sz w:val="22"/>
        </w:rPr>
        <w:t>As noted above, the projects’ subsequent ESMPs</w:t>
      </w:r>
      <w:r w:rsidRPr="00AE78DF">
        <w:rPr>
          <w:b/>
          <w:bCs/>
          <w:sz w:val="22"/>
        </w:rPr>
        <w:t xml:space="preserve"> </w:t>
      </w:r>
      <w:r w:rsidRPr="00AE78DF">
        <w:rPr>
          <w:sz w:val="22"/>
        </w:rPr>
        <w:t>and stand-alone management plan</w:t>
      </w:r>
      <w:r w:rsidRPr="00AE78DF">
        <w:rPr>
          <w:b/>
          <w:bCs/>
          <w:sz w:val="22"/>
        </w:rPr>
        <w:t>s</w:t>
      </w:r>
      <w:r w:rsidRPr="00AE78DF">
        <w:rPr>
          <w:sz w:val="22"/>
        </w:rPr>
        <w:t xml:space="preserve"> as required</w:t>
      </w:r>
      <w:r w:rsidRPr="00AE78DF">
        <w:rPr>
          <w:b/>
          <w:bCs/>
          <w:sz w:val="22"/>
        </w:rPr>
        <w:t>,</w:t>
      </w:r>
      <w:r w:rsidRPr="00AE78DF">
        <w:rPr>
          <w:sz w:val="22"/>
        </w:rPr>
        <w:t xml:space="preserve"> will describe the roles and responsibilities in the implementation of those plans. Those new roles and responsibilities will be assessed and integrated, as appropriate, as part of the participatory decision making and implementation proceedings of the project.</w:t>
      </w:r>
    </w:p>
    <w:p w14:paraId="5C0E9E2C" w14:textId="77777777" w:rsidR="00AE78DF" w:rsidRPr="00AE78DF" w:rsidRDefault="00AE78DF" w:rsidP="00AE78DF">
      <w:pPr>
        <w:autoSpaceDE w:val="0"/>
        <w:autoSpaceDN w:val="0"/>
        <w:adjustRightInd w:val="0"/>
        <w:spacing w:before="0" w:after="0"/>
        <w:contextualSpacing/>
        <w:rPr>
          <w:rFonts w:cs="Calibri"/>
          <w:color w:val="000000"/>
          <w:sz w:val="22"/>
        </w:rPr>
      </w:pPr>
    </w:p>
    <w:p w14:paraId="7ECEEC4D" w14:textId="77777777" w:rsidR="00F3799C" w:rsidRPr="00420A86" w:rsidRDefault="00F3799C" w:rsidP="00420A86">
      <w:pPr>
        <w:pStyle w:val="Heading2"/>
        <w:spacing w:before="0" w:after="0"/>
        <w:ind w:left="576"/>
        <w:rPr>
          <w:rFonts w:cs="Calibri"/>
          <w:sz w:val="22"/>
          <w:szCs w:val="22"/>
        </w:rPr>
      </w:pPr>
      <w:bookmarkStart w:id="39" w:name="_Toc86064163"/>
      <w:r w:rsidRPr="00420A86">
        <w:rPr>
          <w:rFonts w:cs="Calibri"/>
          <w:sz w:val="22"/>
          <w:szCs w:val="22"/>
        </w:rPr>
        <w:t>Capacity Building</w:t>
      </w:r>
      <w:bookmarkEnd w:id="39"/>
    </w:p>
    <w:p w14:paraId="634C4C51" w14:textId="77777777" w:rsidR="00A84577" w:rsidRPr="00420A86" w:rsidRDefault="00A84577" w:rsidP="00420A86">
      <w:pPr>
        <w:spacing w:before="0" w:after="0"/>
        <w:rPr>
          <w:rFonts w:cs="Calibri"/>
          <w:sz w:val="22"/>
        </w:rPr>
      </w:pPr>
    </w:p>
    <w:p w14:paraId="0118B37E" w14:textId="77777777" w:rsidR="00000222" w:rsidRPr="00420A86" w:rsidRDefault="007D3EF5" w:rsidP="00420A86">
      <w:pPr>
        <w:spacing w:before="0" w:after="0"/>
        <w:rPr>
          <w:rFonts w:cs="Calibri"/>
          <w:sz w:val="22"/>
        </w:rPr>
      </w:pPr>
      <w:r w:rsidRPr="00420A86">
        <w:rPr>
          <w:rFonts w:cs="Calibri"/>
          <w:sz w:val="22"/>
        </w:rPr>
        <w:t>Specialists with</w:t>
      </w:r>
      <w:r w:rsidR="00980CFF" w:rsidRPr="00420A86">
        <w:rPr>
          <w:rFonts w:cs="Calibri"/>
          <w:sz w:val="22"/>
        </w:rPr>
        <w:t xml:space="preserve"> relevant</w:t>
      </w:r>
      <w:r w:rsidRPr="00420A86">
        <w:rPr>
          <w:rFonts w:cs="Calibri"/>
          <w:sz w:val="22"/>
        </w:rPr>
        <w:t xml:space="preserve"> expertise in social and environmental safeguards will be engaged to support the completion of </w:t>
      </w:r>
      <w:r w:rsidR="00461ECD" w:rsidRPr="00420A86">
        <w:rPr>
          <w:rFonts w:cs="Calibri"/>
          <w:sz w:val="22"/>
        </w:rPr>
        <w:t>targeted</w:t>
      </w:r>
      <w:r w:rsidR="00980CFF" w:rsidRPr="00420A86">
        <w:rPr>
          <w:rFonts w:cs="Calibri"/>
          <w:sz w:val="22"/>
        </w:rPr>
        <w:t xml:space="preserve"> assessment</w:t>
      </w:r>
      <w:r w:rsidR="00461ECD" w:rsidRPr="00420A86">
        <w:rPr>
          <w:rFonts w:cs="Calibri"/>
          <w:sz w:val="22"/>
        </w:rPr>
        <w:t xml:space="preserve">, and the </w:t>
      </w:r>
      <w:r w:rsidRPr="00420A86">
        <w:rPr>
          <w:rFonts w:cs="Calibri"/>
          <w:sz w:val="22"/>
        </w:rPr>
        <w:t xml:space="preserve">subsequent development of </w:t>
      </w:r>
      <w:r w:rsidR="00793B90" w:rsidRPr="00420A86">
        <w:rPr>
          <w:rFonts w:cs="Calibri"/>
          <w:sz w:val="22"/>
        </w:rPr>
        <w:t xml:space="preserve">any </w:t>
      </w:r>
      <w:r w:rsidRPr="00420A86">
        <w:rPr>
          <w:rFonts w:cs="Calibri"/>
          <w:sz w:val="22"/>
        </w:rPr>
        <w:t>stand-al</w:t>
      </w:r>
      <w:r w:rsidR="00793B90" w:rsidRPr="00420A86">
        <w:rPr>
          <w:rFonts w:cs="Calibri"/>
          <w:sz w:val="22"/>
        </w:rPr>
        <w:t>one management plans</w:t>
      </w:r>
      <w:r w:rsidRPr="00420A86">
        <w:rPr>
          <w:rFonts w:cs="Calibri"/>
          <w:sz w:val="22"/>
        </w:rPr>
        <w:t>.</w:t>
      </w:r>
      <w:r w:rsidR="001D5258" w:rsidRPr="00420A86">
        <w:rPr>
          <w:rFonts w:cs="Calibri"/>
          <w:sz w:val="22"/>
        </w:rPr>
        <w:t xml:space="preserve"> These experts will offer an induction session for Project Management Units (and implementing partners, as needed) on safeguards responsibilities and approaches. </w:t>
      </w:r>
    </w:p>
    <w:p w14:paraId="2BAAAA1D" w14:textId="77777777" w:rsidR="00A84577" w:rsidRPr="00420A86" w:rsidRDefault="00A84577" w:rsidP="00420A86">
      <w:pPr>
        <w:spacing w:before="0" w:after="0"/>
        <w:rPr>
          <w:rFonts w:cs="Calibri"/>
          <w:sz w:val="22"/>
        </w:rPr>
      </w:pPr>
    </w:p>
    <w:p w14:paraId="4D4CDCFF" w14:textId="0CEFF252" w:rsidR="00F3799C" w:rsidRPr="00420A86" w:rsidRDefault="00000222" w:rsidP="6F282195">
      <w:pPr>
        <w:spacing w:before="0" w:after="0"/>
        <w:rPr>
          <w:rFonts w:cs="Calibri"/>
          <w:sz w:val="22"/>
        </w:rPr>
      </w:pPr>
      <w:r w:rsidRPr="6F282195">
        <w:rPr>
          <w:rFonts w:cs="Calibri"/>
          <w:sz w:val="22"/>
        </w:rPr>
        <w:t xml:space="preserve">The </w:t>
      </w:r>
      <w:r w:rsidR="001D5258" w:rsidRPr="6F282195">
        <w:rPr>
          <w:rFonts w:cs="Calibri"/>
          <w:sz w:val="22"/>
        </w:rPr>
        <w:t xml:space="preserve">UNDP-NCE </w:t>
      </w:r>
      <w:r w:rsidR="008B0658" w:rsidRPr="6F282195">
        <w:rPr>
          <w:rFonts w:cs="Calibri"/>
          <w:sz w:val="22"/>
        </w:rPr>
        <w:t>U</w:t>
      </w:r>
      <w:r w:rsidRPr="6F282195">
        <w:rPr>
          <w:rFonts w:cs="Calibri"/>
          <w:sz w:val="22"/>
        </w:rPr>
        <w:t>nit</w:t>
      </w:r>
      <w:r w:rsidR="001D5258" w:rsidRPr="6F282195">
        <w:rPr>
          <w:rFonts w:cs="Calibri"/>
          <w:sz w:val="22"/>
        </w:rPr>
        <w:t xml:space="preserve"> will provide advice to project teams as needed to support the implementation of this ESMF and the preparation, </w:t>
      </w:r>
      <w:r w:rsidR="00296E36" w:rsidRPr="6F282195">
        <w:rPr>
          <w:rFonts w:cs="Calibri"/>
          <w:sz w:val="22"/>
        </w:rPr>
        <w:t>implementation,</w:t>
      </w:r>
      <w:r w:rsidR="001D5258" w:rsidRPr="6F282195">
        <w:rPr>
          <w:rFonts w:cs="Calibri"/>
          <w:sz w:val="22"/>
        </w:rPr>
        <w:t xml:space="preserve"> and monitoring of social and environmental management plans/measures.</w:t>
      </w:r>
    </w:p>
    <w:p w14:paraId="18C70C67" w14:textId="77777777" w:rsidR="00A84577" w:rsidRPr="00420A86" w:rsidRDefault="00A84577" w:rsidP="00420A86">
      <w:pPr>
        <w:autoSpaceDE w:val="0"/>
        <w:autoSpaceDN w:val="0"/>
        <w:adjustRightInd w:val="0"/>
        <w:spacing w:before="0" w:after="0"/>
        <w:rPr>
          <w:rFonts w:cs="Calibri"/>
          <w:color w:val="000000"/>
          <w:sz w:val="22"/>
        </w:rPr>
      </w:pPr>
    </w:p>
    <w:p w14:paraId="27337A7A" w14:textId="77777777" w:rsidR="001D5258" w:rsidRPr="00420A86" w:rsidRDefault="001D5258" w:rsidP="00420A86">
      <w:pPr>
        <w:autoSpaceDE w:val="0"/>
        <w:autoSpaceDN w:val="0"/>
        <w:adjustRightInd w:val="0"/>
        <w:spacing w:before="0" w:after="0"/>
        <w:rPr>
          <w:rFonts w:cs="Calibri"/>
          <w:color w:val="000000"/>
          <w:sz w:val="22"/>
        </w:rPr>
      </w:pPr>
      <w:r w:rsidRPr="00420A86">
        <w:rPr>
          <w:rFonts w:cs="Calibri"/>
          <w:color w:val="000000"/>
          <w:sz w:val="22"/>
        </w:rPr>
        <w:t xml:space="preserve">Project Steering Committee will have the final responsibility for the integration of </w:t>
      </w:r>
      <w:r w:rsidR="00F8374C" w:rsidRPr="00420A86">
        <w:rPr>
          <w:rFonts w:cs="Calibri"/>
          <w:color w:val="000000"/>
          <w:sz w:val="22"/>
        </w:rPr>
        <w:t xml:space="preserve">a </w:t>
      </w:r>
      <w:r w:rsidR="00793B90" w:rsidRPr="00420A86">
        <w:rPr>
          <w:rFonts w:cs="Calibri"/>
          <w:color w:val="000000"/>
          <w:sz w:val="22"/>
        </w:rPr>
        <w:t xml:space="preserve">stand-alone management plan </w:t>
      </w:r>
      <w:r w:rsidRPr="00420A86">
        <w:rPr>
          <w:rFonts w:cs="Calibri"/>
          <w:color w:val="000000"/>
          <w:sz w:val="22"/>
        </w:rPr>
        <w:t xml:space="preserve">in the execution of the project. The integration of </w:t>
      </w:r>
      <w:r w:rsidR="00F8374C" w:rsidRPr="00420A86">
        <w:rPr>
          <w:rFonts w:cs="Calibri"/>
          <w:color w:val="000000"/>
          <w:sz w:val="22"/>
        </w:rPr>
        <w:t>that plan</w:t>
      </w:r>
      <w:r w:rsidRPr="00420A86">
        <w:rPr>
          <w:rFonts w:cs="Calibri"/>
          <w:color w:val="000000"/>
          <w:sz w:val="22"/>
        </w:rPr>
        <w:t xml:space="preserve"> will need to consider particular institutional needs, including a review of the required budget allocations for each </w:t>
      </w:r>
      <w:r w:rsidR="00355E0F" w:rsidRPr="00420A86">
        <w:rPr>
          <w:rFonts w:cs="Calibri"/>
          <w:color w:val="000000"/>
          <w:sz w:val="22"/>
        </w:rPr>
        <w:t>measure</w:t>
      </w:r>
      <w:r w:rsidRPr="00420A86">
        <w:rPr>
          <w:rFonts w:cs="Calibri"/>
          <w:color w:val="000000"/>
          <w:sz w:val="22"/>
        </w:rPr>
        <w:t>, as well as the authority and capability of institutions at different administrative levels (</w:t>
      </w:r>
      <w:proofErr w:type="gramStart"/>
      <w:r w:rsidRPr="00420A86">
        <w:rPr>
          <w:rFonts w:cs="Calibri"/>
          <w:color w:val="000000"/>
          <w:sz w:val="22"/>
        </w:rPr>
        <w:t>e.g.</w:t>
      </w:r>
      <w:proofErr w:type="gramEnd"/>
      <w:r w:rsidRPr="00420A86">
        <w:rPr>
          <w:rFonts w:cs="Calibri"/>
          <w:color w:val="000000"/>
          <w:sz w:val="22"/>
        </w:rPr>
        <w:t xml:space="preserve"> local, regional, and national), and their capacity to manage and monitor </w:t>
      </w:r>
      <w:r w:rsidR="00F8374C" w:rsidRPr="00420A86">
        <w:rPr>
          <w:rFonts w:cs="Calibri"/>
          <w:color w:val="000000"/>
          <w:sz w:val="22"/>
        </w:rPr>
        <w:t>management plan</w:t>
      </w:r>
      <w:r w:rsidRPr="00420A86">
        <w:rPr>
          <w:rFonts w:cs="Calibri"/>
          <w:color w:val="000000"/>
          <w:sz w:val="22"/>
        </w:rPr>
        <w:t xml:space="preserve"> implementation. Where necessary, capacity building and technical assistance activities will be included to enable proper implementation of the </w:t>
      </w:r>
      <w:r w:rsidR="00F8374C" w:rsidRPr="00420A86">
        <w:rPr>
          <w:rFonts w:cs="Calibri"/>
          <w:color w:val="000000"/>
          <w:sz w:val="22"/>
        </w:rPr>
        <w:t>management plan</w:t>
      </w:r>
      <w:r w:rsidRPr="00420A86">
        <w:rPr>
          <w:rFonts w:cs="Calibri"/>
          <w:color w:val="000000"/>
          <w:sz w:val="22"/>
        </w:rPr>
        <w:t>.</w:t>
      </w:r>
    </w:p>
    <w:p w14:paraId="7CEE507D" w14:textId="77777777" w:rsidR="00A84577" w:rsidRPr="00420A86" w:rsidRDefault="00A84577" w:rsidP="00F52D98"/>
    <w:p w14:paraId="5D92D820" w14:textId="77777777" w:rsidR="004C1158" w:rsidRPr="00420A86" w:rsidRDefault="004C1158" w:rsidP="00420A86">
      <w:pPr>
        <w:pStyle w:val="Heading1"/>
        <w:spacing w:before="0" w:after="0"/>
        <w:rPr>
          <w:rFonts w:cs="Calibri"/>
          <w:color w:val="002060"/>
          <w:sz w:val="22"/>
          <w:szCs w:val="22"/>
        </w:rPr>
      </w:pPr>
      <w:bookmarkStart w:id="40" w:name="_Toc86064164"/>
      <w:r w:rsidRPr="00420A86">
        <w:rPr>
          <w:rFonts w:cs="Calibri"/>
          <w:color w:val="002060"/>
          <w:sz w:val="22"/>
          <w:szCs w:val="22"/>
        </w:rPr>
        <w:t xml:space="preserve">Stakeholder </w:t>
      </w:r>
      <w:r w:rsidR="00D431D6">
        <w:rPr>
          <w:rFonts w:cs="Calibri"/>
          <w:color w:val="002060"/>
          <w:sz w:val="22"/>
          <w:szCs w:val="22"/>
        </w:rPr>
        <w:t>E</w:t>
      </w:r>
      <w:r w:rsidRPr="00420A86">
        <w:rPr>
          <w:rFonts w:cs="Calibri"/>
          <w:color w:val="002060"/>
          <w:sz w:val="22"/>
          <w:szCs w:val="22"/>
        </w:rPr>
        <w:t xml:space="preserve">ngagement and </w:t>
      </w:r>
      <w:r w:rsidR="00D431D6">
        <w:rPr>
          <w:rFonts w:cs="Calibri"/>
          <w:color w:val="002060"/>
          <w:sz w:val="22"/>
          <w:szCs w:val="22"/>
        </w:rPr>
        <w:t>I</w:t>
      </w:r>
      <w:r w:rsidRPr="00420A86">
        <w:rPr>
          <w:rFonts w:cs="Calibri"/>
          <w:color w:val="002060"/>
          <w:sz w:val="22"/>
          <w:szCs w:val="22"/>
        </w:rPr>
        <w:t xml:space="preserve">nformation </w:t>
      </w:r>
      <w:r w:rsidR="00D431D6">
        <w:rPr>
          <w:rFonts w:cs="Calibri"/>
          <w:color w:val="002060"/>
          <w:sz w:val="22"/>
          <w:szCs w:val="22"/>
        </w:rPr>
        <w:t>D</w:t>
      </w:r>
      <w:r w:rsidRPr="00420A86">
        <w:rPr>
          <w:rFonts w:cs="Calibri"/>
          <w:color w:val="002060"/>
          <w:sz w:val="22"/>
          <w:szCs w:val="22"/>
        </w:rPr>
        <w:t>isclosure</w:t>
      </w:r>
      <w:bookmarkEnd w:id="40"/>
    </w:p>
    <w:p w14:paraId="657A2242" w14:textId="77777777" w:rsidR="00A84577" w:rsidRPr="00420A86" w:rsidRDefault="00A84577" w:rsidP="00420A86">
      <w:pPr>
        <w:spacing w:before="0" w:after="0"/>
        <w:rPr>
          <w:rFonts w:cs="Calibri"/>
          <w:sz w:val="22"/>
        </w:rPr>
      </w:pPr>
    </w:p>
    <w:p w14:paraId="198127A1" w14:textId="77777777" w:rsidR="004C1158" w:rsidRPr="00420A86" w:rsidRDefault="00000222" w:rsidP="00420A86">
      <w:pPr>
        <w:spacing w:before="0" w:after="0"/>
        <w:rPr>
          <w:rFonts w:cs="Calibri"/>
          <w:sz w:val="22"/>
        </w:rPr>
      </w:pPr>
      <w:r w:rsidRPr="00420A86">
        <w:rPr>
          <w:rFonts w:cs="Calibri"/>
          <w:sz w:val="22"/>
        </w:rPr>
        <w:t xml:space="preserve">Discussions with project stakeholders, including local communities at project sites, commenced during the project development phase of each project. </w:t>
      </w:r>
      <w:r w:rsidRPr="00420A86">
        <w:rPr>
          <w:rFonts w:cs="Calibri"/>
          <w:b/>
          <w:sz w:val="22"/>
        </w:rPr>
        <w:t xml:space="preserve">A list of the stakeholders engaged in these consultations </w:t>
      </w:r>
      <w:r w:rsidR="00AA4F99" w:rsidRPr="00420A86">
        <w:rPr>
          <w:rFonts w:cs="Calibri"/>
          <w:b/>
          <w:sz w:val="22"/>
        </w:rPr>
        <w:t>should be</w:t>
      </w:r>
      <w:r w:rsidRPr="00420A86">
        <w:rPr>
          <w:rFonts w:cs="Calibri"/>
          <w:sz w:val="22"/>
        </w:rPr>
        <w:t xml:space="preserve"> </w:t>
      </w:r>
      <w:r w:rsidRPr="00420A86">
        <w:rPr>
          <w:rFonts w:cs="Calibri"/>
          <w:b/>
          <w:sz w:val="22"/>
        </w:rPr>
        <w:t>Annexed to the Project Documents</w:t>
      </w:r>
      <w:r w:rsidRPr="00420A86">
        <w:rPr>
          <w:rFonts w:cs="Calibri"/>
          <w:sz w:val="22"/>
        </w:rPr>
        <w:t xml:space="preserve">. </w:t>
      </w:r>
      <w:r w:rsidR="00AA4F99" w:rsidRPr="00420A86">
        <w:rPr>
          <w:rFonts w:cs="Calibri"/>
          <w:sz w:val="22"/>
        </w:rPr>
        <w:t>The</w:t>
      </w:r>
      <w:r w:rsidRPr="00420A86">
        <w:rPr>
          <w:rFonts w:cs="Calibri"/>
          <w:sz w:val="22"/>
        </w:rPr>
        <w:t xml:space="preserve"> </w:t>
      </w:r>
      <w:proofErr w:type="spellStart"/>
      <w:r w:rsidR="005E4849">
        <w:rPr>
          <w:rFonts w:cs="Calibri"/>
          <w:sz w:val="22"/>
          <w:lang w:eastAsia="zh-CN"/>
        </w:rPr>
        <w:t>PhosChemEE</w:t>
      </w:r>
      <w:proofErr w:type="spellEnd"/>
      <w:r w:rsidR="00F8374C" w:rsidRPr="00420A86">
        <w:rPr>
          <w:rFonts w:cs="Calibri"/>
          <w:sz w:val="22"/>
        </w:rPr>
        <w:t xml:space="preserve"> </w:t>
      </w:r>
      <w:r w:rsidR="00D431D6">
        <w:rPr>
          <w:rFonts w:cs="Calibri"/>
          <w:sz w:val="22"/>
        </w:rPr>
        <w:t>P</w:t>
      </w:r>
      <w:r w:rsidRPr="00420A86">
        <w:rPr>
          <w:rFonts w:cs="Calibri"/>
          <w:sz w:val="22"/>
        </w:rPr>
        <w:t xml:space="preserve">roject also </w:t>
      </w:r>
      <w:r w:rsidR="00980CFF" w:rsidRPr="00420A86">
        <w:rPr>
          <w:rFonts w:cs="Calibri"/>
          <w:sz w:val="22"/>
        </w:rPr>
        <w:t xml:space="preserve">has </w:t>
      </w:r>
      <w:r w:rsidRPr="00420A86">
        <w:rPr>
          <w:rFonts w:cs="Calibri"/>
          <w:sz w:val="22"/>
        </w:rPr>
        <w:t>a</w:t>
      </w:r>
      <w:r w:rsidR="004C1158" w:rsidRPr="00420A86">
        <w:rPr>
          <w:rFonts w:cs="Calibri"/>
          <w:sz w:val="22"/>
        </w:rPr>
        <w:t xml:space="preserve"> Stakeholder Engagement Plan</w:t>
      </w:r>
      <w:r w:rsidR="007977FB" w:rsidRPr="00420A86">
        <w:rPr>
          <w:rFonts w:cs="Calibri"/>
          <w:sz w:val="22"/>
        </w:rPr>
        <w:t xml:space="preserve"> and Gender Action Plan</w:t>
      </w:r>
      <w:r w:rsidR="004C1158" w:rsidRPr="00420A86">
        <w:rPr>
          <w:rFonts w:cs="Calibri"/>
          <w:sz w:val="22"/>
        </w:rPr>
        <w:t xml:space="preserve">, which </w:t>
      </w:r>
      <w:r w:rsidRPr="00420A86">
        <w:rPr>
          <w:rFonts w:cs="Calibri"/>
          <w:sz w:val="22"/>
        </w:rPr>
        <w:t>is</w:t>
      </w:r>
      <w:r w:rsidR="004C1158" w:rsidRPr="00420A86">
        <w:rPr>
          <w:rFonts w:cs="Calibri"/>
          <w:sz w:val="22"/>
        </w:rPr>
        <w:t xml:space="preserve"> annex</w:t>
      </w:r>
      <w:r w:rsidR="0058520B" w:rsidRPr="00420A86">
        <w:rPr>
          <w:rFonts w:cs="Calibri"/>
          <w:sz w:val="22"/>
        </w:rPr>
        <w:t>ed</w:t>
      </w:r>
      <w:r w:rsidR="004C1158" w:rsidRPr="00420A86">
        <w:rPr>
          <w:rFonts w:cs="Calibri"/>
          <w:sz w:val="22"/>
        </w:rPr>
        <w:t xml:space="preserve"> to the Project Document</w:t>
      </w:r>
      <w:r w:rsidR="007977FB" w:rsidRPr="00420A86">
        <w:rPr>
          <w:rFonts w:cs="Calibri"/>
          <w:sz w:val="22"/>
        </w:rPr>
        <w:t>s</w:t>
      </w:r>
      <w:r w:rsidR="004C1158" w:rsidRPr="00420A86">
        <w:rPr>
          <w:rFonts w:cs="Calibri"/>
          <w:sz w:val="22"/>
        </w:rPr>
        <w:t xml:space="preserve">. </w:t>
      </w:r>
      <w:r w:rsidRPr="00420A86">
        <w:rPr>
          <w:rFonts w:cs="Calibri"/>
          <w:sz w:val="22"/>
        </w:rPr>
        <w:t xml:space="preserve">These </w:t>
      </w:r>
      <w:r w:rsidR="00980CFF" w:rsidRPr="00420A86">
        <w:rPr>
          <w:rFonts w:cs="Calibri"/>
          <w:sz w:val="22"/>
        </w:rPr>
        <w:t>P</w:t>
      </w:r>
      <w:r w:rsidRPr="00420A86">
        <w:rPr>
          <w:rFonts w:cs="Calibri"/>
          <w:sz w:val="22"/>
        </w:rPr>
        <w:t xml:space="preserve">lans will be followed to ensure that stakeholders are engaged in project implementation and particularly in the further assessment of social and environmental impacts and the development of </w:t>
      </w:r>
      <w:r w:rsidRPr="00420A86">
        <w:rPr>
          <w:rFonts w:cs="Calibri"/>
          <w:sz w:val="22"/>
        </w:rPr>
        <w:lastRenderedPageBreak/>
        <w:t xml:space="preserve">appropriate management </w:t>
      </w:r>
      <w:r w:rsidR="00355E0F" w:rsidRPr="00420A86">
        <w:rPr>
          <w:rFonts w:cs="Calibri"/>
          <w:sz w:val="22"/>
        </w:rPr>
        <w:t>measures</w:t>
      </w:r>
      <w:r w:rsidRPr="00420A86">
        <w:rPr>
          <w:rFonts w:cs="Calibri"/>
          <w:sz w:val="22"/>
        </w:rPr>
        <w:t xml:space="preserve">. </w:t>
      </w:r>
      <w:r w:rsidR="00C51A46" w:rsidRPr="00420A86">
        <w:rPr>
          <w:rFonts w:cs="Calibri"/>
          <w:sz w:val="22"/>
        </w:rPr>
        <w:t xml:space="preserve">The </w:t>
      </w:r>
      <w:r w:rsidRPr="00420A86">
        <w:rPr>
          <w:rFonts w:cs="Calibri"/>
          <w:sz w:val="22"/>
        </w:rPr>
        <w:t>Project Stakeholder Engagement Plan</w:t>
      </w:r>
      <w:r w:rsidR="004C1158" w:rsidRPr="00420A86">
        <w:rPr>
          <w:rFonts w:cs="Calibri"/>
          <w:sz w:val="22"/>
        </w:rPr>
        <w:t xml:space="preserve"> will be updated during project implementation based on the assessments and management plans conducted in line with this ESMF, as needed. </w:t>
      </w:r>
    </w:p>
    <w:p w14:paraId="0ADA0350" w14:textId="77777777" w:rsidR="00A84577" w:rsidRPr="00420A86" w:rsidRDefault="00A84577" w:rsidP="00420A86">
      <w:pPr>
        <w:spacing w:before="0" w:after="0"/>
        <w:rPr>
          <w:rFonts w:cs="Calibri"/>
          <w:sz w:val="22"/>
        </w:rPr>
      </w:pPr>
    </w:p>
    <w:p w14:paraId="68BDD3E6" w14:textId="77777777" w:rsidR="004C1158" w:rsidRPr="00420A86" w:rsidRDefault="002477FF" w:rsidP="00420A86">
      <w:pPr>
        <w:spacing w:before="0" w:after="0"/>
        <w:rPr>
          <w:rFonts w:cs="Calibri"/>
          <w:sz w:val="22"/>
        </w:rPr>
      </w:pPr>
      <w:r w:rsidRPr="00420A86">
        <w:rPr>
          <w:rFonts w:cs="Calibri"/>
          <w:sz w:val="22"/>
        </w:rPr>
        <w:t xml:space="preserve">Potentially affected stakeholders will be engaged during the implementation of this ESMF. </w:t>
      </w:r>
      <w:r w:rsidR="004C1158" w:rsidRPr="00420A86">
        <w:rPr>
          <w:rFonts w:cs="Calibri"/>
          <w:sz w:val="22"/>
        </w:rPr>
        <w:t>As part of the stakeholder engagement process, UNDP’s SES require that project stakeholders have access to relevant information. Specifically, the SES (SES, Policy Delivery Process, para. 21) stipulates that, among other disclosures specified by UNDP’s policies and procedures, UNDP will ensure that the following information be made available:</w:t>
      </w:r>
    </w:p>
    <w:p w14:paraId="55771577" w14:textId="77777777" w:rsidR="00A84577" w:rsidRPr="00420A86" w:rsidRDefault="00A84577" w:rsidP="00420A86">
      <w:pPr>
        <w:spacing w:before="0" w:after="0"/>
        <w:rPr>
          <w:rFonts w:cs="Calibri"/>
          <w:sz w:val="22"/>
        </w:rPr>
      </w:pPr>
    </w:p>
    <w:p w14:paraId="547F5A2F" w14:textId="77777777" w:rsidR="004C1158" w:rsidRPr="00420A86" w:rsidRDefault="004C1158" w:rsidP="00420A86">
      <w:pPr>
        <w:pStyle w:val="ListParagraph"/>
        <w:numPr>
          <w:ilvl w:val="0"/>
          <w:numId w:val="6"/>
        </w:numPr>
        <w:spacing w:before="0" w:after="0"/>
        <w:rPr>
          <w:rFonts w:cs="Calibri"/>
          <w:sz w:val="22"/>
        </w:rPr>
      </w:pPr>
      <w:r w:rsidRPr="00420A86">
        <w:rPr>
          <w:rFonts w:cs="Calibri"/>
          <w:sz w:val="22"/>
        </w:rPr>
        <w:t>Stakeholder engagement plans and summary reports of stakeholder consultations</w:t>
      </w:r>
    </w:p>
    <w:p w14:paraId="34B3A2C1" w14:textId="77777777" w:rsidR="004C1158" w:rsidRPr="00420A86" w:rsidRDefault="004C1158" w:rsidP="00420A86">
      <w:pPr>
        <w:pStyle w:val="ListParagraph"/>
        <w:numPr>
          <w:ilvl w:val="0"/>
          <w:numId w:val="6"/>
        </w:numPr>
        <w:spacing w:before="0" w:after="0"/>
        <w:rPr>
          <w:rFonts w:cs="Calibri"/>
          <w:sz w:val="22"/>
        </w:rPr>
      </w:pPr>
      <w:r w:rsidRPr="00420A86">
        <w:rPr>
          <w:rFonts w:cs="Calibri"/>
          <w:sz w:val="22"/>
        </w:rPr>
        <w:t>Social and environmental screening reports with project documentation</w:t>
      </w:r>
    </w:p>
    <w:p w14:paraId="6A778C3E" w14:textId="77777777" w:rsidR="004C1158" w:rsidRPr="00420A86" w:rsidRDefault="004C1158" w:rsidP="00420A86">
      <w:pPr>
        <w:pStyle w:val="ListParagraph"/>
        <w:numPr>
          <w:ilvl w:val="0"/>
          <w:numId w:val="6"/>
        </w:numPr>
        <w:spacing w:before="0" w:after="0"/>
        <w:rPr>
          <w:rFonts w:cs="Calibri"/>
          <w:sz w:val="22"/>
        </w:rPr>
      </w:pPr>
      <w:r w:rsidRPr="00420A86">
        <w:rPr>
          <w:rFonts w:cs="Calibri"/>
          <w:sz w:val="22"/>
        </w:rPr>
        <w:t xml:space="preserve">Draft social and environmental assessments, including any draft management </w:t>
      </w:r>
      <w:r w:rsidR="00296E36" w:rsidRPr="00420A86">
        <w:rPr>
          <w:rFonts w:cs="Calibri"/>
          <w:sz w:val="22"/>
        </w:rPr>
        <w:t>plans.</w:t>
      </w:r>
    </w:p>
    <w:p w14:paraId="074C2754" w14:textId="77777777" w:rsidR="007D3EF5" w:rsidRPr="00420A86" w:rsidRDefault="004C1158" w:rsidP="00420A86">
      <w:pPr>
        <w:pStyle w:val="ListParagraph"/>
        <w:numPr>
          <w:ilvl w:val="0"/>
          <w:numId w:val="6"/>
        </w:numPr>
        <w:spacing w:before="0" w:after="0"/>
        <w:rPr>
          <w:rFonts w:cs="Calibri"/>
          <w:sz w:val="22"/>
        </w:rPr>
      </w:pPr>
      <w:r w:rsidRPr="00420A86">
        <w:rPr>
          <w:rFonts w:cs="Calibri"/>
          <w:sz w:val="22"/>
        </w:rPr>
        <w:t>Final social and environmental assessments and associated management plans</w:t>
      </w:r>
    </w:p>
    <w:p w14:paraId="0F8D7E36" w14:textId="77777777" w:rsidR="004C1158" w:rsidRPr="00420A86" w:rsidRDefault="004C1158" w:rsidP="00420A86">
      <w:pPr>
        <w:pStyle w:val="ListParagraph"/>
        <w:numPr>
          <w:ilvl w:val="0"/>
          <w:numId w:val="6"/>
        </w:numPr>
        <w:spacing w:before="0" w:after="0"/>
        <w:rPr>
          <w:rFonts w:cs="Calibri"/>
          <w:sz w:val="22"/>
        </w:rPr>
      </w:pPr>
      <w:r w:rsidRPr="00420A86">
        <w:rPr>
          <w:rFonts w:cs="Calibri"/>
          <w:sz w:val="22"/>
        </w:rPr>
        <w:t>Any required social and environmental monitoring reports.</w:t>
      </w:r>
    </w:p>
    <w:p w14:paraId="422F960A" w14:textId="77777777" w:rsidR="00A84577" w:rsidRPr="00420A86" w:rsidRDefault="00A84577" w:rsidP="00420A86">
      <w:pPr>
        <w:spacing w:before="0" w:after="0"/>
        <w:rPr>
          <w:rFonts w:cs="Calibri"/>
          <w:sz w:val="22"/>
        </w:rPr>
      </w:pPr>
    </w:p>
    <w:p w14:paraId="369BCEDB" w14:textId="77777777" w:rsidR="004C1158" w:rsidRPr="00420A86" w:rsidRDefault="004C1158" w:rsidP="00420A86">
      <w:pPr>
        <w:spacing w:before="0" w:after="0"/>
        <w:rPr>
          <w:rFonts w:cs="Calibri"/>
          <w:sz w:val="22"/>
        </w:rPr>
      </w:pPr>
      <w:r w:rsidRPr="00420A86">
        <w:rPr>
          <w:rFonts w:cs="Calibri"/>
          <w:sz w:val="22"/>
        </w:rPr>
        <w:t xml:space="preserve">As outlined in the SES and UNDP’s Social and Environmental Screening Procedure (SESP), the type and timing of assessments and management plans vary depending </w:t>
      </w:r>
      <w:proofErr w:type="gramStart"/>
      <w:r w:rsidRPr="00420A86">
        <w:rPr>
          <w:rFonts w:cs="Calibri"/>
          <w:sz w:val="22"/>
        </w:rPr>
        <w:t>of</w:t>
      </w:r>
      <w:proofErr w:type="gramEnd"/>
      <w:r w:rsidRPr="00420A86">
        <w:rPr>
          <w:rFonts w:cs="Calibri"/>
          <w:sz w:val="22"/>
        </w:rPr>
        <w:t xml:space="preserve"> the level of social and environmental risk associated with </w:t>
      </w:r>
      <w:r w:rsidR="00056384" w:rsidRPr="00420A86">
        <w:rPr>
          <w:rFonts w:cs="Calibri"/>
          <w:sz w:val="22"/>
        </w:rPr>
        <w:t>the</w:t>
      </w:r>
      <w:r w:rsidRPr="00420A86">
        <w:rPr>
          <w:rFonts w:cs="Calibri"/>
          <w:sz w:val="22"/>
        </w:rPr>
        <w:t xml:space="preserve"> project as well as timing of the social and environmental assessment.</w:t>
      </w:r>
    </w:p>
    <w:p w14:paraId="125B7D81" w14:textId="77777777" w:rsidR="00A84577" w:rsidRPr="00420A86" w:rsidRDefault="00A84577" w:rsidP="00420A86">
      <w:pPr>
        <w:spacing w:before="0" w:after="0"/>
        <w:rPr>
          <w:rFonts w:cs="Calibri"/>
          <w:sz w:val="22"/>
        </w:rPr>
      </w:pPr>
    </w:p>
    <w:p w14:paraId="5AEA7E73" w14:textId="77777777" w:rsidR="00841388" w:rsidRPr="00420A86" w:rsidRDefault="00841388" w:rsidP="00420A86">
      <w:pPr>
        <w:spacing w:before="0" w:after="0"/>
        <w:rPr>
          <w:rFonts w:cs="Calibri"/>
          <w:sz w:val="22"/>
        </w:rPr>
      </w:pPr>
      <w:r w:rsidRPr="00420A86">
        <w:rPr>
          <w:rFonts w:cs="Calibri"/>
          <w:sz w:val="22"/>
        </w:rPr>
        <w:t xml:space="preserve">This ESMF (and project SESP) </w:t>
      </w:r>
      <w:r w:rsidR="00EE4FD3" w:rsidRPr="00420A86">
        <w:rPr>
          <w:rFonts w:cs="Calibri"/>
          <w:sz w:val="22"/>
        </w:rPr>
        <w:t>will be</w:t>
      </w:r>
      <w:r w:rsidRPr="00420A86">
        <w:rPr>
          <w:rFonts w:cs="Calibri"/>
          <w:sz w:val="22"/>
        </w:rPr>
        <w:t xml:space="preserve"> disclosed</w:t>
      </w:r>
      <w:r w:rsidR="0011340A" w:rsidRPr="00420A86">
        <w:rPr>
          <w:rFonts w:cs="Calibri"/>
          <w:sz w:val="22"/>
        </w:rPr>
        <w:t xml:space="preserve"> via the UNDP China website</w:t>
      </w:r>
      <w:r w:rsidR="00EE4FD3" w:rsidRPr="00420A86">
        <w:rPr>
          <w:rFonts w:cs="Calibri"/>
          <w:sz w:val="22"/>
        </w:rPr>
        <w:t xml:space="preserve"> in accordance with UNDP SES policy</w:t>
      </w:r>
      <w:r w:rsidRPr="00420A86">
        <w:rPr>
          <w:rFonts w:cs="Calibri"/>
          <w:sz w:val="22"/>
        </w:rPr>
        <w:t xml:space="preserve">. The subsequent project ESMPs </w:t>
      </w:r>
      <w:r w:rsidR="00447D4A" w:rsidRPr="00420A86">
        <w:rPr>
          <w:rFonts w:cs="Calibri"/>
          <w:sz w:val="22"/>
        </w:rPr>
        <w:t>or stand-alone management plan</w:t>
      </w:r>
      <w:r w:rsidR="00F45410" w:rsidRPr="00420A86">
        <w:rPr>
          <w:rFonts w:cs="Calibri"/>
          <w:sz w:val="22"/>
        </w:rPr>
        <w:t xml:space="preserve"> </w:t>
      </w:r>
      <w:r w:rsidRPr="00420A86">
        <w:rPr>
          <w:rFonts w:cs="Calibri"/>
          <w:sz w:val="22"/>
        </w:rPr>
        <w:t xml:space="preserve">will </w:t>
      </w:r>
      <w:r w:rsidR="0011340A" w:rsidRPr="00420A86">
        <w:rPr>
          <w:rFonts w:cs="Calibri"/>
          <w:sz w:val="22"/>
        </w:rPr>
        <w:t xml:space="preserve">also </w:t>
      </w:r>
      <w:r w:rsidRPr="00420A86">
        <w:rPr>
          <w:rFonts w:cs="Calibri"/>
          <w:sz w:val="22"/>
        </w:rPr>
        <w:t xml:space="preserve">be </w:t>
      </w:r>
      <w:r w:rsidR="0011340A" w:rsidRPr="00420A86">
        <w:rPr>
          <w:rFonts w:cs="Calibri"/>
          <w:sz w:val="22"/>
        </w:rPr>
        <w:t xml:space="preserve">publicly </w:t>
      </w:r>
      <w:r w:rsidRPr="00420A86">
        <w:rPr>
          <w:rFonts w:cs="Calibri"/>
          <w:sz w:val="22"/>
        </w:rPr>
        <w:t xml:space="preserve">disclosed </w:t>
      </w:r>
      <w:r w:rsidR="0011340A" w:rsidRPr="00420A86">
        <w:rPr>
          <w:rFonts w:cs="Calibri"/>
          <w:sz w:val="22"/>
        </w:rPr>
        <w:t xml:space="preserve">via the UNDP China website once </w:t>
      </w:r>
      <w:r w:rsidR="00296E36" w:rsidRPr="00420A86">
        <w:rPr>
          <w:rFonts w:cs="Calibri"/>
          <w:sz w:val="22"/>
        </w:rPr>
        <w:t>drafted and</w:t>
      </w:r>
      <w:r w:rsidR="00447D4A" w:rsidRPr="00420A86">
        <w:rPr>
          <w:rFonts w:cs="Calibri"/>
          <w:sz w:val="22"/>
        </w:rPr>
        <w:t xml:space="preserve"> finalized and adopted only after the required </w:t>
      </w:r>
      <w:r w:rsidR="00296E36" w:rsidRPr="00420A86">
        <w:rPr>
          <w:rFonts w:cs="Calibri"/>
          <w:sz w:val="22"/>
        </w:rPr>
        <w:t>time</w:t>
      </w:r>
      <w:r w:rsidR="00447D4A" w:rsidRPr="00420A86">
        <w:rPr>
          <w:rFonts w:cs="Calibri"/>
          <w:sz w:val="22"/>
        </w:rPr>
        <w:t xml:space="preserve"> for disclosure has elapsed</w:t>
      </w:r>
      <w:r w:rsidRPr="00420A86">
        <w:rPr>
          <w:rFonts w:cs="Calibri"/>
          <w:sz w:val="22"/>
        </w:rPr>
        <w:t>.</w:t>
      </w:r>
    </w:p>
    <w:p w14:paraId="7101F1A5" w14:textId="77777777" w:rsidR="00A84577" w:rsidRPr="00420A86" w:rsidRDefault="00A84577" w:rsidP="00420A86">
      <w:pPr>
        <w:spacing w:before="0" w:after="0"/>
        <w:rPr>
          <w:rFonts w:cs="Calibri"/>
          <w:sz w:val="22"/>
        </w:rPr>
      </w:pPr>
    </w:p>
    <w:p w14:paraId="72A0280C" w14:textId="77777777" w:rsidR="004C1158" w:rsidRPr="00420A86" w:rsidRDefault="004C1158" w:rsidP="00420A86">
      <w:pPr>
        <w:spacing w:before="0" w:after="0"/>
        <w:rPr>
          <w:rFonts w:cs="Calibri"/>
          <w:sz w:val="22"/>
        </w:rPr>
      </w:pPr>
      <w:r w:rsidRPr="00420A86">
        <w:rPr>
          <w:rFonts w:cs="Calibri"/>
          <w:sz w:val="22"/>
        </w:rPr>
        <w:t xml:space="preserve">These requirements </w:t>
      </w:r>
      <w:r w:rsidR="00447D4A" w:rsidRPr="00420A86">
        <w:rPr>
          <w:rFonts w:cs="Calibri"/>
          <w:sz w:val="22"/>
        </w:rPr>
        <w:t>for stakeholde</w:t>
      </w:r>
      <w:r w:rsidR="00886C98" w:rsidRPr="00420A86">
        <w:rPr>
          <w:rFonts w:cs="Calibri"/>
          <w:sz w:val="22"/>
        </w:rPr>
        <w:t>r</w:t>
      </w:r>
      <w:r w:rsidR="00447D4A" w:rsidRPr="00420A86">
        <w:rPr>
          <w:rFonts w:cs="Calibri"/>
          <w:sz w:val="22"/>
        </w:rPr>
        <w:t xml:space="preserve"> </w:t>
      </w:r>
      <w:r w:rsidR="003D46B6" w:rsidRPr="00420A86">
        <w:rPr>
          <w:rFonts w:cs="Calibri"/>
          <w:sz w:val="22"/>
        </w:rPr>
        <w:t>engagement</w:t>
      </w:r>
      <w:r w:rsidR="00447D4A" w:rsidRPr="00420A86">
        <w:rPr>
          <w:rFonts w:cs="Calibri"/>
          <w:sz w:val="22"/>
        </w:rPr>
        <w:t xml:space="preserve"> and disclosure </w:t>
      </w:r>
      <w:r w:rsidRPr="00420A86">
        <w:rPr>
          <w:rFonts w:cs="Calibri"/>
          <w:sz w:val="22"/>
        </w:rPr>
        <w:t xml:space="preserve">will be adhered to during the implementation of this ESMF, and the subsequent implementation of the resulting ESMPs and </w:t>
      </w:r>
      <w:r w:rsidR="00000222" w:rsidRPr="00420A86">
        <w:rPr>
          <w:rFonts w:cs="Calibri"/>
          <w:sz w:val="22"/>
        </w:rPr>
        <w:t xml:space="preserve">any </w:t>
      </w:r>
      <w:r w:rsidRPr="00420A86">
        <w:rPr>
          <w:rFonts w:cs="Calibri"/>
          <w:sz w:val="22"/>
        </w:rPr>
        <w:t xml:space="preserve">stand-alone management plans. </w:t>
      </w:r>
    </w:p>
    <w:p w14:paraId="052D3DCA" w14:textId="77777777" w:rsidR="00A84577" w:rsidRPr="00420A86" w:rsidRDefault="00A84577" w:rsidP="00F52D98"/>
    <w:p w14:paraId="33A81160" w14:textId="77777777" w:rsidR="006E6217" w:rsidRPr="00420A86" w:rsidRDefault="006E6217" w:rsidP="00420A86">
      <w:pPr>
        <w:pStyle w:val="Heading1"/>
        <w:spacing w:before="0" w:after="0"/>
        <w:ind w:left="431" w:hanging="431"/>
        <w:rPr>
          <w:rFonts w:cs="Calibri"/>
          <w:color w:val="002060"/>
          <w:sz w:val="22"/>
          <w:szCs w:val="22"/>
        </w:rPr>
      </w:pPr>
      <w:bookmarkStart w:id="41" w:name="_Toc86064165"/>
      <w:r w:rsidRPr="00420A86">
        <w:rPr>
          <w:rFonts w:cs="Calibri"/>
          <w:color w:val="002060"/>
          <w:sz w:val="22"/>
          <w:szCs w:val="22"/>
        </w:rPr>
        <w:t xml:space="preserve">Accountability and Grievance </w:t>
      </w:r>
      <w:r w:rsidR="00814E0E" w:rsidRPr="00420A86">
        <w:rPr>
          <w:rFonts w:cs="Calibri"/>
          <w:color w:val="002060"/>
          <w:sz w:val="22"/>
          <w:szCs w:val="22"/>
        </w:rPr>
        <w:t xml:space="preserve">Redress </w:t>
      </w:r>
      <w:r w:rsidRPr="00420A86">
        <w:rPr>
          <w:rFonts w:cs="Calibri"/>
          <w:color w:val="002060"/>
          <w:sz w:val="22"/>
          <w:szCs w:val="22"/>
        </w:rPr>
        <w:t>Mechanism</w:t>
      </w:r>
      <w:r w:rsidR="00FF0872" w:rsidRPr="00420A86">
        <w:rPr>
          <w:rFonts w:cs="Calibri"/>
          <w:color w:val="002060"/>
          <w:sz w:val="22"/>
          <w:szCs w:val="22"/>
        </w:rPr>
        <w:t>s</w:t>
      </w:r>
      <w:bookmarkEnd w:id="41"/>
    </w:p>
    <w:p w14:paraId="51AF630B" w14:textId="77777777" w:rsidR="00A84577" w:rsidRPr="00420A86" w:rsidRDefault="00A84577" w:rsidP="00F52D98"/>
    <w:p w14:paraId="50778EA9" w14:textId="77777777" w:rsidR="00000222" w:rsidRPr="00420A86" w:rsidRDefault="00000222" w:rsidP="00420A86">
      <w:pPr>
        <w:pStyle w:val="Heading2"/>
        <w:spacing w:before="0" w:after="0"/>
        <w:ind w:left="567" w:hanging="567"/>
        <w:rPr>
          <w:rFonts w:cs="Calibri"/>
          <w:sz w:val="22"/>
          <w:szCs w:val="22"/>
        </w:rPr>
      </w:pPr>
      <w:bookmarkStart w:id="42" w:name="_Toc86064166"/>
      <w:r w:rsidRPr="00420A86">
        <w:rPr>
          <w:rFonts w:cs="Calibri"/>
          <w:sz w:val="22"/>
          <w:szCs w:val="22"/>
        </w:rPr>
        <w:t>UNDP’s Accountability Mechanisms</w:t>
      </w:r>
      <w:bookmarkEnd w:id="42"/>
    </w:p>
    <w:p w14:paraId="15A8D84B" w14:textId="77777777" w:rsidR="00A84577" w:rsidRPr="00420A86" w:rsidRDefault="00A84577" w:rsidP="00420A86">
      <w:pPr>
        <w:spacing w:before="0" w:after="0"/>
        <w:rPr>
          <w:rFonts w:cs="Calibri"/>
          <w:sz w:val="22"/>
        </w:rPr>
      </w:pPr>
    </w:p>
    <w:p w14:paraId="097E6222" w14:textId="77777777" w:rsidR="00000222" w:rsidRPr="00420A86" w:rsidRDefault="00000222" w:rsidP="00420A86">
      <w:pPr>
        <w:spacing w:before="0" w:after="0"/>
        <w:rPr>
          <w:rFonts w:cs="Calibri"/>
          <w:sz w:val="22"/>
        </w:rPr>
      </w:pPr>
      <w:r w:rsidRPr="00420A86">
        <w:rPr>
          <w:rFonts w:cs="Calibri"/>
          <w:sz w:val="22"/>
        </w:rPr>
        <w:t>UNDP’s SES recognize that even with strong planning and stakeholder engagement, unanticipated issues can still arise. Therefore, the SES are underpinned by an Accountability Mechanism with two key components:</w:t>
      </w:r>
    </w:p>
    <w:p w14:paraId="50875E42" w14:textId="77777777" w:rsidR="00A84577" w:rsidRPr="00420A86" w:rsidRDefault="00A84577" w:rsidP="00420A86">
      <w:pPr>
        <w:spacing w:before="0" w:after="0"/>
        <w:rPr>
          <w:rFonts w:cs="Calibri"/>
          <w:sz w:val="22"/>
        </w:rPr>
      </w:pPr>
    </w:p>
    <w:p w14:paraId="7437F4BF" w14:textId="77777777" w:rsidR="00000222" w:rsidRPr="00420A86" w:rsidRDefault="00000222" w:rsidP="00420A86">
      <w:pPr>
        <w:pStyle w:val="ListParagraph"/>
        <w:numPr>
          <w:ilvl w:val="0"/>
          <w:numId w:val="32"/>
        </w:numPr>
        <w:spacing w:before="0" w:after="0"/>
        <w:rPr>
          <w:rFonts w:cs="Calibri"/>
          <w:sz w:val="22"/>
        </w:rPr>
      </w:pPr>
      <w:r w:rsidRPr="00420A86">
        <w:rPr>
          <w:rFonts w:cs="Calibri"/>
          <w:sz w:val="22"/>
        </w:rPr>
        <w:t>A Social and Environmental Compliance Review Unit (SECU) to respond to claims that UNDP is not in compliance with applicable environmental and social policies; and</w:t>
      </w:r>
    </w:p>
    <w:p w14:paraId="21B53D5F" w14:textId="77777777" w:rsidR="00000222" w:rsidRPr="00420A86" w:rsidRDefault="00000222" w:rsidP="00420A86">
      <w:pPr>
        <w:pStyle w:val="ListParagraph"/>
        <w:numPr>
          <w:ilvl w:val="0"/>
          <w:numId w:val="32"/>
        </w:numPr>
        <w:spacing w:before="0" w:after="0"/>
        <w:rPr>
          <w:rFonts w:cs="Calibri"/>
          <w:sz w:val="22"/>
        </w:rPr>
      </w:pPr>
      <w:r w:rsidRPr="00420A86">
        <w:rPr>
          <w:rFonts w:cs="Calibri"/>
          <w:sz w:val="22"/>
        </w:rPr>
        <w:t>A Stakeholder Response Mechanism (SRM) that ensures individuals, peoples, and communities affected by projects have access to appropriate grievance resolution procedures for hearing and addressing project-related complaints and disputes.</w:t>
      </w:r>
    </w:p>
    <w:p w14:paraId="41003443" w14:textId="77777777" w:rsidR="00A84577" w:rsidRPr="00420A86" w:rsidRDefault="00A84577" w:rsidP="00420A86">
      <w:pPr>
        <w:spacing w:before="0" w:after="0"/>
        <w:rPr>
          <w:rFonts w:cs="Calibri"/>
          <w:sz w:val="22"/>
        </w:rPr>
      </w:pPr>
    </w:p>
    <w:p w14:paraId="3FE1C482" w14:textId="77777777" w:rsidR="00000222" w:rsidRDefault="00000222" w:rsidP="00420A86">
      <w:pPr>
        <w:spacing w:before="0" w:after="0"/>
        <w:rPr>
          <w:rFonts w:cs="Calibri"/>
          <w:sz w:val="22"/>
        </w:rPr>
      </w:pPr>
      <w:r w:rsidRPr="00420A86">
        <w:rPr>
          <w:rFonts w:cs="Calibri"/>
          <w:sz w:val="22"/>
        </w:rPr>
        <w:t>UNDP’s Accountability Mechanism is available to all of UNDP’s project stakeholders.</w:t>
      </w:r>
    </w:p>
    <w:p w14:paraId="533C84B8" w14:textId="77777777" w:rsidR="00D431D6" w:rsidRPr="00420A86" w:rsidRDefault="00D431D6" w:rsidP="00420A86">
      <w:pPr>
        <w:spacing w:before="0" w:after="0"/>
        <w:rPr>
          <w:rFonts w:cs="Calibri"/>
          <w:sz w:val="22"/>
        </w:rPr>
      </w:pPr>
    </w:p>
    <w:p w14:paraId="53BC6A59" w14:textId="77777777" w:rsidR="00000222" w:rsidRPr="00420A86" w:rsidRDefault="00000222" w:rsidP="00420A86">
      <w:pPr>
        <w:spacing w:before="0" w:after="0"/>
        <w:rPr>
          <w:rFonts w:cs="Calibri"/>
          <w:sz w:val="22"/>
        </w:rPr>
      </w:pPr>
      <w:r w:rsidRPr="00420A86">
        <w:rPr>
          <w:rFonts w:cs="Calibri"/>
          <w:sz w:val="22"/>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7E48BA8F" w14:textId="77777777" w:rsidR="00A84577" w:rsidRPr="00420A86" w:rsidRDefault="00A84577" w:rsidP="00420A86">
      <w:pPr>
        <w:spacing w:before="0" w:after="0"/>
        <w:rPr>
          <w:rFonts w:cs="Calibri"/>
          <w:sz w:val="22"/>
        </w:rPr>
      </w:pPr>
    </w:p>
    <w:p w14:paraId="472A052C" w14:textId="77777777" w:rsidR="0054131F" w:rsidRPr="00420A86" w:rsidRDefault="00000222" w:rsidP="00420A86">
      <w:pPr>
        <w:spacing w:before="0" w:after="0"/>
        <w:rPr>
          <w:rFonts w:cs="Calibri"/>
          <w:sz w:val="22"/>
        </w:rPr>
      </w:pPr>
      <w:r w:rsidRPr="00420A86">
        <w:rPr>
          <w:rFonts w:cs="Calibri"/>
          <w:sz w:val="22"/>
        </w:rPr>
        <w:lastRenderedPageBreak/>
        <w:t>The Stakeholder Response Mechanism helps project-affected stakeholders, UNDP’s partners (governments, NGOs, businesses) and others jointly address grievances or disputes related to the social and/or environmental impacts of UNDP-supported projects.</w:t>
      </w:r>
    </w:p>
    <w:p w14:paraId="32154153" w14:textId="77777777" w:rsidR="00A84577" w:rsidRPr="00420A86" w:rsidRDefault="00A84577" w:rsidP="00420A86">
      <w:pPr>
        <w:spacing w:before="0" w:after="0"/>
        <w:rPr>
          <w:rFonts w:cs="Calibri"/>
          <w:sz w:val="22"/>
        </w:rPr>
      </w:pPr>
    </w:p>
    <w:p w14:paraId="7477ECE8" w14:textId="77777777" w:rsidR="00793B90" w:rsidRPr="00420A86" w:rsidRDefault="00793B90" w:rsidP="00420A86">
      <w:pPr>
        <w:spacing w:before="0" w:after="0"/>
        <w:rPr>
          <w:rFonts w:cs="Calibri"/>
          <w:sz w:val="22"/>
        </w:rPr>
      </w:pPr>
      <w:r w:rsidRPr="00420A86">
        <w:rPr>
          <w:rFonts w:cs="Calibri"/>
          <w:sz w:val="22"/>
        </w:rPr>
        <w:t xml:space="preserve">Further information, including how to submit a request to SECU or SRM, is found </w:t>
      </w:r>
      <w:r w:rsidR="00886C98" w:rsidRPr="00420A86">
        <w:rPr>
          <w:rFonts w:cs="Calibri"/>
          <w:sz w:val="22"/>
        </w:rPr>
        <w:t>on the UNDP website</w:t>
      </w:r>
      <w:r w:rsidR="00694702" w:rsidRPr="00420A86">
        <w:rPr>
          <w:rFonts w:cs="Calibri"/>
          <w:sz w:val="22"/>
        </w:rPr>
        <w:t xml:space="preserve"> at: </w:t>
      </w:r>
      <w:r w:rsidR="00296E36" w:rsidRPr="00420A86">
        <w:rPr>
          <w:rFonts w:cs="Calibri"/>
          <w:sz w:val="22"/>
        </w:rPr>
        <w:t>http://www.undp.org/content/undp/en/home/operations/accountability/secu-srm/.</w:t>
      </w:r>
    </w:p>
    <w:p w14:paraId="37C885BB" w14:textId="77777777" w:rsidR="00A84577" w:rsidRPr="00420A86" w:rsidRDefault="00A84577" w:rsidP="00AE78DF"/>
    <w:p w14:paraId="22BF1DBE" w14:textId="77777777" w:rsidR="008F5B2D" w:rsidRPr="00420A86" w:rsidRDefault="008F5B2D" w:rsidP="00420A86">
      <w:pPr>
        <w:pStyle w:val="Heading2"/>
        <w:spacing w:before="0" w:after="0"/>
        <w:ind w:left="567" w:hanging="567"/>
        <w:rPr>
          <w:rFonts w:cs="Calibri"/>
          <w:sz w:val="22"/>
          <w:szCs w:val="22"/>
        </w:rPr>
      </w:pPr>
      <w:bookmarkStart w:id="43" w:name="_Toc86064167"/>
      <w:r w:rsidRPr="00420A86">
        <w:rPr>
          <w:rFonts w:cs="Calibri"/>
          <w:sz w:val="22"/>
          <w:szCs w:val="22"/>
        </w:rPr>
        <w:t>Project-level Grievance Redress Mechanisms</w:t>
      </w:r>
      <w:bookmarkEnd w:id="43"/>
    </w:p>
    <w:p w14:paraId="18E4CE74" w14:textId="77777777" w:rsidR="00A84577" w:rsidRPr="00420A86" w:rsidRDefault="00A84577" w:rsidP="00420A86">
      <w:pPr>
        <w:spacing w:before="0" w:after="0"/>
        <w:rPr>
          <w:rFonts w:cs="Calibri"/>
          <w:sz w:val="22"/>
        </w:rPr>
      </w:pPr>
    </w:p>
    <w:p w14:paraId="63351A9F" w14:textId="5BBEE45F" w:rsidR="00D31975" w:rsidRDefault="00227335" w:rsidP="00420A86">
      <w:pPr>
        <w:spacing w:before="0" w:after="0"/>
        <w:rPr>
          <w:rFonts w:cs="Calibri"/>
          <w:sz w:val="22"/>
        </w:rPr>
      </w:pPr>
      <w:r>
        <w:rPr>
          <w:rFonts w:cs="Calibri"/>
          <w:sz w:val="22"/>
        </w:rPr>
        <w:t xml:space="preserve">The Project Management Office (PMO) shall establish </w:t>
      </w:r>
      <w:r w:rsidR="008F5B2D" w:rsidRPr="00420A86">
        <w:rPr>
          <w:rFonts w:cs="Calibri"/>
          <w:sz w:val="22"/>
        </w:rPr>
        <w:t>a project-level Grievance Redress Mechanism</w:t>
      </w:r>
      <w:r w:rsidR="0054131F" w:rsidRPr="00420A86">
        <w:rPr>
          <w:rFonts w:cs="Calibri"/>
          <w:sz w:val="22"/>
        </w:rPr>
        <w:t xml:space="preserve"> (GRM)</w:t>
      </w:r>
      <w:r w:rsidR="008F5B2D" w:rsidRPr="00420A86">
        <w:rPr>
          <w:rFonts w:cs="Calibri"/>
          <w:sz w:val="22"/>
        </w:rPr>
        <w:t xml:space="preserve"> </w:t>
      </w:r>
      <w:r>
        <w:rPr>
          <w:rFonts w:cs="Calibri"/>
          <w:sz w:val="22"/>
        </w:rPr>
        <w:t>during project inception</w:t>
      </w:r>
      <w:r w:rsidR="008F5B2D" w:rsidRPr="00420A86">
        <w:rPr>
          <w:rFonts w:cs="Calibri"/>
          <w:sz w:val="22"/>
        </w:rPr>
        <w:t xml:space="preserve">. </w:t>
      </w:r>
      <w:r w:rsidR="008E6296" w:rsidRPr="00420A86">
        <w:rPr>
          <w:rFonts w:cs="Calibri"/>
          <w:sz w:val="22"/>
        </w:rPr>
        <w:t xml:space="preserve">The full details of </w:t>
      </w:r>
      <w:r>
        <w:rPr>
          <w:rFonts w:cs="Calibri"/>
          <w:sz w:val="22"/>
        </w:rPr>
        <w:t xml:space="preserve">the </w:t>
      </w:r>
      <w:r w:rsidR="008E6296" w:rsidRPr="00420A86">
        <w:rPr>
          <w:rFonts w:cs="Calibri"/>
          <w:sz w:val="22"/>
        </w:rPr>
        <w:t xml:space="preserve">GRM will be agreed upon during the </w:t>
      </w:r>
      <w:r>
        <w:rPr>
          <w:rFonts w:cs="Calibri"/>
          <w:sz w:val="22"/>
        </w:rPr>
        <w:t>project’s inception phase</w:t>
      </w:r>
      <w:r w:rsidR="008E6296" w:rsidRPr="00420A86">
        <w:rPr>
          <w:rFonts w:cs="Calibri"/>
          <w:sz w:val="22"/>
        </w:rPr>
        <w:t>.</w:t>
      </w:r>
      <w:r w:rsidR="00AE78DF">
        <w:rPr>
          <w:rFonts w:cs="Calibri"/>
          <w:sz w:val="22"/>
        </w:rPr>
        <w:t xml:space="preserve"> </w:t>
      </w:r>
      <w:r w:rsidR="00254E20" w:rsidRPr="00420A86">
        <w:rPr>
          <w:rFonts w:cs="Calibri"/>
          <w:sz w:val="22"/>
        </w:rPr>
        <w:t xml:space="preserve">Interested stakeholders may raise a grievance at any time to the </w:t>
      </w:r>
      <w:r>
        <w:rPr>
          <w:rFonts w:cs="Calibri"/>
          <w:sz w:val="22"/>
        </w:rPr>
        <w:t>PMO</w:t>
      </w:r>
      <w:r w:rsidR="00254E20" w:rsidRPr="00420A86">
        <w:rPr>
          <w:rFonts w:cs="Calibri"/>
          <w:sz w:val="22"/>
        </w:rPr>
        <w:t xml:space="preserve">, </w:t>
      </w:r>
      <w:r w:rsidR="007D501C" w:rsidRPr="00420A86">
        <w:rPr>
          <w:rFonts w:cs="Calibri"/>
          <w:sz w:val="22"/>
        </w:rPr>
        <w:t xml:space="preserve">the Executing Agency, </w:t>
      </w:r>
      <w:r w:rsidR="007D3EF5" w:rsidRPr="00420A86">
        <w:rPr>
          <w:rFonts w:cs="Calibri"/>
          <w:sz w:val="22"/>
        </w:rPr>
        <w:t>Implementing</w:t>
      </w:r>
      <w:r w:rsidR="00254E20" w:rsidRPr="00420A86">
        <w:rPr>
          <w:rFonts w:cs="Calibri"/>
          <w:sz w:val="22"/>
        </w:rPr>
        <w:t xml:space="preserve"> Agency (UNDP), or the GEF.</w:t>
      </w:r>
    </w:p>
    <w:p w14:paraId="454C088C" w14:textId="10F0BC41" w:rsidR="00AE78DF" w:rsidRDefault="00AE78DF" w:rsidP="00420A86">
      <w:pPr>
        <w:spacing w:before="0" w:after="0"/>
        <w:rPr>
          <w:rFonts w:cs="Calibri"/>
          <w:sz w:val="22"/>
        </w:rPr>
      </w:pPr>
    </w:p>
    <w:p w14:paraId="37FCCE74" w14:textId="50E6675C" w:rsidR="00AE78DF" w:rsidRPr="00AE78DF" w:rsidRDefault="00AE78DF" w:rsidP="00AE78DF">
      <w:pPr>
        <w:spacing w:before="0" w:after="0"/>
        <w:rPr>
          <w:rFonts w:cs="Calibri"/>
          <w:sz w:val="22"/>
        </w:rPr>
      </w:pPr>
      <w:r w:rsidRPr="00AE78DF">
        <w:rPr>
          <w:rFonts w:cs="Calibri"/>
          <w:sz w:val="22"/>
        </w:rPr>
        <w:t xml:space="preserve">Main features of the GRM are detailed in </w:t>
      </w:r>
      <w:r w:rsidR="00F52D98">
        <w:rPr>
          <w:rFonts w:cs="Calibri"/>
          <w:sz w:val="22"/>
        </w:rPr>
        <w:fldChar w:fldCharType="begin"/>
      </w:r>
      <w:r w:rsidR="00F52D98">
        <w:rPr>
          <w:rFonts w:cs="Calibri"/>
          <w:sz w:val="22"/>
        </w:rPr>
        <w:instrText xml:space="preserve"> REF _Ref86065363 \h </w:instrText>
      </w:r>
      <w:r w:rsidR="00F52D98">
        <w:rPr>
          <w:rFonts w:cs="Calibri"/>
          <w:sz w:val="22"/>
        </w:rPr>
      </w:r>
      <w:r w:rsidR="00F52D98">
        <w:rPr>
          <w:rFonts w:cs="Calibri"/>
          <w:sz w:val="22"/>
        </w:rPr>
        <w:fldChar w:fldCharType="separate"/>
      </w:r>
      <w:r w:rsidR="00F52D98" w:rsidRPr="00F52D98">
        <w:rPr>
          <w:b/>
          <w:bCs/>
          <w:sz w:val="22"/>
        </w:rPr>
        <w:t xml:space="preserve">Table </w:t>
      </w:r>
      <w:r w:rsidR="00F52D98" w:rsidRPr="00F52D98">
        <w:rPr>
          <w:b/>
          <w:bCs/>
          <w:noProof/>
          <w:sz w:val="22"/>
        </w:rPr>
        <w:t>3</w:t>
      </w:r>
      <w:r w:rsidR="00F52D98">
        <w:rPr>
          <w:rFonts w:cs="Calibri"/>
          <w:sz w:val="22"/>
        </w:rPr>
        <w:fldChar w:fldCharType="end"/>
      </w:r>
      <w:r w:rsidR="00F52D98">
        <w:rPr>
          <w:rFonts w:cs="Calibri"/>
          <w:sz w:val="22"/>
        </w:rPr>
        <w:t xml:space="preserve"> </w:t>
      </w:r>
      <w:r w:rsidRPr="00AE78DF">
        <w:rPr>
          <w:rFonts w:cs="Calibri"/>
          <w:sz w:val="22"/>
        </w:rPr>
        <w:t>below.</w:t>
      </w:r>
      <w:r w:rsidR="00B56255">
        <w:rPr>
          <w:rFonts w:cs="Calibri"/>
          <w:sz w:val="22"/>
        </w:rPr>
        <w:t xml:space="preserve"> Three</w:t>
      </w:r>
      <w:r w:rsidRPr="00AE78DF">
        <w:rPr>
          <w:rFonts w:cs="Calibri"/>
          <w:sz w:val="22"/>
        </w:rPr>
        <w:t xml:space="preserve"> models of GRM are required: </w:t>
      </w:r>
    </w:p>
    <w:p w14:paraId="440237AC" w14:textId="283B8C2F" w:rsidR="00F52D98" w:rsidRDefault="00AE78DF" w:rsidP="00F52D98">
      <w:pPr>
        <w:pStyle w:val="ListParagraph"/>
        <w:numPr>
          <w:ilvl w:val="0"/>
          <w:numId w:val="36"/>
        </w:numPr>
        <w:spacing w:before="0" w:after="0"/>
        <w:rPr>
          <w:rFonts w:cs="Calibri"/>
          <w:sz w:val="22"/>
        </w:rPr>
      </w:pPr>
      <w:r w:rsidRPr="00F52D98">
        <w:rPr>
          <w:rFonts w:cs="Calibri"/>
          <w:sz w:val="22"/>
        </w:rPr>
        <w:t xml:space="preserve">for the redress of grievances submitted by communities in and surrounding the </w:t>
      </w:r>
      <w:r w:rsidR="00981A64" w:rsidRPr="00F52D98">
        <w:rPr>
          <w:rFonts w:cs="Calibri"/>
          <w:sz w:val="22"/>
        </w:rPr>
        <w:t xml:space="preserve">demo </w:t>
      </w:r>
      <w:r w:rsidR="00E56659" w:rsidRPr="00F52D98">
        <w:rPr>
          <w:rFonts w:cs="Calibri"/>
          <w:sz w:val="22"/>
        </w:rPr>
        <w:t>sites.</w:t>
      </w:r>
      <w:r w:rsidRPr="00F52D98">
        <w:rPr>
          <w:rFonts w:cs="Calibri"/>
          <w:sz w:val="22"/>
        </w:rPr>
        <w:t xml:space="preserve"> </w:t>
      </w:r>
    </w:p>
    <w:p w14:paraId="7888F940" w14:textId="2AA8C9ED" w:rsidR="00AE78DF" w:rsidRPr="00F52D98" w:rsidRDefault="00F52D98" w:rsidP="00F52D98">
      <w:pPr>
        <w:pStyle w:val="ListParagraph"/>
        <w:numPr>
          <w:ilvl w:val="0"/>
          <w:numId w:val="36"/>
        </w:numPr>
        <w:spacing w:before="0" w:after="0"/>
        <w:rPr>
          <w:rFonts w:cs="Calibri"/>
          <w:sz w:val="22"/>
        </w:rPr>
      </w:pPr>
      <w:r>
        <w:rPr>
          <w:rFonts w:cs="Calibri"/>
          <w:sz w:val="22"/>
        </w:rPr>
        <w:t xml:space="preserve">for </w:t>
      </w:r>
      <w:r w:rsidRPr="00F52D98">
        <w:rPr>
          <w:rFonts w:cs="Calibri"/>
          <w:sz w:val="22"/>
        </w:rPr>
        <w:t xml:space="preserve">the redress of grievances submitted by </w:t>
      </w:r>
      <w:r>
        <w:rPr>
          <w:rFonts w:cs="Calibri"/>
          <w:sz w:val="22"/>
        </w:rPr>
        <w:t>workers/labour unions</w:t>
      </w:r>
      <w:r w:rsidRPr="00F52D98">
        <w:rPr>
          <w:rFonts w:cs="Calibri"/>
          <w:sz w:val="22"/>
        </w:rPr>
        <w:t xml:space="preserve"> in the demo </w:t>
      </w:r>
      <w:r>
        <w:rPr>
          <w:rFonts w:cs="Calibri"/>
          <w:sz w:val="22"/>
        </w:rPr>
        <w:t>companies</w:t>
      </w:r>
      <w:r w:rsidRPr="00F52D98">
        <w:rPr>
          <w:rFonts w:cs="Calibri"/>
          <w:sz w:val="22"/>
        </w:rPr>
        <w:t>;</w:t>
      </w:r>
      <w:r>
        <w:rPr>
          <w:rFonts w:cs="Calibri"/>
          <w:sz w:val="22"/>
        </w:rPr>
        <w:t xml:space="preserve"> </w:t>
      </w:r>
      <w:r w:rsidR="00AE78DF" w:rsidRPr="00F52D98">
        <w:rPr>
          <w:rFonts w:cs="Calibri"/>
          <w:sz w:val="22"/>
        </w:rPr>
        <w:t xml:space="preserve">and </w:t>
      </w:r>
    </w:p>
    <w:p w14:paraId="39CF0689" w14:textId="745BE0BA" w:rsidR="00AE78DF" w:rsidRPr="00F52D98" w:rsidRDefault="00AE78DF" w:rsidP="00F52D98">
      <w:pPr>
        <w:pStyle w:val="ListParagraph"/>
        <w:numPr>
          <w:ilvl w:val="0"/>
          <w:numId w:val="36"/>
        </w:numPr>
        <w:spacing w:before="0" w:after="0"/>
        <w:rPr>
          <w:rFonts w:cs="Calibri"/>
          <w:sz w:val="22"/>
        </w:rPr>
      </w:pPr>
      <w:r w:rsidRPr="00F52D98">
        <w:rPr>
          <w:rFonts w:cs="Calibri"/>
          <w:sz w:val="22"/>
        </w:rPr>
        <w:t xml:space="preserve">from the wider public. </w:t>
      </w:r>
    </w:p>
    <w:p w14:paraId="7E72B179" w14:textId="3B053F8A" w:rsidR="00AE78DF" w:rsidRDefault="00AE78DF" w:rsidP="00AE78DF">
      <w:pPr>
        <w:spacing w:before="0" w:after="0"/>
        <w:rPr>
          <w:rFonts w:cs="Calibri"/>
          <w:sz w:val="22"/>
        </w:rPr>
      </w:pPr>
      <w:r w:rsidRPr="00AE78DF">
        <w:rPr>
          <w:rFonts w:cs="Calibri"/>
          <w:sz w:val="22"/>
        </w:rPr>
        <w:t xml:space="preserve">The full details of the GRM will be agreed upon during project inception.  </w:t>
      </w:r>
    </w:p>
    <w:p w14:paraId="53635F35" w14:textId="2648586F" w:rsidR="00AE78DF" w:rsidRDefault="00AE78DF" w:rsidP="00AE78DF">
      <w:pPr>
        <w:spacing w:before="0" w:after="0"/>
        <w:rPr>
          <w:rFonts w:cs="Calibri"/>
          <w:sz w:val="22"/>
        </w:rPr>
      </w:pPr>
    </w:p>
    <w:p w14:paraId="2C82C295" w14:textId="77777777" w:rsidR="00AE78DF" w:rsidRDefault="00AE78DF" w:rsidP="00AE78DF">
      <w:pPr>
        <w:spacing w:before="0" w:after="0"/>
        <w:rPr>
          <w:rFonts w:cs="Calibri"/>
          <w:sz w:val="22"/>
        </w:rPr>
        <w:sectPr w:rsidR="00AE78DF" w:rsidSect="00AE78DF">
          <w:pgSz w:w="11907" w:h="16839" w:code="9"/>
          <w:pgMar w:top="1440" w:right="1440" w:bottom="1440" w:left="1440" w:header="576" w:footer="576" w:gutter="0"/>
          <w:cols w:space="720"/>
          <w:docGrid w:linePitch="360"/>
        </w:sectPr>
      </w:pPr>
      <w:r>
        <w:rPr>
          <w:rFonts w:cs="Calibri"/>
          <w:sz w:val="22"/>
        </w:rPr>
        <w:br w:type="page"/>
      </w:r>
    </w:p>
    <w:p w14:paraId="1B1BB20E" w14:textId="7ED0D4DB" w:rsidR="00AE78DF" w:rsidRDefault="00AE78DF" w:rsidP="00AE78DF">
      <w:pPr>
        <w:spacing w:before="0" w:after="0"/>
        <w:rPr>
          <w:rFonts w:cs="Calibri"/>
          <w:sz w:val="22"/>
        </w:rPr>
      </w:pPr>
    </w:p>
    <w:p w14:paraId="5AAF3B24" w14:textId="58ED3AEF" w:rsidR="00AE78DF" w:rsidRPr="00F52D98" w:rsidRDefault="00F52D98" w:rsidP="00F52D98">
      <w:pPr>
        <w:pStyle w:val="Caption"/>
        <w:jc w:val="both"/>
        <w:rPr>
          <w:rFonts w:cs="Calibri"/>
          <w:b/>
          <w:bCs/>
          <w:sz w:val="22"/>
          <w:szCs w:val="22"/>
        </w:rPr>
      </w:pPr>
      <w:bookmarkStart w:id="44" w:name="_Ref86065363"/>
      <w:r w:rsidRPr="00F52D98">
        <w:rPr>
          <w:b/>
          <w:bCs/>
          <w:sz w:val="22"/>
          <w:szCs w:val="22"/>
        </w:rPr>
        <w:t xml:space="preserve">Table </w:t>
      </w:r>
      <w:r w:rsidRPr="00F52D98">
        <w:rPr>
          <w:b/>
          <w:bCs/>
          <w:sz w:val="22"/>
          <w:szCs w:val="22"/>
        </w:rPr>
        <w:fldChar w:fldCharType="begin"/>
      </w:r>
      <w:r w:rsidRPr="00F52D98">
        <w:rPr>
          <w:b/>
          <w:bCs/>
          <w:sz w:val="22"/>
          <w:szCs w:val="22"/>
        </w:rPr>
        <w:instrText xml:space="preserve"> SEQ Table \* ARABIC </w:instrText>
      </w:r>
      <w:r w:rsidRPr="00F52D98">
        <w:rPr>
          <w:b/>
          <w:bCs/>
          <w:sz w:val="22"/>
          <w:szCs w:val="22"/>
        </w:rPr>
        <w:fldChar w:fldCharType="separate"/>
      </w:r>
      <w:r w:rsidRPr="00F52D98">
        <w:rPr>
          <w:b/>
          <w:bCs/>
          <w:noProof/>
          <w:sz w:val="22"/>
          <w:szCs w:val="22"/>
        </w:rPr>
        <w:t>3</w:t>
      </w:r>
      <w:r w:rsidRPr="00F52D98">
        <w:rPr>
          <w:b/>
          <w:bCs/>
          <w:sz w:val="22"/>
          <w:szCs w:val="22"/>
        </w:rPr>
        <w:fldChar w:fldCharType="end"/>
      </w:r>
      <w:bookmarkEnd w:id="44"/>
      <w:r w:rsidRPr="00F52D98">
        <w:rPr>
          <w:rFonts w:cs="Calibri"/>
          <w:b/>
          <w:bCs/>
          <w:sz w:val="22"/>
          <w:szCs w:val="22"/>
        </w:rPr>
        <w:t>.  Grievance Redress Mechanism (Outline)</w:t>
      </w:r>
    </w:p>
    <w:p w14:paraId="0F7CB184" w14:textId="77777777" w:rsidR="00AE78DF" w:rsidRPr="00AE78DF" w:rsidRDefault="00AE78DF" w:rsidP="00AE78DF">
      <w:pPr>
        <w:spacing w:before="0" w:after="0"/>
        <w:rPr>
          <w:rFonts w:cs="Calibri"/>
          <w:sz w:val="22"/>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0"/>
        <w:gridCol w:w="1655"/>
        <w:gridCol w:w="1910"/>
        <w:gridCol w:w="1478"/>
        <w:gridCol w:w="1677"/>
        <w:gridCol w:w="1744"/>
        <w:gridCol w:w="1336"/>
      </w:tblGrid>
      <w:tr w:rsidR="00AE78DF" w:rsidRPr="00AE78DF" w14:paraId="5B508383" w14:textId="77777777" w:rsidTr="00E56659">
        <w:tc>
          <w:tcPr>
            <w:tcW w:w="4536" w:type="dxa"/>
          </w:tcPr>
          <w:p w14:paraId="3DB2DBD6" w14:textId="77777777" w:rsidR="00AE78DF" w:rsidRPr="00AE78DF" w:rsidRDefault="00AE78DF" w:rsidP="00E56659">
            <w:pPr>
              <w:spacing w:before="0" w:after="0"/>
              <w:jc w:val="left"/>
              <w:rPr>
                <w:rFonts w:cs="Calibri"/>
                <w:b/>
                <w:sz w:val="22"/>
              </w:rPr>
            </w:pPr>
            <w:r w:rsidRPr="00AE78DF">
              <w:rPr>
                <w:rFonts w:cs="Calibri"/>
                <w:b/>
                <w:sz w:val="22"/>
              </w:rPr>
              <w:t>Engagement methods and actions</w:t>
            </w:r>
          </w:p>
        </w:tc>
        <w:tc>
          <w:tcPr>
            <w:tcW w:w="1675" w:type="dxa"/>
            <w:gridSpan w:val="2"/>
          </w:tcPr>
          <w:p w14:paraId="11A87424" w14:textId="77777777" w:rsidR="00AE78DF" w:rsidRPr="00AE78DF" w:rsidRDefault="00AE78DF" w:rsidP="00E56659">
            <w:pPr>
              <w:spacing w:before="0" w:after="0"/>
              <w:jc w:val="left"/>
              <w:rPr>
                <w:rFonts w:cs="Calibri"/>
                <w:b/>
                <w:sz w:val="22"/>
              </w:rPr>
            </w:pPr>
            <w:r w:rsidRPr="00AE78DF">
              <w:rPr>
                <w:rFonts w:cs="Calibri"/>
                <w:b/>
                <w:sz w:val="22"/>
              </w:rPr>
              <w:t>Objectives</w:t>
            </w:r>
          </w:p>
        </w:tc>
        <w:tc>
          <w:tcPr>
            <w:tcW w:w="1910" w:type="dxa"/>
          </w:tcPr>
          <w:p w14:paraId="067C42ED" w14:textId="77777777" w:rsidR="00AE78DF" w:rsidRPr="00AE78DF" w:rsidRDefault="00AE78DF" w:rsidP="00E56659">
            <w:pPr>
              <w:spacing w:before="0" w:after="0"/>
              <w:jc w:val="left"/>
              <w:rPr>
                <w:rFonts w:cs="Calibri"/>
                <w:b/>
                <w:sz w:val="22"/>
              </w:rPr>
            </w:pPr>
            <w:r w:rsidRPr="00AE78DF">
              <w:rPr>
                <w:rFonts w:cs="Calibri"/>
                <w:b/>
                <w:sz w:val="22"/>
              </w:rPr>
              <w:t>Key Stakeholders being engaged</w:t>
            </w:r>
          </w:p>
        </w:tc>
        <w:tc>
          <w:tcPr>
            <w:tcW w:w="1478" w:type="dxa"/>
          </w:tcPr>
          <w:p w14:paraId="68203A43" w14:textId="77777777" w:rsidR="00AE78DF" w:rsidRPr="00AE78DF" w:rsidRDefault="00AE78DF" w:rsidP="00E56659">
            <w:pPr>
              <w:spacing w:before="0" w:after="0"/>
              <w:jc w:val="left"/>
              <w:rPr>
                <w:rFonts w:cs="Calibri"/>
                <w:b/>
                <w:sz w:val="22"/>
              </w:rPr>
            </w:pPr>
            <w:r w:rsidRPr="00AE78DF">
              <w:rPr>
                <w:rFonts w:cs="Calibri"/>
                <w:b/>
                <w:sz w:val="22"/>
              </w:rPr>
              <w:t>Main responsible agencies</w:t>
            </w:r>
          </w:p>
        </w:tc>
        <w:tc>
          <w:tcPr>
            <w:tcW w:w="1677" w:type="dxa"/>
          </w:tcPr>
          <w:p w14:paraId="37681713" w14:textId="77777777" w:rsidR="00AE78DF" w:rsidRPr="00AE78DF" w:rsidRDefault="00AE78DF" w:rsidP="00E56659">
            <w:pPr>
              <w:spacing w:before="0" w:after="0"/>
              <w:jc w:val="left"/>
              <w:rPr>
                <w:rFonts w:cs="Calibri"/>
                <w:b/>
                <w:sz w:val="22"/>
              </w:rPr>
            </w:pPr>
            <w:r w:rsidRPr="00AE78DF">
              <w:rPr>
                <w:rFonts w:cs="Calibri"/>
                <w:b/>
                <w:sz w:val="22"/>
              </w:rPr>
              <w:t>Location</w:t>
            </w:r>
          </w:p>
        </w:tc>
        <w:tc>
          <w:tcPr>
            <w:tcW w:w="1744" w:type="dxa"/>
          </w:tcPr>
          <w:p w14:paraId="2F49FB9C" w14:textId="77777777" w:rsidR="00AE78DF" w:rsidRPr="00AE78DF" w:rsidRDefault="00AE78DF" w:rsidP="00E56659">
            <w:pPr>
              <w:spacing w:before="0" w:after="0"/>
              <w:jc w:val="left"/>
              <w:rPr>
                <w:rFonts w:cs="Calibri"/>
                <w:b/>
                <w:sz w:val="22"/>
              </w:rPr>
            </w:pPr>
            <w:r w:rsidRPr="00AE78DF">
              <w:rPr>
                <w:rFonts w:cs="Calibri"/>
                <w:b/>
                <w:sz w:val="22"/>
              </w:rPr>
              <w:t>Time</w:t>
            </w:r>
          </w:p>
        </w:tc>
        <w:tc>
          <w:tcPr>
            <w:tcW w:w="1336" w:type="dxa"/>
          </w:tcPr>
          <w:p w14:paraId="444662FE" w14:textId="77777777" w:rsidR="00AE78DF" w:rsidRPr="00AE78DF" w:rsidRDefault="00AE78DF" w:rsidP="00E56659">
            <w:pPr>
              <w:spacing w:before="0" w:after="0"/>
              <w:jc w:val="left"/>
              <w:rPr>
                <w:rFonts w:cs="Calibri"/>
                <w:b/>
                <w:sz w:val="22"/>
              </w:rPr>
            </w:pPr>
            <w:r w:rsidRPr="00AE78DF">
              <w:rPr>
                <w:rFonts w:cs="Calibri"/>
                <w:b/>
                <w:sz w:val="22"/>
              </w:rPr>
              <w:t xml:space="preserve">Resources </w:t>
            </w:r>
          </w:p>
        </w:tc>
      </w:tr>
      <w:tr w:rsidR="00F52D98" w:rsidRPr="00AE78DF" w14:paraId="68727DD7" w14:textId="77777777" w:rsidTr="00E56659">
        <w:tc>
          <w:tcPr>
            <w:tcW w:w="14356" w:type="dxa"/>
            <w:gridSpan w:val="8"/>
          </w:tcPr>
          <w:p w14:paraId="6D6F7899" w14:textId="2785677C" w:rsidR="00F52D98" w:rsidRPr="00F52D98" w:rsidRDefault="00F52D98" w:rsidP="00E56659">
            <w:pPr>
              <w:spacing w:before="0" w:after="0"/>
              <w:jc w:val="left"/>
              <w:rPr>
                <w:rFonts w:cs="Calibri"/>
                <w:bCs/>
                <w:sz w:val="22"/>
              </w:rPr>
            </w:pPr>
            <w:r w:rsidRPr="00F52D98">
              <w:rPr>
                <w:rFonts w:cs="Calibri"/>
                <w:b/>
                <w:bCs/>
                <w:sz w:val="22"/>
              </w:rPr>
              <w:t>(</w:t>
            </w:r>
            <w:r>
              <w:rPr>
                <w:rFonts w:cs="Calibri"/>
                <w:b/>
                <w:bCs/>
                <w:sz w:val="22"/>
              </w:rPr>
              <w:t xml:space="preserve">1) </w:t>
            </w:r>
            <w:r w:rsidRPr="00F52D98">
              <w:rPr>
                <w:rFonts w:cs="Calibri"/>
                <w:b/>
                <w:bCs/>
                <w:sz w:val="22"/>
              </w:rPr>
              <w:t>Mechanism for redress of grievances from communities in and surrounding the demo sites</w:t>
            </w:r>
          </w:p>
        </w:tc>
      </w:tr>
      <w:tr w:rsidR="00AE78DF" w:rsidRPr="00AE78DF" w14:paraId="6A9FA741" w14:textId="77777777" w:rsidTr="00E56659">
        <w:tc>
          <w:tcPr>
            <w:tcW w:w="4536" w:type="dxa"/>
          </w:tcPr>
          <w:p w14:paraId="0B528F7A" w14:textId="435A0416" w:rsidR="00AE78DF" w:rsidRPr="00AE78DF" w:rsidRDefault="00AE78DF" w:rsidP="00E56659">
            <w:pPr>
              <w:spacing w:before="0" w:after="0"/>
              <w:jc w:val="left"/>
              <w:rPr>
                <w:rFonts w:cs="Calibri"/>
                <w:sz w:val="22"/>
              </w:rPr>
            </w:pPr>
            <w:r w:rsidRPr="00AE78DF">
              <w:rPr>
                <w:rFonts w:cs="Calibri"/>
                <w:sz w:val="22"/>
              </w:rPr>
              <w:t xml:space="preserve">Step 1: Providing </w:t>
            </w:r>
            <w:r w:rsidR="00981A64" w:rsidRPr="00981A64">
              <w:rPr>
                <w:rFonts w:cs="Calibri"/>
                <w:sz w:val="22"/>
              </w:rPr>
              <w:t>d</w:t>
            </w:r>
            <w:r w:rsidR="00981A64" w:rsidRPr="00981A64">
              <w:rPr>
                <w:sz w:val="22"/>
              </w:rPr>
              <w:t>emo</w:t>
            </w:r>
            <w:r w:rsidR="00F52D98">
              <w:rPr>
                <w:sz w:val="22"/>
              </w:rPr>
              <w:t xml:space="preserve"> company</w:t>
            </w:r>
            <w:r w:rsidRPr="00981A64">
              <w:rPr>
                <w:rFonts w:cs="Calibri"/>
                <w:sz w:val="22"/>
              </w:rPr>
              <w:t>’ contact details to the project affected communities and community-activities management committees</w:t>
            </w:r>
          </w:p>
        </w:tc>
        <w:tc>
          <w:tcPr>
            <w:tcW w:w="1675" w:type="dxa"/>
            <w:gridSpan w:val="2"/>
          </w:tcPr>
          <w:p w14:paraId="79570426" w14:textId="77777777" w:rsidR="00AE78DF" w:rsidRPr="00AE78DF" w:rsidRDefault="00AE78DF" w:rsidP="00E56659">
            <w:pPr>
              <w:spacing w:before="0" w:after="0"/>
              <w:jc w:val="left"/>
              <w:rPr>
                <w:rFonts w:cs="Calibri"/>
                <w:bCs/>
                <w:sz w:val="22"/>
              </w:rPr>
            </w:pPr>
            <w:r w:rsidRPr="00AE78DF">
              <w:rPr>
                <w:rFonts w:cs="Calibri"/>
                <w:bCs/>
                <w:sz w:val="22"/>
              </w:rPr>
              <w:t>Make project information accessible to affected communities and resolve any complaints as soon as possible</w:t>
            </w:r>
          </w:p>
        </w:tc>
        <w:tc>
          <w:tcPr>
            <w:tcW w:w="1910" w:type="dxa"/>
          </w:tcPr>
          <w:p w14:paraId="1A4714ED" w14:textId="77777777" w:rsidR="00AE78DF" w:rsidRPr="00AE78DF" w:rsidRDefault="00AE78DF" w:rsidP="00E56659">
            <w:pPr>
              <w:spacing w:before="0" w:after="0"/>
              <w:jc w:val="left"/>
              <w:rPr>
                <w:rFonts w:cs="Calibri"/>
                <w:bCs/>
                <w:sz w:val="22"/>
              </w:rPr>
            </w:pPr>
            <w:r w:rsidRPr="00AE78DF">
              <w:rPr>
                <w:rFonts w:cs="Calibri"/>
                <w:bCs/>
                <w:sz w:val="22"/>
              </w:rPr>
              <w:t>The project affected communities, women and men farmers, ethnic minority farmers</w:t>
            </w:r>
          </w:p>
        </w:tc>
        <w:tc>
          <w:tcPr>
            <w:tcW w:w="1478" w:type="dxa"/>
          </w:tcPr>
          <w:p w14:paraId="33FA89F6" w14:textId="58B19E6D" w:rsidR="00AE78DF" w:rsidRPr="00AE78DF" w:rsidRDefault="00981A64" w:rsidP="00E56659">
            <w:pPr>
              <w:spacing w:before="0" w:after="0"/>
              <w:jc w:val="left"/>
              <w:rPr>
                <w:rFonts w:cs="Calibri"/>
                <w:bCs/>
                <w:sz w:val="22"/>
              </w:rPr>
            </w:pPr>
            <w:r>
              <w:rPr>
                <w:rFonts w:cs="Calibri"/>
                <w:bCs/>
                <w:sz w:val="22"/>
              </w:rPr>
              <w:t>PM</w:t>
            </w:r>
            <w:r>
              <w:rPr>
                <w:bCs/>
              </w:rPr>
              <w:t>O</w:t>
            </w:r>
          </w:p>
        </w:tc>
        <w:tc>
          <w:tcPr>
            <w:tcW w:w="1677" w:type="dxa"/>
          </w:tcPr>
          <w:p w14:paraId="2D8B6F3F" w14:textId="77777777" w:rsidR="00AE78DF" w:rsidRPr="00AE78DF" w:rsidRDefault="00AE78DF" w:rsidP="00E56659">
            <w:pPr>
              <w:spacing w:before="0" w:after="0"/>
              <w:jc w:val="left"/>
              <w:rPr>
                <w:rFonts w:cs="Calibri"/>
                <w:bCs/>
                <w:sz w:val="22"/>
              </w:rPr>
            </w:pPr>
            <w:r w:rsidRPr="00AE78DF">
              <w:rPr>
                <w:rFonts w:cs="Calibri"/>
                <w:bCs/>
                <w:sz w:val="22"/>
              </w:rPr>
              <w:t>The relevant communities</w:t>
            </w:r>
          </w:p>
          <w:p w14:paraId="5937854C" w14:textId="747F1481" w:rsidR="00AE78DF" w:rsidRPr="00AE78DF" w:rsidRDefault="00981A64" w:rsidP="00E56659">
            <w:pPr>
              <w:spacing w:before="0" w:after="0"/>
              <w:jc w:val="left"/>
              <w:rPr>
                <w:rFonts w:cs="Calibri"/>
                <w:bCs/>
                <w:sz w:val="22"/>
              </w:rPr>
            </w:pPr>
            <w:r>
              <w:rPr>
                <w:rFonts w:cs="Calibri"/>
                <w:bCs/>
                <w:sz w:val="22"/>
              </w:rPr>
              <w:t>PMO</w:t>
            </w:r>
            <w:r w:rsidR="00AE78DF" w:rsidRPr="00AE78DF">
              <w:rPr>
                <w:rFonts w:cs="Calibri"/>
                <w:bCs/>
                <w:sz w:val="22"/>
              </w:rPr>
              <w:t>s</w:t>
            </w:r>
          </w:p>
          <w:p w14:paraId="4201A467" w14:textId="77777777" w:rsidR="00AE78DF" w:rsidRPr="00AE78DF" w:rsidRDefault="00AE78DF" w:rsidP="00E56659">
            <w:pPr>
              <w:spacing w:before="0" w:after="0"/>
              <w:jc w:val="left"/>
              <w:rPr>
                <w:rFonts w:cs="Calibri"/>
                <w:bCs/>
                <w:sz w:val="22"/>
              </w:rPr>
            </w:pPr>
          </w:p>
        </w:tc>
        <w:tc>
          <w:tcPr>
            <w:tcW w:w="1744" w:type="dxa"/>
          </w:tcPr>
          <w:p w14:paraId="540CDD8E" w14:textId="77777777" w:rsidR="00AE78DF" w:rsidRPr="00AE78DF" w:rsidRDefault="00AE78DF" w:rsidP="00E56659">
            <w:pPr>
              <w:spacing w:before="0" w:after="0"/>
              <w:jc w:val="left"/>
              <w:rPr>
                <w:rFonts w:cs="Calibri"/>
                <w:bCs/>
                <w:sz w:val="22"/>
              </w:rPr>
            </w:pPr>
            <w:r w:rsidRPr="00AE78DF">
              <w:rPr>
                <w:rFonts w:cs="Calibri"/>
                <w:bCs/>
                <w:sz w:val="22"/>
              </w:rPr>
              <w:t>Immediately after inception workshop</w:t>
            </w:r>
          </w:p>
        </w:tc>
        <w:tc>
          <w:tcPr>
            <w:tcW w:w="1336" w:type="dxa"/>
          </w:tcPr>
          <w:p w14:paraId="0C9C7E22"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r w:rsidR="00AE78DF" w:rsidRPr="00AE78DF" w14:paraId="432EC3AB" w14:textId="77777777" w:rsidTr="00E56659">
        <w:tc>
          <w:tcPr>
            <w:tcW w:w="4536" w:type="dxa"/>
          </w:tcPr>
          <w:p w14:paraId="09E05EB4" w14:textId="1CD9BC29" w:rsidR="00AE78DF" w:rsidRPr="00AE78DF" w:rsidRDefault="00AE78DF" w:rsidP="00E56659">
            <w:pPr>
              <w:spacing w:before="0" w:after="0"/>
              <w:jc w:val="left"/>
              <w:rPr>
                <w:rFonts w:cs="Calibri"/>
                <w:sz w:val="22"/>
              </w:rPr>
            </w:pPr>
            <w:r w:rsidRPr="00AE78DF">
              <w:rPr>
                <w:rFonts w:cs="Calibri"/>
                <w:sz w:val="22"/>
              </w:rPr>
              <w:t xml:space="preserve">Step 2: Affected stakeholders submit complaint to their committees or the </w:t>
            </w:r>
            <w:r w:rsidR="00981A64" w:rsidRPr="00981A64">
              <w:rPr>
                <w:rFonts w:cs="Calibri"/>
                <w:sz w:val="22"/>
              </w:rPr>
              <w:t>d</w:t>
            </w:r>
            <w:r w:rsidR="00981A64" w:rsidRPr="00981A64">
              <w:rPr>
                <w:sz w:val="22"/>
              </w:rPr>
              <w:t>emo</w:t>
            </w:r>
            <w:r w:rsidRPr="00AE78DF">
              <w:rPr>
                <w:rFonts w:cs="Calibri"/>
                <w:sz w:val="22"/>
              </w:rPr>
              <w:t>s</w:t>
            </w:r>
          </w:p>
        </w:tc>
        <w:tc>
          <w:tcPr>
            <w:tcW w:w="1675" w:type="dxa"/>
            <w:gridSpan w:val="2"/>
          </w:tcPr>
          <w:p w14:paraId="7F9DDD0E" w14:textId="77777777" w:rsidR="00AE78DF" w:rsidRPr="00AE78DF" w:rsidRDefault="00AE78DF" w:rsidP="00E56659">
            <w:pPr>
              <w:spacing w:before="0" w:after="0"/>
              <w:jc w:val="left"/>
              <w:rPr>
                <w:rFonts w:cs="Calibri"/>
                <w:bCs/>
                <w:sz w:val="22"/>
              </w:rPr>
            </w:pPr>
          </w:p>
        </w:tc>
        <w:tc>
          <w:tcPr>
            <w:tcW w:w="1910" w:type="dxa"/>
          </w:tcPr>
          <w:p w14:paraId="66364EBB" w14:textId="77777777" w:rsidR="00AE78DF" w:rsidRPr="00AE78DF" w:rsidRDefault="00AE78DF" w:rsidP="00E56659">
            <w:pPr>
              <w:spacing w:before="0" w:after="0"/>
              <w:jc w:val="left"/>
              <w:rPr>
                <w:rFonts w:cs="Calibri"/>
                <w:bCs/>
                <w:sz w:val="22"/>
              </w:rPr>
            </w:pPr>
          </w:p>
        </w:tc>
        <w:tc>
          <w:tcPr>
            <w:tcW w:w="1478" w:type="dxa"/>
          </w:tcPr>
          <w:p w14:paraId="4C774475" w14:textId="77777777" w:rsidR="00AE78DF" w:rsidRPr="00AE78DF" w:rsidRDefault="00AE78DF" w:rsidP="00E56659">
            <w:pPr>
              <w:spacing w:before="0" w:after="0"/>
              <w:jc w:val="left"/>
              <w:rPr>
                <w:rFonts w:cs="Calibri"/>
                <w:bCs/>
                <w:sz w:val="22"/>
              </w:rPr>
            </w:pPr>
          </w:p>
        </w:tc>
        <w:tc>
          <w:tcPr>
            <w:tcW w:w="1677" w:type="dxa"/>
          </w:tcPr>
          <w:p w14:paraId="168A2542" w14:textId="77777777" w:rsidR="00AE78DF" w:rsidRPr="00AE78DF" w:rsidRDefault="00AE78DF" w:rsidP="00E56659">
            <w:pPr>
              <w:spacing w:before="0" w:after="0"/>
              <w:jc w:val="left"/>
              <w:rPr>
                <w:rFonts w:cs="Calibri"/>
                <w:bCs/>
                <w:sz w:val="22"/>
              </w:rPr>
            </w:pPr>
          </w:p>
        </w:tc>
        <w:tc>
          <w:tcPr>
            <w:tcW w:w="1744" w:type="dxa"/>
          </w:tcPr>
          <w:p w14:paraId="4CC405E7" w14:textId="77777777" w:rsidR="00AE78DF" w:rsidRPr="00AE78DF" w:rsidRDefault="00AE78DF" w:rsidP="00E56659">
            <w:pPr>
              <w:spacing w:before="0" w:after="0"/>
              <w:jc w:val="left"/>
              <w:rPr>
                <w:rFonts w:cs="Calibri"/>
                <w:bCs/>
                <w:sz w:val="22"/>
              </w:rPr>
            </w:pPr>
            <w:r w:rsidRPr="00AE78DF">
              <w:rPr>
                <w:rFonts w:cs="Calibri"/>
                <w:bCs/>
                <w:sz w:val="22"/>
              </w:rPr>
              <w:t>Any time during the project implementation</w:t>
            </w:r>
          </w:p>
        </w:tc>
        <w:tc>
          <w:tcPr>
            <w:tcW w:w="1336" w:type="dxa"/>
          </w:tcPr>
          <w:p w14:paraId="17236036"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r w:rsidR="00AE78DF" w:rsidRPr="00AE78DF" w14:paraId="69B8E093" w14:textId="77777777" w:rsidTr="00E56659">
        <w:tc>
          <w:tcPr>
            <w:tcW w:w="4536" w:type="dxa"/>
          </w:tcPr>
          <w:p w14:paraId="74155EF8" w14:textId="42649B7A" w:rsidR="00AE78DF" w:rsidRPr="00AE78DF" w:rsidRDefault="00AE78DF" w:rsidP="00E56659">
            <w:pPr>
              <w:spacing w:before="0" w:after="0"/>
              <w:jc w:val="left"/>
              <w:rPr>
                <w:rFonts w:cs="Calibri"/>
                <w:sz w:val="22"/>
              </w:rPr>
            </w:pPr>
            <w:r w:rsidRPr="00AE78DF">
              <w:rPr>
                <w:rFonts w:cs="Calibri"/>
                <w:sz w:val="22"/>
              </w:rPr>
              <w:t>Step 3: Community management committees communicate and explain/clarify /solve complaint first, and submit to the P</w:t>
            </w:r>
            <w:r w:rsidR="00981A64">
              <w:rPr>
                <w:rFonts w:cs="Calibri"/>
                <w:sz w:val="22"/>
              </w:rPr>
              <w:t>MO</w:t>
            </w:r>
            <w:r w:rsidRPr="00AE78DF">
              <w:rPr>
                <w:rFonts w:cs="Calibri"/>
                <w:sz w:val="22"/>
              </w:rPr>
              <w:t>s whenever needed</w:t>
            </w:r>
          </w:p>
        </w:tc>
        <w:tc>
          <w:tcPr>
            <w:tcW w:w="1675" w:type="dxa"/>
            <w:gridSpan w:val="2"/>
          </w:tcPr>
          <w:p w14:paraId="72E946DA" w14:textId="77777777" w:rsidR="00AE78DF" w:rsidRPr="00AE78DF" w:rsidRDefault="00AE78DF" w:rsidP="00E56659">
            <w:pPr>
              <w:spacing w:before="0" w:after="0"/>
              <w:jc w:val="left"/>
              <w:rPr>
                <w:rFonts w:cs="Calibri"/>
                <w:bCs/>
                <w:sz w:val="22"/>
              </w:rPr>
            </w:pPr>
          </w:p>
        </w:tc>
        <w:tc>
          <w:tcPr>
            <w:tcW w:w="1910" w:type="dxa"/>
          </w:tcPr>
          <w:p w14:paraId="7A5015A6" w14:textId="77777777" w:rsidR="00AE78DF" w:rsidRPr="00AE78DF" w:rsidRDefault="00AE78DF" w:rsidP="00E56659">
            <w:pPr>
              <w:spacing w:before="0" w:after="0"/>
              <w:jc w:val="left"/>
              <w:rPr>
                <w:rFonts w:cs="Calibri"/>
                <w:bCs/>
                <w:sz w:val="22"/>
              </w:rPr>
            </w:pPr>
          </w:p>
        </w:tc>
        <w:tc>
          <w:tcPr>
            <w:tcW w:w="1478" w:type="dxa"/>
          </w:tcPr>
          <w:p w14:paraId="6D5B7644" w14:textId="77777777" w:rsidR="00AE78DF" w:rsidRPr="00AE78DF" w:rsidRDefault="00AE78DF" w:rsidP="00E56659">
            <w:pPr>
              <w:spacing w:before="0" w:after="0"/>
              <w:jc w:val="left"/>
              <w:rPr>
                <w:rFonts w:cs="Calibri"/>
                <w:bCs/>
                <w:sz w:val="22"/>
              </w:rPr>
            </w:pPr>
          </w:p>
        </w:tc>
        <w:tc>
          <w:tcPr>
            <w:tcW w:w="1677" w:type="dxa"/>
          </w:tcPr>
          <w:p w14:paraId="68D4FD5F" w14:textId="77777777" w:rsidR="00AE78DF" w:rsidRPr="00AE78DF" w:rsidRDefault="00AE78DF" w:rsidP="00E56659">
            <w:pPr>
              <w:spacing w:before="0" w:after="0"/>
              <w:jc w:val="left"/>
              <w:rPr>
                <w:rFonts w:cs="Calibri"/>
                <w:bCs/>
                <w:sz w:val="22"/>
              </w:rPr>
            </w:pPr>
          </w:p>
        </w:tc>
        <w:tc>
          <w:tcPr>
            <w:tcW w:w="1744" w:type="dxa"/>
          </w:tcPr>
          <w:p w14:paraId="4E090A4A" w14:textId="77777777" w:rsidR="00AE78DF" w:rsidRPr="00AE78DF" w:rsidRDefault="00AE78DF" w:rsidP="00E56659">
            <w:pPr>
              <w:spacing w:before="0" w:after="0"/>
              <w:jc w:val="left"/>
              <w:rPr>
                <w:rFonts w:cs="Calibri"/>
                <w:bCs/>
                <w:sz w:val="22"/>
              </w:rPr>
            </w:pPr>
            <w:r w:rsidRPr="00AE78DF">
              <w:rPr>
                <w:rFonts w:cs="Calibri"/>
                <w:bCs/>
                <w:sz w:val="22"/>
              </w:rPr>
              <w:t>Two weeks after received the complaint</w:t>
            </w:r>
          </w:p>
        </w:tc>
        <w:tc>
          <w:tcPr>
            <w:tcW w:w="1336" w:type="dxa"/>
          </w:tcPr>
          <w:p w14:paraId="4BDC9E7C"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r w:rsidR="00AE78DF" w:rsidRPr="00AE78DF" w14:paraId="7FD57A8D" w14:textId="77777777" w:rsidTr="00E56659">
        <w:tc>
          <w:tcPr>
            <w:tcW w:w="4536" w:type="dxa"/>
          </w:tcPr>
          <w:p w14:paraId="748C45F5" w14:textId="75961AA1" w:rsidR="00AE78DF" w:rsidRPr="00AE78DF" w:rsidRDefault="00AE78DF" w:rsidP="00E56659">
            <w:pPr>
              <w:spacing w:before="0" w:after="0"/>
              <w:jc w:val="left"/>
              <w:rPr>
                <w:rFonts w:cs="Calibri"/>
                <w:sz w:val="22"/>
              </w:rPr>
            </w:pPr>
            <w:r w:rsidRPr="00AE78DF">
              <w:rPr>
                <w:rFonts w:cs="Calibri"/>
                <w:sz w:val="22"/>
              </w:rPr>
              <w:t xml:space="preserve">Step 4: The </w:t>
            </w:r>
            <w:r w:rsidR="00F52D98">
              <w:rPr>
                <w:rFonts w:cs="Calibri"/>
                <w:sz w:val="22"/>
              </w:rPr>
              <w:t>demo</w:t>
            </w:r>
            <w:r w:rsidRPr="00AE78DF">
              <w:rPr>
                <w:rFonts w:cs="Calibri"/>
                <w:sz w:val="22"/>
              </w:rPr>
              <w:t>s explain/clarify/resolve complaints</w:t>
            </w:r>
          </w:p>
        </w:tc>
        <w:tc>
          <w:tcPr>
            <w:tcW w:w="1675" w:type="dxa"/>
            <w:gridSpan w:val="2"/>
          </w:tcPr>
          <w:p w14:paraId="4464D10C" w14:textId="77777777" w:rsidR="00AE78DF" w:rsidRPr="00AE78DF" w:rsidRDefault="00AE78DF" w:rsidP="00E56659">
            <w:pPr>
              <w:spacing w:before="0" w:after="0"/>
              <w:jc w:val="left"/>
              <w:rPr>
                <w:rFonts w:cs="Calibri"/>
                <w:bCs/>
                <w:sz w:val="22"/>
              </w:rPr>
            </w:pPr>
          </w:p>
        </w:tc>
        <w:tc>
          <w:tcPr>
            <w:tcW w:w="1910" w:type="dxa"/>
          </w:tcPr>
          <w:p w14:paraId="6AB49BBD" w14:textId="77777777" w:rsidR="00AE78DF" w:rsidRPr="00AE78DF" w:rsidRDefault="00AE78DF" w:rsidP="00E56659">
            <w:pPr>
              <w:spacing w:before="0" w:after="0"/>
              <w:jc w:val="left"/>
              <w:rPr>
                <w:rFonts w:cs="Calibri"/>
                <w:bCs/>
                <w:sz w:val="22"/>
              </w:rPr>
            </w:pPr>
          </w:p>
        </w:tc>
        <w:tc>
          <w:tcPr>
            <w:tcW w:w="1478" w:type="dxa"/>
          </w:tcPr>
          <w:p w14:paraId="2DC78E75" w14:textId="77777777" w:rsidR="00AE78DF" w:rsidRPr="00AE78DF" w:rsidRDefault="00AE78DF" w:rsidP="00E56659">
            <w:pPr>
              <w:spacing w:before="0" w:after="0"/>
              <w:jc w:val="left"/>
              <w:rPr>
                <w:rFonts w:cs="Calibri"/>
                <w:bCs/>
                <w:sz w:val="22"/>
              </w:rPr>
            </w:pPr>
          </w:p>
        </w:tc>
        <w:tc>
          <w:tcPr>
            <w:tcW w:w="1677" w:type="dxa"/>
          </w:tcPr>
          <w:p w14:paraId="5BB0EE73" w14:textId="77777777" w:rsidR="00AE78DF" w:rsidRPr="00AE78DF" w:rsidRDefault="00AE78DF" w:rsidP="00E56659">
            <w:pPr>
              <w:spacing w:before="0" w:after="0"/>
              <w:jc w:val="left"/>
              <w:rPr>
                <w:rFonts w:cs="Calibri"/>
                <w:bCs/>
                <w:sz w:val="22"/>
              </w:rPr>
            </w:pPr>
          </w:p>
        </w:tc>
        <w:tc>
          <w:tcPr>
            <w:tcW w:w="1744" w:type="dxa"/>
          </w:tcPr>
          <w:p w14:paraId="2DB8AAB7" w14:textId="77777777" w:rsidR="00AE78DF" w:rsidRPr="00AE78DF" w:rsidRDefault="00AE78DF" w:rsidP="00E56659">
            <w:pPr>
              <w:spacing w:before="0" w:after="0"/>
              <w:jc w:val="left"/>
              <w:rPr>
                <w:rFonts w:cs="Calibri"/>
                <w:bCs/>
                <w:sz w:val="22"/>
              </w:rPr>
            </w:pPr>
            <w:r w:rsidRPr="00AE78DF">
              <w:rPr>
                <w:rFonts w:cs="Calibri"/>
                <w:bCs/>
                <w:sz w:val="22"/>
              </w:rPr>
              <w:t>Two weeks after received the complaint</w:t>
            </w:r>
          </w:p>
        </w:tc>
        <w:tc>
          <w:tcPr>
            <w:tcW w:w="1336" w:type="dxa"/>
          </w:tcPr>
          <w:p w14:paraId="2079E867"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r w:rsidR="00F52D98" w:rsidRPr="00AE78DF" w14:paraId="555E03E4" w14:textId="77777777" w:rsidTr="00E56659">
        <w:tc>
          <w:tcPr>
            <w:tcW w:w="14356" w:type="dxa"/>
            <w:gridSpan w:val="8"/>
          </w:tcPr>
          <w:p w14:paraId="269FA3DC" w14:textId="43B443C3" w:rsidR="00F52D98" w:rsidRPr="00AE78DF" w:rsidRDefault="00F52D98" w:rsidP="00E56659">
            <w:pPr>
              <w:spacing w:before="0" w:after="0"/>
              <w:jc w:val="left"/>
              <w:rPr>
                <w:rFonts w:cs="Calibri"/>
                <w:sz w:val="22"/>
              </w:rPr>
            </w:pPr>
            <w:r w:rsidRPr="6F282195">
              <w:rPr>
                <w:rFonts w:cs="Calibri"/>
                <w:b/>
                <w:bCs/>
                <w:sz w:val="22"/>
              </w:rPr>
              <w:t>(2) Mechanism for redress of grievances from workers/labour unions in the demo companies</w:t>
            </w:r>
          </w:p>
        </w:tc>
      </w:tr>
      <w:tr w:rsidR="00F52D98" w:rsidRPr="00AE78DF" w14:paraId="487DE292" w14:textId="77777777" w:rsidTr="00E56659">
        <w:tc>
          <w:tcPr>
            <w:tcW w:w="4536" w:type="dxa"/>
          </w:tcPr>
          <w:p w14:paraId="5C5B841C" w14:textId="05EA42FE" w:rsidR="00F52D98" w:rsidRPr="00AE78DF" w:rsidRDefault="00F52D98" w:rsidP="00E56659">
            <w:pPr>
              <w:spacing w:before="0" w:after="0"/>
              <w:jc w:val="left"/>
              <w:rPr>
                <w:rFonts w:cs="Calibri"/>
                <w:sz w:val="22"/>
              </w:rPr>
            </w:pPr>
            <w:r w:rsidRPr="00AE78DF">
              <w:rPr>
                <w:rFonts w:cs="Calibri"/>
                <w:sz w:val="22"/>
              </w:rPr>
              <w:t xml:space="preserve">Step 1: Providing </w:t>
            </w:r>
            <w:r w:rsidRPr="00981A64">
              <w:rPr>
                <w:rFonts w:cs="Calibri"/>
                <w:sz w:val="22"/>
              </w:rPr>
              <w:t>d</w:t>
            </w:r>
            <w:r w:rsidRPr="00981A64">
              <w:rPr>
                <w:sz w:val="22"/>
              </w:rPr>
              <w:t>emo</w:t>
            </w:r>
            <w:r>
              <w:rPr>
                <w:sz w:val="22"/>
              </w:rPr>
              <w:t xml:space="preserve"> company</w:t>
            </w:r>
            <w:r w:rsidRPr="00981A64">
              <w:rPr>
                <w:rFonts w:cs="Calibri"/>
                <w:sz w:val="22"/>
              </w:rPr>
              <w:t xml:space="preserve">’ contact details to the </w:t>
            </w:r>
            <w:r w:rsidRPr="00F52D98">
              <w:rPr>
                <w:rFonts w:cs="Calibri"/>
                <w:sz w:val="22"/>
              </w:rPr>
              <w:t>workers/labour unions</w:t>
            </w:r>
          </w:p>
        </w:tc>
        <w:tc>
          <w:tcPr>
            <w:tcW w:w="1675" w:type="dxa"/>
            <w:gridSpan w:val="2"/>
          </w:tcPr>
          <w:p w14:paraId="3DE82088" w14:textId="1F2D27B0" w:rsidR="00F52D98" w:rsidRPr="00AE78DF" w:rsidRDefault="00F52D98" w:rsidP="00E56659">
            <w:pPr>
              <w:spacing w:before="0" w:after="0"/>
              <w:jc w:val="left"/>
              <w:rPr>
                <w:rFonts w:cs="Calibri"/>
                <w:bCs/>
                <w:sz w:val="22"/>
              </w:rPr>
            </w:pPr>
            <w:r w:rsidRPr="00AE78DF">
              <w:rPr>
                <w:rFonts w:cs="Calibri"/>
                <w:bCs/>
                <w:sz w:val="22"/>
              </w:rPr>
              <w:t xml:space="preserve">Make project information accessible to </w:t>
            </w:r>
            <w:r w:rsidRPr="00F52D98">
              <w:rPr>
                <w:rFonts w:cs="Calibri"/>
                <w:bCs/>
                <w:sz w:val="22"/>
              </w:rPr>
              <w:t>workers/labour unions</w:t>
            </w:r>
            <w:r w:rsidRPr="00AE78DF">
              <w:rPr>
                <w:rFonts w:cs="Calibri"/>
                <w:bCs/>
                <w:sz w:val="22"/>
              </w:rPr>
              <w:t xml:space="preserve"> and resolve any </w:t>
            </w:r>
            <w:r w:rsidRPr="00AE78DF">
              <w:rPr>
                <w:rFonts w:cs="Calibri"/>
                <w:bCs/>
                <w:sz w:val="22"/>
              </w:rPr>
              <w:lastRenderedPageBreak/>
              <w:t>complaints as soon as possible</w:t>
            </w:r>
          </w:p>
        </w:tc>
        <w:tc>
          <w:tcPr>
            <w:tcW w:w="1910" w:type="dxa"/>
          </w:tcPr>
          <w:p w14:paraId="0D34CCA3" w14:textId="141D9978" w:rsidR="00F52D98" w:rsidRPr="00AE78DF" w:rsidRDefault="00F52D98" w:rsidP="00E56659">
            <w:pPr>
              <w:spacing w:before="0" w:after="0"/>
              <w:jc w:val="left"/>
              <w:rPr>
                <w:rFonts w:cs="Calibri"/>
                <w:bCs/>
                <w:sz w:val="22"/>
              </w:rPr>
            </w:pPr>
            <w:r w:rsidRPr="00AE78DF">
              <w:rPr>
                <w:rFonts w:cs="Calibri"/>
                <w:bCs/>
                <w:sz w:val="22"/>
              </w:rPr>
              <w:lastRenderedPageBreak/>
              <w:t xml:space="preserve">The project affected </w:t>
            </w:r>
            <w:r>
              <w:rPr>
                <w:rFonts w:cs="Calibri"/>
                <w:bCs/>
                <w:sz w:val="22"/>
              </w:rPr>
              <w:t>workers</w:t>
            </w:r>
            <w:r w:rsidRPr="00AE78DF">
              <w:rPr>
                <w:rFonts w:cs="Calibri"/>
                <w:bCs/>
                <w:sz w:val="22"/>
              </w:rPr>
              <w:t>, women and men farmers, ethnic minority farmers</w:t>
            </w:r>
          </w:p>
        </w:tc>
        <w:tc>
          <w:tcPr>
            <w:tcW w:w="1478" w:type="dxa"/>
          </w:tcPr>
          <w:p w14:paraId="3D9B4AC7" w14:textId="77777777" w:rsidR="00F52D98" w:rsidRPr="00AE78DF" w:rsidRDefault="00F52D98" w:rsidP="00E56659">
            <w:pPr>
              <w:spacing w:before="0" w:after="0"/>
              <w:jc w:val="left"/>
              <w:rPr>
                <w:rFonts w:cs="Calibri"/>
                <w:bCs/>
                <w:sz w:val="22"/>
              </w:rPr>
            </w:pPr>
            <w:r>
              <w:rPr>
                <w:rFonts w:cs="Calibri"/>
                <w:bCs/>
                <w:sz w:val="22"/>
              </w:rPr>
              <w:t>PM</w:t>
            </w:r>
            <w:r>
              <w:rPr>
                <w:bCs/>
              </w:rPr>
              <w:t>O</w:t>
            </w:r>
          </w:p>
        </w:tc>
        <w:tc>
          <w:tcPr>
            <w:tcW w:w="1677" w:type="dxa"/>
          </w:tcPr>
          <w:p w14:paraId="09908BAA" w14:textId="77777777" w:rsidR="00F52D98" w:rsidRPr="00AE78DF" w:rsidRDefault="00F52D98" w:rsidP="00E56659">
            <w:pPr>
              <w:spacing w:before="0" w:after="0"/>
              <w:jc w:val="left"/>
              <w:rPr>
                <w:rFonts w:cs="Calibri"/>
                <w:bCs/>
                <w:sz w:val="22"/>
              </w:rPr>
            </w:pPr>
            <w:r w:rsidRPr="00AE78DF">
              <w:rPr>
                <w:rFonts w:cs="Calibri"/>
                <w:bCs/>
                <w:sz w:val="22"/>
              </w:rPr>
              <w:t>The relevant communities</w:t>
            </w:r>
          </w:p>
          <w:p w14:paraId="094AA44B" w14:textId="77777777" w:rsidR="00F52D98" w:rsidRPr="00AE78DF" w:rsidRDefault="00F52D98" w:rsidP="00E56659">
            <w:pPr>
              <w:spacing w:before="0" w:after="0"/>
              <w:jc w:val="left"/>
              <w:rPr>
                <w:rFonts w:cs="Calibri"/>
                <w:bCs/>
                <w:sz w:val="22"/>
              </w:rPr>
            </w:pPr>
            <w:r>
              <w:rPr>
                <w:rFonts w:cs="Calibri"/>
                <w:bCs/>
                <w:sz w:val="22"/>
              </w:rPr>
              <w:t>PMO</w:t>
            </w:r>
            <w:r w:rsidRPr="00AE78DF">
              <w:rPr>
                <w:rFonts w:cs="Calibri"/>
                <w:bCs/>
                <w:sz w:val="22"/>
              </w:rPr>
              <w:t>s</w:t>
            </w:r>
          </w:p>
          <w:p w14:paraId="0F8D992E" w14:textId="77777777" w:rsidR="00F52D98" w:rsidRPr="00AE78DF" w:rsidRDefault="00F52D98" w:rsidP="00E56659">
            <w:pPr>
              <w:spacing w:before="0" w:after="0"/>
              <w:jc w:val="left"/>
              <w:rPr>
                <w:rFonts w:cs="Calibri"/>
                <w:bCs/>
                <w:sz w:val="22"/>
              </w:rPr>
            </w:pPr>
          </w:p>
        </w:tc>
        <w:tc>
          <w:tcPr>
            <w:tcW w:w="1744" w:type="dxa"/>
          </w:tcPr>
          <w:p w14:paraId="463A3B93" w14:textId="77777777" w:rsidR="00F52D98" w:rsidRPr="00AE78DF" w:rsidRDefault="00F52D98" w:rsidP="00E56659">
            <w:pPr>
              <w:spacing w:before="0" w:after="0"/>
              <w:jc w:val="left"/>
              <w:rPr>
                <w:rFonts w:cs="Calibri"/>
                <w:bCs/>
                <w:sz w:val="22"/>
              </w:rPr>
            </w:pPr>
            <w:r w:rsidRPr="00AE78DF">
              <w:rPr>
                <w:rFonts w:cs="Calibri"/>
                <w:bCs/>
                <w:sz w:val="22"/>
              </w:rPr>
              <w:t>Immediately after inception workshop</w:t>
            </w:r>
          </w:p>
        </w:tc>
        <w:tc>
          <w:tcPr>
            <w:tcW w:w="1336" w:type="dxa"/>
          </w:tcPr>
          <w:p w14:paraId="430C4347" w14:textId="77777777" w:rsidR="00F52D98" w:rsidRPr="00AE78DF" w:rsidRDefault="00F52D98" w:rsidP="00E56659">
            <w:pPr>
              <w:spacing w:before="0" w:after="0"/>
              <w:jc w:val="left"/>
              <w:rPr>
                <w:rFonts w:cs="Calibri"/>
                <w:bCs/>
                <w:sz w:val="22"/>
              </w:rPr>
            </w:pPr>
            <w:r w:rsidRPr="00AE78DF">
              <w:rPr>
                <w:rFonts w:cs="Calibri"/>
                <w:bCs/>
                <w:sz w:val="22"/>
              </w:rPr>
              <w:t>Project budget for M&amp;E</w:t>
            </w:r>
          </w:p>
        </w:tc>
      </w:tr>
      <w:tr w:rsidR="00F52D98" w:rsidRPr="00AE78DF" w14:paraId="6E6724DA" w14:textId="77777777" w:rsidTr="00E56659">
        <w:tc>
          <w:tcPr>
            <w:tcW w:w="4536" w:type="dxa"/>
          </w:tcPr>
          <w:p w14:paraId="2069C479" w14:textId="38C5961B" w:rsidR="00F52D98" w:rsidRPr="00AE78DF" w:rsidRDefault="00F52D98" w:rsidP="00E56659">
            <w:pPr>
              <w:spacing w:before="0" w:after="0"/>
              <w:jc w:val="left"/>
              <w:rPr>
                <w:rFonts w:cs="Calibri"/>
                <w:sz w:val="22"/>
              </w:rPr>
            </w:pPr>
            <w:r w:rsidRPr="00AE78DF">
              <w:rPr>
                <w:rFonts w:cs="Calibri"/>
                <w:sz w:val="22"/>
              </w:rPr>
              <w:t xml:space="preserve">Step 2: Affected </w:t>
            </w:r>
            <w:r w:rsidRPr="00F52D98">
              <w:rPr>
                <w:rFonts w:cs="Calibri"/>
                <w:sz w:val="22"/>
              </w:rPr>
              <w:t xml:space="preserve">workers/labour unions </w:t>
            </w:r>
            <w:r w:rsidRPr="00AE78DF">
              <w:rPr>
                <w:rFonts w:cs="Calibri"/>
                <w:sz w:val="22"/>
              </w:rPr>
              <w:t xml:space="preserve">submit complaint to their committees or the </w:t>
            </w:r>
            <w:r w:rsidRPr="00981A64">
              <w:rPr>
                <w:rFonts w:cs="Calibri"/>
                <w:sz w:val="22"/>
              </w:rPr>
              <w:t>d</w:t>
            </w:r>
            <w:r w:rsidRPr="00981A64">
              <w:rPr>
                <w:sz w:val="22"/>
              </w:rPr>
              <w:t>emo</w:t>
            </w:r>
            <w:r w:rsidRPr="00AE78DF">
              <w:rPr>
                <w:rFonts w:cs="Calibri"/>
                <w:sz w:val="22"/>
              </w:rPr>
              <w:t>s</w:t>
            </w:r>
          </w:p>
        </w:tc>
        <w:tc>
          <w:tcPr>
            <w:tcW w:w="1675" w:type="dxa"/>
            <w:gridSpan w:val="2"/>
          </w:tcPr>
          <w:p w14:paraId="14A309BC" w14:textId="77777777" w:rsidR="00F52D98" w:rsidRPr="00AE78DF" w:rsidRDefault="00F52D98" w:rsidP="00E56659">
            <w:pPr>
              <w:spacing w:before="0" w:after="0"/>
              <w:jc w:val="left"/>
              <w:rPr>
                <w:rFonts w:cs="Calibri"/>
                <w:bCs/>
                <w:sz w:val="22"/>
              </w:rPr>
            </w:pPr>
          </w:p>
        </w:tc>
        <w:tc>
          <w:tcPr>
            <w:tcW w:w="1910" w:type="dxa"/>
          </w:tcPr>
          <w:p w14:paraId="4DB9387A" w14:textId="77777777" w:rsidR="00F52D98" w:rsidRPr="00AE78DF" w:rsidRDefault="00F52D98" w:rsidP="00E56659">
            <w:pPr>
              <w:spacing w:before="0" w:after="0"/>
              <w:jc w:val="left"/>
              <w:rPr>
                <w:rFonts w:cs="Calibri"/>
                <w:bCs/>
                <w:sz w:val="22"/>
              </w:rPr>
            </w:pPr>
          </w:p>
        </w:tc>
        <w:tc>
          <w:tcPr>
            <w:tcW w:w="1478" w:type="dxa"/>
          </w:tcPr>
          <w:p w14:paraId="55B88F96" w14:textId="77777777" w:rsidR="00F52D98" w:rsidRPr="00AE78DF" w:rsidRDefault="00F52D98" w:rsidP="00E56659">
            <w:pPr>
              <w:spacing w:before="0" w:after="0"/>
              <w:jc w:val="left"/>
              <w:rPr>
                <w:rFonts w:cs="Calibri"/>
                <w:bCs/>
                <w:sz w:val="22"/>
              </w:rPr>
            </w:pPr>
          </w:p>
        </w:tc>
        <w:tc>
          <w:tcPr>
            <w:tcW w:w="1677" w:type="dxa"/>
          </w:tcPr>
          <w:p w14:paraId="24696395" w14:textId="77777777" w:rsidR="00F52D98" w:rsidRPr="00AE78DF" w:rsidRDefault="00F52D98" w:rsidP="00E56659">
            <w:pPr>
              <w:spacing w:before="0" w:after="0"/>
              <w:jc w:val="left"/>
              <w:rPr>
                <w:rFonts w:cs="Calibri"/>
                <w:bCs/>
                <w:sz w:val="22"/>
              </w:rPr>
            </w:pPr>
          </w:p>
        </w:tc>
        <w:tc>
          <w:tcPr>
            <w:tcW w:w="1744" w:type="dxa"/>
          </w:tcPr>
          <w:p w14:paraId="7A1E08CB" w14:textId="77777777" w:rsidR="00F52D98" w:rsidRPr="00AE78DF" w:rsidRDefault="00F52D98" w:rsidP="00E56659">
            <w:pPr>
              <w:spacing w:before="0" w:after="0"/>
              <w:jc w:val="left"/>
              <w:rPr>
                <w:rFonts w:cs="Calibri"/>
                <w:bCs/>
                <w:sz w:val="22"/>
              </w:rPr>
            </w:pPr>
            <w:r w:rsidRPr="00AE78DF">
              <w:rPr>
                <w:rFonts w:cs="Calibri"/>
                <w:bCs/>
                <w:sz w:val="22"/>
              </w:rPr>
              <w:t>Any time during the project implementation</w:t>
            </w:r>
          </w:p>
        </w:tc>
        <w:tc>
          <w:tcPr>
            <w:tcW w:w="1336" w:type="dxa"/>
          </w:tcPr>
          <w:p w14:paraId="6D444064" w14:textId="77777777" w:rsidR="00F52D98" w:rsidRPr="00AE78DF" w:rsidRDefault="00F52D98" w:rsidP="00E56659">
            <w:pPr>
              <w:spacing w:before="0" w:after="0"/>
              <w:jc w:val="left"/>
              <w:rPr>
                <w:rFonts w:cs="Calibri"/>
                <w:bCs/>
                <w:sz w:val="22"/>
              </w:rPr>
            </w:pPr>
            <w:r w:rsidRPr="00AE78DF">
              <w:rPr>
                <w:rFonts w:cs="Calibri"/>
                <w:bCs/>
                <w:sz w:val="22"/>
              </w:rPr>
              <w:t>Project budget for M&amp;E</w:t>
            </w:r>
          </w:p>
        </w:tc>
      </w:tr>
      <w:tr w:rsidR="00F52D98" w:rsidRPr="00AE78DF" w14:paraId="3C0D09A8" w14:textId="77777777" w:rsidTr="00E56659">
        <w:tc>
          <w:tcPr>
            <w:tcW w:w="4536" w:type="dxa"/>
          </w:tcPr>
          <w:p w14:paraId="05FDA806" w14:textId="355E6FF8" w:rsidR="00F52D98" w:rsidRPr="00AE78DF" w:rsidRDefault="00F52D98" w:rsidP="00E56659">
            <w:pPr>
              <w:spacing w:before="0" w:after="0"/>
              <w:jc w:val="left"/>
              <w:rPr>
                <w:rFonts w:cs="Calibri"/>
                <w:sz w:val="22"/>
              </w:rPr>
            </w:pPr>
            <w:r w:rsidRPr="00AE78DF">
              <w:rPr>
                <w:rFonts w:cs="Calibri"/>
                <w:sz w:val="22"/>
              </w:rPr>
              <w:t xml:space="preserve">Step 3: </w:t>
            </w:r>
            <w:r>
              <w:rPr>
                <w:rFonts w:cs="Calibri"/>
                <w:sz w:val="22"/>
              </w:rPr>
              <w:t>Worker</w:t>
            </w:r>
            <w:r w:rsidRPr="00AE78DF">
              <w:rPr>
                <w:rFonts w:cs="Calibri"/>
                <w:sz w:val="22"/>
              </w:rPr>
              <w:t xml:space="preserve"> management committees communicate and explain/clarify /solve complaint first, and submit to the P</w:t>
            </w:r>
            <w:r>
              <w:rPr>
                <w:rFonts w:cs="Calibri"/>
                <w:sz w:val="22"/>
              </w:rPr>
              <w:t>MO</w:t>
            </w:r>
            <w:r w:rsidRPr="00AE78DF">
              <w:rPr>
                <w:rFonts w:cs="Calibri"/>
                <w:sz w:val="22"/>
              </w:rPr>
              <w:t>s whenever needed</w:t>
            </w:r>
          </w:p>
        </w:tc>
        <w:tc>
          <w:tcPr>
            <w:tcW w:w="1675" w:type="dxa"/>
            <w:gridSpan w:val="2"/>
          </w:tcPr>
          <w:p w14:paraId="6F23A626" w14:textId="77777777" w:rsidR="00F52D98" w:rsidRPr="00AE78DF" w:rsidRDefault="00F52D98" w:rsidP="00E56659">
            <w:pPr>
              <w:spacing w:before="0" w:after="0"/>
              <w:jc w:val="left"/>
              <w:rPr>
                <w:rFonts w:cs="Calibri"/>
                <w:bCs/>
                <w:sz w:val="22"/>
              </w:rPr>
            </w:pPr>
          </w:p>
        </w:tc>
        <w:tc>
          <w:tcPr>
            <w:tcW w:w="1910" w:type="dxa"/>
          </w:tcPr>
          <w:p w14:paraId="45A9F3F2" w14:textId="77777777" w:rsidR="00F52D98" w:rsidRPr="00AE78DF" w:rsidRDefault="00F52D98" w:rsidP="00E56659">
            <w:pPr>
              <w:spacing w:before="0" w:after="0"/>
              <w:jc w:val="left"/>
              <w:rPr>
                <w:rFonts w:cs="Calibri"/>
                <w:bCs/>
                <w:sz w:val="22"/>
              </w:rPr>
            </w:pPr>
          </w:p>
        </w:tc>
        <w:tc>
          <w:tcPr>
            <w:tcW w:w="1478" w:type="dxa"/>
          </w:tcPr>
          <w:p w14:paraId="2400535F" w14:textId="77777777" w:rsidR="00F52D98" w:rsidRPr="00AE78DF" w:rsidRDefault="00F52D98" w:rsidP="00E56659">
            <w:pPr>
              <w:spacing w:before="0" w:after="0"/>
              <w:jc w:val="left"/>
              <w:rPr>
                <w:rFonts w:cs="Calibri"/>
                <w:bCs/>
                <w:sz w:val="22"/>
              </w:rPr>
            </w:pPr>
          </w:p>
        </w:tc>
        <w:tc>
          <w:tcPr>
            <w:tcW w:w="1677" w:type="dxa"/>
          </w:tcPr>
          <w:p w14:paraId="3B8B2FCA" w14:textId="77777777" w:rsidR="00F52D98" w:rsidRPr="00AE78DF" w:rsidRDefault="00F52D98" w:rsidP="00E56659">
            <w:pPr>
              <w:spacing w:before="0" w:after="0"/>
              <w:jc w:val="left"/>
              <w:rPr>
                <w:rFonts w:cs="Calibri"/>
                <w:bCs/>
                <w:sz w:val="22"/>
              </w:rPr>
            </w:pPr>
          </w:p>
        </w:tc>
        <w:tc>
          <w:tcPr>
            <w:tcW w:w="1744" w:type="dxa"/>
          </w:tcPr>
          <w:p w14:paraId="65B52EC6" w14:textId="77777777" w:rsidR="00F52D98" w:rsidRPr="00AE78DF" w:rsidRDefault="00F52D98" w:rsidP="00E56659">
            <w:pPr>
              <w:spacing w:before="0" w:after="0"/>
              <w:jc w:val="left"/>
              <w:rPr>
                <w:rFonts w:cs="Calibri"/>
                <w:bCs/>
                <w:sz w:val="22"/>
              </w:rPr>
            </w:pPr>
            <w:r w:rsidRPr="00AE78DF">
              <w:rPr>
                <w:rFonts w:cs="Calibri"/>
                <w:bCs/>
                <w:sz w:val="22"/>
              </w:rPr>
              <w:t>Two weeks after received the complaint</w:t>
            </w:r>
          </w:p>
        </w:tc>
        <w:tc>
          <w:tcPr>
            <w:tcW w:w="1336" w:type="dxa"/>
          </w:tcPr>
          <w:p w14:paraId="72D04C53" w14:textId="77777777" w:rsidR="00F52D98" w:rsidRPr="00AE78DF" w:rsidRDefault="00F52D98" w:rsidP="00E56659">
            <w:pPr>
              <w:spacing w:before="0" w:after="0"/>
              <w:jc w:val="left"/>
              <w:rPr>
                <w:rFonts w:cs="Calibri"/>
                <w:bCs/>
                <w:sz w:val="22"/>
              </w:rPr>
            </w:pPr>
            <w:r w:rsidRPr="00AE78DF">
              <w:rPr>
                <w:rFonts w:cs="Calibri"/>
                <w:bCs/>
                <w:sz w:val="22"/>
              </w:rPr>
              <w:t>Project budget for M&amp;E</w:t>
            </w:r>
          </w:p>
        </w:tc>
      </w:tr>
      <w:tr w:rsidR="00F52D98" w:rsidRPr="00AE78DF" w14:paraId="634EADDB" w14:textId="77777777" w:rsidTr="00E56659">
        <w:tc>
          <w:tcPr>
            <w:tcW w:w="4536" w:type="dxa"/>
          </w:tcPr>
          <w:p w14:paraId="5B385576" w14:textId="20E34299" w:rsidR="00F52D98" w:rsidRPr="00AE78DF" w:rsidRDefault="00F52D98" w:rsidP="00E56659">
            <w:pPr>
              <w:spacing w:before="0" w:after="0"/>
              <w:jc w:val="left"/>
              <w:rPr>
                <w:rFonts w:cs="Calibri"/>
                <w:sz w:val="22"/>
              </w:rPr>
            </w:pPr>
            <w:r w:rsidRPr="00AE78DF">
              <w:rPr>
                <w:rFonts w:cs="Calibri"/>
                <w:sz w:val="22"/>
              </w:rPr>
              <w:t xml:space="preserve">Step 4: The </w:t>
            </w:r>
            <w:r>
              <w:rPr>
                <w:rFonts w:cs="Calibri"/>
                <w:sz w:val="22"/>
              </w:rPr>
              <w:t>demos</w:t>
            </w:r>
            <w:r w:rsidRPr="00AE78DF">
              <w:rPr>
                <w:rFonts w:cs="Calibri"/>
                <w:sz w:val="22"/>
              </w:rPr>
              <w:t xml:space="preserve"> explain/clarify/resolve complaints</w:t>
            </w:r>
          </w:p>
        </w:tc>
        <w:tc>
          <w:tcPr>
            <w:tcW w:w="1675" w:type="dxa"/>
            <w:gridSpan w:val="2"/>
          </w:tcPr>
          <w:p w14:paraId="1B336B22" w14:textId="77777777" w:rsidR="00F52D98" w:rsidRPr="00AE78DF" w:rsidRDefault="00F52D98" w:rsidP="00E56659">
            <w:pPr>
              <w:spacing w:before="0" w:after="0"/>
              <w:jc w:val="left"/>
              <w:rPr>
                <w:rFonts w:cs="Calibri"/>
                <w:bCs/>
                <w:sz w:val="22"/>
              </w:rPr>
            </w:pPr>
          </w:p>
        </w:tc>
        <w:tc>
          <w:tcPr>
            <w:tcW w:w="1910" w:type="dxa"/>
          </w:tcPr>
          <w:p w14:paraId="1EA1B3F9" w14:textId="77777777" w:rsidR="00F52D98" w:rsidRPr="00AE78DF" w:rsidRDefault="00F52D98" w:rsidP="00E56659">
            <w:pPr>
              <w:spacing w:before="0" w:after="0"/>
              <w:jc w:val="left"/>
              <w:rPr>
                <w:rFonts w:cs="Calibri"/>
                <w:bCs/>
                <w:sz w:val="22"/>
              </w:rPr>
            </w:pPr>
          </w:p>
        </w:tc>
        <w:tc>
          <w:tcPr>
            <w:tcW w:w="1478" w:type="dxa"/>
          </w:tcPr>
          <w:p w14:paraId="3C8208E9" w14:textId="77777777" w:rsidR="00F52D98" w:rsidRPr="00AE78DF" w:rsidRDefault="00F52D98" w:rsidP="00E56659">
            <w:pPr>
              <w:spacing w:before="0" w:after="0"/>
              <w:jc w:val="left"/>
              <w:rPr>
                <w:rFonts w:cs="Calibri"/>
                <w:bCs/>
                <w:sz w:val="22"/>
              </w:rPr>
            </w:pPr>
          </w:p>
        </w:tc>
        <w:tc>
          <w:tcPr>
            <w:tcW w:w="1677" w:type="dxa"/>
          </w:tcPr>
          <w:p w14:paraId="639CA7FC" w14:textId="77777777" w:rsidR="00F52D98" w:rsidRPr="00AE78DF" w:rsidRDefault="00F52D98" w:rsidP="00E56659">
            <w:pPr>
              <w:spacing w:before="0" w:after="0"/>
              <w:jc w:val="left"/>
              <w:rPr>
                <w:rFonts w:cs="Calibri"/>
                <w:bCs/>
                <w:sz w:val="22"/>
              </w:rPr>
            </w:pPr>
          </w:p>
        </w:tc>
        <w:tc>
          <w:tcPr>
            <w:tcW w:w="1744" w:type="dxa"/>
          </w:tcPr>
          <w:p w14:paraId="0BE56A7B" w14:textId="77777777" w:rsidR="00F52D98" w:rsidRPr="00AE78DF" w:rsidRDefault="00F52D98" w:rsidP="00E56659">
            <w:pPr>
              <w:spacing w:before="0" w:after="0"/>
              <w:jc w:val="left"/>
              <w:rPr>
                <w:rFonts w:cs="Calibri"/>
                <w:bCs/>
                <w:sz w:val="22"/>
              </w:rPr>
            </w:pPr>
            <w:r w:rsidRPr="00AE78DF">
              <w:rPr>
                <w:rFonts w:cs="Calibri"/>
                <w:bCs/>
                <w:sz w:val="22"/>
              </w:rPr>
              <w:t>Two weeks after received the complaint</w:t>
            </w:r>
          </w:p>
        </w:tc>
        <w:tc>
          <w:tcPr>
            <w:tcW w:w="1336" w:type="dxa"/>
          </w:tcPr>
          <w:p w14:paraId="7B32B4CA" w14:textId="77777777" w:rsidR="00F52D98" w:rsidRPr="00AE78DF" w:rsidRDefault="00F52D98" w:rsidP="00E56659">
            <w:pPr>
              <w:spacing w:before="0" w:after="0"/>
              <w:jc w:val="left"/>
              <w:rPr>
                <w:rFonts w:cs="Calibri"/>
                <w:bCs/>
                <w:sz w:val="22"/>
              </w:rPr>
            </w:pPr>
            <w:r w:rsidRPr="00AE78DF">
              <w:rPr>
                <w:rFonts w:cs="Calibri"/>
                <w:bCs/>
                <w:sz w:val="22"/>
              </w:rPr>
              <w:t>Project budget for M&amp;E</w:t>
            </w:r>
          </w:p>
        </w:tc>
      </w:tr>
      <w:tr w:rsidR="00F52D98" w:rsidRPr="00AE78DF" w14:paraId="62210D06" w14:textId="77777777" w:rsidTr="00E56659">
        <w:tc>
          <w:tcPr>
            <w:tcW w:w="14356" w:type="dxa"/>
            <w:gridSpan w:val="8"/>
          </w:tcPr>
          <w:p w14:paraId="160F4043" w14:textId="4E355DE6" w:rsidR="00F52D98" w:rsidRPr="00AE78DF" w:rsidRDefault="00F52D98" w:rsidP="00E56659">
            <w:pPr>
              <w:spacing w:before="0" w:after="0"/>
              <w:jc w:val="left"/>
              <w:rPr>
                <w:rFonts w:cs="Calibri"/>
                <w:bCs/>
                <w:sz w:val="22"/>
              </w:rPr>
            </w:pPr>
            <w:r>
              <w:rPr>
                <w:rFonts w:cs="Calibri"/>
                <w:b/>
                <w:bCs/>
                <w:sz w:val="22"/>
              </w:rPr>
              <w:t xml:space="preserve">(3) </w:t>
            </w:r>
            <w:r w:rsidRPr="00AE78DF">
              <w:rPr>
                <w:rFonts w:cs="Calibri"/>
                <w:b/>
                <w:bCs/>
                <w:sz w:val="22"/>
              </w:rPr>
              <w:t xml:space="preserve">Mechanism for redress of public complaints </w:t>
            </w:r>
          </w:p>
        </w:tc>
      </w:tr>
      <w:tr w:rsidR="00AE78DF" w:rsidRPr="00AE78DF" w14:paraId="478F3F96" w14:textId="77777777" w:rsidTr="00E56659">
        <w:tc>
          <w:tcPr>
            <w:tcW w:w="4556" w:type="dxa"/>
            <w:gridSpan w:val="2"/>
          </w:tcPr>
          <w:p w14:paraId="28FD9259" w14:textId="25E4A17F" w:rsidR="00AE78DF" w:rsidRPr="00AE78DF" w:rsidRDefault="00AE78DF" w:rsidP="00E56659">
            <w:pPr>
              <w:spacing w:before="0" w:after="0"/>
              <w:jc w:val="left"/>
              <w:rPr>
                <w:rFonts w:cs="Calibri"/>
                <w:sz w:val="22"/>
              </w:rPr>
            </w:pPr>
            <w:r w:rsidRPr="00AE78DF">
              <w:rPr>
                <w:rFonts w:cs="Calibri"/>
                <w:sz w:val="22"/>
              </w:rPr>
              <w:t xml:space="preserve">Step 1: provide </w:t>
            </w:r>
            <w:r w:rsidR="00F52D98">
              <w:rPr>
                <w:rFonts w:cs="Calibri"/>
                <w:sz w:val="22"/>
              </w:rPr>
              <w:t>demo’s</w:t>
            </w:r>
            <w:r w:rsidRPr="00AE78DF">
              <w:rPr>
                <w:rFonts w:cs="Calibri"/>
                <w:sz w:val="22"/>
              </w:rPr>
              <w:t xml:space="preserve"> hotline for public</w:t>
            </w:r>
          </w:p>
        </w:tc>
        <w:tc>
          <w:tcPr>
            <w:tcW w:w="1655" w:type="dxa"/>
            <w:vMerge w:val="restart"/>
          </w:tcPr>
          <w:p w14:paraId="22E41AC7" w14:textId="77777777" w:rsidR="00AE78DF" w:rsidRPr="00AE78DF" w:rsidRDefault="00AE78DF" w:rsidP="00E56659">
            <w:pPr>
              <w:spacing w:before="0" w:after="0"/>
              <w:jc w:val="left"/>
              <w:rPr>
                <w:rFonts w:cs="Calibri"/>
                <w:bCs/>
                <w:sz w:val="22"/>
              </w:rPr>
            </w:pPr>
            <w:r w:rsidRPr="00AE78DF">
              <w:rPr>
                <w:rFonts w:cs="Calibri"/>
                <w:bCs/>
                <w:sz w:val="22"/>
              </w:rPr>
              <w:t>Make project information accessible to affected communities and resolve any complaints as soon as possible</w:t>
            </w:r>
          </w:p>
        </w:tc>
        <w:tc>
          <w:tcPr>
            <w:tcW w:w="1910" w:type="dxa"/>
            <w:vMerge w:val="restart"/>
          </w:tcPr>
          <w:p w14:paraId="23E411D9" w14:textId="0D8A216D" w:rsidR="00AE78DF" w:rsidRPr="00AE78DF" w:rsidRDefault="00AE78DF" w:rsidP="00E56659">
            <w:pPr>
              <w:spacing w:before="0" w:after="0"/>
              <w:jc w:val="left"/>
              <w:rPr>
                <w:rFonts w:cs="Calibri"/>
                <w:bCs/>
                <w:sz w:val="22"/>
              </w:rPr>
            </w:pPr>
            <w:r w:rsidRPr="00AE78DF">
              <w:rPr>
                <w:rFonts w:cs="Calibri"/>
                <w:bCs/>
                <w:sz w:val="22"/>
              </w:rPr>
              <w:t xml:space="preserve">Project affected people, male or female, </w:t>
            </w:r>
            <w:r w:rsidR="00E56659" w:rsidRPr="00AE78DF">
              <w:rPr>
                <w:rFonts w:cs="Calibri"/>
                <w:bCs/>
                <w:sz w:val="22"/>
              </w:rPr>
              <w:t>Han,</w:t>
            </w:r>
            <w:r w:rsidRPr="00AE78DF">
              <w:rPr>
                <w:rFonts w:cs="Calibri"/>
                <w:bCs/>
                <w:sz w:val="22"/>
              </w:rPr>
              <w:t xml:space="preserve"> or Ethnic minorities</w:t>
            </w:r>
          </w:p>
        </w:tc>
        <w:tc>
          <w:tcPr>
            <w:tcW w:w="1478" w:type="dxa"/>
            <w:vMerge w:val="restart"/>
          </w:tcPr>
          <w:p w14:paraId="7F8D653B" w14:textId="3092CDE7" w:rsidR="00AE78DF" w:rsidRPr="00AE78DF" w:rsidRDefault="00AE78DF" w:rsidP="00E56659">
            <w:pPr>
              <w:spacing w:before="0" w:after="0"/>
              <w:jc w:val="left"/>
              <w:rPr>
                <w:rFonts w:cs="Calibri"/>
                <w:bCs/>
                <w:sz w:val="22"/>
              </w:rPr>
            </w:pPr>
            <w:r w:rsidRPr="00AE78DF">
              <w:rPr>
                <w:rFonts w:cs="Calibri"/>
                <w:bCs/>
                <w:sz w:val="22"/>
              </w:rPr>
              <w:t>P</w:t>
            </w:r>
            <w:r w:rsidR="00F52D98">
              <w:rPr>
                <w:rFonts w:cs="Calibri"/>
                <w:bCs/>
                <w:sz w:val="22"/>
              </w:rPr>
              <w:t>MO</w:t>
            </w:r>
            <w:r w:rsidRPr="00AE78DF">
              <w:rPr>
                <w:rFonts w:cs="Calibri"/>
                <w:bCs/>
                <w:sz w:val="22"/>
              </w:rPr>
              <w:t>s</w:t>
            </w:r>
          </w:p>
        </w:tc>
        <w:tc>
          <w:tcPr>
            <w:tcW w:w="1677" w:type="dxa"/>
            <w:vMerge w:val="restart"/>
          </w:tcPr>
          <w:p w14:paraId="6E71797F" w14:textId="77777777" w:rsidR="00AE78DF" w:rsidRPr="00AE78DF" w:rsidRDefault="00AE78DF" w:rsidP="00E56659">
            <w:pPr>
              <w:spacing w:before="0" w:after="0"/>
              <w:jc w:val="left"/>
              <w:rPr>
                <w:rFonts w:cs="Calibri"/>
                <w:bCs/>
                <w:sz w:val="22"/>
              </w:rPr>
            </w:pPr>
            <w:r w:rsidRPr="00AE78DF">
              <w:rPr>
                <w:rFonts w:cs="Calibri"/>
                <w:bCs/>
                <w:sz w:val="22"/>
              </w:rPr>
              <w:t>N/A</w:t>
            </w:r>
          </w:p>
        </w:tc>
        <w:tc>
          <w:tcPr>
            <w:tcW w:w="1744" w:type="dxa"/>
          </w:tcPr>
          <w:p w14:paraId="124F0117" w14:textId="77777777" w:rsidR="00AE78DF" w:rsidRPr="00AE78DF" w:rsidRDefault="00AE78DF" w:rsidP="00E56659">
            <w:pPr>
              <w:spacing w:before="0" w:after="0"/>
              <w:jc w:val="left"/>
              <w:rPr>
                <w:rFonts w:cs="Calibri"/>
                <w:bCs/>
                <w:sz w:val="22"/>
              </w:rPr>
            </w:pPr>
            <w:r w:rsidRPr="00AE78DF">
              <w:rPr>
                <w:rFonts w:cs="Calibri"/>
                <w:bCs/>
                <w:sz w:val="22"/>
              </w:rPr>
              <w:t>Immediately after inception workshop</w:t>
            </w:r>
          </w:p>
        </w:tc>
        <w:tc>
          <w:tcPr>
            <w:tcW w:w="1336" w:type="dxa"/>
          </w:tcPr>
          <w:p w14:paraId="7BE97DE2"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r w:rsidR="00AE78DF" w:rsidRPr="00AE78DF" w14:paraId="4213B70B" w14:textId="77777777" w:rsidTr="00E56659">
        <w:tc>
          <w:tcPr>
            <w:tcW w:w="4556" w:type="dxa"/>
            <w:gridSpan w:val="2"/>
          </w:tcPr>
          <w:p w14:paraId="5D873A54" w14:textId="1C9A614F" w:rsidR="00AE78DF" w:rsidRPr="00AE78DF" w:rsidRDefault="00AE78DF" w:rsidP="00E56659">
            <w:pPr>
              <w:spacing w:before="0" w:after="0"/>
              <w:jc w:val="left"/>
              <w:rPr>
                <w:rFonts w:cs="Calibri"/>
                <w:sz w:val="22"/>
              </w:rPr>
            </w:pPr>
            <w:r w:rsidRPr="00AE78DF">
              <w:rPr>
                <w:rFonts w:cs="Calibri"/>
                <w:sz w:val="22"/>
              </w:rPr>
              <w:t xml:space="preserve">Step 2: present complaint if any to the </w:t>
            </w:r>
            <w:r w:rsidR="00F52D98">
              <w:rPr>
                <w:rFonts w:cs="Calibri"/>
                <w:sz w:val="22"/>
              </w:rPr>
              <w:t>demo</w:t>
            </w:r>
            <w:r w:rsidRPr="00AE78DF">
              <w:rPr>
                <w:rFonts w:cs="Calibri"/>
                <w:sz w:val="22"/>
              </w:rPr>
              <w:t>s’ management committee</w:t>
            </w:r>
          </w:p>
        </w:tc>
        <w:tc>
          <w:tcPr>
            <w:tcW w:w="1655" w:type="dxa"/>
            <w:vMerge/>
          </w:tcPr>
          <w:p w14:paraId="27D58461" w14:textId="77777777" w:rsidR="00AE78DF" w:rsidRPr="00AE78DF" w:rsidRDefault="00AE78DF" w:rsidP="00E56659">
            <w:pPr>
              <w:spacing w:before="0" w:after="0"/>
              <w:jc w:val="left"/>
              <w:rPr>
                <w:rFonts w:cs="Calibri"/>
                <w:bCs/>
                <w:sz w:val="22"/>
              </w:rPr>
            </w:pPr>
          </w:p>
        </w:tc>
        <w:tc>
          <w:tcPr>
            <w:tcW w:w="1910" w:type="dxa"/>
            <w:vMerge/>
          </w:tcPr>
          <w:p w14:paraId="45444B3D" w14:textId="77777777" w:rsidR="00AE78DF" w:rsidRPr="00AE78DF" w:rsidRDefault="00AE78DF" w:rsidP="00E56659">
            <w:pPr>
              <w:spacing w:before="0" w:after="0"/>
              <w:jc w:val="left"/>
              <w:rPr>
                <w:rFonts w:cs="Calibri"/>
                <w:bCs/>
                <w:sz w:val="22"/>
              </w:rPr>
            </w:pPr>
          </w:p>
        </w:tc>
        <w:tc>
          <w:tcPr>
            <w:tcW w:w="1478" w:type="dxa"/>
            <w:vMerge/>
          </w:tcPr>
          <w:p w14:paraId="6807405E" w14:textId="77777777" w:rsidR="00AE78DF" w:rsidRPr="00AE78DF" w:rsidRDefault="00AE78DF" w:rsidP="00E56659">
            <w:pPr>
              <w:spacing w:before="0" w:after="0"/>
              <w:jc w:val="left"/>
              <w:rPr>
                <w:rFonts w:cs="Calibri"/>
                <w:bCs/>
                <w:sz w:val="22"/>
              </w:rPr>
            </w:pPr>
          </w:p>
        </w:tc>
        <w:tc>
          <w:tcPr>
            <w:tcW w:w="1677" w:type="dxa"/>
            <w:vMerge/>
          </w:tcPr>
          <w:p w14:paraId="793D54D9" w14:textId="77777777" w:rsidR="00AE78DF" w:rsidRPr="00AE78DF" w:rsidRDefault="00AE78DF" w:rsidP="00E56659">
            <w:pPr>
              <w:spacing w:before="0" w:after="0"/>
              <w:jc w:val="left"/>
              <w:rPr>
                <w:rFonts w:cs="Calibri"/>
                <w:bCs/>
                <w:sz w:val="22"/>
              </w:rPr>
            </w:pPr>
          </w:p>
        </w:tc>
        <w:tc>
          <w:tcPr>
            <w:tcW w:w="1744" w:type="dxa"/>
          </w:tcPr>
          <w:p w14:paraId="40ED0EF4" w14:textId="77777777" w:rsidR="00AE78DF" w:rsidRPr="00AE78DF" w:rsidRDefault="00AE78DF" w:rsidP="00E56659">
            <w:pPr>
              <w:spacing w:before="0" w:after="0"/>
              <w:jc w:val="left"/>
              <w:rPr>
                <w:rFonts w:cs="Calibri"/>
                <w:bCs/>
                <w:sz w:val="22"/>
              </w:rPr>
            </w:pPr>
            <w:r w:rsidRPr="00AE78DF">
              <w:rPr>
                <w:rFonts w:cs="Calibri"/>
                <w:bCs/>
                <w:sz w:val="22"/>
              </w:rPr>
              <w:t>Any time during the project implementation</w:t>
            </w:r>
          </w:p>
        </w:tc>
        <w:tc>
          <w:tcPr>
            <w:tcW w:w="1336" w:type="dxa"/>
          </w:tcPr>
          <w:p w14:paraId="616385DF"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r w:rsidR="00AE78DF" w:rsidRPr="00AE78DF" w14:paraId="2A579AF7" w14:textId="77777777" w:rsidTr="00E56659">
        <w:tc>
          <w:tcPr>
            <w:tcW w:w="4556" w:type="dxa"/>
            <w:gridSpan w:val="2"/>
          </w:tcPr>
          <w:p w14:paraId="09620494" w14:textId="77777777" w:rsidR="00AE78DF" w:rsidRPr="00AE78DF" w:rsidRDefault="00AE78DF" w:rsidP="00E56659">
            <w:pPr>
              <w:spacing w:before="0" w:after="0"/>
              <w:jc w:val="left"/>
              <w:rPr>
                <w:rFonts w:cs="Calibri"/>
                <w:sz w:val="22"/>
              </w:rPr>
            </w:pPr>
            <w:r w:rsidRPr="00AE78DF">
              <w:rPr>
                <w:rFonts w:cs="Calibri"/>
                <w:sz w:val="22"/>
              </w:rPr>
              <w:t xml:space="preserve">Step 3: Figure out resolution </w:t>
            </w:r>
          </w:p>
        </w:tc>
        <w:tc>
          <w:tcPr>
            <w:tcW w:w="1655" w:type="dxa"/>
            <w:vMerge/>
          </w:tcPr>
          <w:p w14:paraId="1056649B" w14:textId="77777777" w:rsidR="00AE78DF" w:rsidRPr="00AE78DF" w:rsidRDefault="00AE78DF" w:rsidP="00E56659">
            <w:pPr>
              <w:spacing w:before="0" w:after="0"/>
              <w:jc w:val="left"/>
              <w:rPr>
                <w:rFonts w:cs="Calibri"/>
                <w:bCs/>
                <w:sz w:val="22"/>
              </w:rPr>
            </w:pPr>
          </w:p>
        </w:tc>
        <w:tc>
          <w:tcPr>
            <w:tcW w:w="1910" w:type="dxa"/>
            <w:vMerge/>
          </w:tcPr>
          <w:p w14:paraId="5D5E42AF" w14:textId="77777777" w:rsidR="00AE78DF" w:rsidRPr="00AE78DF" w:rsidRDefault="00AE78DF" w:rsidP="00E56659">
            <w:pPr>
              <w:spacing w:before="0" w:after="0"/>
              <w:jc w:val="left"/>
              <w:rPr>
                <w:rFonts w:cs="Calibri"/>
                <w:bCs/>
                <w:sz w:val="22"/>
              </w:rPr>
            </w:pPr>
          </w:p>
        </w:tc>
        <w:tc>
          <w:tcPr>
            <w:tcW w:w="1478" w:type="dxa"/>
            <w:vMerge/>
          </w:tcPr>
          <w:p w14:paraId="04310C25" w14:textId="77777777" w:rsidR="00AE78DF" w:rsidRPr="00AE78DF" w:rsidRDefault="00AE78DF" w:rsidP="00E56659">
            <w:pPr>
              <w:spacing w:before="0" w:after="0"/>
              <w:jc w:val="left"/>
              <w:rPr>
                <w:rFonts w:cs="Calibri"/>
                <w:bCs/>
                <w:sz w:val="22"/>
              </w:rPr>
            </w:pPr>
          </w:p>
        </w:tc>
        <w:tc>
          <w:tcPr>
            <w:tcW w:w="1677" w:type="dxa"/>
            <w:vMerge/>
          </w:tcPr>
          <w:p w14:paraId="68AB8F60" w14:textId="77777777" w:rsidR="00AE78DF" w:rsidRPr="00AE78DF" w:rsidRDefault="00AE78DF" w:rsidP="00E56659">
            <w:pPr>
              <w:spacing w:before="0" w:after="0"/>
              <w:jc w:val="left"/>
              <w:rPr>
                <w:rFonts w:cs="Calibri"/>
                <w:bCs/>
                <w:sz w:val="22"/>
              </w:rPr>
            </w:pPr>
          </w:p>
        </w:tc>
        <w:tc>
          <w:tcPr>
            <w:tcW w:w="1744" w:type="dxa"/>
          </w:tcPr>
          <w:p w14:paraId="18A84EF6" w14:textId="77777777" w:rsidR="00AE78DF" w:rsidRPr="00AE78DF" w:rsidRDefault="00AE78DF" w:rsidP="00E56659">
            <w:pPr>
              <w:spacing w:before="0" w:after="0"/>
              <w:jc w:val="left"/>
              <w:rPr>
                <w:rFonts w:cs="Calibri"/>
                <w:bCs/>
                <w:sz w:val="22"/>
              </w:rPr>
            </w:pPr>
            <w:r w:rsidRPr="00AE78DF">
              <w:rPr>
                <w:rFonts w:cs="Calibri"/>
                <w:bCs/>
                <w:sz w:val="22"/>
              </w:rPr>
              <w:t>Two weeks after received the complaint</w:t>
            </w:r>
          </w:p>
        </w:tc>
        <w:tc>
          <w:tcPr>
            <w:tcW w:w="1336" w:type="dxa"/>
          </w:tcPr>
          <w:p w14:paraId="0BE9FB3A"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r w:rsidR="00AE78DF" w:rsidRPr="00AE78DF" w14:paraId="1F358D75" w14:textId="77777777" w:rsidTr="00E56659">
        <w:tc>
          <w:tcPr>
            <w:tcW w:w="4556" w:type="dxa"/>
            <w:gridSpan w:val="2"/>
          </w:tcPr>
          <w:p w14:paraId="7DE0C6B9" w14:textId="77777777" w:rsidR="00AE78DF" w:rsidRPr="00AE78DF" w:rsidRDefault="00AE78DF" w:rsidP="00E56659">
            <w:pPr>
              <w:spacing w:before="0" w:after="0"/>
              <w:jc w:val="left"/>
              <w:rPr>
                <w:rFonts w:cs="Calibri"/>
                <w:sz w:val="22"/>
              </w:rPr>
            </w:pPr>
            <w:r w:rsidRPr="00AE78DF">
              <w:rPr>
                <w:rFonts w:cs="Calibri"/>
                <w:sz w:val="22"/>
              </w:rPr>
              <w:t>Step 4: communicate with the complainants and resolve problems</w:t>
            </w:r>
          </w:p>
        </w:tc>
        <w:tc>
          <w:tcPr>
            <w:tcW w:w="1655" w:type="dxa"/>
            <w:vMerge/>
          </w:tcPr>
          <w:p w14:paraId="3334B4F9" w14:textId="77777777" w:rsidR="00AE78DF" w:rsidRPr="00AE78DF" w:rsidRDefault="00AE78DF" w:rsidP="00E56659">
            <w:pPr>
              <w:spacing w:before="0" w:after="0"/>
              <w:jc w:val="left"/>
              <w:rPr>
                <w:rFonts w:cs="Calibri"/>
                <w:bCs/>
                <w:sz w:val="22"/>
              </w:rPr>
            </w:pPr>
          </w:p>
        </w:tc>
        <w:tc>
          <w:tcPr>
            <w:tcW w:w="1910" w:type="dxa"/>
            <w:vMerge/>
          </w:tcPr>
          <w:p w14:paraId="080F816A" w14:textId="77777777" w:rsidR="00AE78DF" w:rsidRPr="00AE78DF" w:rsidRDefault="00AE78DF" w:rsidP="00E56659">
            <w:pPr>
              <w:spacing w:before="0" w:after="0"/>
              <w:jc w:val="left"/>
              <w:rPr>
                <w:rFonts w:cs="Calibri"/>
                <w:bCs/>
                <w:sz w:val="22"/>
              </w:rPr>
            </w:pPr>
          </w:p>
        </w:tc>
        <w:tc>
          <w:tcPr>
            <w:tcW w:w="1478" w:type="dxa"/>
            <w:vMerge/>
          </w:tcPr>
          <w:p w14:paraId="55E46186" w14:textId="77777777" w:rsidR="00AE78DF" w:rsidRPr="00AE78DF" w:rsidRDefault="00AE78DF" w:rsidP="00E56659">
            <w:pPr>
              <w:spacing w:before="0" w:after="0"/>
              <w:jc w:val="left"/>
              <w:rPr>
                <w:rFonts w:cs="Calibri"/>
                <w:bCs/>
                <w:sz w:val="22"/>
              </w:rPr>
            </w:pPr>
          </w:p>
        </w:tc>
        <w:tc>
          <w:tcPr>
            <w:tcW w:w="1677" w:type="dxa"/>
            <w:vMerge/>
          </w:tcPr>
          <w:p w14:paraId="357E3D5A" w14:textId="77777777" w:rsidR="00AE78DF" w:rsidRPr="00AE78DF" w:rsidRDefault="00AE78DF" w:rsidP="00E56659">
            <w:pPr>
              <w:spacing w:before="0" w:after="0"/>
              <w:jc w:val="left"/>
              <w:rPr>
                <w:rFonts w:cs="Calibri"/>
                <w:bCs/>
                <w:sz w:val="22"/>
              </w:rPr>
            </w:pPr>
          </w:p>
        </w:tc>
        <w:tc>
          <w:tcPr>
            <w:tcW w:w="1744" w:type="dxa"/>
          </w:tcPr>
          <w:p w14:paraId="47048035" w14:textId="77777777" w:rsidR="00AE78DF" w:rsidRPr="00AE78DF" w:rsidRDefault="00AE78DF" w:rsidP="00E56659">
            <w:pPr>
              <w:spacing w:before="0" w:after="0"/>
              <w:jc w:val="left"/>
              <w:rPr>
                <w:rFonts w:cs="Calibri"/>
                <w:bCs/>
                <w:sz w:val="22"/>
              </w:rPr>
            </w:pPr>
            <w:r w:rsidRPr="00AE78DF">
              <w:rPr>
                <w:rFonts w:cs="Calibri"/>
                <w:bCs/>
                <w:sz w:val="22"/>
              </w:rPr>
              <w:t>Two weeks after received the complaint</w:t>
            </w:r>
          </w:p>
        </w:tc>
        <w:tc>
          <w:tcPr>
            <w:tcW w:w="1336" w:type="dxa"/>
          </w:tcPr>
          <w:p w14:paraId="12B75B48" w14:textId="77777777" w:rsidR="00AE78DF" w:rsidRPr="00AE78DF" w:rsidRDefault="00AE78DF" w:rsidP="00E56659">
            <w:pPr>
              <w:spacing w:before="0" w:after="0"/>
              <w:jc w:val="left"/>
              <w:rPr>
                <w:rFonts w:cs="Calibri"/>
                <w:bCs/>
                <w:sz w:val="22"/>
              </w:rPr>
            </w:pPr>
            <w:r w:rsidRPr="00AE78DF">
              <w:rPr>
                <w:rFonts w:cs="Calibri"/>
                <w:bCs/>
                <w:sz w:val="22"/>
              </w:rPr>
              <w:t>Project budget for M&amp;E</w:t>
            </w:r>
          </w:p>
        </w:tc>
      </w:tr>
    </w:tbl>
    <w:p w14:paraId="64809319" w14:textId="77777777" w:rsidR="00AE78DF" w:rsidRPr="00AE78DF" w:rsidRDefault="00AE78DF" w:rsidP="00AE78DF">
      <w:pPr>
        <w:spacing w:before="0" w:after="0"/>
        <w:rPr>
          <w:rFonts w:cs="Calibri"/>
          <w:sz w:val="22"/>
        </w:rPr>
        <w:sectPr w:rsidR="00AE78DF" w:rsidRPr="00AE78DF" w:rsidSect="00AE78DF">
          <w:pgSz w:w="16839" w:h="11907" w:orient="landscape" w:code="9"/>
          <w:pgMar w:top="1440" w:right="1440" w:bottom="1440" w:left="1440" w:header="576" w:footer="576" w:gutter="0"/>
          <w:cols w:space="720"/>
          <w:docGrid w:linePitch="360"/>
        </w:sectPr>
      </w:pPr>
    </w:p>
    <w:p w14:paraId="074B2214" w14:textId="77777777" w:rsidR="00A84577" w:rsidRPr="00420A86" w:rsidRDefault="00A84577" w:rsidP="00F52D98"/>
    <w:p w14:paraId="68670459" w14:textId="77777777" w:rsidR="00CB0FEE" w:rsidRPr="00420A86" w:rsidRDefault="00CB0FEE" w:rsidP="00420A86">
      <w:pPr>
        <w:pStyle w:val="Heading1"/>
        <w:spacing w:before="0" w:after="0"/>
        <w:ind w:left="431" w:hanging="431"/>
        <w:rPr>
          <w:rFonts w:cs="Calibri"/>
          <w:color w:val="002060"/>
          <w:sz w:val="22"/>
          <w:szCs w:val="22"/>
        </w:rPr>
      </w:pPr>
      <w:bookmarkStart w:id="45" w:name="_Toc86064168"/>
      <w:r w:rsidRPr="00420A86">
        <w:rPr>
          <w:rFonts w:cs="Calibri"/>
          <w:color w:val="002060"/>
          <w:sz w:val="22"/>
          <w:szCs w:val="22"/>
        </w:rPr>
        <w:t>Budget for ESMF Implementation</w:t>
      </w:r>
      <w:bookmarkEnd w:id="45"/>
    </w:p>
    <w:p w14:paraId="531EB52E" w14:textId="77777777" w:rsidR="00A84577" w:rsidRPr="00420A86" w:rsidRDefault="00A84577" w:rsidP="00420A86">
      <w:pPr>
        <w:spacing w:before="0" w:after="0"/>
        <w:rPr>
          <w:rFonts w:cs="Calibri"/>
          <w:sz w:val="22"/>
        </w:rPr>
      </w:pPr>
    </w:p>
    <w:p w14:paraId="5C19804C" w14:textId="77777777" w:rsidR="00CB0FEE" w:rsidRPr="00420A86" w:rsidRDefault="00E66FB5" w:rsidP="00420A86">
      <w:pPr>
        <w:spacing w:before="0" w:after="0"/>
        <w:rPr>
          <w:rFonts w:cs="Calibri"/>
          <w:sz w:val="22"/>
        </w:rPr>
      </w:pPr>
      <w:r w:rsidRPr="00420A86">
        <w:rPr>
          <w:rFonts w:cs="Calibri"/>
          <w:sz w:val="22"/>
        </w:rPr>
        <w:t>Funding</w:t>
      </w:r>
      <w:r w:rsidR="00CB0FEE" w:rsidRPr="00420A86">
        <w:rPr>
          <w:rFonts w:cs="Calibri"/>
          <w:sz w:val="22"/>
        </w:rPr>
        <w:t xml:space="preserve"> for implementation of the ESMF is included </w:t>
      </w:r>
      <w:r w:rsidRPr="00420A86">
        <w:rPr>
          <w:rFonts w:cs="Calibri"/>
          <w:sz w:val="22"/>
        </w:rPr>
        <w:t>in the budget of</w:t>
      </w:r>
      <w:r w:rsidR="00CB0FEE" w:rsidRPr="00420A86">
        <w:rPr>
          <w:rFonts w:cs="Calibri"/>
          <w:sz w:val="22"/>
        </w:rPr>
        <w:t xml:space="preserve"> the </w:t>
      </w:r>
      <w:proofErr w:type="spellStart"/>
      <w:r w:rsidR="005E4849">
        <w:rPr>
          <w:rFonts w:cs="Calibri"/>
          <w:sz w:val="22"/>
          <w:lang w:eastAsia="zh-CN"/>
        </w:rPr>
        <w:t>PhosChemEE</w:t>
      </w:r>
      <w:proofErr w:type="spellEnd"/>
      <w:r w:rsidR="00F415A0" w:rsidRPr="00420A86">
        <w:rPr>
          <w:rFonts w:cs="Calibri"/>
          <w:sz w:val="22"/>
          <w:lang w:eastAsia="zh-CN"/>
        </w:rPr>
        <w:t xml:space="preserve"> </w:t>
      </w:r>
      <w:r w:rsidR="00164D9B">
        <w:rPr>
          <w:rFonts w:cs="Calibri"/>
          <w:sz w:val="22"/>
          <w:lang w:eastAsia="zh-CN"/>
        </w:rPr>
        <w:t>P</w:t>
      </w:r>
      <w:r w:rsidR="00F415A0" w:rsidRPr="00420A86">
        <w:rPr>
          <w:rFonts w:cs="Calibri"/>
          <w:sz w:val="22"/>
          <w:lang w:eastAsia="zh-CN"/>
        </w:rPr>
        <w:t>roject</w:t>
      </w:r>
      <w:r w:rsidRPr="00420A86">
        <w:rPr>
          <w:rFonts w:cs="Calibri"/>
          <w:sz w:val="22"/>
        </w:rPr>
        <w:t xml:space="preserve">. The estimated costs are indicated in </w:t>
      </w:r>
      <w:r w:rsidR="00565F01" w:rsidRPr="00420A86">
        <w:rPr>
          <w:rFonts w:cs="Calibri"/>
          <w:sz w:val="22"/>
        </w:rPr>
        <w:fldChar w:fldCharType="begin"/>
      </w:r>
      <w:r w:rsidR="00565F01" w:rsidRPr="00420A86">
        <w:rPr>
          <w:rFonts w:cs="Calibri"/>
          <w:sz w:val="22"/>
        </w:rPr>
        <w:instrText xml:space="preserve"> REF _Ref507350117 \h </w:instrText>
      </w:r>
      <w:r w:rsidR="007A5B4B" w:rsidRPr="00420A86">
        <w:rPr>
          <w:rFonts w:cs="Calibri"/>
          <w:sz w:val="22"/>
        </w:rPr>
        <w:instrText xml:space="preserve"> \* MERGEFORMAT </w:instrText>
      </w:r>
      <w:r w:rsidR="00565F01" w:rsidRPr="00420A86">
        <w:rPr>
          <w:rFonts w:cs="Calibri"/>
          <w:sz w:val="22"/>
        </w:rPr>
      </w:r>
      <w:r w:rsidR="00565F01" w:rsidRPr="00420A86">
        <w:rPr>
          <w:rFonts w:cs="Calibri"/>
          <w:sz w:val="22"/>
        </w:rPr>
        <w:fldChar w:fldCharType="separate"/>
      </w:r>
      <w:r w:rsidR="00D34FB4" w:rsidRPr="00420A86">
        <w:rPr>
          <w:rFonts w:cs="Calibri"/>
          <w:b/>
          <w:sz w:val="22"/>
        </w:rPr>
        <w:t xml:space="preserve">Table </w:t>
      </w:r>
      <w:r w:rsidR="00D34FB4" w:rsidRPr="00420A86">
        <w:rPr>
          <w:rFonts w:cs="Calibri"/>
          <w:b/>
          <w:noProof/>
          <w:sz w:val="22"/>
        </w:rPr>
        <w:t>4</w:t>
      </w:r>
      <w:r w:rsidR="00565F01" w:rsidRPr="00420A86">
        <w:rPr>
          <w:rFonts w:cs="Calibri"/>
          <w:sz w:val="22"/>
        </w:rPr>
        <w:fldChar w:fldCharType="end"/>
      </w:r>
      <w:r w:rsidR="00565F01" w:rsidRPr="00420A86">
        <w:rPr>
          <w:rFonts w:cs="Calibri"/>
          <w:sz w:val="22"/>
        </w:rPr>
        <w:t xml:space="preserve"> </w:t>
      </w:r>
      <w:r w:rsidRPr="00420A86">
        <w:rPr>
          <w:rFonts w:cs="Calibri"/>
          <w:sz w:val="22"/>
        </w:rPr>
        <w:t xml:space="preserve">below. Costs associated with the time of Project Management Unit Staff coordinating the implementation of this ESMF </w:t>
      </w:r>
      <w:r w:rsidR="006F7496" w:rsidRPr="00420A86">
        <w:rPr>
          <w:rFonts w:cs="Calibri"/>
          <w:sz w:val="22"/>
        </w:rPr>
        <w:t xml:space="preserve">or UNDP support </w:t>
      </w:r>
      <w:r w:rsidRPr="00420A86">
        <w:rPr>
          <w:rFonts w:cs="Calibri"/>
          <w:sz w:val="22"/>
        </w:rPr>
        <w:t>are not shown. Further detail is found in the budgets of the respective Proje</w:t>
      </w:r>
      <w:r w:rsidR="00402404" w:rsidRPr="00420A86">
        <w:rPr>
          <w:rFonts w:cs="Calibri"/>
          <w:sz w:val="22"/>
        </w:rPr>
        <w:t>ct Documents</w:t>
      </w:r>
      <w:r w:rsidR="00CB0FEE" w:rsidRPr="00420A86">
        <w:rPr>
          <w:rFonts w:cs="Calibri"/>
          <w:sz w:val="22"/>
        </w:rPr>
        <w:t>.</w:t>
      </w:r>
    </w:p>
    <w:p w14:paraId="595BD49A" w14:textId="77777777" w:rsidR="00A84577" w:rsidRPr="00420A86" w:rsidRDefault="00A84577" w:rsidP="00420A86">
      <w:pPr>
        <w:pStyle w:val="Caption"/>
        <w:keepNext/>
        <w:spacing w:after="0"/>
        <w:rPr>
          <w:rFonts w:cs="Calibri"/>
          <w:b/>
          <w:sz w:val="22"/>
          <w:szCs w:val="22"/>
        </w:rPr>
      </w:pPr>
      <w:bookmarkStart w:id="46" w:name="_Ref507350117"/>
      <w:bookmarkStart w:id="47" w:name="_Toc67572943"/>
    </w:p>
    <w:p w14:paraId="32F7EE7D" w14:textId="4CDDC23D" w:rsidR="006C642C" w:rsidRPr="00420A86" w:rsidRDefault="001F085F" w:rsidP="00420A86">
      <w:pPr>
        <w:pStyle w:val="Caption"/>
        <w:keepNext/>
        <w:spacing w:after="0"/>
        <w:rPr>
          <w:rFonts w:cs="Calibri"/>
          <w:b/>
          <w:sz w:val="22"/>
          <w:szCs w:val="22"/>
        </w:rPr>
      </w:pPr>
      <w:r w:rsidRPr="00420A86">
        <w:rPr>
          <w:rFonts w:cs="Calibri"/>
          <w:b/>
          <w:sz w:val="22"/>
          <w:szCs w:val="22"/>
        </w:rPr>
        <w:t xml:space="preserve">Table </w:t>
      </w:r>
      <w:r w:rsidRPr="00420A86">
        <w:rPr>
          <w:rFonts w:cs="Calibri"/>
          <w:b/>
          <w:sz w:val="22"/>
          <w:szCs w:val="22"/>
        </w:rPr>
        <w:fldChar w:fldCharType="begin"/>
      </w:r>
      <w:r w:rsidRPr="00420A86">
        <w:rPr>
          <w:rFonts w:cs="Calibri"/>
          <w:b/>
          <w:sz w:val="22"/>
          <w:szCs w:val="22"/>
        </w:rPr>
        <w:instrText xml:space="preserve"> SEQ Table \* ARABIC </w:instrText>
      </w:r>
      <w:r w:rsidRPr="00420A86">
        <w:rPr>
          <w:rFonts w:cs="Calibri"/>
          <w:b/>
          <w:sz w:val="22"/>
          <w:szCs w:val="22"/>
        </w:rPr>
        <w:fldChar w:fldCharType="separate"/>
      </w:r>
      <w:r w:rsidR="00F52D98">
        <w:rPr>
          <w:rFonts w:cs="Calibri"/>
          <w:b/>
          <w:noProof/>
          <w:sz w:val="22"/>
          <w:szCs w:val="22"/>
        </w:rPr>
        <w:t>4</w:t>
      </w:r>
      <w:r w:rsidRPr="00420A86">
        <w:rPr>
          <w:rFonts w:cs="Calibri"/>
          <w:b/>
          <w:sz w:val="22"/>
          <w:szCs w:val="22"/>
        </w:rPr>
        <w:fldChar w:fldCharType="end"/>
      </w:r>
      <w:bookmarkEnd w:id="46"/>
      <w:r w:rsidRPr="00420A86">
        <w:rPr>
          <w:rFonts w:cs="Calibri"/>
          <w:b/>
          <w:sz w:val="22"/>
          <w:szCs w:val="22"/>
        </w:rPr>
        <w:t xml:space="preserve">: Breakdown of </w:t>
      </w:r>
      <w:r w:rsidR="00D431D6">
        <w:rPr>
          <w:rFonts w:cs="Calibri"/>
          <w:b/>
          <w:sz w:val="22"/>
          <w:szCs w:val="22"/>
        </w:rPr>
        <w:t>P</w:t>
      </w:r>
      <w:r w:rsidRPr="00420A86">
        <w:rPr>
          <w:rFonts w:cs="Calibri"/>
          <w:b/>
          <w:sz w:val="22"/>
          <w:szCs w:val="22"/>
        </w:rPr>
        <w:t>roject</w:t>
      </w:r>
      <w:r w:rsidR="00D431D6">
        <w:rPr>
          <w:rFonts w:cs="Calibri"/>
          <w:b/>
          <w:sz w:val="22"/>
          <w:szCs w:val="22"/>
        </w:rPr>
        <w:t>-</w:t>
      </w:r>
      <w:r w:rsidRPr="00420A86">
        <w:rPr>
          <w:rFonts w:cs="Calibri"/>
          <w:b/>
          <w:sz w:val="22"/>
          <w:szCs w:val="22"/>
        </w:rPr>
        <w:t xml:space="preserve">level </w:t>
      </w:r>
      <w:r w:rsidR="00D431D6">
        <w:rPr>
          <w:rFonts w:cs="Calibri"/>
          <w:b/>
          <w:sz w:val="22"/>
          <w:szCs w:val="22"/>
        </w:rPr>
        <w:t>C</w:t>
      </w:r>
      <w:r w:rsidRPr="00420A86">
        <w:rPr>
          <w:rFonts w:cs="Calibri"/>
          <w:b/>
          <w:sz w:val="22"/>
          <w:szCs w:val="22"/>
        </w:rPr>
        <w:t xml:space="preserve">osts for ESMF </w:t>
      </w:r>
      <w:r w:rsidR="00D431D6">
        <w:rPr>
          <w:rFonts w:cs="Calibri"/>
          <w:b/>
          <w:sz w:val="22"/>
          <w:szCs w:val="22"/>
        </w:rPr>
        <w:t>I</w:t>
      </w:r>
      <w:r w:rsidRPr="00420A86">
        <w:rPr>
          <w:rFonts w:cs="Calibri"/>
          <w:b/>
          <w:sz w:val="22"/>
          <w:szCs w:val="22"/>
        </w:rPr>
        <w:t>mplementation</w:t>
      </w:r>
      <w:bookmarkEnd w:id="47"/>
    </w:p>
    <w:p w14:paraId="6C850361" w14:textId="77777777" w:rsidR="00A84577" w:rsidRPr="00420A86" w:rsidRDefault="00A84577" w:rsidP="00420A86">
      <w:pPr>
        <w:spacing w:before="0" w:after="0"/>
        <w:rPr>
          <w:rFonts w:cs="Calibri"/>
          <w:sz w:val="22"/>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43"/>
      </w:tblGrid>
      <w:tr w:rsidR="0045465E" w:rsidRPr="00420A86" w14:paraId="51066E6E" w14:textId="77777777" w:rsidTr="00420A86">
        <w:trPr>
          <w:tblHeader/>
          <w:jc w:val="center"/>
        </w:trPr>
        <w:tc>
          <w:tcPr>
            <w:tcW w:w="5665" w:type="dxa"/>
            <w:shd w:val="clear" w:color="auto" w:fill="EEECE1"/>
            <w:vAlign w:val="center"/>
          </w:tcPr>
          <w:p w14:paraId="45DF9580" w14:textId="77777777" w:rsidR="0045465E" w:rsidRPr="00420A86" w:rsidRDefault="0045465E" w:rsidP="00420A86">
            <w:pPr>
              <w:spacing w:before="0" w:after="0"/>
              <w:jc w:val="center"/>
              <w:rPr>
                <w:rFonts w:cs="Calibri"/>
                <w:b/>
                <w:sz w:val="22"/>
              </w:rPr>
            </w:pPr>
            <w:r w:rsidRPr="00420A86">
              <w:rPr>
                <w:rFonts w:cs="Calibri"/>
                <w:b/>
                <w:sz w:val="22"/>
              </w:rPr>
              <w:t>Item</w:t>
            </w:r>
          </w:p>
        </w:tc>
        <w:tc>
          <w:tcPr>
            <w:tcW w:w="1843" w:type="dxa"/>
            <w:shd w:val="clear" w:color="auto" w:fill="EEECE1"/>
            <w:vAlign w:val="center"/>
          </w:tcPr>
          <w:p w14:paraId="2D7733AE" w14:textId="77777777" w:rsidR="0045465E" w:rsidRPr="00420A86" w:rsidRDefault="00360C9B" w:rsidP="00420A86">
            <w:pPr>
              <w:spacing w:before="0" w:after="0"/>
              <w:jc w:val="center"/>
              <w:rPr>
                <w:rFonts w:cs="Calibri"/>
                <w:b/>
                <w:sz w:val="22"/>
              </w:rPr>
            </w:pPr>
            <w:r w:rsidRPr="00420A86">
              <w:rPr>
                <w:rFonts w:cs="Calibri"/>
                <w:b/>
                <w:sz w:val="22"/>
              </w:rPr>
              <w:t>Budget</w:t>
            </w:r>
            <w:r w:rsidR="0045465E" w:rsidRPr="00420A86">
              <w:rPr>
                <w:rFonts w:cs="Calibri"/>
                <w:b/>
                <w:sz w:val="22"/>
              </w:rPr>
              <w:t xml:space="preserve"> Cost</w:t>
            </w:r>
            <w:r w:rsidRPr="00420A86">
              <w:rPr>
                <w:rFonts w:cs="Calibri"/>
                <w:b/>
                <w:sz w:val="22"/>
              </w:rPr>
              <w:t xml:space="preserve"> (USD)</w:t>
            </w:r>
          </w:p>
        </w:tc>
      </w:tr>
      <w:tr w:rsidR="0045465E" w:rsidRPr="00420A86" w14:paraId="3FA53E48" w14:textId="77777777" w:rsidTr="00420A86">
        <w:trPr>
          <w:jc w:val="center"/>
        </w:trPr>
        <w:tc>
          <w:tcPr>
            <w:tcW w:w="7508" w:type="dxa"/>
            <w:gridSpan w:val="2"/>
            <w:shd w:val="clear" w:color="auto" w:fill="DBE5F1"/>
            <w:vAlign w:val="center"/>
          </w:tcPr>
          <w:p w14:paraId="7EC75217" w14:textId="155EFDDB" w:rsidR="0045465E" w:rsidRPr="00420A86" w:rsidRDefault="00F415A0" w:rsidP="00420A86">
            <w:pPr>
              <w:spacing w:before="0" w:after="0"/>
              <w:jc w:val="center"/>
              <w:rPr>
                <w:rFonts w:cs="Calibri"/>
                <w:b/>
                <w:sz w:val="22"/>
              </w:rPr>
            </w:pPr>
            <w:r w:rsidRPr="00420A86">
              <w:rPr>
                <w:rFonts w:cs="Calibri"/>
                <w:b/>
                <w:sz w:val="22"/>
              </w:rPr>
              <w:t xml:space="preserve">The </w:t>
            </w:r>
            <w:proofErr w:type="spellStart"/>
            <w:r w:rsidR="005E4849">
              <w:rPr>
                <w:rFonts w:cs="Calibri"/>
                <w:b/>
                <w:sz w:val="22"/>
              </w:rPr>
              <w:t>PhosChemEE</w:t>
            </w:r>
            <w:proofErr w:type="spellEnd"/>
            <w:r w:rsidR="0045465E" w:rsidRPr="00420A86">
              <w:rPr>
                <w:rFonts w:cs="Calibri"/>
                <w:b/>
                <w:sz w:val="22"/>
              </w:rPr>
              <w:t xml:space="preserve"> Project (</w:t>
            </w:r>
            <w:r w:rsidR="00AE78DF">
              <w:rPr>
                <w:rFonts w:cs="Calibri"/>
                <w:b/>
                <w:sz w:val="22"/>
              </w:rPr>
              <w:t>High</w:t>
            </w:r>
            <w:r w:rsidR="0045465E" w:rsidRPr="00420A86">
              <w:rPr>
                <w:rFonts w:cs="Calibri"/>
                <w:b/>
                <w:sz w:val="22"/>
              </w:rPr>
              <w:t xml:space="preserve"> Risk)</w:t>
            </w:r>
          </w:p>
        </w:tc>
      </w:tr>
      <w:tr w:rsidR="0018220D" w:rsidRPr="00420A86" w14:paraId="71FC2AD6" w14:textId="77777777" w:rsidTr="006767FE">
        <w:trPr>
          <w:jc w:val="center"/>
        </w:trPr>
        <w:tc>
          <w:tcPr>
            <w:tcW w:w="5665" w:type="dxa"/>
            <w:shd w:val="clear" w:color="auto" w:fill="auto"/>
            <w:vAlign w:val="center"/>
          </w:tcPr>
          <w:p w14:paraId="3300CB8C" w14:textId="77777777" w:rsidR="0018220D" w:rsidRDefault="0018220D" w:rsidP="00420A86">
            <w:pPr>
              <w:spacing w:before="0" w:after="0"/>
              <w:rPr>
                <w:rFonts w:cs="Calibri"/>
                <w:szCs w:val="20"/>
              </w:rPr>
            </w:pPr>
            <w:r w:rsidRPr="00420A86">
              <w:rPr>
                <w:rFonts w:cs="Calibri"/>
                <w:szCs w:val="20"/>
              </w:rPr>
              <w:t xml:space="preserve">International consultant, </w:t>
            </w:r>
            <w:r w:rsidR="00296E36" w:rsidRPr="00420A86">
              <w:rPr>
                <w:rFonts w:cs="Calibri"/>
                <w:szCs w:val="20"/>
              </w:rPr>
              <w:t>safeguards,</w:t>
            </w:r>
            <w:r w:rsidRPr="00420A86">
              <w:rPr>
                <w:rFonts w:cs="Calibri"/>
                <w:szCs w:val="20"/>
              </w:rPr>
              <w:t xml:space="preserve"> </w:t>
            </w:r>
            <w:r w:rsidR="00426BC6" w:rsidRPr="00420A86">
              <w:rPr>
                <w:rFonts w:cs="Calibri"/>
                <w:szCs w:val="20"/>
                <w:lang w:eastAsia="zh-CN"/>
              </w:rPr>
              <w:t>and</w:t>
            </w:r>
            <w:r w:rsidR="00426BC6" w:rsidRPr="00420A86">
              <w:rPr>
                <w:rFonts w:cs="Calibri"/>
                <w:szCs w:val="20"/>
              </w:rPr>
              <w:t xml:space="preserve"> gender </w:t>
            </w:r>
            <w:r w:rsidRPr="00420A86">
              <w:rPr>
                <w:rFonts w:cs="Calibri"/>
                <w:szCs w:val="20"/>
              </w:rPr>
              <w:t>specialist</w:t>
            </w:r>
            <w:r w:rsidR="002B791E">
              <w:rPr>
                <w:rFonts w:cs="Calibri"/>
                <w:szCs w:val="20"/>
              </w:rPr>
              <w:t xml:space="preserve"> (QA and oversight of project-related safeguards documentation) </w:t>
            </w:r>
          </w:p>
          <w:p w14:paraId="1356B7F9" w14:textId="77777777" w:rsidR="002B791E" w:rsidRDefault="002B791E" w:rsidP="00420A86">
            <w:pPr>
              <w:spacing w:before="0" w:after="0"/>
              <w:rPr>
                <w:rFonts w:cs="Calibri"/>
                <w:szCs w:val="20"/>
              </w:rPr>
            </w:pPr>
          </w:p>
          <w:p w14:paraId="415328CC" w14:textId="582847D9" w:rsidR="002B791E" w:rsidRPr="00420A86" w:rsidRDefault="002B791E" w:rsidP="00420A86">
            <w:pPr>
              <w:spacing w:before="0" w:after="0"/>
              <w:rPr>
                <w:rFonts w:cs="Calibri"/>
                <w:szCs w:val="20"/>
              </w:rPr>
            </w:pPr>
            <w:r>
              <w:rPr>
                <w:rFonts w:cs="Calibri"/>
                <w:szCs w:val="20"/>
              </w:rPr>
              <w:t>25 Days @ 750 USD</w:t>
            </w:r>
          </w:p>
        </w:tc>
        <w:tc>
          <w:tcPr>
            <w:tcW w:w="1843" w:type="dxa"/>
            <w:shd w:val="clear" w:color="auto" w:fill="auto"/>
            <w:vAlign w:val="center"/>
          </w:tcPr>
          <w:p w14:paraId="2E50EF61" w14:textId="30739BA8" w:rsidR="0018220D" w:rsidRPr="00C46E29" w:rsidRDefault="0018220D" w:rsidP="00C46E29">
            <w:pPr>
              <w:spacing w:before="0" w:after="0"/>
              <w:jc w:val="center"/>
              <w:rPr>
                <w:rFonts w:cs="Calibri"/>
                <w:szCs w:val="20"/>
              </w:rPr>
            </w:pPr>
            <w:r w:rsidRPr="00C46E29">
              <w:rPr>
                <w:rFonts w:cs="Calibri"/>
                <w:szCs w:val="20"/>
              </w:rPr>
              <w:t>$</w:t>
            </w:r>
            <w:r w:rsidR="002B791E">
              <w:rPr>
                <w:rFonts w:cs="Calibri"/>
                <w:szCs w:val="20"/>
                <w:lang w:eastAsia="zh-CN"/>
              </w:rPr>
              <w:t>18</w:t>
            </w:r>
            <w:r w:rsidR="00227335">
              <w:rPr>
                <w:rFonts w:cs="Calibri"/>
                <w:szCs w:val="20"/>
                <w:lang w:eastAsia="zh-CN"/>
              </w:rPr>
              <w:t>,</w:t>
            </w:r>
            <w:r w:rsidR="002B791E">
              <w:rPr>
                <w:rFonts w:cs="Calibri"/>
                <w:szCs w:val="20"/>
                <w:lang w:eastAsia="zh-CN"/>
              </w:rPr>
              <w:t>750</w:t>
            </w:r>
          </w:p>
        </w:tc>
      </w:tr>
      <w:tr w:rsidR="0018220D" w:rsidRPr="00420A86" w14:paraId="2E1EEBA7" w14:textId="77777777" w:rsidTr="006767FE">
        <w:trPr>
          <w:jc w:val="center"/>
        </w:trPr>
        <w:tc>
          <w:tcPr>
            <w:tcW w:w="5665" w:type="dxa"/>
            <w:shd w:val="clear" w:color="auto" w:fill="auto"/>
            <w:vAlign w:val="center"/>
          </w:tcPr>
          <w:p w14:paraId="62BF9FC1" w14:textId="481496DB" w:rsidR="0018220D" w:rsidRDefault="0018220D" w:rsidP="00420A86">
            <w:pPr>
              <w:spacing w:before="0" w:after="0"/>
              <w:rPr>
                <w:rFonts w:cs="Calibri"/>
                <w:szCs w:val="20"/>
              </w:rPr>
            </w:pPr>
            <w:r w:rsidRPr="00420A86">
              <w:rPr>
                <w:rFonts w:cs="Calibri"/>
                <w:szCs w:val="20"/>
              </w:rPr>
              <w:t>National consultant</w:t>
            </w:r>
            <w:r w:rsidR="002B791E">
              <w:rPr>
                <w:rFonts w:cs="Calibri"/>
                <w:szCs w:val="20"/>
              </w:rPr>
              <w:t>/consultancy firm</w:t>
            </w:r>
            <w:r w:rsidRPr="00420A86">
              <w:rPr>
                <w:rFonts w:cs="Calibri"/>
                <w:szCs w:val="20"/>
              </w:rPr>
              <w:t>, safeguards specialist</w:t>
            </w:r>
          </w:p>
          <w:p w14:paraId="279CA1E6" w14:textId="77777777" w:rsidR="002B791E" w:rsidRDefault="002B791E" w:rsidP="00420A86">
            <w:pPr>
              <w:spacing w:before="0" w:after="0"/>
              <w:rPr>
                <w:rFonts w:cs="Calibri"/>
                <w:szCs w:val="20"/>
              </w:rPr>
            </w:pPr>
            <w:r>
              <w:rPr>
                <w:rFonts w:cs="Calibri"/>
                <w:szCs w:val="20"/>
              </w:rPr>
              <w:t xml:space="preserve">(To develop site-specific ESIAs and SESA) </w:t>
            </w:r>
          </w:p>
          <w:p w14:paraId="72044255" w14:textId="52126AEB" w:rsidR="002B791E" w:rsidRPr="00420A86" w:rsidRDefault="002B791E" w:rsidP="00420A86">
            <w:pPr>
              <w:spacing w:before="0" w:after="0"/>
              <w:rPr>
                <w:rFonts w:cs="Calibri"/>
                <w:szCs w:val="20"/>
              </w:rPr>
            </w:pPr>
          </w:p>
        </w:tc>
        <w:tc>
          <w:tcPr>
            <w:tcW w:w="1843" w:type="dxa"/>
            <w:shd w:val="clear" w:color="auto" w:fill="auto"/>
            <w:vAlign w:val="center"/>
          </w:tcPr>
          <w:p w14:paraId="2871BAFB" w14:textId="0293F5F9" w:rsidR="0018220D" w:rsidRPr="00C46E29" w:rsidRDefault="0018220D" w:rsidP="00861B58">
            <w:pPr>
              <w:spacing w:before="0" w:after="0"/>
              <w:jc w:val="center"/>
              <w:rPr>
                <w:rFonts w:cs="Calibri"/>
                <w:szCs w:val="20"/>
              </w:rPr>
            </w:pPr>
            <w:r w:rsidRPr="00C46E29">
              <w:rPr>
                <w:rFonts w:cs="Calibri"/>
                <w:szCs w:val="20"/>
              </w:rPr>
              <w:t>$</w:t>
            </w:r>
            <w:r w:rsidR="00F415A0" w:rsidRPr="00C46E29">
              <w:rPr>
                <w:rFonts w:cs="Calibri"/>
                <w:szCs w:val="20"/>
              </w:rPr>
              <w:t xml:space="preserve"> </w:t>
            </w:r>
            <w:r w:rsidR="002B791E">
              <w:rPr>
                <w:rFonts w:cs="Calibri"/>
                <w:szCs w:val="20"/>
                <w:lang w:eastAsia="zh-CN"/>
              </w:rPr>
              <w:t>90</w:t>
            </w:r>
            <w:r w:rsidR="00227335">
              <w:rPr>
                <w:rFonts w:cs="Calibri"/>
                <w:szCs w:val="20"/>
                <w:lang w:eastAsia="zh-CN"/>
              </w:rPr>
              <w:t>,</w:t>
            </w:r>
            <w:r w:rsidR="009F275B">
              <w:rPr>
                <w:rFonts w:cs="Calibri" w:hint="eastAsia"/>
                <w:szCs w:val="20"/>
                <w:lang w:eastAsia="zh-CN"/>
              </w:rPr>
              <w:t>000</w:t>
            </w:r>
          </w:p>
        </w:tc>
      </w:tr>
      <w:tr w:rsidR="0018220D" w:rsidRPr="00420A86" w14:paraId="26EC494F" w14:textId="77777777" w:rsidTr="006767FE">
        <w:trPr>
          <w:jc w:val="center"/>
        </w:trPr>
        <w:tc>
          <w:tcPr>
            <w:tcW w:w="5665" w:type="dxa"/>
            <w:shd w:val="clear" w:color="auto" w:fill="auto"/>
            <w:vAlign w:val="center"/>
          </w:tcPr>
          <w:p w14:paraId="73432F8B" w14:textId="2C7517C9" w:rsidR="0018220D" w:rsidRPr="00420A86" w:rsidRDefault="0018220D" w:rsidP="00420A86">
            <w:pPr>
              <w:spacing w:before="0" w:after="0"/>
              <w:rPr>
                <w:rFonts w:cs="Calibri"/>
                <w:szCs w:val="20"/>
              </w:rPr>
            </w:pPr>
            <w:r w:rsidRPr="00420A86">
              <w:rPr>
                <w:rFonts w:cs="Calibri"/>
                <w:szCs w:val="20"/>
              </w:rPr>
              <w:t>Local consultant, community development specialist</w:t>
            </w:r>
            <w:r w:rsidR="002B791E">
              <w:rPr>
                <w:rFonts w:cs="Calibri"/>
                <w:szCs w:val="20"/>
              </w:rPr>
              <w:t xml:space="preserve"> (for continued engagement and consultation with local communities)</w:t>
            </w:r>
          </w:p>
        </w:tc>
        <w:tc>
          <w:tcPr>
            <w:tcW w:w="1843" w:type="dxa"/>
            <w:shd w:val="clear" w:color="auto" w:fill="auto"/>
            <w:vAlign w:val="center"/>
          </w:tcPr>
          <w:p w14:paraId="7383EB71" w14:textId="014FF341" w:rsidR="0018220D" w:rsidRPr="00C46E29" w:rsidRDefault="0018220D" w:rsidP="00C46E29">
            <w:pPr>
              <w:spacing w:before="0" w:after="0"/>
              <w:jc w:val="center"/>
              <w:rPr>
                <w:rFonts w:cs="Calibri"/>
                <w:szCs w:val="20"/>
              </w:rPr>
            </w:pPr>
            <w:r w:rsidRPr="00C46E29">
              <w:rPr>
                <w:rFonts w:cs="Calibri"/>
                <w:szCs w:val="20"/>
              </w:rPr>
              <w:t>$</w:t>
            </w:r>
            <w:r w:rsidR="002B791E">
              <w:rPr>
                <w:rFonts w:cs="Calibri"/>
                <w:szCs w:val="20"/>
              </w:rPr>
              <w:t>5</w:t>
            </w:r>
            <w:r w:rsidR="00227335">
              <w:rPr>
                <w:rFonts w:cs="Calibri"/>
                <w:szCs w:val="20"/>
                <w:lang w:eastAsia="zh-CN"/>
              </w:rPr>
              <w:t>,</w:t>
            </w:r>
            <w:r w:rsidR="009F275B">
              <w:rPr>
                <w:rFonts w:cs="Calibri" w:hint="eastAsia"/>
                <w:szCs w:val="20"/>
                <w:lang w:eastAsia="zh-CN"/>
              </w:rPr>
              <w:t>000</w:t>
            </w:r>
          </w:p>
        </w:tc>
      </w:tr>
      <w:tr w:rsidR="0018220D" w:rsidRPr="00420A86" w14:paraId="561A4760" w14:textId="77777777" w:rsidTr="006767FE">
        <w:trPr>
          <w:jc w:val="center"/>
        </w:trPr>
        <w:tc>
          <w:tcPr>
            <w:tcW w:w="5665" w:type="dxa"/>
            <w:shd w:val="clear" w:color="auto" w:fill="auto"/>
            <w:vAlign w:val="center"/>
          </w:tcPr>
          <w:p w14:paraId="51C52DE5" w14:textId="77777777" w:rsidR="0018220D" w:rsidRPr="00420A86" w:rsidRDefault="0018220D" w:rsidP="00420A86">
            <w:pPr>
              <w:spacing w:before="0" w:after="0"/>
              <w:rPr>
                <w:rFonts w:cs="Calibri"/>
                <w:szCs w:val="20"/>
              </w:rPr>
            </w:pPr>
            <w:r w:rsidRPr="00420A86">
              <w:rPr>
                <w:rFonts w:cs="Calibri"/>
                <w:szCs w:val="20"/>
              </w:rPr>
              <w:t>Travel expenses for consultations</w:t>
            </w:r>
          </w:p>
        </w:tc>
        <w:tc>
          <w:tcPr>
            <w:tcW w:w="1843" w:type="dxa"/>
            <w:shd w:val="clear" w:color="auto" w:fill="auto"/>
            <w:vAlign w:val="center"/>
          </w:tcPr>
          <w:p w14:paraId="147E8E00" w14:textId="7333B504" w:rsidR="0018220D" w:rsidRPr="00C46E29" w:rsidRDefault="0018220D" w:rsidP="00861B58">
            <w:pPr>
              <w:spacing w:before="0" w:after="0"/>
              <w:jc w:val="center"/>
              <w:rPr>
                <w:rFonts w:cs="Calibri"/>
                <w:szCs w:val="20"/>
              </w:rPr>
            </w:pPr>
            <w:r w:rsidRPr="00C46E29">
              <w:rPr>
                <w:rFonts w:cs="Calibri"/>
                <w:szCs w:val="20"/>
              </w:rPr>
              <w:t>$</w:t>
            </w:r>
            <w:r w:rsidR="00F415A0" w:rsidRPr="00C46E29">
              <w:rPr>
                <w:rFonts w:cs="Calibri"/>
                <w:szCs w:val="20"/>
              </w:rPr>
              <w:t xml:space="preserve"> </w:t>
            </w:r>
            <w:r w:rsidR="002B791E">
              <w:rPr>
                <w:rFonts w:cs="Calibri"/>
                <w:szCs w:val="20"/>
              </w:rPr>
              <w:t>10</w:t>
            </w:r>
            <w:r w:rsidR="00227335">
              <w:rPr>
                <w:rFonts w:cs="Calibri"/>
                <w:szCs w:val="20"/>
              </w:rPr>
              <w:t>,</w:t>
            </w:r>
            <w:r w:rsidR="00C46E29" w:rsidRPr="00C46E29">
              <w:rPr>
                <w:rFonts w:cs="Calibri"/>
                <w:szCs w:val="20"/>
              </w:rPr>
              <w:t>000</w:t>
            </w:r>
          </w:p>
        </w:tc>
      </w:tr>
      <w:tr w:rsidR="0018220D" w:rsidRPr="00420A86" w14:paraId="794D354D" w14:textId="77777777" w:rsidTr="006767FE">
        <w:trPr>
          <w:jc w:val="center"/>
        </w:trPr>
        <w:tc>
          <w:tcPr>
            <w:tcW w:w="5665" w:type="dxa"/>
            <w:shd w:val="clear" w:color="auto" w:fill="auto"/>
            <w:vAlign w:val="bottom"/>
          </w:tcPr>
          <w:p w14:paraId="4931229D" w14:textId="77777777" w:rsidR="0018220D" w:rsidRPr="00420A86" w:rsidRDefault="0018220D" w:rsidP="00420A86">
            <w:pPr>
              <w:spacing w:before="0" w:after="0"/>
              <w:rPr>
                <w:rFonts w:cs="Calibri"/>
                <w:szCs w:val="20"/>
              </w:rPr>
            </w:pPr>
            <w:r w:rsidRPr="00420A86">
              <w:rPr>
                <w:rFonts w:cs="Calibri"/>
                <w:szCs w:val="20"/>
              </w:rPr>
              <w:t>Audio-visual &amp; print production expenses</w:t>
            </w:r>
          </w:p>
        </w:tc>
        <w:tc>
          <w:tcPr>
            <w:tcW w:w="1843" w:type="dxa"/>
            <w:shd w:val="clear" w:color="auto" w:fill="auto"/>
            <w:vAlign w:val="bottom"/>
          </w:tcPr>
          <w:p w14:paraId="7D09BAB9" w14:textId="1EAD5B52" w:rsidR="0018220D" w:rsidRPr="00C46E29" w:rsidRDefault="00B34762" w:rsidP="00C46E29">
            <w:pPr>
              <w:spacing w:before="0" w:after="0"/>
              <w:jc w:val="center"/>
              <w:rPr>
                <w:rFonts w:cs="Calibri"/>
                <w:szCs w:val="20"/>
              </w:rPr>
            </w:pPr>
            <w:r w:rsidRPr="00C46E29">
              <w:rPr>
                <w:rFonts w:cs="Calibri"/>
                <w:szCs w:val="20"/>
              </w:rPr>
              <w:t>$</w:t>
            </w:r>
            <w:r w:rsidR="00F415A0" w:rsidRPr="00C46E29">
              <w:rPr>
                <w:rFonts w:cs="Calibri"/>
                <w:szCs w:val="20"/>
              </w:rPr>
              <w:t xml:space="preserve"> </w:t>
            </w:r>
            <w:r w:rsidR="002B791E">
              <w:rPr>
                <w:rFonts w:cs="Calibri"/>
                <w:szCs w:val="20"/>
              </w:rPr>
              <w:t>3</w:t>
            </w:r>
            <w:r w:rsidR="00227335">
              <w:rPr>
                <w:rFonts w:cs="Calibri"/>
                <w:szCs w:val="20"/>
              </w:rPr>
              <w:t>,</w:t>
            </w:r>
            <w:r w:rsidR="002B791E">
              <w:rPr>
                <w:rFonts w:cs="Calibri"/>
                <w:szCs w:val="20"/>
              </w:rPr>
              <w:t>0</w:t>
            </w:r>
            <w:r w:rsidR="00C46E29" w:rsidRPr="00C46E29">
              <w:rPr>
                <w:rFonts w:cs="Calibri"/>
                <w:szCs w:val="20"/>
              </w:rPr>
              <w:t>00</w:t>
            </w:r>
          </w:p>
        </w:tc>
      </w:tr>
      <w:tr w:rsidR="0018220D" w:rsidRPr="00420A86" w14:paraId="5E3730B4" w14:textId="77777777" w:rsidTr="006767FE">
        <w:trPr>
          <w:jc w:val="center"/>
        </w:trPr>
        <w:tc>
          <w:tcPr>
            <w:tcW w:w="5665" w:type="dxa"/>
            <w:shd w:val="clear" w:color="auto" w:fill="auto"/>
            <w:vAlign w:val="center"/>
          </w:tcPr>
          <w:p w14:paraId="2202D2F8" w14:textId="77777777" w:rsidR="0018220D" w:rsidRPr="00420A86" w:rsidRDefault="0018220D" w:rsidP="00420A86">
            <w:pPr>
              <w:spacing w:before="0" w:after="0"/>
              <w:jc w:val="right"/>
              <w:rPr>
                <w:rFonts w:cs="Calibri"/>
                <w:b/>
                <w:szCs w:val="20"/>
              </w:rPr>
            </w:pPr>
            <w:r w:rsidRPr="00420A86">
              <w:rPr>
                <w:rFonts w:cs="Calibri"/>
                <w:b/>
                <w:szCs w:val="20"/>
              </w:rPr>
              <w:t>Total:</w:t>
            </w:r>
          </w:p>
        </w:tc>
        <w:tc>
          <w:tcPr>
            <w:tcW w:w="1843" w:type="dxa"/>
            <w:shd w:val="clear" w:color="auto" w:fill="auto"/>
            <w:vAlign w:val="center"/>
          </w:tcPr>
          <w:p w14:paraId="616441A5" w14:textId="7239DA2B" w:rsidR="0018220D" w:rsidRPr="00C46E29" w:rsidRDefault="0018220D" w:rsidP="00861B58">
            <w:pPr>
              <w:spacing w:before="0" w:after="0"/>
              <w:jc w:val="center"/>
              <w:rPr>
                <w:rFonts w:cs="Calibri"/>
                <w:b/>
                <w:szCs w:val="20"/>
              </w:rPr>
            </w:pPr>
            <w:r w:rsidRPr="00C46E29">
              <w:rPr>
                <w:rFonts w:cs="Calibri"/>
                <w:b/>
                <w:szCs w:val="20"/>
              </w:rPr>
              <w:t>$</w:t>
            </w:r>
            <w:r w:rsidR="00815660">
              <w:rPr>
                <w:rFonts w:cs="Calibri"/>
                <w:b/>
                <w:szCs w:val="20"/>
              </w:rPr>
              <w:t>121</w:t>
            </w:r>
            <w:r w:rsidR="00227335">
              <w:rPr>
                <w:rFonts w:cs="Calibri"/>
                <w:b/>
                <w:szCs w:val="20"/>
                <w:lang w:eastAsia="zh-CN"/>
              </w:rPr>
              <w:t>,</w:t>
            </w:r>
            <w:r w:rsidR="00815660">
              <w:rPr>
                <w:rFonts w:cs="Calibri"/>
                <w:b/>
                <w:szCs w:val="20"/>
                <w:lang w:eastAsia="zh-CN"/>
              </w:rPr>
              <w:t>7</w:t>
            </w:r>
            <w:r w:rsidR="00815660">
              <w:rPr>
                <w:rFonts w:cs="Calibri"/>
                <w:b/>
                <w:szCs w:val="20"/>
              </w:rPr>
              <w:t>55</w:t>
            </w:r>
          </w:p>
        </w:tc>
      </w:tr>
    </w:tbl>
    <w:p w14:paraId="06545A76" w14:textId="77777777" w:rsidR="00A84577" w:rsidRPr="00420A86" w:rsidRDefault="00A84577" w:rsidP="00F52D98"/>
    <w:p w14:paraId="6D1F1803" w14:textId="77777777" w:rsidR="00A84577" w:rsidRPr="00C515DB" w:rsidRDefault="007F3DCC" w:rsidP="00420A86">
      <w:pPr>
        <w:pStyle w:val="Heading1"/>
        <w:spacing w:before="0" w:after="0"/>
        <w:rPr>
          <w:rFonts w:cs="Calibri"/>
          <w:color w:val="002060"/>
          <w:sz w:val="22"/>
          <w:szCs w:val="22"/>
        </w:rPr>
      </w:pPr>
      <w:bookmarkStart w:id="48" w:name="_Toc86064169"/>
      <w:r w:rsidRPr="00420A86">
        <w:rPr>
          <w:rFonts w:cs="Calibri"/>
          <w:color w:val="002060"/>
          <w:sz w:val="22"/>
          <w:szCs w:val="22"/>
        </w:rPr>
        <w:t>M</w:t>
      </w:r>
      <w:r w:rsidRPr="00C515DB">
        <w:rPr>
          <w:rFonts w:cs="Calibri"/>
          <w:color w:val="002060"/>
          <w:sz w:val="22"/>
          <w:szCs w:val="22"/>
        </w:rPr>
        <w:t xml:space="preserve">onitoring and </w:t>
      </w:r>
      <w:r w:rsidR="00D431D6" w:rsidRPr="00C515DB">
        <w:rPr>
          <w:rFonts w:cs="Calibri"/>
          <w:color w:val="002060"/>
          <w:sz w:val="22"/>
          <w:szCs w:val="22"/>
        </w:rPr>
        <w:t>E</w:t>
      </w:r>
      <w:r w:rsidRPr="00C515DB">
        <w:rPr>
          <w:rFonts w:cs="Calibri"/>
          <w:color w:val="002060"/>
          <w:sz w:val="22"/>
          <w:szCs w:val="22"/>
        </w:rPr>
        <w:t xml:space="preserve">valuation </w:t>
      </w:r>
      <w:r w:rsidR="00D431D6" w:rsidRPr="00C515DB">
        <w:rPr>
          <w:rFonts w:cs="Calibri"/>
          <w:color w:val="002060"/>
          <w:sz w:val="22"/>
          <w:szCs w:val="22"/>
        </w:rPr>
        <w:t>A</w:t>
      </w:r>
      <w:r w:rsidRPr="00C515DB">
        <w:rPr>
          <w:rFonts w:cs="Calibri"/>
          <w:color w:val="002060"/>
          <w:sz w:val="22"/>
          <w:szCs w:val="22"/>
        </w:rPr>
        <w:t>rrangements</w:t>
      </w:r>
      <w:bookmarkEnd w:id="48"/>
    </w:p>
    <w:p w14:paraId="5CE91F4D" w14:textId="77777777" w:rsidR="007F3DCC" w:rsidRPr="00C515DB" w:rsidRDefault="007F3DCC" w:rsidP="00F52D98"/>
    <w:p w14:paraId="12D37458" w14:textId="1638D7CF" w:rsidR="00AE78DF" w:rsidRPr="00AE78DF" w:rsidRDefault="00AE78DF" w:rsidP="00AE78DF">
      <w:pPr>
        <w:spacing w:before="0"/>
        <w:rPr>
          <w:rFonts w:cs="Calibri"/>
          <w:sz w:val="22"/>
        </w:rPr>
      </w:pPr>
      <w:r w:rsidRPr="00AE78DF">
        <w:rPr>
          <w:rFonts w:cs="Calibri"/>
          <w:sz w:val="22"/>
        </w:rPr>
        <w:t>Reporting on progress and issues in the implementation of this ESMF will be documented in the project quarterly reports and annual project implementation reports (PIRs). Until the ESMPs and stand-alone management plans are put in place,</w:t>
      </w:r>
      <w:r>
        <w:rPr>
          <w:rFonts w:cs="Calibri"/>
          <w:sz w:val="22"/>
        </w:rPr>
        <w:t xml:space="preserve"> </w:t>
      </w:r>
      <w:r w:rsidRPr="00AE78DF">
        <w:rPr>
          <w:rFonts w:cs="Calibri"/>
          <w:sz w:val="22"/>
        </w:rPr>
        <w:t>UNDP CO will be responsible for compiling reports on the implementation of this ESMF, for reporting to the Project Steering Committee. Key issues will be presented to the Project Steering Committee during each committee meeting.</w:t>
      </w:r>
    </w:p>
    <w:p w14:paraId="55231109" w14:textId="07904C84" w:rsidR="00AE78DF" w:rsidRPr="00AE78DF" w:rsidRDefault="00AE78DF" w:rsidP="00AE78DF">
      <w:pPr>
        <w:spacing w:before="0"/>
        <w:rPr>
          <w:rFonts w:cs="Calibri"/>
          <w:sz w:val="22"/>
        </w:rPr>
      </w:pPr>
      <w:r w:rsidRPr="00AE78DF">
        <w:rPr>
          <w:rFonts w:cs="Calibri"/>
          <w:sz w:val="22"/>
        </w:rPr>
        <w:t>Implementation of the subsequent ESMPs</w:t>
      </w:r>
      <w:r>
        <w:rPr>
          <w:rFonts w:cs="Calibri"/>
          <w:sz w:val="22"/>
        </w:rPr>
        <w:t xml:space="preserve"> </w:t>
      </w:r>
      <w:r w:rsidRPr="00AE78DF">
        <w:rPr>
          <w:rFonts w:cs="Calibri"/>
          <w:sz w:val="22"/>
        </w:rPr>
        <w:t xml:space="preserve">and stand-alone management plans (all projects, as required) will be the responsibility for the individual project management teams, and other partners as agreed upon and described in those </w:t>
      </w:r>
      <w:proofErr w:type="gramStart"/>
      <w:r w:rsidRPr="00AE78DF">
        <w:rPr>
          <w:rFonts w:cs="Calibri"/>
          <w:sz w:val="22"/>
        </w:rPr>
        <w:t>future plans</w:t>
      </w:r>
      <w:proofErr w:type="gramEnd"/>
      <w:r w:rsidRPr="00AE78DF">
        <w:rPr>
          <w:rFonts w:cs="Calibri"/>
          <w:sz w:val="22"/>
        </w:rPr>
        <w:t xml:space="preserve">. </w:t>
      </w:r>
    </w:p>
    <w:p w14:paraId="52706AB1" w14:textId="7B6FAB16" w:rsidR="00AE78DF" w:rsidRDefault="00AE78DF" w:rsidP="00AE78DF">
      <w:pPr>
        <w:spacing w:before="0"/>
        <w:rPr>
          <w:rFonts w:cs="Calibri"/>
          <w:b/>
          <w:sz w:val="22"/>
        </w:rPr>
        <w:sectPr w:rsidR="00AE78DF" w:rsidSect="00336259">
          <w:footerReference w:type="default" r:id="rId22"/>
          <w:footerReference w:type="first" r:id="rId23"/>
          <w:pgSz w:w="11907" w:h="16839" w:code="9"/>
          <w:pgMar w:top="1440" w:right="1440" w:bottom="1440" w:left="1440" w:header="576" w:footer="576" w:gutter="0"/>
          <w:cols w:space="720"/>
          <w:docGrid w:linePitch="360"/>
        </w:sectPr>
      </w:pPr>
      <w:r w:rsidRPr="00AE78DF">
        <w:rPr>
          <w:rFonts w:cs="Calibri"/>
          <w:sz w:val="22"/>
        </w:rPr>
        <w:t>The ESMF monitoring and evaluation plan is outlined below in</w:t>
      </w:r>
      <w:r w:rsidR="00B56255">
        <w:rPr>
          <w:rFonts w:cs="Calibri"/>
          <w:sz w:val="22"/>
        </w:rPr>
        <w:t xml:space="preserve"> </w:t>
      </w:r>
      <w:r w:rsidR="00B56255">
        <w:rPr>
          <w:rFonts w:cs="Calibri"/>
          <w:sz w:val="22"/>
        </w:rPr>
        <w:fldChar w:fldCharType="begin"/>
      </w:r>
      <w:r w:rsidR="00B56255">
        <w:rPr>
          <w:rFonts w:cs="Calibri"/>
          <w:sz w:val="22"/>
        </w:rPr>
        <w:instrText xml:space="preserve"> REF _Ref86065435 \h </w:instrText>
      </w:r>
      <w:r w:rsidR="00B56255">
        <w:rPr>
          <w:rFonts w:cs="Calibri"/>
          <w:sz w:val="22"/>
        </w:rPr>
      </w:r>
      <w:r w:rsidR="00B56255">
        <w:rPr>
          <w:rFonts w:cs="Calibri"/>
          <w:sz w:val="22"/>
        </w:rPr>
        <w:fldChar w:fldCharType="separate"/>
      </w:r>
      <w:r w:rsidR="00B56255" w:rsidRPr="00420A86">
        <w:rPr>
          <w:rFonts w:cs="Calibri"/>
          <w:b/>
          <w:sz w:val="22"/>
        </w:rPr>
        <w:t xml:space="preserve">Table </w:t>
      </w:r>
      <w:r w:rsidR="00B56255">
        <w:rPr>
          <w:rFonts w:cs="Calibri"/>
          <w:b/>
          <w:noProof/>
          <w:sz w:val="22"/>
        </w:rPr>
        <w:t>5</w:t>
      </w:r>
      <w:r w:rsidR="00B56255">
        <w:rPr>
          <w:rFonts w:cs="Calibri"/>
          <w:sz w:val="22"/>
        </w:rPr>
        <w:fldChar w:fldCharType="end"/>
      </w:r>
      <w:r w:rsidRPr="00AE78DF">
        <w:rPr>
          <w:rFonts w:cs="Calibri"/>
          <w:sz w:val="22"/>
        </w:rPr>
        <w:t>.</w:t>
      </w:r>
      <w:bookmarkStart w:id="49" w:name="_Ref507352187"/>
      <w:bookmarkStart w:id="50" w:name="_Toc67572944"/>
    </w:p>
    <w:p w14:paraId="55C2FD2B" w14:textId="20C7AB62" w:rsidR="005F6CA1" w:rsidRPr="00420A86" w:rsidRDefault="005F6CA1" w:rsidP="00420A86">
      <w:pPr>
        <w:pStyle w:val="Caption"/>
        <w:keepNext/>
        <w:spacing w:after="0"/>
        <w:rPr>
          <w:rFonts w:cs="Calibri"/>
          <w:b/>
          <w:sz w:val="22"/>
          <w:szCs w:val="22"/>
        </w:rPr>
      </w:pPr>
      <w:bookmarkStart w:id="51" w:name="_Ref86065435"/>
      <w:r w:rsidRPr="00420A86">
        <w:rPr>
          <w:rFonts w:cs="Calibri"/>
          <w:b/>
          <w:sz w:val="22"/>
          <w:szCs w:val="22"/>
        </w:rPr>
        <w:lastRenderedPageBreak/>
        <w:t xml:space="preserve">Table </w:t>
      </w:r>
      <w:r w:rsidRPr="00420A86">
        <w:rPr>
          <w:rFonts w:cs="Calibri"/>
          <w:b/>
          <w:sz w:val="22"/>
          <w:szCs w:val="22"/>
        </w:rPr>
        <w:fldChar w:fldCharType="begin"/>
      </w:r>
      <w:r w:rsidRPr="00420A86">
        <w:rPr>
          <w:rFonts w:cs="Calibri"/>
          <w:b/>
          <w:sz w:val="22"/>
          <w:szCs w:val="22"/>
        </w:rPr>
        <w:instrText xml:space="preserve"> SEQ Table \* ARABIC </w:instrText>
      </w:r>
      <w:r w:rsidRPr="00420A86">
        <w:rPr>
          <w:rFonts w:cs="Calibri"/>
          <w:b/>
          <w:sz w:val="22"/>
          <w:szCs w:val="22"/>
        </w:rPr>
        <w:fldChar w:fldCharType="separate"/>
      </w:r>
      <w:r w:rsidR="00F52D98">
        <w:rPr>
          <w:rFonts w:cs="Calibri"/>
          <w:b/>
          <w:noProof/>
          <w:sz w:val="22"/>
          <w:szCs w:val="22"/>
        </w:rPr>
        <w:t>5</w:t>
      </w:r>
      <w:r w:rsidRPr="00420A86">
        <w:rPr>
          <w:rFonts w:cs="Calibri"/>
          <w:b/>
          <w:sz w:val="22"/>
          <w:szCs w:val="22"/>
        </w:rPr>
        <w:fldChar w:fldCharType="end"/>
      </w:r>
      <w:bookmarkEnd w:id="49"/>
      <w:bookmarkEnd w:id="51"/>
      <w:r w:rsidRPr="00420A86">
        <w:rPr>
          <w:rFonts w:cs="Calibri"/>
          <w:b/>
          <w:sz w:val="22"/>
          <w:szCs w:val="22"/>
        </w:rPr>
        <w:t xml:space="preserve">: ESMF </w:t>
      </w:r>
      <w:r w:rsidR="007B62C8" w:rsidRPr="00420A86">
        <w:rPr>
          <w:rFonts w:cs="Calibri"/>
          <w:b/>
          <w:sz w:val="22"/>
          <w:szCs w:val="22"/>
        </w:rPr>
        <w:t>Monitoring and Evaluation</w:t>
      </w:r>
      <w:r w:rsidRPr="00420A86">
        <w:rPr>
          <w:rFonts w:cs="Calibri"/>
          <w:b/>
          <w:sz w:val="22"/>
          <w:szCs w:val="22"/>
        </w:rPr>
        <w:t xml:space="preserve"> </w:t>
      </w:r>
      <w:r w:rsidR="00DD6332" w:rsidRPr="00420A86">
        <w:rPr>
          <w:rFonts w:cs="Calibri"/>
          <w:b/>
          <w:sz w:val="22"/>
          <w:szCs w:val="22"/>
        </w:rPr>
        <w:t>P</w:t>
      </w:r>
      <w:r w:rsidRPr="00420A86">
        <w:rPr>
          <w:rFonts w:cs="Calibri"/>
          <w:b/>
          <w:sz w:val="22"/>
          <w:szCs w:val="22"/>
        </w:rPr>
        <w:t>lan</w:t>
      </w:r>
      <w:bookmarkEnd w:id="50"/>
      <w:r w:rsidRPr="00420A86">
        <w:rPr>
          <w:rFonts w:cs="Calibri"/>
          <w:b/>
          <w:sz w:val="22"/>
          <w:szCs w:val="22"/>
        </w:rPr>
        <w:t xml:space="preserve"> </w:t>
      </w:r>
    </w:p>
    <w:p w14:paraId="34773AC1" w14:textId="77777777" w:rsidR="00DD6332" w:rsidRPr="00420A86" w:rsidRDefault="00DD6332" w:rsidP="00420A86">
      <w:pPr>
        <w:spacing w:before="0" w:after="0"/>
        <w:rPr>
          <w:rFonts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092"/>
        <w:gridCol w:w="2718"/>
        <w:gridCol w:w="3022"/>
        <w:gridCol w:w="2614"/>
      </w:tblGrid>
      <w:tr w:rsidR="007B62C8" w:rsidRPr="00420A86" w14:paraId="523414E4" w14:textId="77777777" w:rsidTr="00420A86">
        <w:trPr>
          <w:tblHeader/>
        </w:trPr>
        <w:tc>
          <w:tcPr>
            <w:tcW w:w="897" w:type="pct"/>
            <w:shd w:val="clear" w:color="auto" w:fill="EEECE1"/>
            <w:vAlign w:val="center"/>
          </w:tcPr>
          <w:p w14:paraId="5D15D9AD" w14:textId="77777777" w:rsidR="007B62C8" w:rsidRPr="00420A86" w:rsidRDefault="007B62C8" w:rsidP="00420A86">
            <w:pPr>
              <w:spacing w:before="0" w:after="0"/>
              <w:contextualSpacing/>
              <w:jc w:val="center"/>
              <w:rPr>
                <w:rFonts w:cs="Calibri"/>
                <w:b/>
                <w:sz w:val="22"/>
              </w:rPr>
            </w:pPr>
            <w:r w:rsidRPr="00420A86">
              <w:rPr>
                <w:rFonts w:cs="Calibri"/>
                <w:b/>
                <w:sz w:val="22"/>
              </w:rPr>
              <w:t>Monitoring Activity</w:t>
            </w:r>
          </w:p>
        </w:tc>
        <w:tc>
          <w:tcPr>
            <w:tcW w:w="1108" w:type="pct"/>
            <w:shd w:val="clear" w:color="auto" w:fill="EEECE1"/>
            <w:vAlign w:val="center"/>
          </w:tcPr>
          <w:p w14:paraId="2A4C9A57" w14:textId="77777777" w:rsidR="007B62C8" w:rsidRPr="00C515DB" w:rsidRDefault="007B62C8" w:rsidP="00420A86">
            <w:pPr>
              <w:spacing w:before="0" w:after="0"/>
              <w:contextualSpacing/>
              <w:jc w:val="center"/>
              <w:rPr>
                <w:rFonts w:cs="Calibri"/>
                <w:b/>
                <w:sz w:val="22"/>
              </w:rPr>
            </w:pPr>
            <w:r w:rsidRPr="00C515DB">
              <w:rPr>
                <w:rFonts w:cs="Calibri"/>
                <w:b/>
                <w:sz w:val="22"/>
              </w:rPr>
              <w:t>Description</w:t>
            </w:r>
          </w:p>
        </w:tc>
        <w:tc>
          <w:tcPr>
            <w:tcW w:w="974" w:type="pct"/>
            <w:shd w:val="clear" w:color="auto" w:fill="EEECE1"/>
            <w:vAlign w:val="center"/>
          </w:tcPr>
          <w:p w14:paraId="57C9C2F0" w14:textId="77777777" w:rsidR="007B62C8" w:rsidRPr="00C515DB" w:rsidRDefault="007B62C8" w:rsidP="00420A86">
            <w:pPr>
              <w:spacing w:before="0" w:after="0"/>
              <w:contextualSpacing/>
              <w:jc w:val="center"/>
              <w:rPr>
                <w:rFonts w:cs="Calibri"/>
                <w:b/>
                <w:sz w:val="22"/>
              </w:rPr>
            </w:pPr>
            <w:r w:rsidRPr="00C515DB">
              <w:rPr>
                <w:rFonts w:cs="Calibri"/>
                <w:b/>
                <w:sz w:val="22"/>
              </w:rPr>
              <w:t>Frequency / Timeframe</w:t>
            </w:r>
          </w:p>
        </w:tc>
        <w:tc>
          <w:tcPr>
            <w:tcW w:w="1083" w:type="pct"/>
            <w:shd w:val="clear" w:color="auto" w:fill="EEECE1"/>
            <w:vAlign w:val="center"/>
          </w:tcPr>
          <w:p w14:paraId="72484807" w14:textId="77777777" w:rsidR="007B62C8" w:rsidRPr="00C515DB" w:rsidRDefault="007B62C8" w:rsidP="00420A86">
            <w:pPr>
              <w:spacing w:before="0" w:after="0"/>
              <w:contextualSpacing/>
              <w:jc w:val="center"/>
              <w:rPr>
                <w:rFonts w:cs="Calibri"/>
                <w:b/>
                <w:sz w:val="22"/>
              </w:rPr>
            </w:pPr>
            <w:r w:rsidRPr="00C515DB">
              <w:rPr>
                <w:rFonts w:cs="Calibri"/>
                <w:b/>
                <w:sz w:val="22"/>
              </w:rPr>
              <w:t>Expected Action</w:t>
            </w:r>
          </w:p>
        </w:tc>
        <w:tc>
          <w:tcPr>
            <w:tcW w:w="937" w:type="pct"/>
            <w:shd w:val="clear" w:color="auto" w:fill="EEECE1"/>
            <w:vAlign w:val="center"/>
          </w:tcPr>
          <w:p w14:paraId="5A002263" w14:textId="77777777" w:rsidR="007B62C8" w:rsidRPr="00420A86" w:rsidRDefault="007B62C8" w:rsidP="00420A86">
            <w:pPr>
              <w:spacing w:before="0" w:after="0"/>
              <w:contextualSpacing/>
              <w:jc w:val="center"/>
              <w:rPr>
                <w:rFonts w:cs="Calibri"/>
                <w:b/>
                <w:sz w:val="22"/>
              </w:rPr>
            </w:pPr>
            <w:r w:rsidRPr="00420A86">
              <w:rPr>
                <w:rFonts w:cs="Calibri"/>
                <w:b/>
                <w:sz w:val="22"/>
              </w:rPr>
              <w:t>Roles and Responsibilities</w:t>
            </w:r>
          </w:p>
        </w:tc>
      </w:tr>
      <w:tr w:rsidR="007B62C8" w:rsidRPr="00420A86" w14:paraId="715145AA" w14:textId="77777777" w:rsidTr="00420A86">
        <w:tc>
          <w:tcPr>
            <w:tcW w:w="897" w:type="pct"/>
            <w:shd w:val="clear" w:color="auto" w:fill="auto"/>
          </w:tcPr>
          <w:p w14:paraId="3312625E" w14:textId="77777777" w:rsidR="007B62C8" w:rsidRPr="00420A86" w:rsidRDefault="007B62C8" w:rsidP="00420A86">
            <w:pPr>
              <w:spacing w:before="0" w:after="0"/>
              <w:contextualSpacing/>
              <w:jc w:val="left"/>
              <w:rPr>
                <w:rFonts w:cs="Calibri"/>
                <w:szCs w:val="20"/>
              </w:rPr>
            </w:pPr>
            <w:r w:rsidRPr="00420A86">
              <w:rPr>
                <w:rFonts w:cs="Calibri"/>
                <w:szCs w:val="20"/>
              </w:rPr>
              <w:t xml:space="preserve">Track progress of ESMF implementation </w:t>
            </w:r>
          </w:p>
          <w:p w14:paraId="63548D6F" w14:textId="77777777" w:rsidR="007B62C8" w:rsidRPr="00420A86" w:rsidRDefault="007B62C8" w:rsidP="00420A86">
            <w:pPr>
              <w:spacing w:before="0" w:after="0"/>
              <w:contextualSpacing/>
              <w:jc w:val="left"/>
              <w:rPr>
                <w:rFonts w:cs="Calibri"/>
                <w:szCs w:val="20"/>
              </w:rPr>
            </w:pPr>
          </w:p>
        </w:tc>
        <w:tc>
          <w:tcPr>
            <w:tcW w:w="1108" w:type="pct"/>
            <w:shd w:val="clear" w:color="auto" w:fill="auto"/>
          </w:tcPr>
          <w:p w14:paraId="3DC2BAA2" w14:textId="77777777" w:rsidR="007B62C8" w:rsidRPr="00C515DB" w:rsidRDefault="007B62C8" w:rsidP="00420A86">
            <w:pPr>
              <w:spacing w:before="0" w:after="0"/>
              <w:contextualSpacing/>
              <w:jc w:val="left"/>
              <w:rPr>
                <w:rFonts w:cs="Calibri"/>
                <w:szCs w:val="20"/>
              </w:rPr>
            </w:pPr>
            <w:r w:rsidRPr="00C515DB">
              <w:rPr>
                <w:rFonts w:cs="Calibri"/>
                <w:szCs w:val="20"/>
              </w:rPr>
              <w:t>Implementation of this ESMF, and with results reported to Project Steering Committee on an annual basis</w:t>
            </w:r>
          </w:p>
        </w:tc>
        <w:tc>
          <w:tcPr>
            <w:tcW w:w="974" w:type="pct"/>
            <w:shd w:val="clear" w:color="auto" w:fill="auto"/>
          </w:tcPr>
          <w:p w14:paraId="727EB47C" w14:textId="77777777" w:rsidR="007B62C8" w:rsidRPr="00C515DB" w:rsidRDefault="007B62C8" w:rsidP="00420A86">
            <w:pPr>
              <w:spacing w:before="0" w:after="0"/>
              <w:contextualSpacing/>
              <w:jc w:val="left"/>
              <w:rPr>
                <w:rFonts w:cs="Calibri"/>
                <w:szCs w:val="20"/>
              </w:rPr>
            </w:pPr>
            <w:r w:rsidRPr="00C515DB">
              <w:rPr>
                <w:rFonts w:cs="Calibri"/>
                <w:szCs w:val="20"/>
              </w:rPr>
              <w:t>Quarterly (until management plans are in place)</w:t>
            </w:r>
          </w:p>
        </w:tc>
        <w:tc>
          <w:tcPr>
            <w:tcW w:w="1083" w:type="pct"/>
            <w:shd w:val="clear" w:color="auto" w:fill="auto"/>
          </w:tcPr>
          <w:p w14:paraId="01DEFEDF" w14:textId="77777777" w:rsidR="007B62C8" w:rsidRPr="00C515DB" w:rsidRDefault="007B62C8" w:rsidP="00420A86">
            <w:pPr>
              <w:spacing w:before="0" w:after="0"/>
              <w:contextualSpacing/>
              <w:jc w:val="left"/>
              <w:rPr>
                <w:rFonts w:cs="Calibri"/>
                <w:szCs w:val="20"/>
              </w:rPr>
            </w:pPr>
            <w:r w:rsidRPr="00C515DB">
              <w:rPr>
                <w:rFonts w:cs="Calibri"/>
                <w:szCs w:val="20"/>
              </w:rPr>
              <w:t>Required ESMF steps are completed in a timely manner.</w:t>
            </w:r>
          </w:p>
        </w:tc>
        <w:tc>
          <w:tcPr>
            <w:tcW w:w="937" w:type="pct"/>
            <w:shd w:val="clear" w:color="auto" w:fill="auto"/>
          </w:tcPr>
          <w:p w14:paraId="62E4745F" w14:textId="77777777" w:rsidR="007B62C8" w:rsidRPr="00420A86" w:rsidRDefault="007B62C8" w:rsidP="00420A86">
            <w:pPr>
              <w:spacing w:before="0" w:after="0"/>
              <w:contextualSpacing/>
              <w:jc w:val="left"/>
              <w:rPr>
                <w:rFonts w:cs="Calibri"/>
                <w:szCs w:val="20"/>
              </w:rPr>
            </w:pPr>
            <w:r w:rsidRPr="00420A86">
              <w:rPr>
                <w:rFonts w:cs="Calibri"/>
                <w:szCs w:val="20"/>
              </w:rPr>
              <w:t>Project Managers, with support from and Project M&amp;E/Safeguards Officers</w:t>
            </w:r>
          </w:p>
        </w:tc>
      </w:tr>
      <w:tr w:rsidR="007B62C8" w:rsidRPr="00420A86" w14:paraId="312FA3E5" w14:textId="77777777" w:rsidTr="00420A86">
        <w:tc>
          <w:tcPr>
            <w:tcW w:w="897" w:type="pct"/>
            <w:shd w:val="clear" w:color="auto" w:fill="auto"/>
          </w:tcPr>
          <w:p w14:paraId="55EA83D7" w14:textId="77777777" w:rsidR="007B62C8" w:rsidRPr="00420A86" w:rsidRDefault="007B62C8" w:rsidP="00420A86">
            <w:pPr>
              <w:spacing w:before="0" w:after="0"/>
              <w:contextualSpacing/>
              <w:jc w:val="left"/>
              <w:rPr>
                <w:rFonts w:cs="Calibri"/>
                <w:szCs w:val="20"/>
              </w:rPr>
            </w:pPr>
            <w:r w:rsidRPr="00420A86">
              <w:rPr>
                <w:rFonts w:cs="Calibri"/>
                <w:szCs w:val="20"/>
              </w:rPr>
              <w:t xml:space="preserve">Implementation of management measures and monitoring of potential impacts identified in targeted </w:t>
            </w:r>
            <w:r w:rsidR="00296E36" w:rsidRPr="00420A86">
              <w:rPr>
                <w:rFonts w:cs="Calibri"/>
                <w:szCs w:val="20"/>
              </w:rPr>
              <w:t>assessment.</w:t>
            </w:r>
          </w:p>
          <w:p w14:paraId="20D0BD54" w14:textId="77777777" w:rsidR="007B62C8" w:rsidRPr="00420A86" w:rsidRDefault="007B62C8" w:rsidP="00420A86">
            <w:pPr>
              <w:spacing w:before="0" w:after="0"/>
              <w:contextualSpacing/>
              <w:jc w:val="left"/>
              <w:rPr>
                <w:rFonts w:cs="Calibri"/>
                <w:szCs w:val="20"/>
              </w:rPr>
            </w:pPr>
          </w:p>
        </w:tc>
        <w:tc>
          <w:tcPr>
            <w:tcW w:w="1108" w:type="pct"/>
            <w:shd w:val="clear" w:color="auto" w:fill="auto"/>
          </w:tcPr>
          <w:p w14:paraId="02FBFA6A" w14:textId="77777777" w:rsidR="007B62C8" w:rsidRPr="00C515DB" w:rsidRDefault="007B62C8" w:rsidP="00420A86">
            <w:pPr>
              <w:spacing w:before="0" w:after="0"/>
              <w:contextualSpacing/>
              <w:jc w:val="left"/>
              <w:rPr>
                <w:rFonts w:cs="Calibri"/>
                <w:szCs w:val="20"/>
              </w:rPr>
            </w:pPr>
            <w:r w:rsidRPr="00C515DB">
              <w:rPr>
                <w:rFonts w:cs="Calibri"/>
                <w:szCs w:val="20"/>
              </w:rPr>
              <w:t xml:space="preserve">Permanent and participatory implementation and monitoring of management measures, in accordance with findings of targeted assessment </w:t>
            </w:r>
          </w:p>
        </w:tc>
        <w:tc>
          <w:tcPr>
            <w:tcW w:w="974" w:type="pct"/>
            <w:shd w:val="clear" w:color="auto" w:fill="auto"/>
          </w:tcPr>
          <w:p w14:paraId="17C25F25" w14:textId="77777777" w:rsidR="007B62C8" w:rsidRPr="00C515DB" w:rsidRDefault="007B62C8" w:rsidP="00420A86">
            <w:pPr>
              <w:spacing w:before="0" w:after="0"/>
              <w:contextualSpacing/>
              <w:jc w:val="left"/>
              <w:rPr>
                <w:rFonts w:cs="Calibri"/>
                <w:szCs w:val="20"/>
              </w:rPr>
            </w:pPr>
            <w:r w:rsidRPr="00C515DB">
              <w:rPr>
                <w:rFonts w:cs="Calibri"/>
                <w:szCs w:val="20"/>
              </w:rPr>
              <w:t>Continuous, once assessment is complete and management plan is in place</w:t>
            </w:r>
          </w:p>
        </w:tc>
        <w:tc>
          <w:tcPr>
            <w:tcW w:w="1083" w:type="pct"/>
            <w:shd w:val="clear" w:color="auto" w:fill="auto"/>
          </w:tcPr>
          <w:p w14:paraId="16C8CF7C" w14:textId="77777777" w:rsidR="007B62C8" w:rsidRPr="00C515DB" w:rsidRDefault="007B62C8" w:rsidP="00420A86">
            <w:pPr>
              <w:spacing w:before="0" w:after="0"/>
              <w:contextualSpacing/>
              <w:jc w:val="left"/>
              <w:rPr>
                <w:rFonts w:cs="Calibri"/>
                <w:szCs w:val="20"/>
              </w:rPr>
            </w:pPr>
            <w:r w:rsidRPr="00C515DB">
              <w:rPr>
                <w:rFonts w:cs="Calibri"/>
                <w:szCs w:val="20"/>
              </w:rPr>
              <w:t>Implementation of stand-alone management plans; participatory monitoring; integration of management plans into project implementation strategies</w:t>
            </w:r>
          </w:p>
        </w:tc>
        <w:tc>
          <w:tcPr>
            <w:tcW w:w="937" w:type="pct"/>
            <w:shd w:val="clear" w:color="auto" w:fill="auto"/>
          </w:tcPr>
          <w:p w14:paraId="30CC85A4" w14:textId="77777777" w:rsidR="007B62C8" w:rsidRPr="00420A86" w:rsidRDefault="007B62C8" w:rsidP="00420A86">
            <w:pPr>
              <w:spacing w:before="0" w:after="0"/>
              <w:contextualSpacing/>
              <w:jc w:val="left"/>
              <w:rPr>
                <w:rFonts w:cs="Calibri"/>
                <w:szCs w:val="20"/>
              </w:rPr>
            </w:pPr>
            <w:r w:rsidRPr="00420A86">
              <w:rPr>
                <w:rFonts w:cs="Calibri"/>
                <w:szCs w:val="20"/>
              </w:rPr>
              <w:t>Project Manager, Pilot Coordinators, oversight by UNDP CO, PSC</w:t>
            </w:r>
          </w:p>
        </w:tc>
      </w:tr>
      <w:tr w:rsidR="007B62C8" w:rsidRPr="00420A86" w14:paraId="19B71C4C" w14:textId="77777777" w:rsidTr="00420A86">
        <w:tc>
          <w:tcPr>
            <w:tcW w:w="897" w:type="pct"/>
            <w:shd w:val="clear" w:color="auto" w:fill="auto"/>
          </w:tcPr>
          <w:p w14:paraId="0BAF4E54" w14:textId="77777777" w:rsidR="007B62C8" w:rsidRPr="00420A86" w:rsidRDefault="007B62C8" w:rsidP="00420A86">
            <w:pPr>
              <w:spacing w:before="0" w:after="0"/>
              <w:contextualSpacing/>
              <w:jc w:val="left"/>
              <w:rPr>
                <w:rFonts w:cs="Calibri"/>
                <w:szCs w:val="20"/>
              </w:rPr>
            </w:pPr>
            <w:r w:rsidRPr="00420A86">
              <w:rPr>
                <w:rFonts w:cs="Calibri"/>
                <w:szCs w:val="20"/>
              </w:rPr>
              <w:t>Learning</w:t>
            </w:r>
          </w:p>
          <w:p w14:paraId="5F5CA097" w14:textId="77777777" w:rsidR="007B62C8" w:rsidRPr="00420A86" w:rsidRDefault="007B62C8" w:rsidP="00420A86">
            <w:pPr>
              <w:spacing w:before="0" w:after="0"/>
              <w:contextualSpacing/>
              <w:jc w:val="left"/>
              <w:rPr>
                <w:rFonts w:cs="Calibri"/>
                <w:szCs w:val="20"/>
              </w:rPr>
            </w:pPr>
          </w:p>
        </w:tc>
        <w:tc>
          <w:tcPr>
            <w:tcW w:w="1108" w:type="pct"/>
            <w:shd w:val="clear" w:color="auto" w:fill="auto"/>
          </w:tcPr>
          <w:p w14:paraId="7F89A3E8" w14:textId="77777777" w:rsidR="007B62C8" w:rsidRPr="00C515DB" w:rsidRDefault="007B62C8" w:rsidP="00420A86">
            <w:pPr>
              <w:spacing w:before="0" w:after="0"/>
              <w:contextualSpacing/>
              <w:jc w:val="left"/>
              <w:rPr>
                <w:rFonts w:cs="Calibri"/>
                <w:szCs w:val="20"/>
              </w:rPr>
            </w:pPr>
            <w:r w:rsidRPr="00C515DB">
              <w:rPr>
                <w:rFonts w:cs="Calibri"/>
                <w:szCs w:val="20"/>
              </w:rPr>
              <w:t xml:space="preserve">Knowledge, good </w:t>
            </w:r>
            <w:r w:rsidR="00296E36" w:rsidRPr="00C515DB">
              <w:rPr>
                <w:rFonts w:cs="Calibri"/>
                <w:szCs w:val="20"/>
              </w:rPr>
              <w:t>practices,</w:t>
            </w:r>
            <w:r w:rsidRPr="00C515DB">
              <w:rPr>
                <w:rFonts w:cs="Calibri"/>
                <w:szCs w:val="20"/>
              </w:rPr>
              <w:t xml:space="preserve"> and lessons learned regarding social and environmental risk management will be captured regularly, as well as actively sourced from other projects and partners and integrated back into the project.</w:t>
            </w:r>
          </w:p>
        </w:tc>
        <w:tc>
          <w:tcPr>
            <w:tcW w:w="974" w:type="pct"/>
            <w:shd w:val="clear" w:color="auto" w:fill="auto"/>
          </w:tcPr>
          <w:p w14:paraId="5E62006D" w14:textId="77777777" w:rsidR="007B62C8" w:rsidRPr="00C515DB" w:rsidRDefault="007B62C8" w:rsidP="00420A86">
            <w:pPr>
              <w:spacing w:before="0" w:after="0"/>
              <w:contextualSpacing/>
              <w:jc w:val="left"/>
              <w:rPr>
                <w:rFonts w:cs="Calibri"/>
                <w:szCs w:val="20"/>
              </w:rPr>
            </w:pPr>
            <w:r w:rsidRPr="00C515DB">
              <w:rPr>
                <w:rFonts w:cs="Calibri"/>
                <w:szCs w:val="20"/>
              </w:rPr>
              <w:t>At least annually</w:t>
            </w:r>
          </w:p>
        </w:tc>
        <w:tc>
          <w:tcPr>
            <w:tcW w:w="1083" w:type="pct"/>
            <w:shd w:val="clear" w:color="auto" w:fill="auto"/>
          </w:tcPr>
          <w:p w14:paraId="70B74D41" w14:textId="77777777" w:rsidR="007B62C8" w:rsidRPr="00C515DB" w:rsidRDefault="007B62C8" w:rsidP="00420A86">
            <w:pPr>
              <w:spacing w:before="0" w:after="0"/>
              <w:contextualSpacing/>
              <w:jc w:val="left"/>
              <w:rPr>
                <w:rFonts w:cs="Calibri"/>
                <w:szCs w:val="20"/>
              </w:rPr>
            </w:pPr>
            <w:r w:rsidRPr="00C515DB">
              <w:rPr>
                <w:rFonts w:cs="Calibri"/>
                <w:szCs w:val="20"/>
              </w:rPr>
              <w:t>Relevant lessons are captured by the project teams and used to inform management decisions.</w:t>
            </w:r>
          </w:p>
        </w:tc>
        <w:tc>
          <w:tcPr>
            <w:tcW w:w="937" w:type="pct"/>
            <w:shd w:val="clear" w:color="auto" w:fill="auto"/>
          </w:tcPr>
          <w:p w14:paraId="431BB9E3" w14:textId="77777777" w:rsidR="007B62C8" w:rsidRPr="00420A86" w:rsidRDefault="007B62C8" w:rsidP="00420A86">
            <w:pPr>
              <w:spacing w:before="0" w:after="0"/>
              <w:contextualSpacing/>
              <w:jc w:val="left"/>
              <w:rPr>
                <w:rFonts w:cs="Calibri"/>
                <w:szCs w:val="20"/>
              </w:rPr>
            </w:pPr>
            <w:r w:rsidRPr="00420A86">
              <w:rPr>
                <w:rFonts w:cs="Calibri"/>
                <w:szCs w:val="20"/>
              </w:rPr>
              <w:t xml:space="preserve">Project Managers,  </w:t>
            </w:r>
          </w:p>
        </w:tc>
      </w:tr>
      <w:tr w:rsidR="007B62C8" w:rsidRPr="00420A86" w14:paraId="37894D9E" w14:textId="77777777" w:rsidTr="00420A86">
        <w:tc>
          <w:tcPr>
            <w:tcW w:w="897" w:type="pct"/>
            <w:shd w:val="clear" w:color="auto" w:fill="auto"/>
          </w:tcPr>
          <w:p w14:paraId="20C5597E" w14:textId="77777777" w:rsidR="007B62C8" w:rsidRPr="00420A86" w:rsidRDefault="007B62C8" w:rsidP="00420A86">
            <w:pPr>
              <w:spacing w:before="0" w:after="0"/>
              <w:contextualSpacing/>
              <w:jc w:val="left"/>
              <w:rPr>
                <w:rFonts w:cs="Calibri"/>
                <w:szCs w:val="20"/>
              </w:rPr>
            </w:pPr>
            <w:r w:rsidRPr="00420A86">
              <w:rPr>
                <w:rFonts w:cs="Calibri"/>
                <w:szCs w:val="20"/>
              </w:rPr>
              <w:t>Annual project quality assurance</w:t>
            </w:r>
          </w:p>
          <w:p w14:paraId="4E06EDFF" w14:textId="77777777" w:rsidR="007B62C8" w:rsidRPr="00420A86" w:rsidRDefault="007B62C8" w:rsidP="00420A86">
            <w:pPr>
              <w:spacing w:before="0" w:after="0"/>
              <w:contextualSpacing/>
              <w:jc w:val="left"/>
              <w:rPr>
                <w:rFonts w:cs="Calibri"/>
                <w:szCs w:val="20"/>
              </w:rPr>
            </w:pPr>
          </w:p>
        </w:tc>
        <w:tc>
          <w:tcPr>
            <w:tcW w:w="1108" w:type="pct"/>
            <w:shd w:val="clear" w:color="auto" w:fill="auto"/>
          </w:tcPr>
          <w:p w14:paraId="7AE52474" w14:textId="77777777" w:rsidR="007B62C8" w:rsidRPr="00C515DB" w:rsidRDefault="007B62C8" w:rsidP="00420A86">
            <w:pPr>
              <w:spacing w:before="0" w:after="0"/>
              <w:contextualSpacing/>
              <w:jc w:val="left"/>
              <w:rPr>
                <w:rFonts w:cs="Calibri"/>
                <w:szCs w:val="20"/>
              </w:rPr>
            </w:pPr>
            <w:r w:rsidRPr="00C515DB">
              <w:rPr>
                <w:rFonts w:cs="Calibri"/>
                <w:szCs w:val="20"/>
              </w:rPr>
              <w:t>The quality of the project will be assessed against UNDP’s quality standards to identify project strengths and weaknesses and to inform management decision making to improve the project</w:t>
            </w:r>
          </w:p>
        </w:tc>
        <w:tc>
          <w:tcPr>
            <w:tcW w:w="974" w:type="pct"/>
            <w:shd w:val="clear" w:color="auto" w:fill="auto"/>
          </w:tcPr>
          <w:p w14:paraId="43B467A8" w14:textId="77777777" w:rsidR="007B62C8" w:rsidRPr="00C515DB" w:rsidRDefault="007B62C8" w:rsidP="00420A86">
            <w:pPr>
              <w:spacing w:before="0" w:after="0"/>
              <w:contextualSpacing/>
              <w:jc w:val="left"/>
              <w:rPr>
                <w:rFonts w:cs="Calibri"/>
                <w:szCs w:val="20"/>
              </w:rPr>
            </w:pPr>
            <w:r w:rsidRPr="00C515DB">
              <w:rPr>
                <w:rFonts w:cs="Calibri"/>
                <w:szCs w:val="20"/>
              </w:rPr>
              <w:t>Annually</w:t>
            </w:r>
          </w:p>
        </w:tc>
        <w:tc>
          <w:tcPr>
            <w:tcW w:w="1083" w:type="pct"/>
            <w:shd w:val="clear" w:color="auto" w:fill="auto"/>
          </w:tcPr>
          <w:p w14:paraId="7AF9790F" w14:textId="77777777" w:rsidR="007B62C8" w:rsidRPr="00C515DB" w:rsidRDefault="007B62C8" w:rsidP="00420A86">
            <w:pPr>
              <w:spacing w:before="0" w:after="0"/>
              <w:contextualSpacing/>
              <w:jc w:val="left"/>
              <w:rPr>
                <w:rFonts w:cs="Calibri"/>
                <w:szCs w:val="20"/>
              </w:rPr>
            </w:pPr>
            <w:r w:rsidRPr="00C515DB">
              <w:rPr>
                <w:rFonts w:cs="Calibri"/>
                <w:szCs w:val="20"/>
              </w:rPr>
              <w:t>Areas of strength and weakness will be reviewed and used to inform decisions to improve project performance</w:t>
            </w:r>
          </w:p>
        </w:tc>
        <w:tc>
          <w:tcPr>
            <w:tcW w:w="937" w:type="pct"/>
            <w:shd w:val="clear" w:color="auto" w:fill="auto"/>
          </w:tcPr>
          <w:p w14:paraId="4FA63D45" w14:textId="77777777" w:rsidR="007B62C8" w:rsidRPr="00420A86" w:rsidRDefault="007B62C8" w:rsidP="00420A86">
            <w:pPr>
              <w:spacing w:before="0" w:after="0"/>
              <w:contextualSpacing/>
              <w:jc w:val="left"/>
              <w:rPr>
                <w:rFonts w:cs="Calibri"/>
                <w:szCs w:val="20"/>
              </w:rPr>
            </w:pPr>
            <w:r w:rsidRPr="00420A86">
              <w:rPr>
                <w:rFonts w:cs="Calibri"/>
                <w:szCs w:val="20"/>
              </w:rPr>
              <w:t>UNDP CO, with support from Project Managers and Project M&amp;E/Safeguards Officers</w:t>
            </w:r>
          </w:p>
        </w:tc>
      </w:tr>
      <w:tr w:rsidR="007B62C8" w:rsidRPr="00420A86" w14:paraId="59F9AC6B" w14:textId="77777777" w:rsidTr="00420A86">
        <w:tc>
          <w:tcPr>
            <w:tcW w:w="897" w:type="pct"/>
            <w:shd w:val="clear" w:color="auto" w:fill="auto"/>
          </w:tcPr>
          <w:p w14:paraId="2973802A" w14:textId="77777777" w:rsidR="007B62C8" w:rsidRPr="00420A86" w:rsidRDefault="007B62C8" w:rsidP="00420A86">
            <w:pPr>
              <w:spacing w:before="0" w:after="0"/>
              <w:contextualSpacing/>
              <w:jc w:val="left"/>
              <w:rPr>
                <w:rFonts w:cs="Calibri"/>
                <w:szCs w:val="20"/>
              </w:rPr>
            </w:pPr>
            <w:r w:rsidRPr="00420A86">
              <w:rPr>
                <w:rFonts w:cs="Calibri"/>
                <w:szCs w:val="20"/>
              </w:rPr>
              <w:t xml:space="preserve">Review and make course </w:t>
            </w:r>
            <w:r w:rsidR="00296E36" w:rsidRPr="00420A86">
              <w:rPr>
                <w:rFonts w:cs="Calibri"/>
                <w:szCs w:val="20"/>
              </w:rPr>
              <w:t>corrections.</w:t>
            </w:r>
          </w:p>
          <w:p w14:paraId="4F0895F6" w14:textId="77777777" w:rsidR="007B62C8" w:rsidRPr="00420A86" w:rsidRDefault="007B62C8" w:rsidP="00420A86">
            <w:pPr>
              <w:spacing w:before="0" w:after="0"/>
              <w:contextualSpacing/>
              <w:jc w:val="left"/>
              <w:rPr>
                <w:rFonts w:cs="Calibri"/>
                <w:szCs w:val="20"/>
              </w:rPr>
            </w:pPr>
          </w:p>
          <w:p w14:paraId="176DDBE1" w14:textId="77777777" w:rsidR="007B62C8" w:rsidRPr="00420A86" w:rsidRDefault="007B62C8" w:rsidP="00420A86">
            <w:pPr>
              <w:spacing w:before="0" w:after="0"/>
              <w:contextualSpacing/>
              <w:jc w:val="left"/>
              <w:rPr>
                <w:rFonts w:cs="Calibri"/>
                <w:szCs w:val="20"/>
              </w:rPr>
            </w:pPr>
          </w:p>
        </w:tc>
        <w:tc>
          <w:tcPr>
            <w:tcW w:w="1108" w:type="pct"/>
            <w:shd w:val="clear" w:color="auto" w:fill="auto"/>
          </w:tcPr>
          <w:p w14:paraId="6C991496" w14:textId="77777777" w:rsidR="007B62C8" w:rsidRPr="00C515DB" w:rsidRDefault="007B62C8" w:rsidP="00420A86">
            <w:pPr>
              <w:spacing w:before="0" w:after="0"/>
              <w:contextualSpacing/>
              <w:jc w:val="left"/>
              <w:rPr>
                <w:rFonts w:cs="Calibri"/>
                <w:szCs w:val="20"/>
              </w:rPr>
            </w:pPr>
            <w:r w:rsidRPr="00C515DB">
              <w:rPr>
                <w:rFonts w:cs="Calibri"/>
                <w:szCs w:val="20"/>
              </w:rPr>
              <w:t>Internal review of data and evidence from all monitoring actions to inform decision making</w:t>
            </w:r>
          </w:p>
        </w:tc>
        <w:tc>
          <w:tcPr>
            <w:tcW w:w="974" w:type="pct"/>
            <w:shd w:val="clear" w:color="auto" w:fill="auto"/>
          </w:tcPr>
          <w:p w14:paraId="47B7B421" w14:textId="77777777" w:rsidR="007B62C8" w:rsidRPr="00C515DB" w:rsidRDefault="007B62C8" w:rsidP="00420A86">
            <w:pPr>
              <w:spacing w:before="0" w:after="0"/>
              <w:contextualSpacing/>
              <w:jc w:val="left"/>
              <w:rPr>
                <w:rFonts w:cs="Calibri"/>
                <w:szCs w:val="20"/>
              </w:rPr>
            </w:pPr>
            <w:r w:rsidRPr="00C515DB">
              <w:rPr>
                <w:rFonts w:cs="Calibri"/>
                <w:szCs w:val="20"/>
              </w:rPr>
              <w:t>At least annually</w:t>
            </w:r>
          </w:p>
        </w:tc>
        <w:tc>
          <w:tcPr>
            <w:tcW w:w="1083" w:type="pct"/>
            <w:shd w:val="clear" w:color="auto" w:fill="auto"/>
          </w:tcPr>
          <w:p w14:paraId="6D8636B8" w14:textId="77777777" w:rsidR="007B62C8" w:rsidRPr="00C515DB" w:rsidRDefault="007B62C8" w:rsidP="00420A86">
            <w:pPr>
              <w:spacing w:before="0" w:after="0"/>
              <w:contextualSpacing/>
              <w:jc w:val="left"/>
              <w:rPr>
                <w:rFonts w:cs="Calibri"/>
                <w:szCs w:val="20"/>
              </w:rPr>
            </w:pPr>
            <w:r w:rsidRPr="00C515DB">
              <w:rPr>
                <w:rFonts w:cs="Calibri"/>
                <w:szCs w:val="20"/>
              </w:rPr>
              <w:t xml:space="preserve">Performance data, risks, </w:t>
            </w:r>
            <w:r w:rsidR="00296E36" w:rsidRPr="00C515DB">
              <w:rPr>
                <w:rFonts w:cs="Calibri"/>
                <w:szCs w:val="20"/>
              </w:rPr>
              <w:t>lessons,</w:t>
            </w:r>
            <w:r w:rsidRPr="00C515DB">
              <w:rPr>
                <w:rFonts w:cs="Calibri"/>
                <w:szCs w:val="20"/>
              </w:rPr>
              <w:t xml:space="preserve"> and quality will be discussed by the project steering committee and used to make course corrections</w:t>
            </w:r>
          </w:p>
        </w:tc>
        <w:tc>
          <w:tcPr>
            <w:tcW w:w="937" w:type="pct"/>
            <w:shd w:val="clear" w:color="auto" w:fill="auto"/>
          </w:tcPr>
          <w:p w14:paraId="50EE1DCA" w14:textId="77777777" w:rsidR="007B62C8" w:rsidRPr="00420A86" w:rsidRDefault="007B62C8" w:rsidP="00420A86">
            <w:pPr>
              <w:spacing w:before="0" w:after="0"/>
              <w:contextualSpacing/>
              <w:jc w:val="left"/>
              <w:rPr>
                <w:rFonts w:cs="Calibri"/>
                <w:szCs w:val="20"/>
              </w:rPr>
            </w:pPr>
            <w:r w:rsidRPr="00420A86">
              <w:rPr>
                <w:rFonts w:cs="Calibri"/>
                <w:szCs w:val="20"/>
              </w:rPr>
              <w:t>Project Steering Committees (considering stakeholders’ opinions)</w:t>
            </w:r>
          </w:p>
        </w:tc>
      </w:tr>
      <w:tr w:rsidR="007B62C8" w:rsidRPr="00420A86" w14:paraId="6F482484" w14:textId="77777777" w:rsidTr="00420A86">
        <w:tc>
          <w:tcPr>
            <w:tcW w:w="897" w:type="pct"/>
            <w:shd w:val="clear" w:color="auto" w:fill="auto"/>
          </w:tcPr>
          <w:p w14:paraId="5A585D23" w14:textId="77777777" w:rsidR="007B62C8" w:rsidRPr="00420A86" w:rsidRDefault="007B62C8" w:rsidP="00420A86">
            <w:pPr>
              <w:spacing w:before="0" w:after="0"/>
              <w:contextualSpacing/>
              <w:jc w:val="left"/>
              <w:rPr>
                <w:rFonts w:cs="Calibri"/>
                <w:szCs w:val="20"/>
              </w:rPr>
            </w:pPr>
            <w:r w:rsidRPr="00420A86">
              <w:rPr>
                <w:rFonts w:cs="Calibri"/>
                <w:szCs w:val="20"/>
              </w:rPr>
              <w:t xml:space="preserve">Annual project implementation reports </w:t>
            </w:r>
          </w:p>
          <w:p w14:paraId="0AF9E082" w14:textId="77777777" w:rsidR="007B62C8" w:rsidRPr="00420A86" w:rsidRDefault="007B62C8" w:rsidP="00420A86">
            <w:pPr>
              <w:spacing w:before="0" w:after="0"/>
              <w:contextualSpacing/>
              <w:jc w:val="left"/>
              <w:rPr>
                <w:rFonts w:cs="Calibri"/>
                <w:szCs w:val="20"/>
              </w:rPr>
            </w:pPr>
          </w:p>
        </w:tc>
        <w:tc>
          <w:tcPr>
            <w:tcW w:w="1108" w:type="pct"/>
            <w:shd w:val="clear" w:color="auto" w:fill="auto"/>
          </w:tcPr>
          <w:p w14:paraId="2F269812" w14:textId="77777777" w:rsidR="007B62C8" w:rsidRPr="00C515DB" w:rsidRDefault="007B62C8" w:rsidP="00420A86">
            <w:pPr>
              <w:spacing w:before="0" w:after="0"/>
              <w:contextualSpacing/>
              <w:jc w:val="left"/>
              <w:rPr>
                <w:rFonts w:cs="Calibri"/>
                <w:szCs w:val="20"/>
              </w:rPr>
            </w:pPr>
            <w:r w:rsidRPr="00C515DB">
              <w:rPr>
                <w:rFonts w:cs="Calibri"/>
                <w:szCs w:val="20"/>
              </w:rPr>
              <w:t xml:space="preserve">As part of progress report to be presented to the Project Steering Committee and key stakeholders, </w:t>
            </w:r>
            <w:r w:rsidRPr="00C515DB">
              <w:rPr>
                <w:rFonts w:cs="Calibri"/>
                <w:szCs w:val="20"/>
              </w:rPr>
              <w:lastRenderedPageBreak/>
              <w:t>analysis, updating and recommendations for risk management will be included</w:t>
            </w:r>
          </w:p>
        </w:tc>
        <w:tc>
          <w:tcPr>
            <w:tcW w:w="974" w:type="pct"/>
            <w:shd w:val="clear" w:color="auto" w:fill="auto"/>
          </w:tcPr>
          <w:p w14:paraId="76A4B0E5" w14:textId="77777777" w:rsidR="007B62C8" w:rsidRPr="00C515DB" w:rsidRDefault="007B62C8" w:rsidP="00420A86">
            <w:pPr>
              <w:spacing w:before="0" w:after="0"/>
              <w:contextualSpacing/>
              <w:jc w:val="left"/>
              <w:rPr>
                <w:rFonts w:cs="Calibri"/>
                <w:szCs w:val="20"/>
              </w:rPr>
            </w:pPr>
            <w:r w:rsidRPr="00C515DB">
              <w:rPr>
                <w:rFonts w:cs="Calibri"/>
                <w:szCs w:val="20"/>
              </w:rPr>
              <w:lastRenderedPageBreak/>
              <w:t>Annually</w:t>
            </w:r>
          </w:p>
        </w:tc>
        <w:tc>
          <w:tcPr>
            <w:tcW w:w="1083" w:type="pct"/>
            <w:shd w:val="clear" w:color="auto" w:fill="auto"/>
          </w:tcPr>
          <w:p w14:paraId="27233089" w14:textId="77777777" w:rsidR="007B62C8" w:rsidRPr="00C515DB" w:rsidRDefault="007B62C8" w:rsidP="00420A86">
            <w:pPr>
              <w:spacing w:before="0" w:after="0"/>
              <w:contextualSpacing/>
              <w:jc w:val="left"/>
              <w:rPr>
                <w:rFonts w:cs="Calibri"/>
                <w:szCs w:val="20"/>
              </w:rPr>
            </w:pPr>
            <w:r w:rsidRPr="00C515DB">
              <w:rPr>
                <w:rFonts w:cs="Calibri"/>
                <w:szCs w:val="20"/>
              </w:rPr>
              <w:t xml:space="preserve">Updates on progress of ESMF will be reported in the project’s annual PIRs. A summary of the </w:t>
            </w:r>
            <w:r w:rsidRPr="00C515DB">
              <w:rPr>
                <w:rFonts w:cs="Calibri"/>
                <w:szCs w:val="20"/>
              </w:rPr>
              <w:lastRenderedPageBreak/>
              <w:t>avoidance and mitigation of potential social and environmental impacts will be included in the program annual report, sharing best practices and lessons learned across the program.</w:t>
            </w:r>
          </w:p>
        </w:tc>
        <w:tc>
          <w:tcPr>
            <w:tcW w:w="937" w:type="pct"/>
            <w:shd w:val="clear" w:color="auto" w:fill="auto"/>
          </w:tcPr>
          <w:p w14:paraId="0C09CE9D" w14:textId="77777777" w:rsidR="007B62C8" w:rsidRPr="00420A86" w:rsidRDefault="007B62C8" w:rsidP="00420A86">
            <w:pPr>
              <w:spacing w:before="0" w:after="0"/>
              <w:contextualSpacing/>
              <w:jc w:val="left"/>
              <w:rPr>
                <w:rFonts w:cs="Calibri"/>
                <w:szCs w:val="20"/>
              </w:rPr>
            </w:pPr>
            <w:r w:rsidRPr="00420A86">
              <w:rPr>
                <w:rFonts w:cs="Calibri"/>
                <w:szCs w:val="20"/>
              </w:rPr>
              <w:lastRenderedPageBreak/>
              <w:t>UNDP CO, UNDP-GEF RTA, Project Managers</w:t>
            </w:r>
          </w:p>
        </w:tc>
      </w:tr>
      <w:tr w:rsidR="00C515DB" w:rsidRPr="00420A86" w14:paraId="749B6348" w14:textId="77777777" w:rsidTr="00420A86">
        <w:tc>
          <w:tcPr>
            <w:tcW w:w="897" w:type="pct"/>
            <w:shd w:val="clear" w:color="auto" w:fill="auto"/>
          </w:tcPr>
          <w:p w14:paraId="3DADC0BB" w14:textId="77777777" w:rsidR="00C515DB" w:rsidRPr="00420A86" w:rsidRDefault="00C515DB" w:rsidP="00420A86">
            <w:pPr>
              <w:spacing w:before="0" w:after="0"/>
              <w:contextualSpacing/>
              <w:jc w:val="left"/>
              <w:rPr>
                <w:rFonts w:cs="Calibri"/>
                <w:szCs w:val="20"/>
              </w:rPr>
            </w:pPr>
            <w:r w:rsidRPr="00C515DB">
              <w:rPr>
                <w:rFonts w:cs="Calibri"/>
                <w:szCs w:val="20"/>
              </w:rPr>
              <w:t>Independent Mid-term Review</w:t>
            </w:r>
          </w:p>
        </w:tc>
        <w:tc>
          <w:tcPr>
            <w:tcW w:w="1108" w:type="pct"/>
            <w:shd w:val="clear" w:color="auto" w:fill="auto"/>
          </w:tcPr>
          <w:p w14:paraId="4DC7AB9C" w14:textId="77777777" w:rsidR="00C515DB" w:rsidRPr="00C515DB" w:rsidRDefault="00C515DB" w:rsidP="00420A86">
            <w:pPr>
              <w:spacing w:before="0" w:after="0"/>
              <w:contextualSpacing/>
              <w:jc w:val="left"/>
              <w:rPr>
                <w:rFonts w:cs="Calibri"/>
                <w:szCs w:val="20"/>
              </w:rPr>
            </w:pPr>
            <w:r w:rsidRPr="00C515DB">
              <w:rPr>
                <w:rFonts w:cs="Calibri"/>
                <w:szCs w:val="20"/>
              </w:rPr>
              <w:t>The evaluators that will be hired to undertake the assignment will be independent from organizations that were involved in designing, executing, or advising on the project to be evaluated.</w:t>
            </w:r>
          </w:p>
        </w:tc>
        <w:tc>
          <w:tcPr>
            <w:tcW w:w="974" w:type="pct"/>
            <w:shd w:val="clear" w:color="auto" w:fill="auto"/>
          </w:tcPr>
          <w:p w14:paraId="000F6C2C" w14:textId="77777777" w:rsidR="00C515DB" w:rsidRPr="00C515DB" w:rsidRDefault="00C515DB" w:rsidP="00420A86">
            <w:pPr>
              <w:spacing w:before="0" w:after="0"/>
              <w:contextualSpacing/>
              <w:jc w:val="left"/>
              <w:rPr>
                <w:rFonts w:cs="Calibri"/>
                <w:szCs w:val="20"/>
                <w:lang w:eastAsia="zh-CN"/>
              </w:rPr>
            </w:pPr>
            <w:r w:rsidRPr="00C515DB">
              <w:rPr>
                <w:rFonts w:cs="Calibri"/>
                <w:szCs w:val="20"/>
                <w:lang w:eastAsia="zh-CN"/>
              </w:rPr>
              <w:t>At mid-project</w:t>
            </w:r>
          </w:p>
        </w:tc>
        <w:tc>
          <w:tcPr>
            <w:tcW w:w="1083" w:type="pct"/>
            <w:shd w:val="clear" w:color="auto" w:fill="auto"/>
          </w:tcPr>
          <w:p w14:paraId="6AB5880F" w14:textId="77777777" w:rsidR="00C515DB" w:rsidRPr="00C515DB" w:rsidRDefault="00C515DB" w:rsidP="00420A86">
            <w:pPr>
              <w:spacing w:before="0" w:after="0"/>
              <w:contextualSpacing/>
              <w:jc w:val="left"/>
              <w:rPr>
                <w:rFonts w:cs="Calibri"/>
                <w:szCs w:val="20"/>
              </w:rPr>
            </w:pPr>
            <w:r w:rsidRPr="00C515DB">
              <w:rPr>
                <w:rFonts w:cs="Calibri"/>
                <w:szCs w:val="20"/>
              </w:rPr>
              <w:t>The GEF Operational Focal Point and other stakeholders will be actively involved and consulted during the evaluation process</w:t>
            </w:r>
          </w:p>
        </w:tc>
        <w:tc>
          <w:tcPr>
            <w:tcW w:w="937" w:type="pct"/>
            <w:shd w:val="clear" w:color="auto" w:fill="auto"/>
          </w:tcPr>
          <w:p w14:paraId="51318A81" w14:textId="77777777" w:rsidR="00C515DB" w:rsidRPr="00420A86" w:rsidRDefault="00C515DB" w:rsidP="00420A86">
            <w:pPr>
              <w:spacing w:before="0" w:after="0"/>
              <w:contextualSpacing/>
              <w:jc w:val="left"/>
              <w:rPr>
                <w:rFonts w:cs="Calibri"/>
                <w:szCs w:val="20"/>
                <w:lang w:eastAsia="zh-CN"/>
              </w:rPr>
            </w:pPr>
            <w:r>
              <w:rPr>
                <w:rFonts w:cs="Calibri" w:hint="eastAsia"/>
                <w:szCs w:val="20"/>
                <w:lang w:eastAsia="zh-CN"/>
              </w:rPr>
              <w:t>I</w:t>
            </w:r>
            <w:r>
              <w:rPr>
                <w:rFonts w:cs="Calibri"/>
                <w:szCs w:val="20"/>
                <w:lang w:eastAsia="zh-CN"/>
              </w:rPr>
              <w:t>ndependent third party</w:t>
            </w:r>
          </w:p>
        </w:tc>
      </w:tr>
      <w:tr w:rsidR="007B62C8" w:rsidRPr="00420A86" w14:paraId="3A8C83CC" w14:textId="77777777" w:rsidTr="00420A86">
        <w:tc>
          <w:tcPr>
            <w:tcW w:w="897" w:type="pct"/>
            <w:shd w:val="clear" w:color="auto" w:fill="auto"/>
          </w:tcPr>
          <w:p w14:paraId="083CBAFE" w14:textId="77777777" w:rsidR="007B62C8" w:rsidRPr="00420A86" w:rsidRDefault="007B62C8" w:rsidP="00420A86">
            <w:pPr>
              <w:spacing w:before="0" w:after="0"/>
              <w:contextualSpacing/>
              <w:jc w:val="left"/>
              <w:rPr>
                <w:rFonts w:cs="Calibri"/>
                <w:szCs w:val="20"/>
              </w:rPr>
            </w:pPr>
            <w:r w:rsidRPr="00420A86">
              <w:rPr>
                <w:rFonts w:cs="Calibri"/>
                <w:szCs w:val="20"/>
              </w:rPr>
              <w:t>Project review</w:t>
            </w:r>
          </w:p>
          <w:p w14:paraId="1CDE633D" w14:textId="77777777" w:rsidR="007B62C8" w:rsidRPr="00420A86" w:rsidRDefault="007B62C8" w:rsidP="00420A86">
            <w:pPr>
              <w:spacing w:before="0" w:after="0"/>
              <w:contextualSpacing/>
              <w:jc w:val="left"/>
              <w:rPr>
                <w:rFonts w:cs="Calibri"/>
                <w:szCs w:val="20"/>
              </w:rPr>
            </w:pPr>
          </w:p>
        </w:tc>
        <w:tc>
          <w:tcPr>
            <w:tcW w:w="1108" w:type="pct"/>
            <w:shd w:val="clear" w:color="auto" w:fill="auto"/>
          </w:tcPr>
          <w:p w14:paraId="1A91E125" w14:textId="77777777" w:rsidR="007B62C8" w:rsidRPr="00C515DB" w:rsidRDefault="007B62C8" w:rsidP="00420A86">
            <w:pPr>
              <w:spacing w:before="0" w:after="0"/>
              <w:contextualSpacing/>
              <w:jc w:val="left"/>
              <w:rPr>
                <w:rFonts w:cs="Calibri"/>
                <w:szCs w:val="20"/>
              </w:rPr>
            </w:pPr>
            <w:r w:rsidRPr="00C515DB">
              <w:rPr>
                <w:rFonts w:cs="Calibri"/>
                <w:szCs w:val="20"/>
              </w:rPr>
              <w:t>The Project Steering Committee will consider updated analysis of risks and recommended risk mitigation measures at all meetings</w:t>
            </w:r>
          </w:p>
        </w:tc>
        <w:tc>
          <w:tcPr>
            <w:tcW w:w="974" w:type="pct"/>
            <w:shd w:val="clear" w:color="auto" w:fill="auto"/>
          </w:tcPr>
          <w:p w14:paraId="697714F1" w14:textId="77777777" w:rsidR="007B62C8" w:rsidRPr="00C515DB" w:rsidRDefault="007B62C8" w:rsidP="00420A86">
            <w:pPr>
              <w:spacing w:before="0" w:after="0"/>
              <w:contextualSpacing/>
              <w:jc w:val="left"/>
              <w:rPr>
                <w:rFonts w:cs="Calibri"/>
                <w:szCs w:val="20"/>
              </w:rPr>
            </w:pPr>
            <w:r w:rsidRPr="00C515DB">
              <w:rPr>
                <w:rFonts w:cs="Calibri"/>
                <w:szCs w:val="20"/>
              </w:rPr>
              <w:t>At least annually</w:t>
            </w:r>
          </w:p>
        </w:tc>
        <w:tc>
          <w:tcPr>
            <w:tcW w:w="1083" w:type="pct"/>
            <w:shd w:val="clear" w:color="auto" w:fill="auto"/>
          </w:tcPr>
          <w:p w14:paraId="186B4CDA" w14:textId="77777777" w:rsidR="007B62C8" w:rsidRPr="00C515DB" w:rsidRDefault="007B62C8" w:rsidP="00420A86">
            <w:pPr>
              <w:spacing w:before="0" w:after="0"/>
              <w:contextualSpacing/>
              <w:jc w:val="left"/>
              <w:rPr>
                <w:rFonts w:cs="Calibri"/>
                <w:szCs w:val="20"/>
              </w:rPr>
            </w:pPr>
            <w:r w:rsidRPr="00C515DB">
              <w:rPr>
                <w:rFonts w:cs="Calibri"/>
                <w:szCs w:val="20"/>
              </w:rPr>
              <w:t xml:space="preserve">Any risks and/ or impacts that are not adequately addressed by national mechanisms or project team will be discussed in project steering committee. Recommendations will be made, </w:t>
            </w:r>
            <w:r w:rsidR="00296E36" w:rsidRPr="00C515DB">
              <w:rPr>
                <w:rFonts w:cs="Calibri"/>
                <w:szCs w:val="20"/>
              </w:rPr>
              <w:t>discussed,</w:t>
            </w:r>
            <w:r w:rsidRPr="00C515DB">
              <w:rPr>
                <w:rFonts w:cs="Calibri"/>
                <w:szCs w:val="20"/>
              </w:rPr>
              <w:t xml:space="preserve"> and agreed upon.</w:t>
            </w:r>
          </w:p>
        </w:tc>
        <w:tc>
          <w:tcPr>
            <w:tcW w:w="937" w:type="pct"/>
            <w:shd w:val="clear" w:color="auto" w:fill="auto"/>
          </w:tcPr>
          <w:p w14:paraId="676FFEDD" w14:textId="77777777" w:rsidR="007B62C8" w:rsidRPr="00420A86" w:rsidRDefault="007B62C8" w:rsidP="00420A86">
            <w:pPr>
              <w:spacing w:before="0" w:after="0"/>
              <w:contextualSpacing/>
              <w:jc w:val="left"/>
              <w:rPr>
                <w:rFonts w:cs="Calibri"/>
                <w:szCs w:val="20"/>
              </w:rPr>
            </w:pPr>
            <w:r w:rsidRPr="00420A86">
              <w:rPr>
                <w:rFonts w:cs="Calibri"/>
                <w:szCs w:val="20"/>
              </w:rPr>
              <w:t xml:space="preserve">Project Steering Committees </w:t>
            </w:r>
          </w:p>
          <w:p w14:paraId="4E9162EA" w14:textId="77777777" w:rsidR="007B62C8" w:rsidRPr="00420A86" w:rsidRDefault="007B62C8" w:rsidP="00420A86">
            <w:pPr>
              <w:spacing w:before="0" w:after="0"/>
              <w:contextualSpacing/>
              <w:jc w:val="left"/>
              <w:rPr>
                <w:rFonts w:cs="Calibri"/>
                <w:szCs w:val="20"/>
              </w:rPr>
            </w:pPr>
            <w:r w:rsidRPr="00420A86">
              <w:rPr>
                <w:rFonts w:cs="Calibri"/>
                <w:szCs w:val="20"/>
              </w:rPr>
              <w:t>and Project Managers</w:t>
            </w:r>
          </w:p>
        </w:tc>
      </w:tr>
      <w:tr w:rsidR="00C515DB" w:rsidRPr="00420A86" w14:paraId="171A9549" w14:textId="77777777" w:rsidTr="00420A86">
        <w:tc>
          <w:tcPr>
            <w:tcW w:w="897" w:type="pct"/>
            <w:shd w:val="clear" w:color="auto" w:fill="auto"/>
          </w:tcPr>
          <w:p w14:paraId="3BA90C51" w14:textId="77777777" w:rsidR="00C515DB" w:rsidRPr="00420A86" w:rsidRDefault="00C515DB" w:rsidP="00420A86">
            <w:pPr>
              <w:spacing w:before="0" w:after="0"/>
              <w:contextualSpacing/>
              <w:jc w:val="left"/>
              <w:rPr>
                <w:rFonts w:cs="Calibri"/>
                <w:szCs w:val="20"/>
                <w:lang w:eastAsia="zh-CN"/>
              </w:rPr>
            </w:pPr>
            <w:r>
              <w:rPr>
                <w:rFonts w:cs="Calibri"/>
                <w:szCs w:val="20"/>
                <w:lang w:eastAsia="zh-CN"/>
              </w:rPr>
              <w:t xml:space="preserve">Terminal </w:t>
            </w:r>
            <w:r w:rsidR="005E2A6E">
              <w:rPr>
                <w:rFonts w:cs="Calibri"/>
                <w:szCs w:val="20"/>
                <w:lang w:eastAsia="zh-CN"/>
              </w:rPr>
              <w:t>E</w:t>
            </w:r>
            <w:r>
              <w:rPr>
                <w:rFonts w:cs="Calibri"/>
                <w:szCs w:val="20"/>
                <w:lang w:eastAsia="zh-CN"/>
              </w:rPr>
              <w:t>valuation and final report</w:t>
            </w:r>
          </w:p>
        </w:tc>
        <w:tc>
          <w:tcPr>
            <w:tcW w:w="1108" w:type="pct"/>
            <w:shd w:val="clear" w:color="auto" w:fill="auto"/>
          </w:tcPr>
          <w:p w14:paraId="5F4A45C8" w14:textId="77777777" w:rsidR="00C515DB" w:rsidRPr="00C515DB" w:rsidRDefault="00C515DB" w:rsidP="00420A86">
            <w:pPr>
              <w:spacing w:before="0" w:after="0"/>
              <w:contextualSpacing/>
              <w:jc w:val="left"/>
              <w:rPr>
                <w:rFonts w:cs="Calibri"/>
                <w:szCs w:val="20"/>
              </w:rPr>
            </w:pPr>
            <w:r>
              <w:rPr>
                <w:rFonts w:cs="Calibri"/>
                <w:szCs w:val="20"/>
              </w:rPr>
              <w:t xml:space="preserve">Terminal evaluation </w:t>
            </w:r>
            <w:r w:rsidRPr="00C515DB">
              <w:rPr>
                <w:rFonts w:cs="Calibri"/>
                <w:szCs w:val="20"/>
              </w:rPr>
              <w:t>will take place upon completion of all major project outputs and activities</w:t>
            </w:r>
          </w:p>
        </w:tc>
        <w:tc>
          <w:tcPr>
            <w:tcW w:w="974" w:type="pct"/>
            <w:shd w:val="clear" w:color="auto" w:fill="auto"/>
          </w:tcPr>
          <w:p w14:paraId="3F63F900" w14:textId="77777777" w:rsidR="00C515DB" w:rsidRPr="00C515DB" w:rsidRDefault="00C515DB" w:rsidP="00420A86">
            <w:pPr>
              <w:spacing w:before="0" w:after="0"/>
              <w:contextualSpacing/>
              <w:jc w:val="left"/>
              <w:rPr>
                <w:rFonts w:cs="Calibri"/>
                <w:szCs w:val="20"/>
                <w:lang w:eastAsia="zh-CN"/>
              </w:rPr>
            </w:pPr>
            <w:r>
              <w:rPr>
                <w:rFonts w:cs="Calibri"/>
                <w:szCs w:val="20"/>
                <w:lang w:eastAsia="zh-CN"/>
              </w:rPr>
              <w:t>At the end of project</w:t>
            </w:r>
          </w:p>
        </w:tc>
        <w:tc>
          <w:tcPr>
            <w:tcW w:w="1083" w:type="pct"/>
            <w:shd w:val="clear" w:color="auto" w:fill="auto"/>
          </w:tcPr>
          <w:p w14:paraId="79544BB0" w14:textId="77777777" w:rsidR="00C515DB" w:rsidRPr="00C515DB" w:rsidRDefault="00C515DB" w:rsidP="00420A86">
            <w:pPr>
              <w:spacing w:before="0" w:after="0"/>
              <w:contextualSpacing/>
              <w:jc w:val="left"/>
              <w:rPr>
                <w:rFonts w:cs="Calibri"/>
                <w:szCs w:val="20"/>
              </w:rPr>
            </w:pPr>
            <w:r w:rsidRPr="00C515DB">
              <w:rPr>
                <w:rFonts w:cs="Calibri"/>
                <w:szCs w:val="20"/>
              </w:rPr>
              <w:t xml:space="preserve">The final project report package shall be discussed with the Project Board during an end-of-project review meeting to discuss lesson learned and opportunities for scaling up.    </w:t>
            </w:r>
          </w:p>
        </w:tc>
        <w:tc>
          <w:tcPr>
            <w:tcW w:w="937" w:type="pct"/>
            <w:shd w:val="clear" w:color="auto" w:fill="auto"/>
          </w:tcPr>
          <w:p w14:paraId="31E8A536" w14:textId="77777777" w:rsidR="00C515DB" w:rsidRPr="00420A86" w:rsidRDefault="00C515DB" w:rsidP="00C515DB">
            <w:pPr>
              <w:spacing w:before="0" w:after="0"/>
              <w:contextualSpacing/>
              <w:jc w:val="left"/>
              <w:rPr>
                <w:rFonts w:cs="Calibri"/>
                <w:szCs w:val="20"/>
              </w:rPr>
            </w:pPr>
            <w:r>
              <w:rPr>
                <w:rFonts w:cs="Calibri" w:hint="eastAsia"/>
                <w:szCs w:val="20"/>
                <w:lang w:eastAsia="zh-CN"/>
              </w:rPr>
              <w:t>I</w:t>
            </w:r>
            <w:r>
              <w:rPr>
                <w:rFonts w:cs="Calibri"/>
                <w:szCs w:val="20"/>
                <w:lang w:eastAsia="zh-CN"/>
              </w:rPr>
              <w:t>ndependent third party;</w:t>
            </w:r>
            <w:r w:rsidRPr="00420A86">
              <w:rPr>
                <w:rFonts w:cs="Calibri"/>
                <w:szCs w:val="20"/>
              </w:rPr>
              <w:t xml:space="preserve"> Project Steering Committees </w:t>
            </w:r>
          </w:p>
          <w:p w14:paraId="4516CF46" w14:textId="77777777" w:rsidR="00C515DB" w:rsidRPr="00420A86" w:rsidRDefault="00C515DB" w:rsidP="00C515DB">
            <w:pPr>
              <w:spacing w:before="0" w:after="0"/>
              <w:contextualSpacing/>
              <w:jc w:val="left"/>
              <w:rPr>
                <w:rFonts w:cs="Calibri"/>
                <w:szCs w:val="20"/>
              </w:rPr>
            </w:pPr>
            <w:r w:rsidRPr="00420A86">
              <w:rPr>
                <w:rFonts w:cs="Calibri"/>
                <w:szCs w:val="20"/>
              </w:rPr>
              <w:t>and Project Managers</w:t>
            </w:r>
          </w:p>
        </w:tc>
      </w:tr>
    </w:tbl>
    <w:p w14:paraId="71DDD7BA" w14:textId="77777777" w:rsidR="00DD6332" w:rsidRPr="00420A86" w:rsidRDefault="00DD6332" w:rsidP="00F52D98"/>
    <w:p w14:paraId="77BCCD6A" w14:textId="77777777" w:rsidR="00AE78DF" w:rsidRDefault="00AE78DF" w:rsidP="00420A86">
      <w:pPr>
        <w:pStyle w:val="Heading1"/>
        <w:spacing w:before="0" w:after="0"/>
        <w:ind w:left="567" w:hanging="567"/>
        <w:rPr>
          <w:rFonts w:cs="Calibri"/>
          <w:sz w:val="22"/>
          <w:szCs w:val="22"/>
        </w:rPr>
        <w:sectPr w:rsidR="00AE78DF" w:rsidSect="00AE78DF">
          <w:pgSz w:w="16839" w:h="11907" w:orient="landscape" w:code="9"/>
          <w:pgMar w:top="1440" w:right="1440" w:bottom="1440" w:left="1440" w:header="576" w:footer="576" w:gutter="0"/>
          <w:cols w:space="720"/>
          <w:docGrid w:linePitch="360"/>
        </w:sectPr>
      </w:pPr>
    </w:p>
    <w:p w14:paraId="66A9DBFA" w14:textId="1E171CE9" w:rsidR="00170A4F" w:rsidRPr="00420A86" w:rsidRDefault="00170A4F" w:rsidP="00420A86">
      <w:pPr>
        <w:pStyle w:val="Heading1"/>
        <w:spacing w:before="0" w:after="0"/>
        <w:ind w:left="567" w:hanging="567"/>
        <w:rPr>
          <w:rFonts w:cs="Calibri"/>
          <w:sz w:val="22"/>
          <w:szCs w:val="22"/>
        </w:rPr>
      </w:pPr>
      <w:bookmarkStart w:id="52" w:name="_Toc86064170"/>
      <w:r w:rsidRPr="00420A86">
        <w:rPr>
          <w:rFonts w:cs="Calibri"/>
          <w:sz w:val="22"/>
          <w:szCs w:val="22"/>
        </w:rPr>
        <w:lastRenderedPageBreak/>
        <w:t>Annexes</w:t>
      </w:r>
      <w:r w:rsidR="00A0584F" w:rsidRPr="00420A86">
        <w:rPr>
          <w:rFonts w:cs="Calibri"/>
          <w:sz w:val="22"/>
          <w:szCs w:val="22"/>
        </w:rPr>
        <w:t xml:space="preserve">: </w:t>
      </w:r>
      <w:proofErr w:type="gramStart"/>
      <w:r w:rsidR="00A0584F" w:rsidRPr="00420A86">
        <w:rPr>
          <w:rFonts w:cs="Calibri"/>
          <w:sz w:val="22"/>
          <w:szCs w:val="22"/>
        </w:rPr>
        <w:t>the</w:t>
      </w:r>
      <w:proofErr w:type="gramEnd"/>
      <w:r w:rsidR="007B62C8" w:rsidRPr="00420A86">
        <w:rPr>
          <w:rFonts w:cs="Calibri"/>
          <w:sz w:val="22"/>
          <w:szCs w:val="22"/>
        </w:rPr>
        <w:t xml:space="preserve"> </w:t>
      </w:r>
      <w:proofErr w:type="spellStart"/>
      <w:r w:rsidR="005E4849">
        <w:rPr>
          <w:rFonts w:cs="Calibri"/>
          <w:sz w:val="22"/>
          <w:szCs w:val="22"/>
          <w:lang w:eastAsia="zh-CN"/>
        </w:rPr>
        <w:t>PhosChemEE</w:t>
      </w:r>
      <w:proofErr w:type="spellEnd"/>
      <w:r w:rsidR="007B62C8" w:rsidRPr="00420A86">
        <w:rPr>
          <w:rFonts w:cs="Calibri"/>
          <w:sz w:val="22"/>
          <w:szCs w:val="22"/>
          <w:lang w:eastAsia="zh-CN"/>
        </w:rPr>
        <w:t xml:space="preserve"> Project</w:t>
      </w:r>
      <w:r w:rsidR="00F45410" w:rsidRPr="00420A86">
        <w:rPr>
          <w:rFonts w:cs="Calibri"/>
          <w:sz w:val="22"/>
          <w:szCs w:val="22"/>
        </w:rPr>
        <w:t xml:space="preserve"> </w:t>
      </w:r>
      <w:r w:rsidR="000220E5" w:rsidRPr="00420A86">
        <w:rPr>
          <w:rFonts w:cs="Calibri"/>
          <w:sz w:val="22"/>
          <w:szCs w:val="22"/>
        </w:rPr>
        <w:t>SESP</w:t>
      </w:r>
      <w:r w:rsidR="009F0FEE" w:rsidRPr="00420A86">
        <w:rPr>
          <w:rFonts w:cs="Calibri"/>
          <w:sz w:val="22"/>
          <w:szCs w:val="22"/>
        </w:rPr>
        <w:t xml:space="preserve"> Template</w:t>
      </w:r>
      <w:bookmarkEnd w:id="52"/>
      <w:r w:rsidR="009F0FEE" w:rsidRPr="00420A86">
        <w:rPr>
          <w:rFonts w:cs="Calibri"/>
          <w:sz w:val="22"/>
          <w:szCs w:val="22"/>
        </w:rPr>
        <w:t xml:space="preserve"> </w:t>
      </w:r>
    </w:p>
    <w:p w14:paraId="44E954CE" w14:textId="0F7DBD05" w:rsidR="000976CA" w:rsidRDefault="009410CE" w:rsidP="000976CA">
      <w:pPr>
        <w:pStyle w:val="Heading1"/>
        <w:numPr>
          <w:ilvl w:val="0"/>
          <w:numId w:val="0"/>
        </w:numPr>
      </w:pPr>
      <w:r>
        <w:t>Annex I</w:t>
      </w:r>
      <w:r w:rsidR="000976CA">
        <w:t xml:space="preserve">: Indicative outline for Project Labour Assessment and management Procedure </w:t>
      </w:r>
    </w:p>
    <w:p w14:paraId="46674A29" w14:textId="65C92967" w:rsidR="000976CA" w:rsidRPr="003D588F" w:rsidRDefault="000976CA" w:rsidP="000976CA">
      <w:pPr>
        <w:rPr>
          <w:rFonts w:cs="Calibri"/>
          <w:bCs/>
          <w:iCs/>
          <w:szCs w:val="20"/>
        </w:rPr>
      </w:pPr>
      <w:r w:rsidRPr="003D588F">
        <w:rPr>
          <w:rFonts w:cs="Calibri"/>
          <w:bCs/>
          <w:iCs/>
          <w:szCs w:val="20"/>
        </w:rPr>
        <w:t xml:space="preserve">The Labour Assessment and Management Procedure (LAMP) facilitates planning and assists borrowers/responsible parties to ensure that project implementation adheres to the requirements of </w:t>
      </w:r>
      <w:r>
        <w:rPr>
          <w:rFonts w:cs="Calibri"/>
          <w:bCs/>
          <w:iCs/>
          <w:szCs w:val="20"/>
        </w:rPr>
        <w:t>SES 7</w:t>
      </w:r>
      <w:r w:rsidRPr="003D588F">
        <w:rPr>
          <w:rFonts w:cs="Calibri"/>
          <w:bCs/>
          <w:iCs/>
          <w:szCs w:val="20"/>
        </w:rPr>
        <w:t xml:space="preserve"> on Labour and Working Conditions. The LAMP identifies the main labour requirements and risks associated with the project and helps the responsible party to determine the resources necessary to address project labour issues. </w:t>
      </w:r>
    </w:p>
    <w:p w14:paraId="0394F33F" w14:textId="77777777" w:rsidR="000976CA" w:rsidRPr="003D588F" w:rsidRDefault="000976CA" w:rsidP="000976CA">
      <w:pPr>
        <w:rPr>
          <w:rFonts w:cs="Calibri"/>
          <w:bCs/>
          <w:iCs/>
          <w:szCs w:val="20"/>
        </w:rPr>
      </w:pPr>
      <w:r w:rsidRPr="003D588F">
        <w:rPr>
          <w:rFonts w:cs="Calibri"/>
          <w:bCs/>
          <w:iCs/>
          <w:szCs w:val="20"/>
        </w:rPr>
        <w:t>The LAMP may be prepared as a stand-alone document, or form part of other environmental and social management documents. The LAMP is a living document, which is initiated early in project preparation, and is reviewed and updated throughout development and implementation of the project.</w:t>
      </w:r>
    </w:p>
    <w:p w14:paraId="04445E07" w14:textId="71464449" w:rsidR="000976CA" w:rsidRPr="003D588F" w:rsidRDefault="000976CA" w:rsidP="000976CA">
      <w:pPr>
        <w:rPr>
          <w:rFonts w:cs="Calibri"/>
          <w:bCs/>
          <w:iCs/>
          <w:szCs w:val="20"/>
        </w:rPr>
      </w:pPr>
      <w:r w:rsidRPr="003D588F">
        <w:rPr>
          <w:rFonts w:cs="Calibri"/>
          <w:bCs/>
          <w:iCs/>
          <w:szCs w:val="20"/>
        </w:rPr>
        <w:t>A concise and up to date LAMP will enable different project-related parties, for example, staff of the project implementing unit, contractors and sub-contractors and project workers, to have a clear understanding of what is required on a specific labour issue. The level of detail contained in the LAMP will depend on the type of project and information available. Where relevant information is not available, this should be noted</w:t>
      </w:r>
      <w:r w:rsidR="00E56659">
        <w:rPr>
          <w:rFonts w:cs="Calibri"/>
          <w:bCs/>
          <w:iCs/>
          <w:szCs w:val="20"/>
        </w:rPr>
        <w:t>,</w:t>
      </w:r>
      <w:r w:rsidRPr="003D588F">
        <w:rPr>
          <w:rFonts w:cs="Calibri"/>
          <w:bCs/>
          <w:iCs/>
          <w:szCs w:val="20"/>
        </w:rPr>
        <w:t xml:space="preserve"> and the LAMP should be updated as soon as possible. </w:t>
      </w:r>
    </w:p>
    <w:p w14:paraId="4DD7F77A" w14:textId="77777777" w:rsidR="000976CA" w:rsidRPr="003D588F" w:rsidRDefault="000976CA" w:rsidP="000976CA">
      <w:pPr>
        <w:rPr>
          <w:rFonts w:cs="Calibri"/>
          <w:bCs/>
          <w:iCs/>
          <w:szCs w:val="20"/>
        </w:rPr>
      </w:pPr>
      <w:r w:rsidRPr="003D588F">
        <w:rPr>
          <w:rFonts w:cs="Calibri"/>
          <w:bCs/>
          <w:iCs/>
          <w:szCs w:val="20"/>
        </w:rPr>
        <w:t xml:space="preserve">Below is an indicative outline of the LAMP. </w:t>
      </w:r>
    </w:p>
    <w:p w14:paraId="713DE15A" w14:textId="77777777" w:rsidR="000976CA" w:rsidRPr="00F662C2" w:rsidRDefault="000976CA" w:rsidP="000976CA">
      <w:pPr>
        <w:pStyle w:val="ListParagraph"/>
        <w:numPr>
          <w:ilvl w:val="0"/>
          <w:numId w:val="41"/>
        </w:numPr>
        <w:spacing w:line="260" w:lineRule="exact"/>
        <w:ind w:left="360"/>
        <w:jc w:val="left"/>
        <w:rPr>
          <w:bCs/>
          <w:iCs/>
          <w:szCs w:val="20"/>
        </w:rPr>
      </w:pPr>
      <w:r w:rsidRPr="00F662C2">
        <w:rPr>
          <w:b/>
          <w:iCs/>
          <w:szCs w:val="20"/>
        </w:rPr>
        <w:t>Overview of Labour Use in the Project:</w:t>
      </w:r>
      <w:r>
        <w:rPr>
          <w:bCs/>
          <w:iCs/>
          <w:szCs w:val="20"/>
        </w:rPr>
        <w:t xml:space="preserve"> </w:t>
      </w:r>
      <w:r w:rsidRPr="00F662C2">
        <w:rPr>
          <w:color w:val="000000"/>
          <w:szCs w:val="20"/>
        </w:rPr>
        <w:t>This section describes the following, based on available information:</w:t>
      </w:r>
    </w:p>
    <w:p w14:paraId="6DFB3852" w14:textId="07311BE2" w:rsidR="000976CA" w:rsidRPr="00F662C2" w:rsidRDefault="000976CA" w:rsidP="000976CA">
      <w:pPr>
        <w:pStyle w:val="ListParagraph"/>
        <w:numPr>
          <w:ilvl w:val="1"/>
          <w:numId w:val="41"/>
        </w:numPr>
        <w:spacing w:line="260" w:lineRule="exact"/>
        <w:ind w:left="720"/>
        <w:jc w:val="left"/>
        <w:rPr>
          <w:bCs/>
          <w:iCs/>
          <w:szCs w:val="20"/>
        </w:rPr>
      </w:pPr>
      <w:r w:rsidRPr="00F662C2">
        <w:rPr>
          <w:bCs/>
          <w:i/>
          <w:color w:val="000000"/>
          <w:szCs w:val="20"/>
        </w:rPr>
        <w:t>Number of Project Workers</w:t>
      </w:r>
      <w:r w:rsidRPr="00F662C2">
        <w:rPr>
          <w:bCs/>
          <w:color w:val="000000"/>
          <w:szCs w:val="20"/>
        </w:rPr>
        <w:t xml:space="preserve">: </w:t>
      </w:r>
      <w:r w:rsidRPr="00F662C2">
        <w:rPr>
          <w:color w:val="000000"/>
          <w:szCs w:val="20"/>
        </w:rPr>
        <w:t>The total number of workers to be employed on the project, and the different types of workers: direct workers, contracted workers</w:t>
      </w:r>
      <w:r w:rsidR="00E56659">
        <w:rPr>
          <w:color w:val="000000"/>
          <w:szCs w:val="20"/>
        </w:rPr>
        <w:t>,</w:t>
      </w:r>
      <w:r w:rsidRPr="00F662C2">
        <w:rPr>
          <w:color w:val="000000"/>
          <w:szCs w:val="20"/>
        </w:rPr>
        <w:t xml:space="preserve"> and community workers. Where numbers are not yet firm, an estimate should be provided. </w:t>
      </w:r>
    </w:p>
    <w:p w14:paraId="59ACA117" w14:textId="77777777" w:rsidR="000976CA" w:rsidRPr="00F662C2" w:rsidRDefault="000976CA" w:rsidP="000976CA">
      <w:pPr>
        <w:pStyle w:val="ListParagraph"/>
        <w:numPr>
          <w:ilvl w:val="1"/>
          <w:numId w:val="41"/>
        </w:numPr>
        <w:spacing w:line="260" w:lineRule="exact"/>
        <w:ind w:left="720"/>
        <w:jc w:val="left"/>
        <w:rPr>
          <w:bCs/>
          <w:iCs/>
          <w:szCs w:val="20"/>
        </w:rPr>
      </w:pPr>
      <w:r w:rsidRPr="00F662C2">
        <w:rPr>
          <w:bCs/>
          <w:i/>
          <w:color w:val="000000"/>
          <w:szCs w:val="20"/>
        </w:rPr>
        <w:t>Characteristics of Project Workers</w:t>
      </w:r>
      <w:r w:rsidRPr="00F662C2">
        <w:rPr>
          <w:bCs/>
          <w:color w:val="000000"/>
          <w:szCs w:val="20"/>
        </w:rPr>
        <w:t xml:space="preserve">: </w:t>
      </w:r>
      <w:r w:rsidRPr="00F662C2">
        <w:rPr>
          <w:color w:val="000000"/>
          <w:szCs w:val="20"/>
        </w:rPr>
        <w:t xml:space="preserve">To the extent possible, a broad description and an indication of the likely characteristics of the project workers </w:t>
      </w:r>
      <w:proofErr w:type="gramStart"/>
      <w:r w:rsidRPr="00F662C2">
        <w:rPr>
          <w:color w:val="000000"/>
          <w:szCs w:val="20"/>
        </w:rPr>
        <w:t>e.g.</w:t>
      </w:r>
      <w:proofErr w:type="gramEnd"/>
      <w:r w:rsidRPr="00F662C2">
        <w:rPr>
          <w:color w:val="000000"/>
          <w:szCs w:val="20"/>
        </w:rPr>
        <w:t xml:space="preserve"> local workers, national or international migrants, female workers, workers between the minimum age and 18.</w:t>
      </w:r>
    </w:p>
    <w:p w14:paraId="4EACE092" w14:textId="77777777" w:rsidR="000976CA" w:rsidRPr="00F662C2" w:rsidRDefault="000976CA" w:rsidP="000976CA">
      <w:pPr>
        <w:pStyle w:val="ListParagraph"/>
        <w:numPr>
          <w:ilvl w:val="1"/>
          <w:numId w:val="41"/>
        </w:numPr>
        <w:spacing w:line="260" w:lineRule="exact"/>
        <w:ind w:left="720"/>
        <w:jc w:val="left"/>
        <w:rPr>
          <w:bCs/>
          <w:iCs/>
          <w:szCs w:val="20"/>
        </w:rPr>
      </w:pPr>
      <w:r w:rsidRPr="00F662C2">
        <w:rPr>
          <w:bCs/>
          <w:i/>
          <w:color w:val="000000"/>
          <w:szCs w:val="20"/>
        </w:rPr>
        <w:t>Timing of Labour Requirements</w:t>
      </w:r>
      <w:r w:rsidRPr="00F662C2">
        <w:rPr>
          <w:bCs/>
          <w:color w:val="000000"/>
          <w:szCs w:val="20"/>
        </w:rPr>
        <w:t xml:space="preserve">: </w:t>
      </w:r>
      <w:r w:rsidRPr="00F662C2">
        <w:rPr>
          <w:color w:val="000000"/>
          <w:szCs w:val="20"/>
        </w:rPr>
        <w:t xml:space="preserve">The timing and sequencing of </w:t>
      </w:r>
      <w:r>
        <w:rPr>
          <w:color w:val="000000"/>
          <w:szCs w:val="20"/>
        </w:rPr>
        <w:t>labour</w:t>
      </w:r>
      <w:r w:rsidRPr="00F662C2">
        <w:rPr>
          <w:color w:val="000000"/>
          <w:szCs w:val="20"/>
        </w:rPr>
        <w:t xml:space="preserve"> requirements in terms of numbers, locations, types of jobs and skills required</w:t>
      </w:r>
      <w:r w:rsidRPr="00F662C2">
        <w:rPr>
          <w:szCs w:val="20"/>
        </w:rPr>
        <w:t>.</w:t>
      </w:r>
    </w:p>
    <w:p w14:paraId="59302C7C" w14:textId="020752F2" w:rsidR="000976CA" w:rsidRPr="00F662C2" w:rsidRDefault="000976CA" w:rsidP="000976CA">
      <w:pPr>
        <w:pStyle w:val="ListParagraph"/>
        <w:numPr>
          <w:ilvl w:val="1"/>
          <w:numId w:val="41"/>
        </w:numPr>
        <w:spacing w:line="260" w:lineRule="exact"/>
        <w:ind w:left="720"/>
        <w:jc w:val="left"/>
        <w:rPr>
          <w:bCs/>
          <w:iCs/>
          <w:szCs w:val="20"/>
        </w:rPr>
      </w:pPr>
      <w:r w:rsidRPr="00F662C2">
        <w:rPr>
          <w:bCs/>
          <w:i/>
          <w:szCs w:val="20"/>
        </w:rPr>
        <w:t>Contracted Workers</w:t>
      </w:r>
      <w:r w:rsidRPr="00F662C2">
        <w:rPr>
          <w:bCs/>
          <w:szCs w:val="20"/>
        </w:rPr>
        <w:t>:</w:t>
      </w:r>
      <w:r w:rsidRPr="00F662C2">
        <w:rPr>
          <w:szCs w:val="20"/>
        </w:rPr>
        <w:t xml:space="preserve"> </w:t>
      </w:r>
      <w:r w:rsidRPr="00F662C2">
        <w:rPr>
          <w:color w:val="000000"/>
          <w:szCs w:val="20"/>
        </w:rPr>
        <w:t>The anticipated or known contracting structure for the project, with numbers and types of contractors/subcontractors and the likely number of project workers to be employed or engaged by each contractor/subcontractor. If it is likely that project workers will be engaged through brokers, intermediaries</w:t>
      </w:r>
      <w:r w:rsidR="00E56659">
        <w:rPr>
          <w:color w:val="000000"/>
          <w:szCs w:val="20"/>
        </w:rPr>
        <w:t>,</w:t>
      </w:r>
      <w:r w:rsidRPr="00F662C2">
        <w:rPr>
          <w:color w:val="000000"/>
          <w:szCs w:val="20"/>
        </w:rPr>
        <w:t xml:space="preserve"> or agents, this should be noted together with an estimate </w:t>
      </w:r>
      <w:r>
        <w:rPr>
          <w:color w:val="000000"/>
          <w:szCs w:val="20"/>
        </w:rPr>
        <w:t>of the number of</w:t>
      </w:r>
      <w:r w:rsidRPr="00F662C2">
        <w:rPr>
          <w:color w:val="000000"/>
          <w:szCs w:val="20"/>
        </w:rPr>
        <w:t xml:space="preserve"> workers </w:t>
      </w:r>
      <w:r>
        <w:rPr>
          <w:color w:val="000000"/>
          <w:szCs w:val="20"/>
        </w:rPr>
        <w:t xml:space="preserve">that </w:t>
      </w:r>
      <w:r w:rsidRPr="00F662C2">
        <w:rPr>
          <w:color w:val="000000"/>
          <w:szCs w:val="20"/>
        </w:rPr>
        <w:t>are expected to be recruited in this way.</w:t>
      </w:r>
    </w:p>
    <w:p w14:paraId="28277D05" w14:textId="2FB685A1" w:rsidR="000976CA" w:rsidRPr="00950D01" w:rsidRDefault="000976CA" w:rsidP="000976CA">
      <w:pPr>
        <w:pStyle w:val="ListParagraph"/>
        <w:numPr>
          <w:ilvl w:val="1"/>
          <w:numId w:val="41"/>
        </w:numPr>
        <w:spacing w:line="260" w:lineRule="exact"/>
        <w:ind w:left="720"/>
        <w:jc w:val="left"/>
        <w:rPr>
          <w:bCs/>
          <w:iCs/>
          <w:szCs w:val="20"/>
        </w:rPr>
      </w:pPr>
      <w:r w:rsidRPr="00F662C2">
        <w:rPr>
          <w:bCs/>
          <w:i/>
          <w:color w:val="000000"/>
          <w:szCs w:val="20"/>
        </w:rPr>
        <w:t>Migrant Workers</w:t>
      </w:r>
      <w:r w:rsidRPr="00F662C2">
        <w:rPr>
          <w:bCs/>
          <w:color w:val="000000"/>
          <w:szCs w:val="20"/>
        </w:rPr>
        <w:t xml:space="preserve">: </w:t>
      </w:r>
      <w:r w:rsidRPr="00F662C2">
        <w:rPr>
          <w:color w:val="000000"/>
          <w:szCs w:val="20"/>
        </w:rPr>
        <w:t>If it is likely that migrant workers (either domestic or international) are expected to work on the project, this should be noted</w:t>
      </w:r>
      <w:r w:rsidR="00E56659">
        <w:rPr>
          <w:color w:val="000000"/>
          <w:szCs w:val="20"/>
        </w:rPr>
        <w:t>,</w:t>
      </w:r>
      <w:r w:rsidRPr="00F662C2">
        <w:rPr>
          <w:color w:val="000000"/>
          <w:szCs w:val="20"/>
        </w:rPr>
        <w:t xml:space="preserve"> and details provided.</w:t>
      </w:r>
    </w:p>
    <w:p w14:paraId="0DF3F8D8" w14:textId="77777777" w:rsidR="000976CA" w:rsidRDefault="000976CA" w:rsidP="000976CA">
      <w:pPr>
        <w:pStyle w:val="ListParagraph"/>
        <w:numPr>
          <w:ilvl w:val="0"/>
          <w:numId w:val="41"/>
        </w:numPr>
        <w:spacing w:line="260" w:lineRule="exact"/>
        <w:ind w:left="360"/>
        <w:jc w:val="left"/>
        <w:rPr>
          <w:bCs/>
          <w:iCs/>
          <w:color w:val="000000"/>
          <w:szCs w:val="20"/>
        </w:rPr>
      </w:pPr>
      <w:r w:rsidRPr="00F662C2">
        <w:rPr>
          <w:b/>
          <w:iCs/>
          <w:color w:val="000000"/>
          <w:szCs w:val="20"/>
        </w:rPr>
        <w:t>Assessment of Key Potential Labour Risks</w:t>
      </w:r>
      <w:r>
        <w:rPr>
          <w:b/>
          <w:i/>
          <w:color w:val="000000"/>
          <w:szCs w:val="20"/>
        </w:rPr>
        <w:t xml:space="preserve">: </w:t>
      </w:r>
      <w:r w:rsidRPr="00F662C2">
        <w:rPr>
          <w:bCs/>
          <w:iCs/>
          <w:color w:val="000000"/>
          <w:szCs w:val="20"/>
        </w:rPr>
        <w:t>This section describes the following, based on available information:</w:t>
      </w:r>
    </w:p>
    <w:p w14:paraId="639E29A5" w14:textId="77777777" w:rsidR="000976CA" w:rsidRPr="00950D01" w:rsidRDefault="000976CA" w:rsidP="000976CA">
      <w:pPr>
        <w:pStyle w:val="ListParagraph"/>
        <w:numPr>
          <w:ilvl w:val="1"/>
          <w:numId w:val="41"/>
        </w:numPr>
        <w:spacing w:line="260" w:lineRule="exact"/>
        <w:ind w:left="720"/>
        <w:jc w:val="left"/>
        <w:rPr>
          <w:bCs/>
          <w:iCs/>
          <w:color w:val="000000"/>
          <w:szCs w:val="20"/>
        </w:rPr>
      </w:pPr>
      <w:r w:rsidRPr="00950D01">
        <w:rPr>
          <w:bCs/>
          <w:i/>
          <w:color w:val="000000"/>
          <w:szCs w:val="20"/>
        </w:rPr>
        <w:t>Project activities</w:t>
      </w:r>
      <w:r w:rsidRPr="00950D01">
        <w:rPr>
          <w:bCs/>
          <w:color w:val="000000"/>
          <w:szCs w:val="20"/>
        </w:rPr>
        <w:t>:</w:t>
      </w:r>
      <w:r w:rsidRPr="00950D01">
        <w:rPr>
          <w:color w:val="000000"/>
          <w:szCs w:val="20"/>
        </w:rPr>
        <w:t xml:space="preserve"> The type and location of the project, and the different activities the project workers will carry out.</w:t>
      </w:r>
    </w:p>
    <w:p w14:paraId="45B07B1A" w14:textId="77777777" w:rsidR="000976CA" w:rsidRPr="00950D01" w:rsidRDefault="000976CA" w:rsidP="000976CA">
      <w:pPr>
        <w:pStyle w:val="ListParagraph"/>
        <w:numPr>
          <w:ilvl w:val="1"/>
          <w:numId w:val="41"/>
        </w:numPr>
        <w:spacing w:line="260" w:lineRule="exact"/>
        <w:ind w:left="720"/>
        <w:jc w:val="left"/>
        <w:rPr>
          <w:bCs/>
          <w:iCs/>
          <w:color w:val="000000"/>
          <w:szCs w:val="20"/>
        </w:rPr>
      </w:pPr>
      <w:r w:rsidRPr="00950D01">
        <w:rPr>
          <w:bCs/>
          <w:i/>
          <w:color w:val="000000"/>
          <w:szCs w:val="20"/>
        </w:rPr>
        <w:t>Key Labour Risks:</w:t>
      </w:r>
      <w:r w:rsidRPr="00950D01">
        <w:rPr>
          <w:b/>
          <w:i/>
          <w:color w:val="000000"/>
          <w:szCs w:val="20"/>
        </w:rPr>
        <w:t xml:space="preserve">  </w:t>
      </w:r>
      <w:r w:rsidRPr="00950D01">
        <w:rPr>
          <w:szCs w:val="20"/>
        </w:rPr>
        <w:t xml:space="preserve">The key labour risks which may be associated with the project (see, for example, those identified in </w:t>
      </w:r>
      <w:r>
        <w:rPr>
          <w:szCs w:val="20"/>
        </w:rPr>
        <w:t>Standard 7 and its corresponding SES Guidance Note</w:t>
      </w:r>
      <w:r w:rsidRPr="00950D01">
        <w:rPr>
          <w:szCs w:val="20"/>
        </w:rPr>
        <w:t>). These could include, for example:</w:t>
      </w:r>
    </w:p>
    <w:p w14:paraId="1E6F7E52" w14:textId="77777777" w:rsidR="000976CA" w:rsidRPr="00E82BAF" w:rsidRDefault="000976CA" w:rsidP="000976CA">
      <w:pPr>
        <w:pStyle w:val="ListParagraph"/>
        <w:numPr>
          <w:ilvl w:val="0"/>
          <w:numId w:val="42"/>
        </w:numPr>
        <w:spacing w:line="260" w:lineRule="exact"/>
        <w:ind w:left="1170"/>
        <w:rPr>
          <w:szCs w:val="20"/>
        </w:rPr>
      </w:pPr>
      <w:r>
        <w:rPr>
          <w:szCs w:val="20"/>
        </w:rPr>
        <w:t>t</w:t>
      </w:r>
      <w:r w:rsidRPr="00E82BAF">
        <w:rPr>
          <w:szCs w:val="20"/>
        </w:rPr>
        <w:t xml:space="preserve">he conduct of hazardous work, such as working at heights or in confined spaces, use of heavy machinery, or use of hazardous materials </w:t>
      </w:r>
    </w:p>
    <w:p w14:paraId="364DDC84" w14:textId="77777777" w:rsidR="000976CA" w:rsidRDefault="000976CA" w:rsidP="000976CA">
      <w:pPr>
        <w:pStyle w:val="ListParagraph"/>
        <w:numPr>
          <w:ilvl w:val="0"/>
          <w:numId w:val="42"/>
        </w:numPr>
        <w:spacing w:line="260" w:lineRule="exact"/>
        <w:ind w:left="1170"/>
        <w:rPr>
          <w:szCs w:val="20"/>
        </w:rPr>
      </w:pPr>
      <w:r>
        <w:rPr>
          <w:szCs w:val="20"/>
        </w:rPr>
        <w:t>l</w:t>
      </w:r>
      <w:r w:rsidRPr="00E82BAF">
        <w:rPr>
          <w:szCs w:val="20"/>
        </w:rPr>
        <w:t xml:space="preserve">ikely incidents of child </w:t>
      </w:r>
      <w:r>
        <w:rPr>
          <w:szCs w:val="20"/>
        </w:rPr>
        <w:t>labour</w:t>
      </w:r>
      <w:r w:rsidRPr="00E82BAF">
        <w:rPr>
          <w:szCs w:val="20"/>
        </w:rPr>
        <w:t xml:space="preserve"> or forced </w:t>
      </w:r>
      <w:r>
        <w:rPr>
          <w:szCs w:val="20"/>
        </w:rPr>
        <w:t>labour</w:t>
      </w:r>
      <w:r w:rsidRPr="00E82BAF">
        <w:rPr>
          <w:szCs w:val="20"/>
        </w:rPr>
        <w:t>, with reference to the sector or locality</w:t>
      </w:r>
    </w:p>
    <w:p w14:paraId="64118DCA" w14:textId="77777777" w:rsidR="000976CA" w:rsidRPr="00E82BAF" w:rsidRDefault="000976CA" w:rsidP="000976CA">
      <w:pPr>
        <w:pStyle w:val="ListParagraph"/>
        <w:numPr>
          <w:ilvl w:val="0"/>
          <w:numId w:val="42"/>
        </w:numPr>
        <w:spacing w:line="260" w:lineRule="exact"/>
        <w:ind w:left="1170"/>
        <w:rPr>
          <w:szCs w:val="20"/>
        </w:rPr>
      </w:pPr>
      <w:r>
        <w:rPr>
          <w:szCs w:val="20"/>
        </w:rPr>
        <w:lastRenderedPageBreak/>
        <w:t>restrictions on freedom of association and collective bargaining</w:t>
      </w:r>
    </w:p>
    <w:p w14:paraId="1079766C" w14:textId="77777777" w:rsidR="000976CA" w:rsidRPr="00E82BAF" w:rsidRDefault="000976CA" w:rsidP="000976CA">
      <w:pPr>
        <w:pStyle w:val="ListParagraph"/>
        <w:numPr>
          <w:ilvl w:val="0"/>
          <w:numId w:val="42"/>
        </w:numPr>
        <w:spacing w:line="260" w:lineRule="exact"/>
        <w:ind w:left="1170"/>
        <w:rPr>
          <w:szCs w:val="20"/>
        </w:rPr>
      </w:pPr>
      <w:r>
        <w:rPr>
          <w:szCs w:val="20"/>
        </w:rPr>
        <w:t>l</w:t>
      </w:r>
      <w:r w:rsidRPr="00E82BAF">
        <w:rPr>
          <w:szCs w:val="20"/>
        </w:rPr>
        <w:t>ikely presence of migrants or seasonal workers</w:t>
      </w:r>
    </w:p>
    <w:p w14:paraId="1EC0C043" w14:textId="62B9CE80" w:rsidR="000976CA" w:rsidRPr="00E82BAF" w:rsidRDefault="000976CA" w:rsidP="000976CA">
      <w:pPr>
        <w:pStyle w:val="ListParagraph"/>
        <w:numPr>
          <w:ilvl w:val="0"/>
          <w:numId w:val="42"/>
        </w:numPr>
        <w:spacing w:line="260" w:lineRule="exact"/>
        <w:ind w:left="1170"/>
        <w:rPr>
          <w:szCs w:val="20"/>
        </w:rPr>
      </w:pPr>
      <w:r>
        <w:rPr>
          <w:szCs w:val="20"/>
        </w:rPr>
        <w:t>r</w:t>
      </w:r>
      <w:r w:rsidRPr="00E82BAF">
        <w:rPr>
          <w:szCs w:val="20"/>
        </w:rPr>
        <w:t xml:space="preserve">isks of </w:t>
      </w:r>
      <w:r>
        <w:rPr>
          <w:szCs w:val="20"/>
        </w:rPr>
        <w:t>labour</w:t>
      </w:r>
      <w:r w:rsidRPr="00E82BAF">
        <w:rPr>
          <w:szCs w:val="20"/>
        </w:rPr>
        <w:t xml:space="preserve"> influx or gender</w:t>
      </w:r>
      <w:r w:rsidR="00E56659">
        <w:rPr>
          <w:szCs w:val="20"/>
        </w:rPr>
        <w:t>-</w:t>
      </w:r>
      <w:r w:rsidRPr="00E82BAF">
        <w:rPr>
          <w:szCs w:val="20"/>
        </w:rPr>
        <w:t>based violence</w:t>
      </w:r>
    </w:p>
    <w:p w14:paraId="639C9890" w14:textId="77777777" w:rsidR="000976CA" w:rsidRPr="00E82BAF" w:rsidRDefault="000976CA" w:rsidP="000976CA">
      <w:pPr>
        <w:pStyle w:val="ListParagraph"/>
        <w:numPr>
          <w:ilvl w:val="0"/>
          <w:numId w:val="42"/>
        </w:numPr>
        <w:spacing w:line="260" w:lineRule="exact"/>
        <w:ind w:left="1170"/>
        <w:rPr>
          <w:szCs w:val="20"/>
        </w:rPr>
      </w:pPr>
      <w:r>
        <w:rPr>
          <w:szCs w:val="20"/>
        </w:rPr>
        <w:t>p</w:t>
      </w:r>
      <w:r w:rsidRPr="00E82BAF">
        <w:rPr>
          <w:szCs w:val="20"/>
        </w:rPr>
        <w:t>ossible accidents or emergencies, with reference to the sector or locality</w:t>
      </w:r>
    </w:p>
    <w:p w14:paraId="0995BE6F" w14:textId="77777777" w:rsidR="000976CA" w:rsidRPr="00197747" w:rsidRDefault="000976CA" w:rsidP="000976CA">
      <w:pPr>
        <w:pStyle w:val="ListParagraph"/>
        <w:numPr>
          <w:ilvl w:val="0"/>
          <w:numId w:val="42"/>
        </w:numPr>
        <w:spacing w:line="260" w:lineRule="exact"/>
        <w:ind w:left="1170"/>
        <w:rPr>
          <w:szCs w:val="20"/>
        </w:rPr>
      </w:pPr>
      <w:r>
        <w:rPr>
          <w:szCs w:val="20"/>
        </w:rPr>
        <w:t>g</w:t>
      </w:r>
      <w:r w:rsidRPr="00E82BAF">
        <w:rPr>
          <w:szCs w:val="20"/>
        </w:rPr>
        <w:t>eneral understanding and implementation of occupational health and safety requirements</w:t>
      </w:r>
    </w:p>
    <w:p w14:paraId="50B74DF0" w14:textId="77777777" w:rsidR="000976CA" w:rsidRDefault="000976CA" w:rsidP="000976CA">
      <w:pPr>
        <w:pStyle w:val="ListParagraph"/>
        <w:numPr>
          <w:ilvl w:val="0"/>
          <w:numId w:val="41"/>
        </w:numPr>
        <w:spacing w:line="260" w:lineRule="exact"/>
        <w:ind w:left="360"/>
        <w:jc w:val="left"/>
        <w:rPr>
          <w:szCs w:val="20"/>
        </w:rPr>
      </w:pPr>
      <w:r w:rsidRPr="00F87D33">
        <w:rPr>
          <w:b/>
          <w:bCs/>
          <w:szCs w:val="20"/>
        </w:rPr>
        <w:t xml:space="preserve">Brief </w:t>
      </w:r>
      <w:r w:rsidRPr="00F87D33">
        <w:rPr>
          <w:b/>
          <w:bCs/>
          <w:iCs/>
          <w:color w:val="000000"/>
          <w:szCs w:val="20"/>
        </w:rPr>
        <w:t>Overview</w:t>
      </w:r>
      <w:r w:rsidRPr="00F87D33">
        <w:rPr>
          <w:b/>
          <w:bCs/>
          <w:szCs w:val="20"/>
        </w:rPr>
        <w:t xml:space="preserve"> of Labour Legislation: Terms and Conditions: </w:t>
      </w:r>
      <w:r w:rsidRPr="00F87D33">
        <w:rPr>
          <w:szCs w:val="20"/>
        </w:rPr>
        <w:t xml:space="preserve">This section sets out the </w:t>
      </w:r>
      <w:r w:rsidRPr="00F87D33">
        <w:rPr>
          <w:bCs/>
          <w:i/>
          <w:szCs w:val="20"/>
        </w:rPr>
        <w:t>key aspects</w:t>
      </w:r>
      <w:r w:rsidRPr="00F87D33">
        <w:rPr>
          <w:szCs w:val="20"/>
        </w:rPr>
        <w:t xml:space="preserve"> of national labour legislation with regards to term and conditions of work, and how national legislation applies to different categories of workers identified in Section 1.).</w:t>
      </w:r>
    </w:p>
    <w:p w14:paraId="2335D112" w14:textId="77777777" w:rsidR="000976CA" w:rsidRPr="00E2088B" w:rsidRDefault="000976CA" w:rsidP="000976CA">
      <w:pPr>
        <w:pStyle w:val="ListParagraph"/>
        <w:numPr>
          <w:ilvl w:val="0"/>
          <w:numId w:val="41"/>
        </w:numPr>
        <w:spacing w:line="260" w:lineRule="exact"/>
        <w:ind w:left="360"/>
        <w:jc w:val="left"/>
        <w:rPr>
          <w:szCs w:val="20"/>
        </w:rPr>
      </w:pPr>
      <w:r w:rsidRPr="00F87D33">
        <w:rPr>
          <w:b/>
          <w:bCs/>
          <w:szCs w:val="20"/>
        </w:rPr>
        <w:t xml:space="preserve">Brief </w:t>
      </w:r>
      <w:r w:rsidRPr="00F87D33">
        <w:rPr>
          <w:b/>
          <w:bCs/>
          <w:iCs/>
          <w:color w:val="000000"/>
          <w:szCs w:val="20"/>
        </w:rPr>
        <w:t>Overview</w:t>
      </w:r>
      <w:r w:rsidRPr="00F87D33">
        <w:rPr>
          <w:b/>
          <w:bCs/>
          <w:szCs w:val="20"/>
        </w:rPr>
        <w:t xml:space="preserve"> of Labour Legislation: </w:t>
      </w:r>
      <w:r>
        <w:rPr>
          <w:b/>
          <w:bCs/>
          <w:szCs w:val="20"/>
        </w:rPr>
        <w:t>Occupational Safety and Safety</w:t>
      </w:r>
      <w:r w:rsidRPr="00F87D33">
        <w:rPr>
          <w:b/>
          <w:bCs/>
          <w:szCs w:val="20"/>
        </w:rPr>
        <w:t>:</w:t>
      </w:r>
      <w:r>
        <w:rPr>
          <w:b/>
          <w:bCs/>
          <w:szCs w:val="20"/>
        </w:rPr>
        <w:t xml:space="preserve"> </w:t>
      </w:r>
      <w:r w:rsidRPr="00E2088B">
        <w:rPr>
          <w:szCs w:val="20"/>
        </w:rPr>
        <w:t xml:space="preserve">This section sets out the </w:t>
      </w:r>
      <w:r w:rsidRPr="00E2088B">
        <w:rPr>
          <w:bCs/>
          <w:i/>
          <w:szCs w:val="20"/>
        </w:rPr>
        <w:t>key aspects</w:t>
      </w:r>
      <w:r w:rsidRPr="00E2088B">
        <w:rPr>
          <w:szCs w:val="20"/>
        </w:rPr>
        <w:t xml:space="preserve"> of the national labour legislation with regards to occupational health and safety, and how national legislation applies to the different categories of workers identified in Section 1. </w:t>
      </w:r>
    </w:p>
    <w:p w14:paraId="62A2740E" w14:textId="77777777" w:rsidR="000976CA" w:rsidRPr="00E2088B" w:rsidRDefault="000976CA" w:rsidP="000976CA">
      <w:pPr>
        <w:pStyle w:val="ListParagraph"/>
        <w:numPr>
          <w:ilvl w:val="0"/>
          <w:numId w:val="41"/>
        </w:numPr>
        <w:spacing w:line="260" w:lineRule="exact"/>
        <w:ind w:left="360"/>
        <w:jc w:val="left"/>
        <w:rPr>
          <w:szCs w:val="20"/>
        </w:rPr>
      </w:pPr>
      <w:r w:rsidRPr="00E2088B">
        <w:rPr>
          <w:b/>
          <w:bCs/>
          <w:szCs w:val="20"/>
        </w:rPr>
        <w:t xml:space="preserve">Responsible Staff: </w:t>
      </w:r>
      <w:r w:rsidRPr="00E2088B">
        <w:rPr>
          <w:szCs w:val="20"/>
        </w:rPr>
        <w:t xml:space="preserve">This section identifies </w:t>
      </w:r>
      <w:r w:rsidRPr="00E2088B">
        <w:rPr>
          <w:color w:val="000000"/>
          <w:szCs w:val="20"/>
        </w:rPr>
        <w:t>the functions and/or individuals within the project responsible for (as relevant):</w:t>
      </w:r>
      <w:r w:rsidRPr="00E2088B">
        <w:rPr>
          <w:color w:val="000000"/>
          <w:szCs w:val="20"/>
        </w:rPr>
        <w:tab/>
      </w:r>
    </w:p>
    <w:p w14:paraId="0D4B3918" w14:textId="77777777" w:rsidR="000976CA" w:rsidRPr="00E2088B" w:rsidRDefault="000976CA" w:rsidP="000976CA">
      <w:pPr>
        <w:pStyle w:val="ListParagraph"/>
        <w:numPr>
          <w:ilvl w:val="0"/>
          <w:numId w:val="42"/>
        </w:numPr>
        <w:spacing w:line="260" w:lineRule="exact"/>
        <w:ind w:left="810"/>
        <w:rPr>
          <w:szCs w:val="20"/>
        </w:rPr>
      </w:pPr>
      <w:r w:rsidRPr="00E2088B">
        <w:rPr>
          <w:szCs w:val="20"/>
        </w:rPr>
        <w:t>engagement and management of project workers</w:t>
      </w:r>
    </w:p>
    <w:p w14:paraId="19DA18CD" w14:textId="77777777" w:rsidR="000976CA" w:rsidRPr="00E2088B" w:rsidRDefault="000976CA" w:rsidP="000976CA">
      <w:pPr>
        <w:pStyle w:val="ListParagraph"/>
        <w:numPr>
          <w:ilvl w:val="0"/>
          <w:numId w:val="42"/>
        </w:numPr>
        <w:spacing w:line="260" w:lineRule="exact"/>
        <w:ind w:left="810"/>
        <w:rPr>
          <w:szCs w:val="20"/>
        </w:rPr>
      </w:pPr>
      <w:r w:rsidRPr="00E2088B">
        <w:rPr>
          <w:szCs w:val="20"/>
        </w:rPr>
        <w:t>engagement and management of contractors/subcontractors</w:t>
      </w:r>
    </w:p>
    <w:p w14:paraId="5EF62419" w14:textId="77777777" w:rsidR="000976CA" w:rsidRPr="00E2088B" w:rsidRDefault="000976CA" w:rsidP="000976CA">
      <w:pPr>
        <w:pStyle w:val="ListParagraph"/>
        <w:numPr>
          <w:ilvl w:val="0"/>
          <w:numId w:val="42"/>
        </w:numPr>
        <w:spacing w:line="260" w:lineRule="exact"/>
        <w:ind w:left="810"/>
        <w:rPr>
          <w:szCs w:val="20"/>
        </w:rPr>
      </w:pPr>
      <w:r w:rsidRPr="00E2088B">
        <w:rPr>
          <w:szCs w:val="20"/>
        </w:rPr>
        <w:t>occupational health and safety (</w:t>
      </w:r>
      <w:proofErr w:type="gramStart"/>
      <w:r w:rsidRPr="00E2088B">
        <w:rPr>
          <w:szCs w:val="20"/>
        </w:rPr>
        <w:t>OHS</w:t>
      </w:r>
      <w:proofErr w:type="gramEnd"/>
      <w:r w:rsidRPr="00E2088B">
        <w:rPr>
          <w:szCs w:val="20"/>
        </w:rPr>
        <w:t>)</w:t>
      </w:r>
    </w:p>
    <w:p w14:paraId="23D3B2B1" w14:textId="77777777" w:rsidR="000976CA" w:rsidRPr="00E2088B" w:rsidRDefault="000976CA" w:rsidP="000976CA">
      <w:pPr>
        <w:pStyle w:val="ListParagraph"/>
        <w:numPr>
          <w:ilvl w:val="0"/>
          <w:numId w:val="42"/>
        </w:numPr>
        <w:spacing w:line="260" w:lineRule="exact"/>
        <w:ind w:left="810"/>
        <w:rPr>
          <w:szCs w:val="20"/>
        </w:rPr>
      </w:pPr>
      <w:r w:rsidRPr="00E2088B">
        <w:rPr>
          <w:szCs w:val="20"/>
        </w:rPr>
        <w:t>training of workers</w:t>
      </w:r>
    </w:p>
    <w:p w14:paraId="0B7B0174" w14:textId="77777777" w:rsidR="000976CA" w:rsidRPr="00E2088B" w:rsidRDefault="000976CA" w:rsidP="000976CA">
      <w:pPr>
        <w:pStyle w:val="ListParagraph"/>
        <w:numPr>
          <w:ilvl w:val="0"/>
          <w:numId w:val="42"/>
        </w:numPr>
        <w:spacing w:line="260" w:lineRule="exact"/>
        <w:ind w:left="810"/>
        <w:rPr>
          <w:szCs w:val="20"/>
        </w:rPr>
      </w:pPr>
      <w:r w:rsidRPr="00E2088B">
        <w:rPr>
          <w:szCs w:val="20"/>
        </w:rPr>
        <w:t>addressing worker grievances</w:t>
      </w:r>
    </w:p>
    <w:p w14:paraId="08F367C1" w14:textId="77777777" w:rsidR="000976CA" w:rsidRDefault="000976CA" w:rsidP="000976CA">
      <w:pPr>
        <w:rPr>
          <w:color w:val="000000"/>
          <w:szCs w:val="20"/>
        </w:rPr>
      </w:pPr>
      <w:r w:rsidRPr="00E82BAF">
        <w:rPr>
          <w:color w:val="000000"/>
          <w:szCs w:val="20"/>
        </w:rPr>
        <w:t xml:space="preserve">In some cases, this section will identify functions and/or individuals from contractors or subcontractors, particularly in projects where project workers are employed by third parties. </w:t>
      </w:r>
    </w:p>
    <w:p w14:paraId="7CE01BD2" w14:textId="77777777" w:rsidR="000976CA" w:rsidRPr="00E2088B" w:rsidRDefault="000976CA" w:rsidP="000976CA">
      <w:pPr>
        <w:pStyle w:val="ListParagraph"/>
        <w:numPr>
          <w:ilvl w:val="0"/>
          <w:numId w:val="41"/>
        </w:numPr>
        <w:spacing w:line="260" w:lineRule="exact"/>
        <w:ind w:left="360"/>
        <w:jc w:val="left"/>
        <w:rPr>
          <w:color w:val="000000"/>
          <w:szCs w:val="20"/>
        </w:rPr>
      </w:pPr>
      <w:r w:rsidRPr="00E2088B">
        <w:rPr>
          <w:b/>
          <w:bCs/>
          <w:color w:val="000000"/>
          <w:szCs w:val="20"/>
        </w:rPr>
        <w:t xml:space="preserve">Policies and </w:t>
      </w:r>
      <w:r w:rsidRPr="00E2088B">
        <w:rPr>
          <w:b/>
          <w:bCs/>
          <w:szCs w:val="20"/>
        </w:rPr>
        <w:t xml:space="preserve">Procedures: </w:t>
      </w:r>
      <w:r w:rsidRPr="003D588F">
        <w:rPr>
          <w:rFonts w:cs="Calibri"/>
          <w:szCs w:val="20"/>
        </w:rPr>
        <w:t>This section sets out information on OSH, reporting and monitoring and other general project policies. Where relevant, it identifies applicable national legislation.</w:t>
      </w:r>
    </w:p>
    <w:p w14:paraId="3C9836C8" w14:textId="77777777" w:rsidR="000976CA" w:rsidRDefault="000976CA" w:rsidP="000976CA">
      <w:pPr>
        <w:pStyle w:val="ListParagraph"/>
        <w:ind w:left="360"/>
        <w:rPr>
          <w:szCs w:val="20"/>
        </w:rPr>
      </w:pPr>
      <w:r w:rsidRPr="00E2088B">
        <w:rPr>
          <w:szCs w:val="20"/>
        </w:rPr>
        <w:t>Where significant safety risks have been identified as part of Section 2, this section outlines how these will be addressed. Where the risk of forced labour has been identified, this section outlines how these will be addressed</w:t>
      </w:r>
      <w:r>
        <w:rPr>
          <w:szCs w:val="20"/>
        </w:rPr>
        <w:t xml:space="preserve">. </w:t>
      </w:r>
      <w:r w:rsidRPr="00E2088B">
        <w:rPr>
          <w:szCs w:val="20"/>
        </w:rPr>
        <w:t>Where risks of child labour have been identified, these are addressed in Section 7.</w:t>
      </w:r>
    </w:p>
    <w:p w14:paraId="367A7B49" w14:textId="77777777" w:rsidR="000976CA" w:rsidRPr="00E2088B" w:rsidRDefault="000976CA" w:rsidP="000976CA">
      <w:pPr>
        <w:pStyle w:val="ListParagraph"/>
        <w:numPr>
          <w:ilvl w:val="0"/>
          <w:numId w:val="41"/>
        </w:numPr>
        <w:spacing w:line="260" w:lineRule="exact"/>
        <w:ind w:left="360"/>
        <w:jc w:val="left"/>
        <w:rPr>
          <w:color w:val="000000"/>
          <w:szCs w:val="20"/>
        </w:rPr>
      </w:pPr>
      <w:r w:rsidRPr="00E2088B">
        <w:rPr>
          <w:b/>
          <w:bCs/>
          <w:color w:val="000000"/>
          <w:szCs w:val="20"/>
        </w:rPr>
        <w:t xml:space="preserve">Age of </w:t>
      </w:r>
      <w:r w:rsidRPr="003D588F">
        <w:rPr>
          <w:rFonts w:cs="Calibri"/>
          <w:b/>
          <w:bCs/>
          <w:szCs w:val="20"/>
        </w:rPr>
        <w:t xml:space="preserve">Employment: </w:t>
      </w:r>
      <w:r w:rsidRPr="00E2088B">
        <w:rPr>
          <w:szCs w:val="20"/>
        </w:rPr>
        <w:t>This section sets out details regarding</w:t>
      </w:r>
      <w:r>
        <w:rPr>
          <w:szCs w:val="20"/>
        </w:rPr>
        <w:t>:</w:t>
      </w:r>
    </w:p>
    <w:p w14:paraId="13D87730" w14:textId="77777777" w:rsidR="000976CA" w:rsidRPr="00E82BAF" w:rsidRDefault="000976CA" w:rsidP="000976CA">
      <w:pPr>
        <w:pStyle w:val="ListParagraph"/>
        <w:numPr>
          <w:ilvl w:val="0"/>
          <w:numId w:val="42"/>
        </w:numPr>
        <w:spacing w:line="260" w:lineRule="exact"/>
        <w:ind w:left="810"/>
        <w:rPr>
          <w:szCs w:val="20"/>
        </w:rPr>
      </w:pPr>
      <w:r>
        <w:rPr>
          <w:szCs w:val="20"/>
        </w:rPr>
        <w:t>t</w:t>
      </w:r>
      <w:r w:rsidRPr="00E82BAF">
        <w:rPr>
          <w:szCs w:val="20"/>
        </w:rPr>
        <w:t>he minimum age for employment on the project</w:t>
      </w:r>
    </w:p>
    <w:p w14:paraId="726133D7" w14:textId="77777777" w:rsidR="000976CA" w:rsidRPr="00E82BAF" w:rsidRDefault="000976CA" w:rsidP="000976CA">
      <w:pPr>
        <w:pStyle w:val="ListParagraph"/>
        <w:numPr>
          <w:ilvl w:val="0"/>
          <w:numId w:val="42"/>
        </w:numPr>
        <w:spacing w:line="260" w:lineRule="exact"/>
        <w:ind w:left="810"/>
        <w:rPr>
          <w:szCs w:val="20"/>
        </w:rPr>
      </w:pPr>
      <w:r>
        <w:rPr>
          <w:szCs w:val="20"/>
        </w:rPr>
        <w:t>t</w:t>
      </w:r>
      <w:r w:rsidRPr="00E82BAF">
        <w:rPr>
          <w:szCs w:val="20"/>
        </w:rPr>
        <w:t xml:space="preserve">he process that will be followed to verify the age of project workers </w:t>
      </w:r>
    </w:p>
    <w:p w14:paraId="160EC348" w14:textId="77777777" w:rsidR="000976CA" w:rsidRPr="00E82BAF" w:rsidRDefault="000976CA" w:rsidP="000976CA">
      <w:pPr>
        <w:pStyle w:val="ListParagraph"/>
        <w:numPr>
          <w:ilvl w:val="0"/>
          <w:numId w:val="42"/>
        </w:numPr>
        <w:spacing w:line="260" w:lineRule="exact"/>
        <w:ind w:left="810"/>
        <w:rPr>
          <w:szCs w:val="20"/>
        </w:rPr>
      </w:pPr>
      <w:r>
        <w:rPr>
          <w:szCs w:val="20"/>
        </w:rPr>
        <w:t>t</w:t>
      </w:r>
      <w:r w:rsidRPr="00E82BAF">
        <w:rPr>
          <w:szCs w:val="20"/>
        </w:rPr>
        <w:t>he procedure that will be followed if underage workers are found working on the project</w:t>
      </w:r>
    </w:p>
    <w:p w14:paraId="4F666484" w14:textId="77777777" w:rsidR="000976CA" w:rsidRPr="00197747" w:rsidRDefault="000976CA" w:rsidP="000976CA">
      <w:pPr>
        <w:pStyle w:val="ListParagraph"/>
        <w:numPr>
          <w:ilvl w:val="0"/>
          <w:numId w:val="42"/>
        </w:numPr>
        <w:spacing w:line="260" w:lineRule="exact"/>
        <w:ind w:left="810"/>
        <w:rPr>
          <w:szCs w:val="20"/>
        </w:rPr>
      </w:pPr>
      <w:r>
        <w:rPr>
          <w:szCs w:val="20"/>
        </w:rPr>
        <w:t>t</w:t>
      </w:r>
      <w:r w:rsidRPr="00E82BAF">
        <w:rPr>
          <w:szCs w:val="20"/>
        </w:rPr>
        <w:t>he procedure for conducting risk assessments for workers aged between the minimum age and 18</w:t>
      </w:r>
    </w:p>
    <w:p w14:paraId="262B011C" w14:textId="77777777" w:rsidR="000976CA" w:rsidRPr="00E2088B" w:rsidRDefault="000976CA" w:rsidP="000976CA">
      <w:pPr>
        <w:pStyle w:val="ListParagraph"/>
        <w:numPr>
          <w:ilvl w:val="0"/>
          <w:numId w:val="41"/>
        </w:numPr>
        <w:spacing w:line="260" w:lineRule="exact"/>
        <w:ind w:left="360"/>
        <w:jc w:val="left"/>
        <w:rPr>
          <w:szCs w:val="20"/>
        </w:rPr>
      </w:pPr>
      <w:r w:rsidRPr="00E2088B">
        <w:rPr>
          <w:b/>
          <w:bCs/>
          <w:szCs w:val="20"/>
        </w:rPr>
        <w:t>Terms and Conditions:</w:t>
      </w:r>
      <w:r>
        <w:rPr>
          <w:szCs w:val="20"/>
        </w:rPr>
        <w:t xml:space="preserve"> </w:t>
      </w:r>
      <w:r w:rsidRPr="00E2088B">
        <w:rPr>
          <w:szCs w:val="20"/>
        </w:rPr>
        <w:t>This section sets out details regarding:</w:t>
      </w:r>
    </w:p>
    <w:p w14:paraId="5AD64AE3" w14:textId="77777777" w:rsidR="000976CA" w:rsidRPr="00E82BAF" w:rsidRDefault="000976CA" w:rsidP="000976CA">
      <w:pPr>
        <w:pStyle w:val="ListParagraph"/>
        <w:numPr>
          <w:ilvl w:val="0"/>
          <w:numId w:val="42"/>
        </w:numPr>
        <w:spacing w:line="260" w:lineRule="exact"/>
        <w:ind w:left="810"/>
        <w:rPr>
          <w:szCs w:val="20"/>
        </w:rPr>
      </w:pPr>
      <w:r>
        <w:rPr>
          <w:szCs w:val="20"/>
        </w:rPr>
        <w:t>s</w:t>
      </w:r>
      <w:r w:rsidRPr="00E82BAF">
        <w:rPr>
          <w:szCs w:val="20"/>
        </w:rPr>
        <w:t xml:space="preserve">pecific wages, hours and other provisions that apply to the project </w:t>
      </w:r>
    </w:p>
    <w:p w14:paraId="6A03DDC0" w14:textId="77777777" w:rsidR="000976CA" w:rsidRPr="00E82BAF" w:rsidRDefault="000976CA" w:rsidP="000976CA">
      <w:pPr>
        <w:pStyle w:val="ListParagraph"/>
        <w:numPr>
          <w:ilvl w:val="0"/>
          <w:numId w:val="42"/>
        </w:numPr>
        <w:spacing w:line="260" w:lineRule="exact"/>
        <w:ind w:left="810"/>
        <w:rPr>
          <w:szCs w:val="20"/>
        </w:rPr>
      </w:pPr>
      <w:r>
        <w:rPr>
          <w:szCs w:val="20"/>
        </w:rPr>
        <w:t>m</w:t>
      </w:r>
      <w:r w:rsidRPr="00E82BAF">
        <w:rPr>
          <w:szCs w:val="20"/>
        </w:rPr>
        <w:t>aximum number of hours that can be worked on the project</w:t>
      </w:r>
    </w:p>
    <w:p w14:paraId="315EEF2F" w14:textId="77777777" w:rsidR="000976CA" w:rsidRPr="00E82BAF" w:rsidRDefault="000976CA" w:rsidP="000976CA">
      <w:pPr>
        <w:pStyle w:val="ListParagraph"/>
        <w:numPr>
          <w:ilvl w:val="0"/>
          <w:numId w:val="42"/>
        </w:numPr>
        <w:spacing w:line="260" w:lineRule="exact"/>
        <w:ind w:left="810"/>
        <w:rPr>
          <w:szCs w:val="20"/>
        </w:rPr>
      </w:pPr>
      <w:r>
        <w:rPr>
          <w:szCs w:val="20"/>
        </w:rPr>
        <w:t>a</w:t>
      </w:r>
      <w:r w:rsidRPr="00E82BAF">
        <w:rPr>
          <w:szCs w:val="20"/>
        </w:rPr>
        <w:t xml:space="preserve">ny collective agreements that apply to the project. When relevant, provide a list of agreements and describe key features and provisions </w:t>
      </w:r>
    </w:p>
    <w:p w14:paraId="220AAF26" w14:textId="77777777" w:rsidR="000976CA" w:rsidRDefault="000976CA" w:rsidP="000976CA">
      <w:pPr>
        <w:pStyle w:val="ListParagraph"/>
        <w:numPr>
          <w:ilvl w:val="0"/>
          <w:numId w:val="42"/>
        </w:numPr>
        <w:spacing w:line="260" w:lineRule="exact"/>
        <w:ind w:left="810"/>
        <w:rPr>
          <w:szCs w:val="20"/>
        </w:rPr>
      </w:pPr>
      <w:r>
        <w:rPr>
          <w:szCs w:val="20"/>
        </w:rPr>
        <w:t>o</w:t>
      </w:r>
      <w:r w:rsidRPr="00E82BAF">
        <w:rPr>
          <w:szCs w:val="20"/>
        </w:rPr>
        <w:t xml:space="preserve">ther specific terms and conditions </w:t>
      </w:r>
    </w:p>
    <w:p w14:paraId="0EEE0CD0" w14:textId="0D33F712" w:rsidR="000976CA" w:rsidRDefault="000976CA" w:rsidP="000976CA">
      <w:pPr>
        <w:pStyle w:val="ListParagraph"/>
        <w:numPr>
          <w:ilvl w:val="0"/>
          <w:numId w:val="41"/>
        </w:numPr>
        <w:spacing w:line="260" w:lineRule="exact"/>
        <w:ind w:left="360"/>
        <w:jc w:val="left"/>
        <w:rPr>
          <w:szCs w:val="20"/>
        </w:rPr>
      </w:pPr>
      <w:r w:rsidRPr="00E2088B">
        <w:rPr>
          <w:b/>
          <w:bCs/>
          <w:szCs w:val="20"/>
        </w:rPr>
        <w:t>Grievance Mechanism:</w:t>
      </w:r>
      <w:r>
        <w:rPr>
          <w:szCs w:val="20"/>
        </w:rPr>
        <w:t xml:space="preserve"> </w:t>
      </w:r>
      <w:r w:rsidRPr="00E2088B">
        <w:rPr>
          <w:szCs w:val="20"/>
        </w:rPr>
        <w:t>This section sets out details of the grievance mechanism that will be provided for direct and contracted workers and describes the way in which these workers will be made aware of the mechanism.</w:t>
      </w:r>
    </w:p>
    <w:p w14:paraId="5D6E5064" w14:textId="77777777" w:rsidR="000976CA" w:rsidRPr="00E2088B" w:rsidRDefault="000976CA" w:rsidP="000976CA">
      <w:pPr>
        <w:pStyle w:val="ListParagraph"/>
        <w:ind w:left="360"/>
        <w:rPr>
          <w:szCs w:val="20"/>
        </w:rPr>
      </w:pPr>
      <w:r w:rsidRPr="00E2088B">
        <w:rPr>
          <w:szCs w:val="20"/>
        </w:rPr>
        <w:lastRenderedPageBreak/>
        <w:t xml:space="preserve">Where community workers are engaged in the project, details of the grievance mechanism for these workers </w:t>
      </w:r>
      <w:proofErr w:type="gramStart"/>
      <w:r w:rsidRPr="00E2088B">
        <w:rPr>
          <w:szCs w:val="20"/>
        </w:rPr>
        <w:t>is</w:t>
      </w:r>
      <w:proofErr w:type="gramEnd"/>
      <w:r w:rsidRPr="00E2088B">
        <w:rPr>
          <w:szCs w:val="20"/>
        </w:rPr>
        <w:t xml:space="preserve"> set out in Section 11.</w:t>
      </w:r>
    </w:p>
    <w:p w14:paraId="6C0EFB72" w14:textId="77777777" w:rsidR="000976CA" w:rsidRPr="00E2088B" w:rsidRDefault="000976CA" w:rsidP="000976CA">
      <w:pPr>
        <w:pStyle w:val="ListParagraph"/>
        <w:numPr>
          <w:ilvl w:val="0"/>
          <w:numId w:val="41"/>
        </w:numPr>
        <w:spacing w:line="260" w:lineRule="exact"/>
        <w:ind w:left="360"/>
        <w:jc w:val="left"/>
        <w:rPr>
          <w:szCs w:val="20"/>
        </w:rPr>
      </w:pPr>
      <w:r w:rsidRPr="00E2088B">
        <w:rPr>
          <w:b/>
          <w:bCs/>
          <w:szCs w:val="20"/>
        </w:rPr>
        <w:t>Contractor Management:</w:t>
      </w:r>
      <w:r>
        <w:rPr>
          <w:szCs w:val="20"/>
        </w:rPr>
        <w:t xml:space="preserve"> </w:t>
      </w:r>
      <w:r w:rsidRPr="00E2088B">
        <w:rPr>
          <w:szCs w:val="20"/>
        </w:rPr>
        <w:t>This section sets out details regarding</w:t>
      </w:r>
      <w:r>
        <w:rPr>
          <w:szCs w:val="20"/>
        </w:rPr>
        <w:t>:</w:t>
      </w:r>
    </w:p>
    <w:p w14:paraId="15D12C91" w14:textId="77777777" w:rsidR="000976CA" w:rsidRPr="00E82BAF" w:rsidRDefault="000976CA" w:rsidP="000976CA">
      <w:pPr>
        <w:pStyle w:val="ListParagraph"/>
        <w:numPr>
          <w:ilvl w:val="0"/>
          <w:numId w:val="42"/>
        </w:numPr>
        <w:spacing w:line="260" w:lineRule="exact"/>
        <w:ind w:left="810"/>
        <w:rPr>
          <w:szCs w:val="20"/>
        </w:rPr>
      </w:pPr>
      <w:r>
        <w:rPr>
          <w:szCs w:val="20"/>
        </w:rPr>
        <w:t>t</w:t>
      </w:r>
      <w:r w:rsidRPr="00E82BAF">
        <w:rPr>
          <w:szCs w:val="20"/>
        </w:rPr>
        <w:t>he selection process for contractors</w:t>
      </w:r>
      <w:r>
        <w:rPr>
          <w:szCs w:val="20"/>
        </w:rPr>
        <w:t>/third parties</w:t>
      </w:r>
      <w:r w:rsidRPr="00E82BAF">
        <w:rPr>
          <w:szCs w:val="20"/>
        </w:rPr>
        <w:t xml:space="preserve"> </w:t>
      </w:r>
    </w:p>
    <w:p w14:paraId="14A77CBD" w14:textId="77777777" w:rsidR="000976CA" w:rsidRDefault="000976CA" w:rsidP="000976CA">
      <w:pPr>
        <w:pStyle w:val="ListParagraph"/>
        <w:numPr>
          <w:ilvl w:val="0"/>
          <w:numId w:val="42"/>
        </w:numPr>
        <w:spacing w:line="260" w:lineRule="exact"/>
        <w:ind w:left="810"/>
        <w:rPr>
          <w:szCs w:val="20"/>
        </w:rPr>
      </w:pPr>
      <w:r>
        <w:rPr>
          <w:szCs w:val="20"/>
        </w:rPr>
        <w:t>t</w:t>
      </w:r>
      <w:r w:rsidRPr="00E82BAF">
        <w:rPr>
          <w:szCs w:val="20"/>
        </w:rPr>
        <w:t xml:space="preserve">he contractual provisions that will </w:t>
      </w:r>
      <w:r>
        <w:rPr>
          <w:szCs w:val="20"/>
        </w:rPr>
        <w:t xml:space="preserve">be </w:t>
      </w:r>
      <w:r w:rsidRPr="00E82BAF">
        <w:rPr>
          <w:szCs w:val="20"/>
        </w:rPr>
        <w:t xml:space="preserve">put in place relating to contractors for the management of </w:t>
      </w:r>
      <w:r>
        <w:rPr>
          <w:szCs w:val="20"/>
        </w:rPr>
        <w:t>labour</w:t>
      </w:r>
      <w:r w:rsidRPr="00E82BAF">
        <w:rPr>
          <w:szCs w:val="20"/>
        </w:rPr>
        <w:t xml:space="preserve"> issues, including </w:t>
      </w:r>
      <w:r>
        <w:rPr>
          <w:szCs w:val="20"/>
        </w:rPr>
        <w:t>OSH</w:t>
      </w:r>
    </w:p>
    <w:p w14:paraId="78690BC4" w14:textId="77777777" w:rsidR="000976CA" w:rsidRDefault="000976CA" w:rsidP="000976CA">
      <w:pPr>
        <w:pStyle w:val="ListParagraph"/>
        <w:numPr>
          <w:ilvl w:val="0"/>
          <w:numId w:val="42"/>
        </w:numPr>
        <w:spacing w:line="260" w:lineRule="exact"/>
        <w:ind w:left="810"/>
        <w:rPr>
          <w:szCs w:val="20"/>
        </w:rPr>
      </w:pPr>
      <w:r w:rsidRPr="00197747">
        <w:rPr>
          <w:szCs w:val="20"/>
        </w:rPr>
        <w:t>the procedure for managing and monitoring the performance of contractors</w:t>
      </w:r>
    </w:p>
    <w:p w14:paraId="70F54560" w14:textId="1D9A169A" w:rsidR="000976CA" w:rsidRPr="00D44DCA" w:rsidRDefault="000976CA" w:rsidP="000976CA">
      <w:pPr>
        <w:pStyle w:val="ListParagraph"/>
        <w:numPr>
          <w:ilvl w:val="0"/>
          <w:numId w:val="41"/>
        </w:numPr>
        <w:spacing w:line="260" w:lineRule="exact"/>
        <w:ind w:left="360"/>
        <w:jc w:val="left"/>
        <w:rPr>
          <w:szCs w:val="20"/>
        </w:rPr>
      </w:pPr>
      <w:r w:rsidRPr="00D44DCA">
        <w:rPr>
          <w:b/>
          <w:bCs/>
          <w:szCs w:val="20"/>
        </w:rPr>
        <w:t xml:space="preserve">Community Workers: </w:t>
      </w:r>
      <w:r w:rsidRPr="00D44DCA">
        <w:rPr>
          <w:szCs w:val="20"/>
        </w:rPr>
        <w:t>Where community workers will be involved in the project, this section sets out details of the terms and conditions of work and identifies measures to check that community labour is provided on a voluntary basis. It also provides details of the type of agreements that are required and how they will be documented</w:t>
      </w:r>
      <w:r>
        <w:rPr>
          <w:szCs w:val="20"/>
        </w:rPr>
        <w:t xml:space="preserve">. </w:t>
      </w:r>
      <w:r w:rsidRPr="003D588F">
        <w:rPr>
          <w:rFonts w:cs="Calibri"/>
          <w:szCs w:val="20"/>
        </w:rPr>
        <w:t xml:space="preserve">This section sets out details of the grievance mechanism for community workers and the roles and responsibilities for monitoring such workers. </w:t>
      </w:r>
    </w:p>
    <w:p w14:paraId="0C7378BA" w14:textId="77777777" w:rsidR="000976CA" w:rsidRPr="003D588F" w:rsidRDefault="000976CA" w:rsidP="000976CA">
      <w:pPr>
        <w:pStyle w:val="ListParagraph"/>
        <w:numPr>
          <w:ilvl w:val="0"/>
          <w:numId w:val="41"/>
        </w:numPr>
        <w:spacing w:line="260" w:lineRule="exact"/>
        <w:ind w:left="360"/>
        <w:jc w:val="left"/>
        <w:rPr>
          <w:rFonts w:cs="Calibri"/>
          <w:szCs w:val="20"/>
        </w:rPr>
      </w:pPr>
      <w:r w:rsidRPr="003D588F">
        <w:rPr>
          <w:rFonts w:cs="Calibri"/>
          <w:b/>
          <w:bCs/>
          <w:szCs w:val="20"/>
        </w:rPr>
        <w:t xml:space="preserve">Primary Supply </w:t>
      </w:r>
      <w:r w:rsidRPr="00197747">
        <w:rPr>
          <w:b/>
          <w:bCs/>
          <w:szCs w:val="20"/>
        </w:rPr>
        <w:t>Workers</w:t>
      </w:r>
      <w:r w:rsidRPr="003D588F">
        <w:rPr>
          <w:rFonts w:cs="Calibri"/>
          <w:b/>
          <w:bCs/>
          <w:szCs w:val="20"/>
        </w:rPr>
        <w:t>:</w:t>
      </w:r>
      <w:r w:rsidRPr="003D588F">
        <w:rPr>
          <w:rFonts w:cs="Calibri"/>
          <w:szCs w:val="20"/>
        </w:rPr>
        <w:t xml:space="preserve"> </w:t>
      </w:r>
      <w:r w:rsidRPr="00E82BAF">
        <w:rPr>
          <w:szCs w:val="20"/>
        </w:rPr>
        <w:t xml:space="preserve">Where a significant risk of child or forced </w:t>
      </w:r>
      <w:r>
        <w:rPr>
          <w:szCs w:val="20"/>
        </w:rPr>
        <w:t>labour</w:t>
      </w:r>
      <w:r w:rsidRPr="00E82BAF">
        <w:rPr>
          <w:szCs w:val="20"/>
        </w:rPr>
        <w:t xml:space="preserve"> or serious safety issues in relation to primary suppliers has been identified, this section sets out the procedure for monitoring and reporting on primary supply workers.</w:t>
      </w:r>
    </w:p>
    <w:p w14:paraId="44EB2CFF" w14:textId="77777777" w:rsidR="000976CA" w:rsidRPr="00E82BAF" w:rsidRDefault="000976CA" w:rsidP="000976CA">
      <w:pPr>
        <w:rPr>
          <w:szCs w:val="20"/>
        </w:rPr>
      </w:pPr>
    </w:p>
    <w:p w14:paraId="0D29F9AC" w14:textId="77777777" w:rsidR="000976CA" w:rsidRPr="00E82BAF" w:rsidRDefault="000976CA" w:rsidP="000976CA">
      <w:pPr>
        <w:rPr>
          <w:szCs w:val="20"/>
        </w:rPr>
      </w:pPr>
    </w:p>
    <w:p w14:paraId="1E5BF675" w14:textId="77777777" w:rsidR="000976CA" w:rsidRPr="00A52C93" w:rsidRDefault="000976CA" w:rsidP="000976CA"/>
    <w:p w14:paraId="490A981B" w14:textId="0D2420AE" w:rsidR="000976CA" w:rsidRDefault="000976CA" w:rsidP="000976CA">
      <w:pPr>
        <w:spacing w:before="0" w:after="0"/>
        <w:rPr>
          <w:rFonts w:cs="Calibri"/>
          <w:sz w:val="22"/>
        </w:rPr>
      </w:pPr>
    </w:p>
    <w:p w14:paraId="3E06735A" w14:textId="188409C2" w:rsidR="009410CE" w:rsidRDefault="009410CE" w:rsidP="000976CA">
      <w:pPr>
        <w:spacing w:before="0" w:after="0"/>
        <w:rPr>
          <w:rFonts w:cs="Calibri"/>
          <w:sz w:val="22"/>
        </w:rPr>
      </w:pPr>
    </w:p>
    <w:p w14:paraId="1C770496" w14:textId="0DE0F4F6" w:rsidR="009410CE" w:rsidRDefault="009410CE" w:rsidP="000976CA">
      <w:pPr>
        <w:spacing w:before="0" w:after="0"/>
        <w:rPr>
          <w:rFonts w:cs="Calibri"/>
          <w:sz w:val="22"/>
        </w:rPr>
      </w:pPr>
    </w:p>
    <w:p w14:paraId="0A223B24" w14:textId="6233751D" w:rsidR="009410CE" w:rsidRDefault="009410CE" w:rsidP="000976CA">
      <w:pPr>
        <w:spacing w:before="0" w:after="0"/>
        <w:rPr>
          <w:rFonts w:cs="Calibri"/>
          <w:sz w:val="22"/>
        </w:rPr>
      </w:pPr>
    </w:p>
    <w:p w14:paraId="6B20BE50" w14:textId="23EEAD39" w:rsidR="009410CE" w:rsidRDefault="009410CE" w:rsidP="000976CA">
      <w:pPr>
        <w:spacing w:before="0" w:after="0"/>
        <w:rPr>
          <w:rFonts w:cs="Calibri"/>
          <w:sz w:val="22"/>
        </w:rPr>
      </w:pPr>
    </w:p>
    <w:p w14:paraId="1678232D" w14:textId="4C6BC09F" w:rsidR="009410CE" w:rsidRDefault="009410CE" w:rsidP="000976CA">
      <w:pPr>
        <w:spacing w:before="0" w:after="0"/>
        <w:rPr>
          <w:rFonts w:cs="Calibri"/>
          <w:sz w:val="22"/>
        </w:rPr>
      </w:pPr>
    </w:p>
    <w:p w14:paraId="5CC9746B" w14:textId="05594D11" w:rsidR="009410CE" w:rsidRDefault="009410CE" w:rsidP="000976CA">
      <w:pPr>
        <w:spacing w:before="0" w:after="0"/>
        <w:rPr>
          <w:rFonts w:cs="Calibri"/>
          <w:sz w:val="22"/>
        </w:rPr>
      </w:pPr>
    </w:p>
    <w:p w14:paraId="4DEE2A57" w14:textId="58B7207B" w:rsidR="009410CE" w:rsidRDefault="009410CE" w:rsidP="000976CA">
      <w:pPr>
        <w:spacing w:before="0" w:after="0"/>
        <w:rPr>
          <w:rFonts w:cs="Calibri"/>
          <w:sz w:val="22"/>
        </w:rPr>
      </w:pPr>
    </w:p>
    <w:p w14:paraId="0465E30F" w14:textId="32618CE4" w:rsidR="009410CE" w:rsidRDefault="009410CE" w:rsidP="000976CA">
      <w:pPr>
        <w:spacing w:before="0" w:after="0"/>
        <w:rPr>
          <w:rFonts w:cs="Calibri"/>
          <w:sz w:val="22"/>
        </w:rPr>
      </w:pPr>
    </w:p>
    <w:p w14:paraId="6366D20E" w14:textId="46796457" w:rsidR="009410CE" w:rsidRDefault="009410CE" w:rsidP="000976CA">
      <w:pPr>
        <w:spacing w:before="0" w:after="0"/>
        <w:rPr>
          <w:rFonts w:cs="Calibri"/>
          <w:sz w:val="22"/>
        </w:rPr>
      </w:pPr>
    </w:p>
    <w:p w14:paraId="3A0B2B3B" w14:textId="5ED567CB" w:rsidR="009410CE" w:rsidRDefault="009410CE" w:rsidP="000976CA">
      <w:pPr>
        <w:spacing w:before="0" w:after="0"/>
        <w:rPr>
          <w:rFonts w:cs="Calibri"/>
          <w:sz w:val="22"/>
        </w:rPr>
      </w:pPr>
    </w:p>
    <w:p w14:paraId="3BFBB934" w14:textId="5CF385FB" w:rsidR="009410CE" w:rsidRDefault="009410CE" w:rsidP="000976CA">
      <w:pPr>
        <w:spacing w:before="0" w:after="0"/>
        <w:rPr>
          <w:rFonts w:cs="Calibri"/>
          <w:sz w:val="22"/>
        </w:rPr>
      </w:pPr>
    </w:p>
    <w:p w14:paraId="0567E28D" w14:textId="1B177955" w:rsidR="009410CE" w:rsidRDefault="009410CE" w:rsidP="000976CA">
      <w:pPr>
        <w:spacing w:before="0" w:after="0"/>
        <w:rPr>
          <w:rFonts w:cs="Calibri"/>
          <w:sz w:val="22"/>
        </w:rPr>
      </w:pPr>
    </w:p>
    <w:p w14:paraId="6E9677B6" w14:textId="7D0AF69A" w:rsidR="009410CE" w:rsidRDefault="009410CE" w:rsidP="000976CA">
      <w:pPr>
        <w:spacing w:before="0" w:after="0"/>
        <w:rPr>
          <w:rFonts w:cs="Calibri"/>
          <w:sz w:val="22"/>
        </w:rPr>
      </w:pPr>
    </w:p>
    <w:p w14:paraId="28A37B37" w14:textId="78AD09BB" w:rsidR="009410CE" w:rsidRDefault="009410CE" w:rsidP="000976CA">
      <w:pPr>
        <w:spacing w:before="0" w:after="0"/>
        <w:rPr>
          <w:rFonts w:cs="Calibri"/>
          <w:sz w:val="22"/>
        </w:rPr>
      </w:pPr>
    </w:p>
    <w:p w14:paraId="215B4A8A" w14:textId="0246F887" w:rsidR="009410CE" w:rsidRDefault="009410CE" w:rsidP="000976CA">
      <w:pPr>
        <w:spacing w:before="0" w:after="0"/>
        <w:rPr>
          <w:rFonts w:cs="Calibri"/>
          <w:sz w:val="22"/>
        </w:rPr>
      </w:pPr>
    </w:p>
    <w:p w14:paraId="77B91055" w14:textId="48AF1520" w:rsidR="009410CE" w:rsidRDefault="009410CE" w:rsidP="000976CA">
      <w:pPr>
        <w:spacing w:before="0" w:after="0"/>
        <w:rPr>
          <w:rFonts w:cs="Calibri"/>
          <w:sz w:val="22"/>
        </w:rPr>
      </w:pPr>
    </w:p>
    <w:p w14:paraId="7FCA55BF" w14:textId="0B56867F" w:rsidR="009410CE" w:rsidRDefault="009410CE" w:rsidP="000976CA">
      <w:pPr>
        <w:spacing w:before="0" w:after="0"/>
        <w:rPr>
          <w:rFonts w:cs="Calibri"/>
          <w:sz w:val="22"/>
        </w:rPr>
      </w:pPr>
    </w:p>
    <w:p w14:paraId="1172681E" w14:textId="75D6371C" w:rsidR="009410CE" w:rsidRDefault="009410CE" w:rsidP="000976CA">
      <w:pPr>
        <w:spacing w:before="0" w:after="0"/>
        <w:rPr>
          <w:rFonts w:cs="Calibri"/>
          <w:sz w:val="22"/>
        </w:rPr>
      </w:pPr>
    </w:p>
    <w:p w14:paraId="360D35B1" w14:textId="3DBA283C" w:rsidR="009410CE" w:rsidRDefault="009410CE" w:rsidP="000976CA">
      <w:pPr>
        <w:spacing w:before="0" w:after="0"/>
        <w:rPr>
          <w:rFonts w:cs="Calibri"/>
          <w:sz w:val="22"/>
        </w:rPr>
      </w:pPr>
    </w:p>
    <w:p w14:paraId="29A64D94" w14:textId="5623369B" w:rsidR="009410CE" w:rsidRDefault="009410CE" w:rsidP="000976CA">
      <w:pPr>
        <w:spacing w:before="0" w:after="0"/>
        <w:rPr>
          <w:rFonts w:cs="Calibri"/>
          <w:sz w:val="22"/>
        </w:rPr>
      </w:pPr>
    </w:p>
    <w:p w14:paraId="69E50118" w14:textId="77777777" w:rsidR="009410CE" w:rsidRDefault="009410CE" w:rsidP="009410CE">
      <w:pPr>
        <w:pStyle w:val="Heading2"/>
        <w:numPr>
          <w:ilvl w:val="0"/>
          <w:numId w:val="0"/>
        </w:numPr>
        <w:ind w:left="567"/>
      </w:pPr>
      <w:bookmarkStart w:id="53" w:name="_Toc510529437"/>
    </w:p>
    <w:p w14:paraId="5764492E" w14:textId="77777777" w:rsidR="009410CE" w:rsidRDefault="009410CE" w:rsidP="009410CE">
      <w:pPr>
        <w:pStyle w:val="Heading2"/>
        <w:numPr>
          <w:ilvl w:val="0"/>
          <w:numId w:val="0"/>
        </w:numPr>
        <w:ind w:left="567"/>
      </w:pPr>
    </w:p>
    <w:p w14:paraId="02002465" w14:textId="4AED746B" w:rsidR="009410CE" w:rsidRDefault="009410CE" w:rsidP="0086490B">
      <w:pPr>
        <w:pStyle w:val="Heading2"/>
        <w:numPr>
          <w:ilvl w:val="0"/>
          <w:numId w:val="0"/>
        </w:numPr>
        <w:ind w:left="567"/>
      </w:pPr>
      <w:r>
        <w:t>Annex II: Indicative Outline of Environmental and Social Impact Assessment (ESIA) Report</w:t>
      </w:r>
      <w:bookmarkEnd w:id="53"/>
      <w:r>
        <w:t xml:space="preserve"> (to inform site-specific ESIA’s at demo site level)</w:t>
      </w:r>
    </w:p>
    <w:p w14:paraId="5A80EA2A" w14:textId="77777777" w:rsidR="009410CE" w:rsidRPr="00780F78" w:rsidRDefault="009410CE" w:rsidP="009410CE">
      <w:pPr>
        <w:pStyle w:val="BodyText1"/>
      </w:pPr>
    </w:p>
    <w:p w14:paraId="1EA4454C" w14:textId="77777777" w:rsidR="009410CE" w:rsidRPr="00780F78" w:rsidRDefault="009410CE" w:rsidP="009410CE">
      <w:pPr>
        <w:pStyle w:val="BodyText1"/>
      </w:pPr>
      <w:r w:rsidRPr="00780F78">
        <w:t>UNDP Social and Environmental Standards:</w:t>
      </w:r>
    </w:p>
    <w:p w14:paraId="1F033EA4" w14:textId="77777777" w:rsidR="009410CE" w:rsidRPr="00780F78" w:rsidRDefault="009410CE" w:rsidP="009410CE">
      <w:pPr>
        <w:pStyle w:val="BodyText1"/>
      </w:pPr>
      <w:r w:rsidRPr="00780F78">
        <w:t>ESIA Report – Indicative Outline</w:t>
      </w:r>
    </w:p>
    <w:p w14:paraId="5A86DEBC" w14:textId="77777777" w:rsidR="009410CE" w:rsidRPr="005810A2" w:rsidRDefault="009410CE" w:rsidP="009410CE">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24" w:history="1">
        <w:r w:rsidRPr="005810A2">
          <w:rPr>
            <w:rStyle w:val="Hyperlink"/>
            <w:rFonts w:cstheme="minorHAnsi"/>
          </w:rPr>
          <w:t>UNDP SES Guidance Note on Assessment and Management</w:t>
        </w:r>
      </w:hyperlink>
      <w:r w:rsidRPr="005810A2">
        <w:rPr>
          <w:rFonts w:cstheme="minorHAnsi"/>
          <w:color w:val="000000"/>
          <w:szCs w:val="20"/>
        </w:rPr>
        <w:t xml:space="preserve"> for additional information.</w:t>
      </w:r>
    </w:p>
    <w:p w14:paraId="031BC53E" w14:textId="77777777" w:rsidR="009410CE" w:rsidRDefault="009410CE" w:rsidP="009410CE">
      <w:pPr>
        <w:widowControl w:val="0"/>
        <w:autoSpaceDE w:val="0"/>
        <w:autoSpaceDN w:val="0"/>
        <w:adjustRightInd w:val="0"/>
      </w:pPr>
    </w:p>
    <w:p w14:paraId="5B6A8110" w14:textId="77777777" w:rsidR="009410CE" w:rsidRDefault="009410CE" w:rsidP="009410CE">
      <w:pPr>
        <w:widowControl w:val="0"/>
        <w:autoSpaceDE w:val="0"/>
        <w:autoSpaceDN w:val="0"/>
        <w:adjustRightInd w:val="0"/>
        <w:rPr>
          <w:rFonts w:cs="Times"/>
          <w:szCs w:val="20"/>
        </w:rPr>
      </w:pPr>
      <w:r>
        <w:t xml:space="preserve">An ESIA report should include the following major elements (not necessarily in the following order): </w:t>
      </w:r>
    </w:p>
    <w:p w14:paraId="1FE61CBB" w14:textId="77777777" w:rsidR="009410CE" w:rsidRDefault="009410CE" w:rsidP="009410CE">
      <w:pPr>
        <w:widowControl w:val="0"/>
        <w:autoSpaceDE w:val="0"/>
        <w:autoSpaceDN w:val="0"/>
        <w:adjustRightInd w:val="0"/>
        <w:rPr>
          <w:rFonts w:cs="Times"/>
          <w:szCs w:val="20"/>
        </w:rPr>
      </w:pPr>
      <w:r>
        <w:rPr>
          <w:rFonts w:cs="Calibri"/>
          <w:b/>
          <w:szCs w:val="20"/>
        </w:rPr>
        <w:t xml:space="preserve">(1) </w:t>
      </w:r>
      <w:r>
        <w:rPr>
          <w:rFonts w:cs="Times"/>
          <w:b/>
          <w:szCs w:val="20"/>
        </w:rPr>
        <w:t>Executive summary:</w:t>
      </w:r>
      <w:r>
        <w:rPr>
          <w:rFonts w:cs="Times"/>
          <w:szCs w:val="20"/>
        </w:rPr>
        <w:t xml:space="preserve"> </w:t>
      </w:r>
      <w:r>
        <w:rPr>
          <w:rFonts w:cs="Calibri"/>
          <w:szCs w:val="20"/>
        </w:rPr>
        <w:t>Concisely discusses significant findings and recommended actions.</w:t>
      </w:r>
      <w:r>
        <w:rPr>
          <w:rFonts w:cs="Times"/>
          <w:szCs w:val="20"/>
        </w:rPr>
        <w:t xml:space="preserve"> </w:t>
      </w:r>
    </w:p>
    <w:p w14:paraId="59E8FB36" w14:textId="77777777" w:rsidR="009410CE" w:rsidRDefault="009410CE" w:rsidP="009410CE">
      <w:pPr>
        <w:rPr>
          <w:rFonts w:cs="Times"/>
          <w:szCs w:val="20"/>
        </w:rPr>
      </w:pPr>
      <w:r>
        <w:rPr>
          <w:rFonts w:cs="Calibri"/>
          <w:b/>
          <w:szCs w:val="20"/>
        </w:rPr>
        <w:t xml:space="preserve">(2) </w:t>
      </w:r>
      <w:r>
        <w:rPr>
          <w:rFonts w:cs="Times"/>
          <w:b/>
          <w:szCs w:val="20"/>
        </w:rPr>
        <w:t xml:space="preserve">Legal and institutional framework: </w:t>
      </w:r>
      <w:r>
        <w:rPr>
          <w:rFonts w:cs="Calibri"/>
          <w:szCs w:val="20"/>
        </w:rPr>
        <w:t>Summarizes the analysis of the legal and institutional framework for the project, within which the social and environmental assessment is carried out</w:t>
      </w:r>
      <w:r>
        <w:rPr>
          <w:rFonts w:cs="Times"/>
          <w:szCs w:val="20"/>
        </w:rPr>
        <w:t xml:space="preserve">, including </w:t>
      </w:r>
      <w:r>
        <w:rPr>
          <w:rFonts w:cs="Calibri"/>
          <w:szCs w:val="20"/>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Pr>
          <w:rFonts w:cs="Times"/>
          <w:szCs w:val="20"/>
        </w:rPr>
        <w:t xml:space="preserve"> </w:t>
      </w:r>
    </w:p>
    <w:p w14:paraId="59FA392E" w14:textId="77777777" w:rsidR="009410CE" w:rsidRDefault="009410CE" w:rsidP="009410CE">
      <w:pPr>
        <w:widowControl w:val="0"/>
        <w:autoSpaceDE w:val="0"/>
        <w:autoSpaceDN w:val="0"/>
        <w:adjustRightInd w:val="0"/>
        <w:rPr>
          <w:rFonts w:cs="Times"/>
          <w:szCs w:val="20"/>
        </w:rPr>
      </w:pPr>
      <w:r>
        <w:rPr>
          <w:rFonts w:cs="Calibri"/>
          <w:b/>
          <w:szCs w:val="20"/>
        </w:rPr>
        <w:t xml:space="preserve">(3) </w:t>
      </w:r>
      <w:r>
        <w:rPr>
          <w:rFonts w:cs="Times"/>
          <w:b/>
          <w:szCs w:val="20"/>
        </w:rPr>
        <w:t>Project description:</w:t>
      </w:r>
      <w:r>
        <w:rPr>
          <w:rFonts w:cs="Times"/>
          <w:szCs w:val="20"/>
        </w:rPr>
        <w:t xml:space="preserve"> </w:t>
      </w:r>
      <w:r>
        <w:rPr>
          <w:rFonts w:cs="Calibri"/>
          <w:szCs w:val="20"/>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w:t>
      </w:r>
      <w:proofErr w:type="gramStart"/>
      <w:r>
        <w:rPr>
          <w:rFonts w:cs="Calibri"/>
          <w:szCs w:val="20"/>
        </w:rPr>
        <w:t>i.e.</w:t>
      </w:r>
      <w:proofErr w:type="gramEnd"/>
      <w:r>
        <w:rPr>
          <w:rFonts w:cs="Calibri"/>
          <w:szCs w:val="20"/>
        </w:rPr>
        <w:t xml:space="preserve"> area of influence).</w:t>
      </w:r>
      <w:r>
        <w:rPr>
          <w:rFonts w:cs="Times"/>
          <w:szCs w:val="20"/>
        </w:rPr>
        <w:t xml:space="preserve"> </w:t>
      </w:r>
    </w:p>
    <w:p w14:paraId="6F708F7F" w14:textId="77777777" w:rsidR="009410CE" w:rsidRDefault="009410CE" w:rsidP="009410CE">
      <w:pPr>
        <w:widowControl w:val="0"/>
        <w:autoSpaceDE w:val="0"/>
        <w:autoSpaceDN w:val="0"/>
        <w:adjustRightInd w:val="0"/>
        <w:rPr>
          <w:rFonts w:cs="Calibri"/>
          <w:szCs w:val="20"/>
        </w:rPr>
      </w:pPr>
      <w:r>
        <w:rPr>
          <w:rFonts w:cs="Calibri"/>
          <w:b/>
          <w:szCs w:val="20"/>
        </w:rPr>
        <w:t xml:space="preserve">(4) </w:t>
      </w:r>
      <w:r>
        <w:rPr>
          <w:rFonts w:cs="Times"/>
          <w:b/>
          <w:szCs w:val="20"/>
        </w:rPr>
        <w:t xml:space="preserve">Baseline data: </w:t>
      </w:r>
      <w:r>
        <w:rPr>
          <w:rFonts w:cs="Calibri"/>
          <w:szCs w:val="20"/>
        </w:rPr>
        <w:t>Summarizes the baseline data that is relevant to decisions about project location, design, operation, or mitigation measures; identifies and estimates the extent and quality of available data, key data gaps, and uncertainties associated with predictions;</w:t>
      </w:r>
      <w:r>
        <w:rPr>
          <w:rFonts w:cs="Times"/>
          <w:b/>
          <w:szCs w:val="20"/>
        </w:rPr>
        <w:t xml:space="preserve"> </w:t>
      </w:r>
      <w:r>
        <w:rPr>
          <w:rFonts w:cs="Calibri"/>
          <w:szCs w:val="20"/>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4C3DE9A8" w14:textId="538B26F5" w:rsidR="009410CE" w:rsidRDefault="009410CE" w:rsidP="009410CE">
      <w:pPr>
        <w:widowControl w:val="0"/>
        <w:autoSpaceDE w:val="0"/>
        <w:autoSpaceDN w:val="0"/>
        <w:adjustRightInd w:val="0"/>
        <w:rPr>
          <w:rFonts w:cs="Times"/>
          <w:szCs w:val="20"/>
        </w:rPr>
      </w:pPr>
      <w:r>
        <w:rPr>
          <w:rFonts w:cs="Calibri"/>
          <w:b/>
          <w:szCs w:val="20"/>
        </w:rPr>
        <w:t xml:space="preserve">(5) </w:t>
      </w:r>
      <w:r>
        <w:rPr>
          <w:rFonts w:cs="Times"/>
          <w:b/>
          <w:szCs w:val="20"/>
        </w:rPr>
        <w:t xml:space="preserve">Social and environmental risks and impacts: </w:t>
      </w:r>
      <w:r>
        <w:rPr>
          <w:rFonts w:cs="Calibri"/>
          <w:szCs w:val="20"/>
        </w:rPr>
        <w:t xml:space="preserve">Predicts and </w:t>
      </w:r>
      <w:r w:rsidR="00E56659">
        <w:rPr>
          <w:rFonts w:cs="Calibri"/>
          <w:szCs w:val="20"/>
        </w:rPr>
        <w:t>considers</w:t>
      </w:r>
      <w:r>
        <w:rPr>
          <w:rFonts w:cs="Calibri"/>
          <w:szCs w:val="20"/>
        </w:rPr>
        <w:t xml:space="preserve"> all relevant social and environmental risks and impacts of the project, including those related to UNDP’s SES (Overarching Policy and Principles and Project-level Standards). These will include, but are not limited to, the following:</w:t>
      </w:r>
    </w:p>
    <w:p w14:paraId="7E39A8DF" w14:textId="77777777" w:rsidR="009410CE" w:rsidRDefault="009410CE" w:rsidP="009410CE">
      <w:pPr>
        <w:widowControl w:val="0"/>
        <w:tabs>
          <w:tab w:val="left" w:pos="220"/>
          <w:tab w:val="left" w:pos="720"/>
        </w:tabs>
        <w:autoSpaceDE w:val="0"/>
        <w:autoSpaceDN w:val="0"/>
        <w:adjustRightInd w:val="0"/>
        <w:rPr>
          <w:rFonts w:cs="Times"/>
          <w:szCs w:val="20"/>
        </w:rPr>
      </w:pPr>
      <w:r>
        <w:rPr>
          <w:rFonts w:cs="Calibri"/>
          <w:i/>
          <w:szCs w:val="20"/>
        </w:rPr>
        <w:t>(a) Environmental risks and impacts</w:t>
      </w:r>
      <w:r>
        <w:rPr>
          <w:rFonts w:cs="Calibri"/>
          <w:szCs w:val="20"/>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Pr>
          <w:rStyle w:val="FootnoteReference"/>
          <w:szCs w:val="20"/>
        </w:rPr>
        <w:footnoteReference w:id="6"/>
      </w:r>
    </w:p>
    <w:p w14:paraId="051060DC" w14:textId="77777777" w:rsidR="009410CE" w:rsidRDefault="009410CE" w:rsidP="009410CE">
      <w:pPr>
        <w:widowControl w:val="0"/>
        <w:tabs>
          <w:tab w:val="left" w:pos="220"/>
          <w:tab w:val="left" w:pos="720"/>
        </w:tabs>
        <w:autoSpaceDE w:val="0"/>
        <w:autoSpaceDN w:val="0"/>
        <w:adjustRightInd w:val="0"/>
        <w:rPr>
          <w:rFonts w:cs="Calibri"/>
          <w:szCs w:val="20"/>
        </w:rPr>
      </w:pPr>
      <w:r>
        <w:rPr>
          <w:rFonts w:cs="Calibri"/>
          <w:i/>
          <w:szCs w:val="20"/>
        </w:rPr>
        <w:t>(b) Social risks and impacts</w:t>
      </w:r>
      <w:r>
        <w:rPr>
          <w:rFonts w:cs="Calibri"/>
          <w:szCs w:val="20"/>
        </w:rPr>
        <w:t>, including:</w:t>
      </w:r>
      <w:r>
        <w:rPr>
          <w:rFonts w:cs="Times"/>
          <w:szCs w:val="20"/>
        </w:rPr>
        <w:t xml:space="preserve"> any project-related </w:t>
      </w:r>
      <w:r>
        <w:rPr>
          <w:rFonts w:cs="Calibri"/>
          <w:szCs w:val="20"/>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w:t>
      </w:r>
      <w:r>
        <w:rPr>
          <w:rFonts w:cs="Calibri"/>
          <w:szCs w:val="20"/>
        </w:rPr>
        <w:lastRenderedPageBreak/>
        <w:t xml:space="preserve">access to development resources and project benefits, particularly in the case of disadvantaged or marginalized groups; negative economic and social impacts relating to physical displacement (i.e. relocation or loss of shelter) or economic displacement (i.e. </w:t>
      </w:r>
      <w:r>
        <w:t>loss of assets or access to assets that leads to loss of income sources or means of livelihood) as a result of project-related land or resource acquisition or restrictions on land use or access to resources</w:t>
      </w:r>
      <w:r>
        <w:rPr>
          <w:rFonts w:cs="Calibri"/>
          <w:szCs w:val="20"/>
        </w:rPr>
        <w:t xml:space="preserve">; impacts on the health, safety and well-being of workers and project-affected communities; and risks to cultural heritage. </w:t>
      </w:r>
    </w:p>
    <w:p w14:paraId="6060967C" w14:textId="1C625F72" w:rsidR="009410CE" w:rsidRDefault="009410CE" w:rsidP="009410CE">
      <w:pPr>
        <w:widowControl w:val="0"/>
        <w:autoSpaceDE w:val="0"/>
        <w:autoSpaceDN w:val="0"/>
        <w:adjustRightInd w:val="0"/>
        <w:rPr>
          <w:rFonts w:cs="Times"/>
          <w:szCs w:val="20"/>
        </w:rPr>
      </w:pPr>
      <w:r>
        <w:rPr>
          <w:rFonts w:cs="Calibri"/>
          <w:b/>
          <w:szCs w:val="20"/>
        </w:rPr>
        <w:t xml:space="preserve">(6) </w:t>
      </w:r>
      <w:r>
        <w:rPr>
          <w:rFonts w:cs="Times"/>
          <w:b/>
          <w:szCs w:val="20"/>
        </w:rPr>
        <w:t>Analysis of alternatives:</w:t>
      </w:r>
      <w:r>
        <w:rPr>
          <w:rFonts w:cs="Times"/>
          <w:szCs w:val="20"/>
        </w:rPr>
        <w:t xml:space="preserve"> </w:t>
      </w:r>
      <w:r>
        <w:rPr>
          <w:rFonts w:cs="Calibri"/>
          <w:szCs w:val="20"/>
        </w:rPr>
        <w:t>systematically compares feasible alternatives to the proposed project site, technology, design, and operation – including the "without project" situation – in terms of their potential social and environmental impacts;</w:t>
      </w:r>
      <w:r>
        <w:rPr>
          <w:rFonts w:cs="Times"/>
          <w:szCs w:val="20"/>
        </w:rPr>
        <w:t xml:space="preserve"> </w:t>
      </w:r>
      <w:r>
        <w:rPr>
          <w:rFonts w:cs="Calibri"/>
          <w:szCs w:val="20"/>
        </w:rPr>
        <w:t xml:space="preserve">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w:t>
      </w:r>
      <w:r w:rsidR="00E56659">
        <w:rPr>
          <w:rFonts w:cs="Calibri"/>
          <w:szCs w:val="20"/>
        </w:rPr>
        <w:t>project</w:t>
      </w:r>
      <w:r>
        <w:rPr>
          <w:rFonts w:cs="Calibri"/>
          <w:szCs w:val="20"/>
        </w:rPr>
        <w:t xml:space="preserve"> design.</w:t>
      </w:r>
    </w:p>
    <w:p w14:paraId="747A0695" w14:textId="77777777" w:rsidR="009410CE" w:rsidRDefault="009410CE" w:rsidP="009410CE">
      <w:pPr>
        <w:widowControl w:val="0"/>
        <w:autoSpaceDE w:val="0"/>
        <w:autoSpaceDN w:val="0"/>
        <w:adjustRightInd w:val="0"/>
        <w:rPr>
          <w:rFonts w:cs="Calibri"/>
          <w:szCs w:val="20"/>
        </w:rPr>
      </w:pPr>
      <w:r>
        <w:rPr>
          <w:rFonts w:cs="Times"/>
          <w:b/>
          <w:szCs w:val="20"/>
        </w:rPr>
        <w:t>(7) Mitigation Measures:</w:t>
      </w:r>
      <w:r>
        <w:rPr>
          <w:rFonts w:cs="Times"/>
          <w:szCs w:val="20"/>
        </w:rPr>
        <w:t xml:space="preserve"> Inclusion or summary of (with attachment of full) Environmental and Social Management Plan (ESMP) </w:t>
      </w:r>
      <w:r>
        <w:rPr>
          <w:rFonts w:cs="Calibri"/>
          <w:szCs w:val="20"/>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085B85C8" w14:textId="77777777" w:rsidR="009410CE" w:rsidRDefault="009410CE" w:rsidP="009410CE">
      <w:pPr>
        <w:widowControl w:val="0"/>
        <w:autoSpaceDE w:val="0"/>
        <w:autoSpaceDN w:val="0"/>
        <w:adjustRightInd w:val="0"/>
        <w:rPr>
          <w:rFonts w:cs="Calibri"/>
          <w:szCs w:val="20"/>
        </w:rPr>
      </w:pPr>
      <w:r>
        <w:rPr>
          <w:rFonts w:cs="Calibri"/>
          <w:b/>
          <w:szCs w:val="20"/>
        </w:rPr>
        <w:t>(8) Conclusions and Recommendations:</w:t>
      </w:r>
      <w:r>
        <w:rPr>
          <w:rFonts w:cs="Calibri"/>
          <w:szCs w:val="20"/>
        </w:rPr>
        <w:t xml:space="preserve"> Succinctly describes conclusion drawn from the assessment and provides recommendations.</w:t>
      </w:r>
    </w:p>
    <w:p w14:paraId="3A2802AD" w14:textId="77777777" w:rsidR="009410CE" w:rsidRDefault="009410CE" w:rsidP="009410CE">
      <w:pPr>
        <w:widowControl w:val="0"/>
        <w:autoSpaceDE w:val="0"/>
        <w:autoSpaceDN w:val="0"/>
        <w:adjustRightInd w:val="0"/>
        <w:rPr>
          <w:rFonts w:cs="Calibri"/>
          <w:szCs w:val="20"/>
        </w:rPr>
      </w:pPr>
      <w:r>
        <w:rPr>
          <w:rFonts w:cs="Calibri"/>
          <w:b/>
          <w:szCs w:val="20"/>
        </w:rPr>
        <w:t xml:space="preserve">(9) </w:t>
      </w:r>
      <w:r>
        <w:rPr>
          <w:rFonts w:cs="Times"/>
          <w:b/>
          <w:szCs w:val="20"/>
        </w:rPr>
        <w:t xml:space="preserve">Appendices: </w:t>
      </w:r>
      <w:r>
        <w:rPr>
          <w:rFonts w:ascii="MS Gothic" w:eastAsia="MS Gothic" w:hAnsi="MS Gothic" w:cs="MS Gothic" w:hint="eastAsia"/>
          <w:szCs w:val="20"/>
        </w:rPr>
        <w:t> </w:t>
      </w:r>
      <w:r>
        <w:rPr>
          <w:rFonts w:cs="Calibri"/>
          <w:szCs w:val="20"/>
        </w:rPr>
        <w:t>(</w:t>
      </w:r>
      <w:proofErr w:type="spellStart"/>
      <w:r>
        <w:rPr>
          <w:rFonts w:cs="Calibri"/>
          <w:szCs w:val="20"/>
        </w:rPr>
        <w:t>i</w:t>
      </w:r>
      <w:proofErr w:type="spellEnd"/>
      <w:r>
        <w:rPr>
          <w:rFonts w:cs="Calibri"/>
          <w:szCs w:val="20"/>
        </w:rPr>
        <w:t>) List of the individuals or organisations that prepared or contributed to the</w:t>
      </w:r>
      <w:r>
        <w:rPr>
          <w:rFonts w:cs="Times"/>
          <w:szCs w:val="20"/>
        </w:rPr>
        <w:t xml:space="preserve"> social and </w:t>
      </w:r>
      <w:r>
        <w:rPr>
          <w:rFonts w:cs="Calibri"/>
          <w:szCs w:val="20"/>
        </w:rPr>
        <w:t xml:space="preserve">environmental assessment; (ii) References – setting out the written materials both published and unpublished, that have been used; (iii) Record of meetings, </w:t>
      </w:r>
      <w:proofErr w:type="gramStart"/>
      <w:r>
        <w:rPr>
          <w:rFonts w:cs="Calibri"/>
          <w:szCs w:val="20"/>
        </w:rPr>
        <w:t>consultations</w:t>
      </w:r>
      <w:proofErr w:type="gramEnd"/>
      <w:r>
        <w:rPr>
          <w:rFonts w:cs="Calibri"/>
          <w:szCs w:val="20"/>
        </w:rPr>
        <w:t xml:space="preserve">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w:t>
      </w:r>
    </w:p>
    <w:p w14:paraId="2BFB8974" w14:textId="77777777" w:rsidR="009410CE" w:rsidRDefault="009410CE" w:rsidP="009410CE"/>
    <w:p w14:paraId="6BD5027A" w14:textId="77777777" w:rsidR="009410CE" w:rsidRDefault="009410CE" w:rsidP="009410CE">
      <w:pPr>
        <w:spacing w:before="0" w:after="200" w:line="276" w:lineRule="auto"/>
        <w:jc w:val="left"/>
      </w:pPr>
      <w:r>
        <w:br w:type="page"/>
      </w:r>
    </w:p>
    <w:p w14:paraId="65CCEC44" w14:textId="13498B5F" w:rsidR="009410CE" w:rsidRDefault="009410CE" w:rsidP="0086490B">
      <w:pPr>
        <w:pStyle w:val="Heading2"/>
        <w:numPr>
          <w:ilvl w:val="0"/>
          <w:numId w:val="0"/>
        </w:numPr>
        <w:ind w:left="567"/>
      </w:pPr>
      <w:bookmarkStart w:id="54" w:name="_Toc510529438"/>
      <w:r>
        <w:lastRenderedPageBreak/>
        <w:t>Annex III: Indicative outline of Environmental and Social Management Plan (ESMP)</w:t>
      </w:r>
      <w:bookmarkEnd w:id="54"/>
    </w:p>
    <w:p w14:paraId="0190E6EA" w14:textId="77777777" w:rsidR="009410CE" w:rsidRPr="00780F78" w:rsidRDefault="009410CE" w:rsidP="009410CE">
      <w:pPr>
        <w:pStyle w:val="BodyText1"/>
      </w:pPr>
    </w:p>
    <w:p w14:paraId="2EF75C4D" w14:textId="77777777" w:rsidR="009410CE" w:rsidRPr="00780F78" w:rsidRDefault="009410CE" w:rsidP="009410CE">
      <w:pPr>
        <w:pStyle w:val="BodyText1"/>
      </w:pPr>
      <w:r w:rsidRPr="00780F78">
        <w:t>UNDP Social and Environmental Standards:</w:t>
      </w:r>
    </w:p>
    <w:p w14:paraId="629CBFC7" w14:textId="77777777" w:rsidR="009410CE" w:rsidRPr="00780F78" w:rsidRDefault="009410CE" w:rsidP="009410CE">
      <w:pPr>
        <w:pStyle w:val="BodyText1"/>
      </w:pPr>
      <w:r w:rsidRPr="00780F78">
        <w:t>ESMP – Indicative Outline</w:t>
      </w:r>
    </w:p>
    <w:p w14:paraId="3276176A" w14:textId="77777777" w:rsidR="009410CE" w:rsidRPr="005810A2" w:rsidRDefault="009410CE" w:rsidP="009410CE">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25" w:history="1">
        <w:r w:rsidRPr="005810A2">
          <w:rPr>
            <w:rStyle w:val="Hyperlink"/>
            <w:rFonts w:cstheme="minorHAnsi"/>
            <w:szCs w:val="20"/>
          </w:rPr>
          <w:t>UNDP SES Guidance Note on Assessment and Management</w:t>
        </w:r>
      </w:hyperlink>
      <w:r w:rsidRPr="005810A2">
        <w:rPr>
          <w:rFonts w:cstheme="minorHAnsi"/>
          <w:color w:val="000000"/>
          <w:szCs w:val="20"/>
        </w:rPr>
        <w:t xml:space="preserve"> for additional information.</w:t>
      </w:r>
    </w:p>
    <w:p w14:paraId="776CFEB1" w14:textId="77777777" w:rsidR="009410CE" w:rsidRPr="008747AC" w:rsidRDefault="009410CE" w:rsidP="009410CE"/>
    <w:p w14:paraId="2B73CD8E" w14:textId="77777777" w:rsidR="009410CE" w:rsidRDefault="009410CE" w:rsidP="009410CE">
      <w:pPr>
        <w:autoSpaceDE w:val="0"/>
        <w:autoSpaceDN w:val="0"/>
        <w:adjustRightInd w:val="0"/>
        <w:rPr>
          <w:b/>
          <w:iCs/>
          <w:color w:val="000000"/>
          <w:szCs w:val="20"/>
        </w:rPr>
      </w:pPr>
      <w:r>
        <w:t>An ESMP may be prepared as part of the Environmental and Social Impact Assessment (ESIA) or as a stand-alone document.</w:t>
      </w:r>
      <w:r>
        <w:rPr>
          <w:rStyle w:val="FootnoteReference"/>
          <w:szCs w:val="20"/>
        </w:rPr>
        <w:footnoteReference w:id="7"/>
      </w:r>
      <w:r>
        <w:t xml:space="preserve"> The content of the ESMP should address the following sections:</w:t>
      </w:r>
      <w:r>
        <w:rPr>
          <w:b/>
          <w:iCs/>
          <w:color w:val="000000"/>
          <w:szCs w:val="20"/>
        </w:rPr>
        <w:t xml:space="preserve"> </w:t>
      </w:r>
    </w:p>
    <w:p w14:paraId="14A180CD" w14:textId="77777777" w:rsidR="009410CE" w:rsidRDefault="009410CE" w:rsidP="009410CE">
      <w:pPr>
        <w:autoSpaceDE w:val="0"/>
        <w:autoSpaceDN w:val="0"/>
        <w:adjustRightInd w:val="0"/>
        <w:rPr>
          <w:b/>
          <w:iCs/>
          <w:color w:val="000000"/>
          <w:szCs w:val="20"/>
        </w:rPr>
      </w:pPr>
      <w:r>
        <w:rPr>
          <w:b/>
        </w:rPr>
        <w:t xml:space="preserve">(1) </w:t>
      </w:r>
      <w:r>
        <w:rPr>
          <w:rFonts w:cs="Times"/>
          <w:b/>
        </w:rPr>
        <w:t xml:space="preserve">Mitigation: </w:t>
      </w:r>
      <w: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Pr>
          <w:rFonts w:cs="Times"/>
        </w:rPr>
        <w:t xml:space="preserve"> (b)</w:t>
      </w:r>
      <w:r>
        <w:rPr>
          <w:rFonts w:cs="Times"/>
          <w:b/>
        </w:rPr>
        <w:t xml:space="preserve"> </w:t>
      </w:r>
      <w: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Pr>
          <w:rFonts w:cs="Times"/>
        </w:rPr>
        <w:t>(c)</w:t>
      </w:r>
      <w:r>
        <w:rPr>
          <w:rFonts w:cs="Times"/>
          <w:b/>
        </w:rPr>
        <w:t xml:space="preserve"> </w:t>
      </w:r>
      <w:r>
        <w:t xml:space="preserve">estimates any potential social and environmental impacts of these measures and any residual impacts following mitigation; and </w:t>
      </w:r>
      <w:r>
        <w:rPr>
          <w:rFonts w:cs="Times"/>
        </w:rPr>
        <w:t xml:space="preserve">(d) </w:t>
      </w:r>
      <w:r>
        <w:t xml:space="preserve">takes into account, and is consistent with, other required mitigation plans (e.g. for displacement, indigenous peoples). </w:t>
      </w:r>
    </w:p>
    <w:p w14:paraId="12D70581" w14:textId="77777777" w:rsidR="009410CE" w:rsidRDefault="009410CE" w:rsidP="009410CE">
      <w:pPr>
        <w:autoSpaceDE w:val="0"/>
        <w:autoSpaceDN w:val="0"/>
        <w:adjustRightInd w:val="0"/>
        <w:rPr>
          <w:b/>
          <w:iCs/>
          <w:color w:val="000000"/>
          <w:szCs w:val="20"/>
        </w:rPr>
      </w:pPr>
      <w:r>
        <w:rPr>
          <w:b/>
        </w:rPr>
        <w:t xml:space="preserve">(2) </w:t>
      </w:r>
      <w:r>
        <w:rPr>
          <w:rFonts w:cs="Times"/>
          <w:b/>
        </w:rPr>
        <w:t xml:space="preserve">Monitoring: </w:t>
      </w:r>
      <w: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Pr>
          <w:rFonts w:cs="Times"/>
        </w:rPr>
        <w:t xml:space="preserve"> </w:t>
      </w:r>
      <w:r>
        <w:t>measured, methods to be used, sampling locations, frequency of measurements, detection limits (where appropriate), and definition of thresholds that will signal the need for corrective actions; and (b) monitoring and reporting procedures to (</w:t>
      </w:r>
      <w:proofErr w:type="spellStart"/>
      <w:r>
        <w:t>i</w:t>
      </w:r>
      <w:proofErr w:type="spellEnd"/>
      <w:r>
        <w:t>) ensure early detection of conditions that necessitate particular mitigation measures, and (ii) furnish information on the progress and results of mitigation.</w:t>
      </w:r>
      <w:r>
        <w:rPr>
          <w:b/>
          <w:iCs/>
          <w:color w:val="000000"/>
          <w:szCs w:val="20"/>
        </w:rPr>
        <w:t xml:space="preserve"> </w:t>
      </w:r>
    </w:p>
    <w:p w14:paraId="5DFACED9" w14:textId="77777777" w:rsidR="009410CE" w:rsidRDefault="009410CE" w:rsidP="009410CE">
      <w:pPr>
        <w:rPr>
          <w:rFonts w:cs="Times"/>
          <w:b/>
        </w:rPr>
      </w:pPr>
      <w:r>
        <w:rPr>
          <w:b/>
        </w:rPr>
        <w:t xml:space="preserve">(3) </w:t>
      </w:r>
      <w:r>
        <w:rPr>
          <w:rFonts w:cs="Times"/>
          <w:b/>
        </w:rPr>
        <w:t xml:space="preserve">Capacity development and training: </w:t>
      </w:r>
      <w:r>
        <w:t>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w:t>
      </w:r>
      <w:proofErr w:type="gramStart"/>
      <w:r>
        <w:t>e.g.</w:t>
      </w:r>
      <w:proofErr w:type="gramEnd"/>
      <w:r>
        <w:t xml:space="preserve"> for operation, supervision, enforcement, monitoring of implementation, remedial action, financing, reporting, and staff training). </w:t>
      </w:r>
      <w:r>
        <w:rPr>
          <w:rFonts w:cs="Times"/>
        </w:rPr>
        <w:t xml:space="preserve">Where support for </w:t>
      </w:r>
      <w: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79DE4261" w14:textId="42FFA8D0" w:rsidR="009410CE" w:rsidRDefault="009410CE" w:rsidP="009410CE">
      <w:pPr>
        <w:autoSpaceDE w:val="0"/>
        <w:autoSpaceDN w:val="0"/>
        <w:adjustRightInd w:val="0"/>
        <w:rPr>
          <w:color w:val="000000"/>
          <w:szCs w:val="20"/>
        </w:rPr>
      </w:pPr>
      <w:r>
        <w:rPr>
          <w:b/>
          <w:iCs/>
          <w:color w:val="000000"/>
          <w:szCs w:val="20"/>
        </w:rPr>
        <w:t xml:space="preserve">(4) Stakeholder Engagement: </w:t>
      </w:r>
      <w:r>
        <w:rPr>
          <w:color w:val="000000"/>
          <w:szCs w:val="20"/>
        </w:rPr>
        <w:t>Outlines plan to engage in meaningful, effective</w:t>
      </w:r>
      <w:r w:rsidR="00E56659">
        <w:rPr>
          <w:color w:val="000000"/>
          <w:szCs w:val="20"/>
        </w:rPr>
        <w:t>,</w:t>
      </w:r>
      <w:r>
        <w:rPr>
          <w:color w:val="000000"/>
          <w:szCs w:val="20"/>
        </w:rPr>
        <w:t xml:space="preserve"> and informed consultations with affected stakeholders. Includes information on (a) means used to inform and involve affected people in the assessment process; (b) summary of stakeholder engagement plan for meaningful, effective consultations during project implementation, including identification of milestones for consultations, information disclosure, and periodic reporting on progress on project implementation; and (c) description of effective processes for receiving and addressing stakeholder concerns and grievances regarding the project’s social and environmental performance.</w:t>
      </w:r>
    </w:p>
    <w:p w14:paraId="5C1C9F45" w14:textId="7537D2E2" w:rsidR="000220E5" w:rsidRPr="00420A86" w:rsidRDefault="009410CE" w:rsidP="009410CE">
      <w:pPr>
        <w:spacing w:before="0" w:after="0"/>
        <w:rPr>
          <w:rFonts w:cs="Calibri"/>
          <w:sz w:val="22"/>
        </w:rPr>
      </w:pPr>
      <w:r>
        <w:rPr>
          <w:b/>
        </w:rPr>
        <w:t xml:space="preserve">(5) </w:t>
      </w:r>
      <w:r>
        <w:rPr>
          <w:rFonts w:cs="Times"/>
          <w:b/>
        </w:rPr>
        <w:t xml:space="preserve">Implementation action plan (schedule and cost estimates): </w:t>
      </w:r>
      <w: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w:t>
      </w:r>
      <w:r>
        <w:lastRenderedPageBreak/>
        <w:t>and actions to be implemented will be clearly specified and the costs of so doing will be integrated into the project's overall planning, design, budget, and implementation</w:t>
      </w:r>
    </w:p>
    <w:sectPr w:rsidR="000220E5" w:rsidRPr="00420A86" w:rsidSect="00AE78DF">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5237" w14:textId="77777777" w:rsidR="00AE4582" w:rsidRDefault="00AE4582" w:rsidP="00170929">
      <w:pPr>
        <w:spacing w:before="0" w:after="0"/>
      </w:pPr>
      <w:r>
        <w:separator/>
      </w:r>
    </w:p>
  </w:endnote>
  <w:endnote w:type="continuationSeparator" w:id="0">
    <w:p w14:paraId="540123DF" w14:textId="77777777" w:rsidR="00AE4582" w:rsidRDefault="00AE4582"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w:altName w:val="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仿宋">
    <w:altName w:val="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D469" w14:textId="233A490B" w:rsidR="001E2AAE" w:rsidRPr="00CB6881" w:rsidRDefault="001E2AAE" w:rsidP="006767FE">
    <w:pPr>
      <w:pStyle w:val="Footer"/>
      <w:pBdr>
        <w:top w:val="single" w:sz="8" w:space="4" w:color="215868"/>
      </w:pBdr>
      <w:tabs>
        <w:tab w:val="left" w:pos="3381"/>
        <w:tab w:val="right" w:pos="9900"/>
      </w:tabs>
      <w:ind w:right="-2"/>
      <w:rPr>
        <w:sz w:val="14"/>
      </w:rPr>
    </w:pPr>
    <w:r w:rsidRPr="00CB6881">
      <w:rPr>
        <w:sz w:val="16"/>
      </w:rPr>
      <w:fldChar w:fldCharType="begin"/>
    </w:r>
    <w:r w:rsidRPr="00CB6881">
      <w:rPr>
        <w:sz w:val="16"/>
      </w:rPr>
      <w:instrText xml:space="preserve"> FILENAME </w:instrText>
    </w:r>
    <w:r w:rsidRPr="00CB6881">
      <w:rPr>
        <w:sz w:val="16"/>
      </w:rPr>
      <w:fldChar w:fldCharType="separate"/>
    </w:r>
    <w:r w:rsidRPr="00981A64">
      <w:rPr>
        <w:noProof/>
        <w:sz w:val="16"/>
      </w:rPr>
      <w:t>PhosChemEE</w:t>
    </w:r>
    <w:r>
      <w:rPr>
        <w:noProof/>
        <w:sz w:val="16"/>
      </w:rPr>
      <w:t>_ESMF</w:t>
    </w:r>
    <w:r w:rsidRPr="00CB6881">
      <w:rPr>
        <w:sz w:val="16"/>
      </w:rPr>
      <w:fldChar w:fldCharType="end"/>
    </w:r>
    <w:r>
      <w:rPr>
        <w:sz w:val="16"/>
      </w:rPr>
      <w:tab/>
    </w:r>
    <w:r>
      <w:rPr>
        <w:sz w:val="16"/>
      </w:rPr>
      <w:tab/>
    </w:r>
    <w:r w:rsidRPr="00CB6881">
      <w:rPr>
        <w:sz w:val="14"/>
      </w:rPr>
      <w:tab/>
    </w:r>
    <w:r w:rsidRPr="00CB6881">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18B1" w14:textId="77777777" w:rsidR="001E2AAE" w:rsidRPr="001571A3" w:rsidRDefault="001E2AAE"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ii</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2893" w14:textId="77777777" w:rsidR="001E2AAE" w:rsidRPr="009E1AC2" w:rsidRDefault="001E2AAE" w:rsidP="00690363">
    <w:pPr>
      <w:pStyle w:val="Footer"/>
      <w:tabs>
        <w:tab w:val="right" w:pos="12960"/>
      </w:tabs>
      <w:rPr>
        <w:rFonts w:cs="Calibri"/>
        <w:sz w:val="16"/>
      </w:rPr>
    </w:pPr>
    <w:r w:rsidRPr="009E1AC2">
      <w:rPr>
        <w:rFonts w:cs="Calibri"/>
        <w:sz w:val="16"/>
      </w:rPr>
      <w:fldChar w:fldCharType="begin"/>
    </w:r>
    <w:r w:rsidRPr="009E1AC2">
      <w:rPr>
        <w:rFonts w:cs="Calibri"/>
        <w:sz w:val="16"/>
      </w:rPr>
      <w:instrText xml:space="preserve"> FILENAME   \* MERGEFORMAT </w:instrText>
    </w:r>
    <w:r w:rsidRPr="009E1AC2">
      <w:rPr>
        <w:rFonts w:cs="Calibri"/>
        <w:sz w:val="16"/>
      </w:rPr>
      <w:fldChar w:fldCharType="separate"/>
    </w:r>
    <w:r>
      <w:rPr>
        <w:rFonts w:cs="Calibri"/>
        <w:noProof/>
        <w:sz w:val="16"/>
      </w:rPr>
      <w:t>C-PAR3_Qinghai_SESP_20171127</w:t>
    </w:r>
    <w:r w:rsidRPr="009E1AC2">
      <w:rPr>
        <w:rFonts w:cs="Calibri"/>
        <w:sz w:val="16"/>
      </w:rPr>
      <w:fldChar w:fldCharType="end"/>
    </w:r>
    <w:r>
      <w:rPr>
        <w:rFonts w:cs="Calibri"/>
        <w:sz w:val="16"/>
      </w:rPr>
      <w:tab/>
    </w:r>
    <w:r>
      <w:rPr>
        <w:rFonts w:cs="Calibri"/>
        <w:sz w:val="16"/>
      </w:rPr>
      <w:tab/>
      <w:t xml:space="preserve">Page </w:t>
    </w:r>
    <w:r>
      <w:rPr>
        <w:rFonts w:cs="Calibri"/>
        <w:sz w:val="16"/>
      </w:rPr>
      <w:fldChar w:fldCharType="begin"/>
    </w:r>
    <w:r>
      <w:rPr>
        <w:rFonts w:cs="Calibri"/>
        <w:sz w:val="16"/>
      </w:rPr>
      <w:instrText xml:space="preserve"> PAGE  \* Arabic  \* MERGEFORMAT </w:instrText>
    </w:r>
    <w:r>
      <w:rPr>
        <w:rFonts w:cs="Calibri"/>
        <w:sz w:val="16"/>
      </w:rPr>
      <w:fldChar w:fldCharType="separate"/>
    </w:r>
    <w:r>
      <w:rPr>
        <w:rFonts w:cs="Calibri"/>
        <w:noProof/>
        <w:sz w:val="16"/>
      </w:rPr>
      <w:t>18</w:t>
    </w:r>
    <w:r>
      <w:rPr>
        <w:rFonts w:cs="Calibr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C8E6" w14:textId="77777777" w:rsidR="001E2AAE" w:rsidRPr="009E1AC2" w:rsidRDefault="001E2AAE" w:rsidP="00690363">
    <w:pPr>
      <w:pStyle w:val="Footer"/>
      <w:tabs>
        <w:tab w:val="right" w:pos="12960"/>
      </w:tabs>
      <w:rPr>
        <w:rFonts w:cs="Calibri"/>
        <w:sz w:val="16"/>
      </w:rPr>
    </w:pPr>
    <w:r w:rsidRPr="009E1AC2">
      <w:rPr>
        <w:rFonts w:cs="Calibri"/>
        <w:sz w:val="16"/>
      </w:rPr>
      <w:fldChar w:fldCharType="begin"/>
    </w:r>
    <w:r w:rsidRPr="009E1AC2">
      <w:rPr>
        <w:rFonts w:cs="Calibri"/>
        <w:sz w:val="16"/>
      </w:rPr>
      <w:instrText xml:space="preserve"> FILENAME   \* MERGEFORMAT </w:instrText>
    </w:r>
    <w:r w:rsidRPr="009E1AC2">
      <w:rPr>
        <w:rFonts w:cs="Calibri"/>
        <w:sz w:val="16"/>
      </w:rPr>
      <w:fldChar w:fldCharType="separate"/>
    </w:r>
    <w:r>
      <w:rPr>
        <w:rFonts w:cs="Calibri"/>
        <w:noProof/>
        <w:sz w:val="16"/>
      </w:rPr>
      <w:t>C-PAR3_Qinghai_SESP_20171127</w:t>
    </w:r>
    <w:r w:rsidRPr="009E1AC2">
      <w:rPr>
        <w:rFonts w:cs="Calibri"/>
        <w:sz w:val="16"/>
      </w:rPr>
      <w:fldChar w:fldCharType="end"/>
    </w:r>
    <w:r>
      <w:rPr>
        <w:rFonts w:cs="Calibri"/>
        <w:sz w:val="16"/>
      </w:rPr>
      <w:tab/>
    </w:r>
    <w:r>
      <w:rPr>
        <w:rFonts w:cs="Calibri"/>
        <w:sz w:val="16"/>
      </w:rPr>
      <w:tab/>
      <w:t xml:space="preserve">Page </w:t>
    </w:r>
    <w:r>
      <w:rPr>
        <w:rFonts w:cs="Calibri"/>
        <w:sz w:val="16"/>
      </w:rPr>
      <w:fldChar w:fldCharType="begin"/>
    </w:r>
    <w:r>
      <w:rPr>
        <w:rFonts w:cs="Calibri"/>
        <w:sz w:val="16"/>
      </w:rPr>
      <w:instrText xml:space="preserve"> PAGE  \* Arabic  \* MERGEFORMAT </w:instrText>
    </w:r>
    <w:r>
      <w:rPr>
        <w:rFonts w:cs="Calibri"/>
        <w:sz w:val="16"/>
      </w:rPr>
      <w:fldChar w:fldCharType="separate"/>
    </w:r>
    <w:r>
      <w:rPr>
        <w:rFonts w:cs="Calibri"/>
        <w:noProof/>
        <w:sz w:val="16"/>
      </w:rPr>
      <w:t>25</w:t>
    </w:r>
    <w:r>
      <w:rPr>
        <w:rFonts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95EA" w14:textId="77777777" w:rsidR="00AE4582" w:rsidRDefault="00AE4582" w:rsidP="00170929">
      <w:pPr>
        <w:spacing w:before="0" w:after="0"/>
      </w:pPr>
      <w:r>
        <w:separator/>
      </w:r>
    </w:p>
  </w:footnote>
  <w:footnote w:type="continuationSeparator" w:id="0">
    <w:p w14:paraId="6200DC2C" w14:textId="77777777" w:rsidR="00AE4582" w:rsidRDefault="00AE4582" w:rsidP="00170929">
      <w:pPr>
        <w:spacing w:before="0" w:after="0"/>
      </w:pPr>
      <w:r>
        <w:continuationSeparator/>
      </w:r>
    </w:p>
  </w:footnote>
  <w:footnote w:id="1">
    <w:p w14:paraId="129C5D37" w14:textId="7E030D1C" w:rsidR="001E2AAE" w:rsidRDefault="001E2AAE" w:rsidP="004B499D">
      <w:pPr>
        <w:pStyle w:val="FootnoteText"/>
      </w:pPr>
      <w:r>
        <w:rPr>
          <w:rStyle w:val="FootnoteReference"/>
        </w:rPr>
        <w:footnoteRef/>
      </w:r>
      <w:r>
        <w:t xml:space="preserve"> UNDP SES, page 1</w:t>
      </w:r>
      <w:r>
        <w:rPr>
          <w:rFonts w:hint="eastAsia"/>
          <w:lang w:eastAsia="zh-CN"/>
        </w:rPr>
        <w:t>8</w:t>
      </w:r>
      <w:r>
        <w:t>.</w:t>
      </w:r>
    </w:p>
  </w:footnote>
  <w:footnote w:id="2">
    <w:p w14:paraId="29334C1A" w14:textId="77777777" w:rsidR="001E2AAE" w:rsidRDefault="001E2AAE" w:rsidP="00A53C87">
      <w:pPr>
        <w:pStyle w:val="FootnoteText"/>
        <w:rPr>
          <w:lang w:eastAsia="zh-CN"/>
        </w:rPr>
      </w:pPr>
      <w:r>
        <w:rPr>
          <w:rStyle w:val="FootnoteReference"/>
        </w:rPr>
        <w:footnoteRef/>
      </w:r>
      <w:r>
        <w:t xml:space="preserve"> </w:t>
      </w:r>
      <w:r>
        <w:rPr>
          <w:rFonts w:hint="eastAsia"/>
          <w:lang w:eastAsia="zh-CN"/>
        </w:rPr>
        <w:t>T</w:t>
      </w:r>
      <w:hyperlink r:id="rId1" w:history="1">
        <w:r w:rsidRPr="004E3234">
          <w:rPr>
            <w:rStyle w:val="Hyperlink"/>
            <w:rFonts w:hint="eastAsia"/>
            <w:lang w:eastAsia="zh-CN"/>
          </w:rPr>
          <w:t xml:space="preserve">he State Council: </w:t>
        </w:r>
      </w:hyperlink>
      <w:r>
        <w:rPr>
          <w:rFonts w:hint="eastAsia"/>
          <w:lang w:eastAsia="zh-CN"/>
        </w:rPr>
        <w:t>Regulations on Follow-up Support to People Relocated due to Construction of Large- or M</w:t>
      </w:r>
      <w:r>
        <w:rPr>
          <w:lang w:eastAsia="zh-CN"/>
        </w:rPr>
        <w:t>e</w:t>
      </w:r>
      <w:r>
        <w:rPr>
          <w:rFonts w:hint="eastAsia"/>
          <w:lang w:eastAsia="zh-CN"/>
        </w:rPr>
        <w:t>dium-Size Reservoir</w:t>
      </w:r>
      <w:r>
        <w:rPr>
          <w:lang w:eastAsia="zh-CN"/>
        </w:rPr>
        <w:t>s,</w:t>
      </w:r>
      <w:r>
        <w:rPr>
          <w:rFonts w:hint="eastAsia"/>
          <w:lang w:eastAsia="zh-CN"/>
        </w:rPr>
        <w:t xml:space="preserve"> 17 May 2006. </w:t>
      </w:r>
      <w:r w:rsidRPr="008C79CF">
        <w:t xml:space="preserve"> http://www.gov.cn/gongbao/content/2006/content_389912.htm</w:t>
      </w:r>
      <w:r>
        <w:rPr>
          <w:rFonts w:hint="eastAsia"/>
          <w:lang w:eastAsia="zh-CN"/>
        </w:rPr>
        <w:t xml:space="preserve"> </w:t>
      </w:r>
    </w:p>
  </w:footnote>
  <w:footnote w:id="3">
    <w:p w14:paraId="2FFB3F30" w14:textId="77777777" w:rsidR="001E2AAE" w:rsidRDefault="001E2AAE" w:rsidP="00A53C87">
      <w:pPr>
        <w:pStyle w:val="FootnoteText"/>
      </w:pPr>
      <w:r>
        <w:rPr>
          <w:rStyle w:val="FootnoteReference"/>
        </w:rPr>
        <w:footnoteRef/>
      </w:r>
      <w:r>
        <w:t xml:space="preserve"> Wilmsen, B. 2011. Progress, problems, and prospects of dam-induced displacement and resettlement in China. China Information, Vol. 25(2).</w:t>
      </w:r>
    </w:p>
  </w:footnote>
  <w:footnote w:id="4">
    <w:p w14:paraId="750CEFF3" w14:textId="77777777" w:rsidR="001E2AAE" w:rsidRDefault="001E2AAE" w:rsidP="00A53C87">
      <w:pPr>
        <w:pStyle w:val="FootnoteText"/>
        <w:rPr>
          <w:lang w:eastAsia="zh-CN"/>
        </w:rPr>
      </w:pPr>
      <w:r>
        <w:rPr>
          <w:rStyle w:val="FootnoteReference"/>
        </w:rPr>
        <w:footnoteRef/>
      </w:r>
      <w:r>
        <w:rPr>
          <w:rFonts w:hint="eastAsia"/>
          <w:lang w:eastAsia="zh-CN"/>
        </w:rPr>
        <w:t xml:space="preserve"> State Ethnic Affairs Commission of the People</w:t>
      </w:r>
      <w:r>
        <w:rPr>
          <w:lang w:eastAsia="zh-CN"/>
        </w:rPr>
        <w:t>’</w:t>
      </w:r>
      <w:r>
        <w:rPr>
          <w:rFonts w:hint="eastAsia"/>
          <w:lang w:eastAsia="zh-CN"/>
        </w:rPr>
        <w:t xml:space="preserve">s Republic of China. </w:t>
      </w:r>
      <w:r w:rsidRPr="006C338D">
        <w:rPr>
          <w:rFonts w:cstheme="minorHAnsi"/>
          <w:i/>
        </w:rPr>
        <w:t>Regional Ethnic Autonomy Law</w:t>
      </w:r>
      <w:r>
        <w:rPr>
          <w:rFonts w:cstheme="minorHAnsi" w:hint="eastAsia"/>
          <w:i/>
          <w:lang w:eastAsia="zh-CN"/>
        </w:rPr>
        <w:t xml:space="preserve"> (second amendment)</w:t>
      </w:r>
      <w:r>
        <w:rPr>
          <w:rFonts w:cstheme="minorHAnsi"/>
          <w:i/>
          <w:lang w:eastAsia="zh-CN"/>
        </w:rPr>
        <w:t>,</w:t>
      </w:r>
      <w:r w:rsidRPr="006C338D">
        <w:rPr>
          <w:rFonts w:cstheme="minorHAnsi" w:hint="eastAsia"/>
          <w:lang w:eastAsia="zh-CN"/>
        </w:rPr>
        <w:t xml:space="preserve"> 28 February 2001</w:t>
      </w:r>
      <w:r>
        <w:rPr>
          <w:rFonts w:cstheme="minorHAnsi" w:hint="eastAsia"/>
          <w:i/>
          <w:lang w:eastAsia="zh-CN"/>
        </w:rPr>
        <w:t xml:space="preserve">). </w:t>
      </w:r>
      <w:r w:rsidRPr="006C338D">
        <w:rPr>
          <w:rFonts w:hint="eastAsia"/>
          <w:lang w:eastAsia="zh-CN"/>
        </w:rPr>
        <w:t xml:space="preserve"> </w:t>
      </w:r>
      <w:r w:rsidRPr="006C338D">
        <w:t>http://www.seac.gov.cn/art/2011/6/29/art_4901_128701.html</w:t>
      </w:r>
    </w:p>
  </w:footnote>
  <w:footnote w:id="5">
    <w:p w14:paraId="0C5E40C8" w14:textId="77777777" w:rsidR="001E2AAE" w:rsidRPr="00F8122F" w:rsidRDefault="001E2AAE" w:rsidP="00A53C87">
      <w:pPr>
        <w:pStyle w:val="FootnoteText"/>
        <w:rPr>
          <w:lang w:eastAsia="zh-CN"/>
        </w:rPr>
      </w:pPr>
      <w:r>
        <w:rPr>
          <w:rStyle w:val="FootnoteReference"/>
        </w:rPr>
        <w:footnoteRef/>
      </w:r>
      <w:r>
        <w:t xml:space="preserve"> </w:t>
      </w:r>
      <w:r>
        <w:rPr>
          <w:rFonts w:hint="eastAsia"/>
          <w:lang w:eastAsia="zh-CN"/>
        </w:rPr>
        <w:t xml:space="preserve">General Office of the State Council. </w:t>
      </w:r>
      <w:r w:rsidRPr="00F8122F">
        <w:rPr>
          <w:rFonts w:cstheme="minorHAnsi"/>
          <w:i/>
        </w:rPr>
        <w:t>Rules of the State Council on the implementation of the Law of the People's Republic of China on Regional National Autonomy</w:t>
      </w:r>
      <w:r w:rsidRPr="00F8122F">
        <w:rPr>
          <w:rFonts w:cstheme="minorHAnsi" w:hint="eastAsia"/>
          <w:lang w:eastAsia="zh-CN"/>
        </w:rPr>
        <w:t xml:space="preserve">. </w:t>
      </w:r>
      <w:r w:rsidRPr="00F8122F">
        <w:rPr>
          <w:rFonts w:cstheme="minorHAnsi"/>
          <w:lang w:eastAsia="zh-CN"/>
        </w:rPr>
        <w:t>I</w:t>
      </w:r>
      <w:r w:rsidRPr="00F8122F">
        <w:rPr>
          <w:rFonts w:cstheme="minorHAnsi" w:hint="eastAsia"/>
          <w:lang w:eastAsia="zh-CN"/>
        </w:rPr>
        <w:t xml:space="preserve">ssued on 11 May 2005. </w:t>
      </w:r>
      <w:hyperlink r:id="rId2" w:history="1">
        <w:r w:rsidRPr="00F8122F">
          <w:rPr>
            <w:rStyle w:val="Hyperlink"/>
            <w:rFonts w:cstheme="minorHAnsi"/>
            <w:lang w:eastAsia="zh-CN"/>
          </w:rPr>
          <w:t>http://www.gov.cn/xxgk/pub/govpublic/mrlm/200803/t20080328_31650.html</w:t>
        </w:r>
      </w:hyperlink>
      <w:r>
        <w:rPr>
          <w:rFonts w:cstheme="minorHAnsi" w:hint="eastAsia"/>
          <w:b/>
          <w:lang w:eastAsia="zh-CN"/>
        </w:rPr>
        <w:t xml:space="preserve"> </w:t>
      </w:r>
    </w:p>
  </w:footnote>
  <w:footnote w:id="6">
    <w:p w14:paraId="0ED895FE" w14:textId="77777777" w:rsidR="001E2AAE" w:rsidRDefault="001E2AAE" w:rsidP="009410CE">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3" w:tooltip="Please bookmark us at: www.ifc.org/ehsguidelines" w:history="1">
        <w:r>
          <w:rPr>
            <w:rStyle w:val="Hyperlink"/>
          </w:rPr>
          <w:t>www.ifc.org/ehsguidelines</w:t>
        </w:r>
      </w:hyperlink>
      <w:r>
        <w:t xml:space="preserve">. </w:t>
      </w:r>
    </w:p>
  </w:footnote>
  <w:footnote w:id="7">
    <w:p w14:paraId="25FED7F0" w14:textId="77777777" w:rsidR="001E2AAE" w:rsidRDefault="001E2AAE" w:rsidP="009410CE">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Look w:val="04A0" w:firstRow="1" w:lastRow="0" w:firstColumn="1" w:lastColumn="0" w:noHBand="0" w:noVBand="1"/>
    </w:tblPr>
    <w:tblGrid>
      <w:gridCol w:w="9288"/>
    </w:tblGrid>
    <w:tr w:rsidR="001E2AAE" w:rsidRPr="006767FE" w14:paraId="13415EBA" w14:textId="77777777" w:rsidTr="006767FE">
      <w:trPr>
        <w:trHeight w:val="720"/>
      </w:trPr>
      <w:tc>
        <w:tcPr>
          <w:tcW w:w="9288" w:type="dxa"/>
          <w:shd w:val="clear" w:color="auto" w:fill="auto"/>
        </w:tcPr>
        <w:p w14:paraId="7595EA10" w14:textId="3B5BA705" w:rsidR="001E2AAE" w:rsidRPr="006767FE" w:rsidRDefault="001E2AAE" w:rsidP="005C2431">
          <w:pPr>
            <w:pStyle w:val="Header"/>
            <w:rPr>
              <w:rFonts w:cs="Calibri"/>
              <w:b/>
              <w:i/>
              <w:smallCaps/>
            </w:rPr>
          </w:pPr>
          <w:r w:rsidRPr="005C2431">
            <w:rPr>
              <w:i/>
              <w:iCs/>
            </w:rPr>
            <w:t xml:space="preserve">PIMS </w:t>
          </w:r>
          <w:r>
            <w:rPr>
              <w:i/>
              <w:iCs/>
            </w:rPr>
            <w:t>6618</w:t>
          </w:r>
          <w:r w:rsidRPr="005C2431">
            <w:rPr>
              <w:rFonts w:cs="Calibri"/>
              <w:bCs/>
              <w:i/>
              <w:iCs/>
              <w:color w:val="000000"/>
              <w:lang w:bidi="hi-IN"/>
            </w:rPr>
            <w:t xml:space="preserve"> E</w:t>
          </w:r>
          <w:r w:rsidRPr="006767FE">
            <w:rPr>
              <w:rFonts w:cs="Calibri"/>
              <w:bCs/>
              <w:i/>
              <w:color w:val="000000"/>
              <w:lang w:bidi="hi-IN"/>
            </w:rPr>
            <w:t>nvironmental and Social Management Framework</w:t>
          </w:r>
        </w:p>
      </w:tc>
    </w:tr>
  </w:tbl>
  <w:p w14:paraId="4DDBC33C" w14:textId="77777777" w:rsidR="001E2AAE" w:rsidRPr="006A5608" w:rsidRDefault="001E2AAE" w:rsidP="00170929">
    <w:pPr>
      <w:pStyle w:val="Header"/>
      <w:tabs>
        <w:tab w:val="clear" w:pos="9406"/>
        <w:tab w:val="right" w:pos="9000"/>
      </w:tabs>
      <w:rPr>
        <w:sz w:val="14"/>
      </w:rPr>
    </w:pPr>
  </w:p>
  <w:p w14:paraId="02DDC172" w14:textId="77777777" w:rsidR="001E2AAE" w:rsidRDefault="001E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1722246"/>
    <w:multiLevelType w:val="hybridMultilevel"/>
    <w:tmpl w:val="2D1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57CBC"/>
    <w:multiLevelType w:val="hybridMultilevel"/>
    <w:tmpl w:val="5FCA27C8"/>
    <w:lvl w:ilvl="0" w:tplc="04090017">
      <w:start w:val="1"/>
      <w:numFmt w:val="lowerLetter"/>
      <w:lvlText w:val="%1)"/>
      <w:lvlJc w:val="left"/>
      <w:pPr>
        <w:ind w:left="36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B1D09"/>
    <w:multiLevelType w:val="hybridMultilevel"/>
    <w:tmpl w:val="4B3C9CC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8C478E1"/>
    <w:multiLevelType w:val="hybridMultilevel"/>
    <w:tmpl w:val="63843AF0"/>
    <w:lvl w:ilvl="0" w:tplc="793ECE14">
      <w:start w:val="1"/>
      <w:numFmt w:val="lowerRoman"/>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DF3FCA"/>
    <w:multiLevelType w:val="hybridMultilevel"/>
    <w:tmpl w:val="D462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DC18CC"/>
    <w:multiLevelType w:val="hybridMultilevel"/>
    <w:tmpl w:val="E4D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74CD4"/>
    <w:multiLevelType w:val="hybridMultilevel"/>
    <w:tmpl w:val="675CC8CC"/>
    <w:lvl w:ilvl="0" w:tplc="04090001">
      <w:start w:val="1"/>
      <w:numFmt w:val="bullet"/>
      <w:lvlText w:val=""/>
      <w:lvlJc w:val="left"/>
      <w:pPr>
        <w:ind w:left="132" w:hanging="360"/>
      </w:pPr>
      <w:rPr>
        <w:rFonts w:ascii="Symbol" w:hAnsi="Symbol" w:hint="default"/>
      </w:rPr>
    </w:lvl>
    <w:lvl w:ilvl="1" w:tplc="04090003">
      <w:start w:val="1"/>
      <w:numFmt w:val="bullet"/>
      <w:lvlText w:val="o"/>
      <w:lvlJc w:val="left"/>
      <w:pPr>
        <w:ind w:left="852" w:hanging="360"/>
      </w:pPr>
      <w:rPr>
        <w:rFonts w:ascii="Courier New" w:hAnsi="Courier New" w:cs="Courier New" w:hint="default"/>
      </w:rPr>
    </w:lvl>
    <w:lvl w:ilvl="2" w:tplc="04090005">
      <w:start w:val="1"/>
      <w:numFmt w:val="bullet"/>
      <w:lvlText w:val=""/>
      <w:lvlJc w:val="left"/>
      <w:pPr>
        <w:ind w:left="1572" w:hanging="360"/>
      </w:pPr>
      <w:rPr>
        <w:rFonts w:ascii="Wingdings" w:hAnsi="Wingdings" w:hint="default"/>
      </w:rPr>
    </w:lvl>
    <w:lvl w:ilvl="3" w:tplc="04090001">
      <w:start w:val="1"/>
      <w:numFmt w:val="bullet"/>
      <w:lvlText w:val=""/>
      <w:lvlJc w:val="left"/>
      <w:pPr>
        <w:ind w:left="2292" w:hanging="360"/>
      </w:pPr>
      <w:rPr>
        <w:rFonts w:ascii="Symbol" w:hAnsi="Symbol" w:hint="default"/>
      </w:rPr>
    </w:lvl>
    <w:lvl w:ilvl="4" w:tplc="04090003">
      <w:start w:val="1"/>
      <w:numFmt w:val="bullet"/>
      <w:lvlText w:val="o"/>
      <w:lvlJc w:val="left"/>
      <w:pPr>
        <w:ind w:left="3012" w:hanging="360"/>
      </w:pPr>
      <w:rPr>
        <w:rFonts w:ascii="Courier New" w:hAnsi="Courier New" w:cs="Courier New" w:hint="default"/>
      </w:rPr>
    </w:lvl>
    <w:lvl w:ilvl="5" w:tplc="04090005">
      <w:start w:val="1"/>
      <w:numFmt w:val="bullet"/>
      <w:lvlText w:val=""/>
      <w:lvlJc w:val="left"/>
      <w:pPr>
        <w:ind w:left="3732" w:hanging="360"/>
      </w:pPr>
      <w:rPr>
        <w:rFonts w:ascii="Wingdings" w:hAnsi="Wingdings" w:hint="default"/>
      </w:rPr>
    </w:lvl>
    <w:lvl w:ilvl="6" w:tplc="04090001">
      <w:start w:val="1"/>
      <w:numFmt w:val="bullet"/>
      <w:lvlText w:val=""/>
      <w:lvlJc w:val="left"/>
      <w:pPr>
        <w:ind w:left="4452" w:hanging="360"/>
      </w:pPr>
      <w:rPr>
        <w:rFonts w:ascii="Symbol" w:hAnsi="Symbol" w:hint="default"/>
      </w:rPr>
    </w:lvl>
    <w:lvl w:ilvl="7" w:tplc="04090003">
      <w:start w:val="1"/>
      <w:numFmt w:val="bullet"/>
      <w:lvlText w:val="o"/>
      <w:lvlJc w:val="left"/>
      <w:pPr>
        <w:ind w:left="5172" w:hanging="360"/>
      </w:pPr>
      <w:rPr>
        <w:rFonts w:ascii="Courier New" w:hAnsi="Courier New" w:cs="Courier New" w:hint="default"/>
      </w:rPr>
    </w:lvl>
    <w:lvl w:ilvl="8" w:tplc="04090005">
      <w:start w:val="1"/>
      <w:numFmt w:val="bullet"/>
      <w:lvlText w:val=""/>
      <w:lvlJc w:val="left"/>
      <w:pPr>
        <w:ind w:left="5892" w:hanging="360"/>
      </w:pPr>
      <w:rPr>
        <w:rFonts w:ascii="Wingdings" w:hAnsi="Wingdings" w:hint="default"/>
      </w:rPr>
    </w:lvl>
  </w:abstractNum>
  <w:abstractNum w:abstractNumId="1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2CA083B"/>
    <w:multiLevelType w:val="hybridMultilevel"/>
    <w:tmpl w:val="D034F9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5161784"/>
    <w:multiLevelType w:val="hybridMultilevel"/>
    <w:tmpl w:val="D05C0644"/>
    <w:lvl w:ilvl="0" w:tplc="977A985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3C6F73"/>
    <w:multiLevelType w:val="hybridMultilevel"/>
    <w:tmpl w:val="AC8CE9A0"/>
    <w:lvl w:ilvl="0" w:tplc="20782532">
      <w:start w:val="1"/>
      <w:numFmt w:val="lowerLetter"/>
      <w:lvlText w:val="%1)"/>
      <w:lvlJc w:val="left"/>
      <w:pPr>
        <w:ind w:left="360" w:hanging="360"/>
      </w:pPr>
      <w:rPr>
        <w:rFonts w:hint="default"/>
      </w:rPr>
    </w:lvl>
    <w:lvl w:ilvl="1" w:tplc="A4CCB5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70078D"/>
    <w:multiLevelType w:val="hybridMultilevel"/>
    <w:tmpl w:val="11BE02F8"/>
    <w:lvl w:ilvl="0" w:tplc="D430D8BA">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F94566"/>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016E7"/>
    <w:multiLevelType w:val="hybridMultilevel"/>
    <w:tmpl w:val="000ABC7E"/>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A769F"/>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23717"/>
    <w:multiLevelType w:val="hybridMultilevel"/>
    <w:tmpl w:val="5B52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D5210"/>
    <w:multiLevelType w:val="hybridMultilevel"/>
    <w:tmpl w:val="3C9C9E40"/>
    <w:lvl w:ilvl="0" w:tplc="A19440C6">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1" w15:restartNumberingAfterBreak="0">
    <w:nsid w:val="32657B0B"/>
    <w:multiLevelType w:val="hybridMultilevel"/>
    <w:tmpl w:val="25C07B12"/>
    <w:lvl w:ilvl="0" w:tplc="F1C6016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BE2F57"/>
    <w:multiLevelType w:val="hybridMultilevel"/>
    <w:tmpl w:val="BD641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94424EF"/>
    <w:multiLevelType w:val="hybridMultilevel"/>
    <w:tmpl w:val="77043410"/>
    <w:lvl w:ilvl="0" w:tplc="B712B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宋体" w:hAnsi="Arial" w:cs="Cordia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B091A"/>
    <w:multiLevelType w:val="hybridMultilevel"/>
    <w:tmpl w:val="BD563AAA"/>
    <w:lvl w:ilvl="0" w:tplc="0409000F">
      <w:start w:val="1"/>
      <w:numFmt w:val="decimal"/>
      <w:lvlText w:val="%1."/>
      <w:lvlJc w:val="left"/>
      <w:pPr>
        <w:ind w:left="333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1356F1"/>
    <w:multiLevelType w:val="hybridMultilevel"/>
    <w:tmpl w:val="316207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972EE"/>
    <w:multiLevelType w:val="hybridMultilevel"/>
    <w:tmpl w:val="C6F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0D7A96"/>
    <w:multiLevelType w:val="hybridMultilevel"/>
    <w:tmpl w:val="399C7EE6"/>
    <w:lvl w:ilvl="0" w:tplc="D4ECD83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8120B8"/>
    <w:multiLevelType w:val="hybridMultilevel"/>
    <w:tmpl w:val="E6A61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D35F9"/>
    <w:multiLevelType w:val="hybridMultilevel"/>
    <w:tmpl w:val="84426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3536E3"/>
    <w:multiLevelType w:val="hybridMultilevel"/>
    <w:tmpl w:val="BCD2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6310"/>
    <w:multiLevelType w:val="hybridMultilevel"/>
    <w:tmpl w:val="2D6E36D8"/>
    <w:lvl w:ilvl="0" w:tplc="35B6FB5A">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40109"/>
    <w:multiLevelType w:val="hybridMultilevel"/>
    <w:tmpl w:val="A3AA5C6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380534"/>
    <w:multiLevelType w:val="hybridMultilevel"/>
    <w:tmpl w:val="B5200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CB3A5A"/>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6"/>
  </w:num>
  <w:num w:numId="4">
    <w:abstractNumId w:val="2"/>
  </w:num>
  <w:num w:numId="5">
    <w:abstractNumId w:val="17"/>
  </w:num>
  <w:num w:numId="6">
    <w:abstractNumId w:val="15"/>
  </w:num>
  <w:num w:numId="7">
    <w:abstractNumId w:val="9"/>
  </w:num>
  <w:num w:numId="8">
    <w:abstractNumId w:val="39"/>
  </w:num>
  <w:num w:numId="9">
    <w:abstractNumId w:val="31"/>
  </w:num>
  <w:num w:numId="10">
    <w:abstractNumId w:val="13"/>
  </w:num>
  <w:num w:numId="11">
    <w:abstractNumId w:val="33"/>
  </w:num>
  <w:num w:numId="12">
    <w:abstractNumId w:val="34"/>
  </w:num>
  <w:num w:numId="13">
    <w:abstractNumId w:val="19"/>
  </w:num>
  <w:num w:numId="14">
    <w:abstractNumId w:val="3"/>
  </w:num>
  <w:num w:numId="15">
    <w:abstractNumId w:val="1"/>
  </w:num>
  <w:num w:numId="16">
    <w:abstractNumId w:val="27"/>
  </w:num>
  <w:num w:numId="17">
    <w:abstractNumId w:val="8"/>
  </w:num>
  <w:num w:numId="18">
    <w:abstractNumId w:val="0"/>
  </w:num>
  <w:num w:numId="19">
    <w:abstractNumId w:val="25"/>
  </w:num>
  <w:num w:numId="20">
    <w:abstractNumId w:val="35"/>
  </w:num>
  <w:num w:numId="21">
    <w:abstractNumId w:val="10"/>
  </w:num>
  <w:num w:numId="22">
    <w:abstractNumId w:val="40"/>
  </w:num>
  <w:num w:numId="23">
    <w:abstractNumId w:val="37"/>
  </w:num>
  <w:num w:numId="24">
    <w:abstractNumId w:val="41"/>
  </w:num>
  <w:num w:numId="25">
    <w:abstractNumId w:val="7"/>
  </w:num>
  <w:num w:numId="26">
    <w:abstractNumId w:val="18"/>
  </w:num>
  <w:num w:numId="27">
    <w:abstractNumId w:val="16"/>
  </w:num>
  <w:num w:numId="28">
    <w:abstractNumId w:val="30"/>
  </w:num>
  <w:num w:numId="29">
    <w:abstractNumId w:val="4"/>
  </w:num>
  <w:num w:numId="30">
    <w:abstractNumId w:val="11"/>
  </w:num>
  <w:num w:numId="31">
    <w:abstractNumId w:val="38"/>
  </w:num>
  <w:num w:numId="32">
    <w:abstractNumId w:val="14"/>
  </w:num>
  <w:num w:numId="33">
    <w:abstractNumId w:val="36"/>
  </w:num>
  <w:num w:numId="34">
    <w:abstractNumId w:val="12"/>
  </w:num>
  <w:num w:numId="35">
    <w:abstractNumId w:val="21"/>
  </w:num>
  <w:num w:numId="36">
    <w:abstractNumId w:val="28"/>
  </w:num>
  <w:num w:numId="37">
    <w:abstractNumId w:val="5"/>
  </w:num>
  <w:num w:numId="38">
    <w:abstractNumId w:val="20"/>
  </w:num>
  <w:num w:numId="39">
    <w:abstractNumId w:val="26"/>
  </w:num>
  <w:num w:numId="40">
    <w:abstractNumId w:val="24"/>
  </w:num>
  <w:num w:numId="41">
    <w:abstractNumId w:val="22"/>
  </w:num>
  <w:num w:numId="42">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tjSzMLE0NTQ1NzZS0lEKTi0uzszPAykwrwUAP/CbNSwAAAA="/>
  </w:docVars>
  <w:rsids>
    <w:rsidRoot w:val="00CD177B"/>
    <w:rsid w:val="00000222"/>
    <w:rsid w:val="000070B8"/>
    <w:rsid w:val="000125D8"/>
    <w:rsid w:val="000137B9"/>
    <w:rsid w:val="00013A86"/>
    <w:rsid w:val="000153E5"/>
    <w:rsid w:val="00015767"/>
    <w:rsid w:val="00020FFD"/>
    <w:rsid w:val="000217CF"/>
    <w:rsid w:val="000220E5"/>
    <w:rsid w:val="00022D4D"/>
    <w:rsid w:val="0002376D"/>
    <w:rsid w:val="00024977"/>
    <w:rsid w:val="00025B89"/>
    <w:rsid w:val="00026A2D"/>
    <w:rsid w:val="00026A59"/>
    <w:rsid w:val="0002722E"/>
    <w:rsid w:val="0003206D"/>
    <w:rsid w:val="000379C7"/>
    <w:rsid w:val="00040A9A"/>
    <w:rsid w:val="00041F98"/>
    <w:rsid w:val="0005177C"/>
    <w:rsid w:val="00051912"/>
    <w:rsid w:val="00052E75"/>
    <w:rsid w:val="000530C9"/>
    <w:rsid w:val="00055B15"/>
    <w:rsid w:val="00055CC7"/>
    <w:rsid w:val="00056384"/>
    <w:rsid w:val="000565AA"/>
    <w:rsid w:val="0005745B"/>
    <w:rsid w:val="000603CE"/>
    <w:rsid w:val="000614F4"/>
    <w:rsid w:val="00061961"/>
    <w:rsid w:val="000641E0"/>
    <w:rsid w:val="000644F8"/>
    <w:rsid w:val="00071F8B"/>
    <w:rsid w:val="00074FBC"/>
    <w:rsid w:val="0007593F"/>
    <w:rsid w:val="000907EB"/>
    <w:rsid w:val="00093AB8"/>
    <w:rsid w:val="00096772"/>
    <w:rsid w:val="00097215"/>
    <w:rsid w:val="000976CA"/>
    <w:rsid w:val="000A1F3F"/>
    <w:rsid w:val="000A39C0"/>
    <w:rsid w:val="000A4045"/>
    <w:rsid w:val="000A63D3"/>
    <w:rsid w:val="000B1D74"/>
    <w:rsid w:val="000B36A8"/>
    <w:rsid w:val="000B48A2"/>
    <w:rsid w:val="000C0B84"/>
    <w:rsid w:val="000C1864"/>
    <w:rsid w:val="000C3A72"/>
    <w:rsid w:val="000C5B67"/>
    <w:rsid w:val="000C6B9E"/>
    <w:rsid w:val="000C754B"/>
    <w:rsid w:val="000D2668"/>
    <w:rsid w:val="000D290C"/>
    <w:rsid w:val="000D5A58"/>
    <w:rsid w:val="000D694D"/>
    <w:rsid w:val="000D6F7B"/>
    <w:rsid w:val="000D7686"/>
    <w:rsid w:val="000E4737"/>
    <w:rsid w:val="000F15A6"/>
    <w:rsid w:val="000F1797"/>
    <w:rsid w:val="000F1E9C"/>
    <w:rsid w:val="000F1F38"/>
    <w:rsid w:val="000F644A"/>
    <w:rsid w:val="00102BDD"/>
    <w:rsid w:val="0010707F"/>
    <w:rsid w:val="00110E26"/>
    <w:rsid w:val="0011340A"/>
    <w:rsid w:val="00113EB6"/>
    <w:rsid w:val="001155FD"/>
    <w:rsid w:val="0011615D"/>
    <w:rsid w:val="00120C76"/>
    <w:rsid w:val="00121BF3"/>
    <w:rsid w:val="00121FD9"/>
    <w:rsid w:val="0012274B"/>
    <w:rsid w:val="00122A40"/>
    <w:rsid w:val="00123C06"/>
    <w:rsid w:val="001251BA"/>
    <w:rsid w:val="0012556E"/>
    <w:rsid w:val="00125EF5"/>
    <w:rsid w:val="00126E4E"/>
    <w:rsid w:val="00132A47"/>
    <w:rsid w:val="00132E65"/>
    <w:rsid w:val="00133DCC"/>
    <w:rsid w:val="001344F6"/>
    <w:rsid w:val="00134F8E"/>
    <w:rsid w:val="00137428"/>
    <w:rsid w:val="00142125"/>
    <w:rsid w:val="00142DC9"/>
    <w:rsid w:val="00144344"/>
    <w:rsid w:val="00146573"/>
    <w:rsid w:val="001504A7"/>
    <w:rsid w:val="00151032"/>
    <w:rsid w:val="001519C4"/>
    <w:rsid w:val="00152683"/>
    <w:rsid w:val="00154160"/>
    <w:rsid w:val="001571A3"/>
    <w:rsid w:val="00161A4A"/>
    <w:rsid w:val="00161E82"/>
    <w:rsid w:val="00163D90"/>
    <w:rsid w:val="00164D9B"/>
    <w:rsid w:val="00166EC6"/>
    <w:rsid w:val="001700B9"/>
    <w:rsid w:val="00170631"/>
    <w:rsid w:val="00170929"/>
    <w:rsid w:val="001709F1"/>
    <w:rsid w:val="00170A4F"/>
    <w:rsid w:val="0017729B"/>
    <w:rsid w:val="0018082D"/>
    <w:rsid w:val="0018220D"/>
    <w:rsid w:val="00182CBE"/>
    <w:rsid w:val="00182E75"/>
    <w:rsid w:val="00184420"/>
    <w:rsid w:val="001854E3"/>
    <w:rsid w:val="00187159"/>
    <w:rsid w:val="00194C9D"/>
    <w:rsid w:val="001950C0"/>
    <w:rsid w:val="00196659"/>
    <w:rsid w:val="00197159"/>
    <w:rsid w:val="00197C21"/>
    <w:rsid w:val="001A3792"/>
    <w:rsid w:val="001A4E4B"/>
    <w:rsid w:val="001A5D8A"/>
    <w:rsid w:val="001B10E4"/>
    <w:rsid w:val="001B19F3"/>
    <w:rsid w:val="001B1D4F"/>
    <w:rsid w:val="001B1F06"/>
    <w:rsid w:val="001B35DC"/>
    <w:rsid w:val="001C180F"/>
    <w:rsid w:val="001C3204"/>
    <w:rsid w:val="001C3389"/>
    <w:rsid w:val="001C3B79"/>
    <w:rsid w:val="001D0A06"/>
    <w:rsid w:val="001D158A"/>
    <w:rsid w:val="001D3027"/>
    <w:rsid w:val="001D398A"/>
    <w:rsid w:val="001D5258"/>
    <w:rsid w:val="001D6616"/>
    <w:rsid w:val="001E2AAE"/>
    <w:rsid w:val="001E2F17"/>
    <w:rsid w:val="001E3EB3"/>
    <w:rsid w:val="001E72FB"/>
    <w:rsid w:val="001F085F"/>
    <w:rsid w:val="001F14B2"/>
    <w:rsid w:val="001F2701"/>
    <w:rsid w:val="001F5875"/>
    <w:rsid w:val="001F5DF3"/>
    <w:rsid w:val="001F7BBB"/>
    <w:rsid w:val="00206632"/>
    <w:rsid w:val="0021126A"/>
    <w:rsid w:val="00211823"/>
    <w:rsid w:val="00211C75"/>
    <w:rsid w:val="00216E02"/>
    <w:rsid w:val="00220158"/>
    <w:rsid w:val="00221880"/>
    <w:rsid w:val="00224410"/>
    <w:rsid w:val="00226426"/>
    <w:rsid w:val="00227232"/>
    <w:rsid w:val="00227335"/>
    <w:rsid w:val="00230BC2"/>
    <w:rsid w:val="002324ED"/>
    <w:rsid w:val="00233B1E"/>
    <w:rsid w:val="002350F3"/>
    <w:rsid w:val="00243600"/>
    <w:rsid w:val="002467DF"/>
    <w:rsid w:val="002477FF"/>
    <w:rsid w:val="002478C5"/>
    <w:rsid w:val="002513D5"/>
    <w:rsid w:val="00254232"/>
    <w:rsid w:val="00254879"/>
    <w:rsid w:val="00254B06"/>
    <w:rsid w:val="00254E20"/>
    <w:rsid w:val="0026066C"/>
    <w:rsid w:val="002606B5"/>
    <w:rsid w:val="00270346"/>
    <w:rsid w:val="00276834"/>
    <w:rsid w:val="00280A35"/>
    <w:rsid w:val="00280F70"/>
    <w:rsid w:val="002872B2"/>
    <w:rsid w:val="00287430"/>
    <w:rsid w:val="00287DDF"/>
    <w:rsid w:val="002926C0"/>
    <w:rsid w:val="0029458D"/>
    <w:rsid w:val="00296E36"/>
    <w:rsid w:val="002A0380"/>
    <w:rsid w:val="002A5A0B"/>
    <w:rsid w:val="002A697A"/>
    <w:rsid w:val="002A7BF5"/>
    <w:rsid w:val="002B2636"/>
    <w:rsid w:val="002B2D66"/>
    <w:rsid w:val="002B4FF5"/>
    <w:rsid w:val="002B791E"/>
    <w:rsid w:val="002C173B"/>
    <w:rsid w:val="002C35F5"/>
    <w:rsid w:val="002C3832"/>
    <w:rsid w:val="002C4FBC"/>
    <w:rsid w:val="002C5E06"/>
    <w:rsid w:val="002D0946"/>
    <w:rsid w:val="002D18C8"/>
    <w:rsid w:val="002D57AC"/>
    <w:rsid w:val="002E1E1C"/>
    <w:rsid w:val="002F3B8F"/>
    <w:rsid w:val="002F551B"/>
    <w:rsid w:val="002F58B3"/>
    <w:rsid w:val="002F58BE"/>
    <w:rsid w:val="00300439"/>
    <w:rsid w:val="0030137D"/>
    <w:rsid w:val="003035CC"/>
    <w:rsid w:val="00304FB5"/>
    <w:rsid w:val="00304FFB"/>
    <w:rsid w:val="00307983"/>
    <w:rsid w:val="00310ED2"/>
    <w:rsid w:val="00311FBE"/>
    <w:rsid w:val="003128FF"/>
    <w:rsid w:val="00312983"/>
    <w:rsid w:val="00312C5D"/>
    <w:rsid w:val="003130F1"/>
    <w:rsid w:val="00315536"/>
    <w:rsid w:val="00316C26"/>
    <w:rsid w:val="003206BF"/>
    <w:rsid w:val="00321132"/>
    <w:rsid w:val="0032341D"/>
    <w:rsid w:val="003253AF"/>
    <w:rsid w:val="003275C1"/>
    <w:rsid w:val="00327FB3"/>
    <w:rsid w:val="0033291B"/>
    <w:rsid w:val="00332EFB"/>
    <w:rsid w:val="00336259"/>
    <w:rsid w:val="00340099"/>
    <w:rsid w:val="003434BA"/>
    <w:rsid w:val="003448C1"/>
    <w:rsid w:val="00345CA1"/>
    <w:rsid w:val="00345E10"/>
    <w:rsid w:val="00350C74"/>
    <w:rsid w:val="0035201D"/>
    <w:rsid w:val="00352C67"/>
    <w:rsid w:val="00355E0F"/>
    <w:rsid w:val="00360C9B"/>
    <w:rsid w:val="00363C90"/>
    <w:rsid w:val="00363DAE"/>
    <w:rsid w:val="0036517D"/>
    <w:rsid w:val="00365282"/>
    <w:rsid w:val="00370A89"/>
    <w:rsid w:val="00370CD7"/>
    <w:rsid w:val="00371D8E"/>
    <w:rsid w:val="003721A6"/>
    <w:rsid w:val="00373FBA"/>
    <w:rsid w:val="00374F30"/>
    <w:rsid w:val="00376E85"/>
    <w:rsid w:val="00381438"/>
    <w:rsid w:val="0038774B"/>
    <w:rsid w:val="00391839"/>
    <w:rsid w:val="0039373A"/>
    <w:rsid w:val="00395758"/>
    <w:rsid w:val="003959FA"/>
    <w:rsid w:val="00397424"/>
    <w:rsid w:val="003A03B3"/>
    <w:rsid w:val="003A0E5F"/>
    <w:rsid w:val="003A1FF7"/>
    <w:rsid w:val="003B0C1B"/>
    <w:rsid w:val="003B12F8"/>
    <w:rsid w:val="003B2555"/>
    <w:rsid w:val="003B5A45"/>
    <w:rsid w:val="003C40D5"/>
    <w:rsid w:val="003C59F0"/>
    <w:rsid w:val="003D16B6"/>
    <w:rsid w:val="003D46B6"/>
    <w:rsid w:val="003D4890"/>
    <w:rsid w:val="003D73BF"/>
    <w:rsid w:val="003E06A7"/>
    <w:rsid w:val="003E120F"/>
    <w:rsid w:val="003E208B"/>
    <w:rsid w:val="003E4792"/>
    <w:rsid w:val="003E7020"/>
    <w:rsid w:val="003E7799"/>
    <w:rsid w:val="003F05B0"/>
    <w:rsid w:val="003F216B"/>
    <w:rsid w:val="003F3FFF"/>
    <w:rsid w:val="003F4641"/>
    <w:rsid w:val="00402404"/>
    <w:rsid w:val="004035EF"/>
    <w:rsid w:val="0041196E"/>
    <w:rsid w:val="00413803"/>
    <w:rsid w:val="00416039"/>
    <w:rsid w:val="00420A86"/>
    <w:rsid w:val="00421EFC"/>
    <w:rsid w:val="004226C8"/>
    <w:rsid w:val="00422F2E"/>
    <w:rsid w:val="004236D8"/>
    <w:rsid w:val="00426BC6"/>
    <w:rsid w:val="004304DE"/>
    <w:rsid w:val="004346EF"/>
    <w:rsid w:val="004373C6"/>
    <w:rsid w:val="004378C4"/>
    <w:rsid w:val="00437F16"/>
    <w:rsid w:val="004421D1"/>
    <w:rsid w:val="004429DF"/>
    <w:rsid w:val="00442DDE"/>
    <w:rsid w:val="00443282"/>
    <w:rsid w:val="00443306"/>
    <w:rsid w:val="00443D4B"/>
    <w:rsid w:val="00447349"/>
    <w:rsid w:val="00447D4A"/>
    <w:rsid w:val="00452A0D"/>
    <w:rsid w:val="0045465E"/>
    <w:rsid w:val="00457381"/>
    <w:rsid w:val="004604D1"/>
    <w:rsid w:val="00460CA2"/>
    <w:rsid w:val="004619B6"/>
    <w:rsid w:val="00461ECD"/>
    <w:rsid w:val="00463F49"/>
    <w:rsid w:val="00464CFD"/>
    <w:rsid w:val="004708BF"/>
    <w:rsid w:val="004732F6"/>
    <w:rsid w:val="0047423B"/>
    <w:rsid w:val="00475538"/>
    <w:rsid w:val="004832AC"/>
    <w:rsid w:val="00484D31"/>
    <w:rsid w:val="004862F3"/>
    <w:rsid w:val="00490326"/>
    <w:rsid w:val="00490563"/>
    <w:rsid w:val="00491CC0"/>
    <w:rsid w:val="00493185"/>
    <w:rsid w:val="004936E7"/>
    <w:rsid w:val="00493725"/>
    <w:rsid w:val="00494C5B"/>
    <w:rsid w:val="00495370"/>
    <w:rsid w:val="00495D11"/>
    <w:rsid w:val="004A1708"/>
    <w:rsid w:val="004A22BA"/>
    <w:rsid w:val="004A35C9"/>
    <w:rsid w:val="004A4D01"/>
    <w:rsid w:val="004B499D"/>
    <w:rsid w:val="004B728E"/>
    <w:rsid w:val="004C0578"/>
    <w:rsid w:val="004C1158"/>
    <w:rsid w:val="004C27FC"/>
    <w:rsid w:val="004C38B1"/>
    <w:rsid w:val="004D04DD"/>
    <w:rsid w:val="004D05D1"/>
    <w:rsid w:val="004D1A8C"/>
    <w:rsid w:val="004D2CB3"/>
    <w:rsid w:val="004D3C7F"/>
    <w:rsid w:val="004D4888"/>
    <w:rsid w:val="004D591C"/>
    <w:rsid w:val="004D7781"/>
    <w:rsid w:val="004E127A"/>
    <w:rsid w:val="004E187B"/>
    <w:rsid w:val="004E25DF"/>
    <w:rsid w:val="004E3BA6"/>
    <w:rsid w:val="004E5488"/>
    <w:rsid w:val="004E5CF5"/>
    <w:rsid w:val="004F5195"/>
    <w:rsid w:val="004F6442"/>
    <w:rsid w:val="004F679C"/>
    <w:rsid w:val="004F78D5"/>
    <w:rsid w:val="0050014B"/>
    <w:rsid w:val="0050318D"/>
    <w:rsid w:val="005058EA"/>
    <w:rsid w:val="005079AD"/>
    <w:rsid w:val="00507F00"/>
    <w:rsid w:val="00510C36"/>
    <w:rsid w:val="00512945"/>
    <w:rsid w:val="00512F93"/>
    <w:rsid w:val="005138FE"/>
    <w:rsid w:val="005163AC"/>
    <w:rsid w:val="00522ABB"/>
    <w:rsid w:val="00522E1B"/>
    <w:rsid w:val="00523356"/>
    <w:rsid w:val="00526DE7"/>
    <w:rsid w:val="00537551"/>
    <w:rsid w:val="00537738"/>
    <w:rsid w:val="0053799D"/>
    <w:rsid w:val="00537A9E"/>
    <w:rsid w:val="0054058C"/>
    <w:rsid w:val="00540C11"/>
    <w:rsid w:val="0054131F"/>
    <w:rsid w:val="0054186B"/>
    <w:rsid w:val="00542499"/>
    <w:rsid w:val="00545303"/>
    <w:rsid w:val="00554251"/>
    <w:rsid w:val="00557418"/>
    <w:rsid w:val="0055789E"/>
    <w:rsid w:val="00557C0F"/>
    <w:rsid w:val="00560B58"/>
    <w:rsid w:val="00564192"/>
    <w:rsid w:val="00565F01"/>
    <w:rsid w:val="00566E01"/>
    <w:rsid w:val="00572D91"/>
    <w:rsid w:val="00574F6D"/>
    <w:rsid w:val="00575FB8"/>
    <w:rsid w:val="005767D3"/>
    <w:rsid w:val="005802F6"/>
    <w:rsid w:val="00582EE2"/>
    <w:rsid w:val="0058500E"/>
    <w:rsid w:val="00585045"/>
    <w:rsid w:val="0058520B"/>
    <w:rsid w:val="005900C9"/>
    <w:rsid w:val="00591CE6"/>
    <w:rsid w:val="0059355D"/>
    <w:rsid w:val="00597E09"/>
    <w:rsid w:val="005A0004"/>
    <w:rsid w:val="005A10A0"/>
    <w:rsid w:val="005A392F"/>
    <w:rsid w:val="005A3FBB"/>
    <w:rsid w:val="005A443B"/>
    <w:rsid w:val="005A7D7B"/>
    <w:rsid w:val="005B199D"/>
    <w:rsid w:val="005B3FE1"/>
    <w:rsid w:val="005B41A2"/>
    <w:rsid w:val="005B6C7C"/>
    <w:rsid w:val="005B7029"/>
    <w:rsid w:val="005C06F1"/>
    <w:rsid w:val="005C10EA"/>
    <w:rsid w:val="005C2431"/>
    <w:rsid w:val="005C2797"/>
    <w:rsid w:val="005C3D7B"/>
    <w:rsid w:val="005D2049"/>
    <w:rsid w:val="005D480A"/>
    <w:rsid w:val="005E02A8"/>
    <w:rsid w:val="005E284C"/>
    <w:rsid w:val="005E2A6E"/>
    <w:rsid w:val="005E3F07"/>
    <w:rsid w:val="005E4849"/>
    <w:rsid w:val="005E48FF"/>
    <w:rsid w:val="005E6F6E"/>
    <w:rsid w:val="005E6F89"/>
    <w:rsid w:val="005F6177"/>
    <w:rsid w:val="005F687C"/>
    <w:rsid w:val="005F6CA1"/>
    <w:rsid w:val="005F6E84"/>
    <w:rsid w:val="00600B61"/>
    <w:rsid w:val="00604584"/>
    <w:rsid w:val="00605857"/>
    <w:rsid w:val="00606440"/>
    <w:rsid w:val="006068CB"/>
    <w:rsid w:val="00606E2F"/>
    <w:rsid w:val="00611873"/>
    <w:rsid w:val="00611C0B"/>
    <w:rsid w:val="00621849"/>
    <w:rsid w:val="00632815"/>
    <w:rsid w:val="0063456D"/>
    <w:rsid w:val="0064167D"/>
    <w:rsid w:val="00641D77"/>
    <w:rsid w:val="006456AD"/>
    <w:rsid w:val="00645F1A"/>
    <w:rsid w:val="0064674C"/>
    <w:rsid w:val="00647839"/>
    <w:rsid w:val="0065078B"/>
    <w:rsid w:val="0066041A"/>
    <w:rsid w:val="00663AD2"/>
    <w:rsid w:val="006640D6"/>
    <w:rsid w:val="00666505"/>
    <w:rsid w:val="00670C8D"/>
    <w:rsid w:val="00670F30"/>
    <w:rsid w:val="006727E2"/>
    <w:rsid w:val="006755DB"/>
    <w:rsid w:val="006767FE"/>
    <w:rsid w:val="0067716F"/>
    <w:rsid w:val="00681736"/>
    <w:rsid w:val="00681E6C"/>
    <w:rsid w:val="006820B5"/>
    <w:rsid w:val="0068325E"/>
    <w:rsid w:val="006844E5"/>
    <w:rsid w:val="00684D4D"/>
    <w:rsid w:val="00687B81"/>
    <w:rsid w:val="00690363"/>
    <w:rsid w:val="006933BE"/>
    <w:rsid w:val="006941E2"/>
    <w:rsid w:val="00694702"/>
    <w:rsid w:val="0069653F"/>
    <w:rsid w:val="006967AD"/>
    <w:rsid w:val="00697CC1"/>
    <w:rsid w:val="006A0DEE"/>
    <w:rsid w:val="006A61C7"/>
    <w:rsid w:val="006B3903"/>
    <w:rsid w:val="006B44D8"/>
    <w:rsid w:val="006B7799"/>
    <w:rsid w:val="006B79D4"/>
    <w:rsid w:val="006C52B8"/>
    <w:rsid w:val="006C642C"/>
    <w:rsid w:val="006D0939"/>
    <w:rsid w:val="006D2604"/>
    <w:rsid w:val="006D3825"/>
    <w:rsid w:val="006D4B7B"/>
    <w:rsid w:val="006D5182"/>
    <w:rsid w:val="006D7B3B"/>
    <w:rsid w:val="006E5603"/>
    <w:rsid w:val="006E6217"/>
    <w:rsid w:val="006E6770"/>
    <w:rsid w:val="006E7419"/>
    <w:rsid w:val="006F0476"/>
    <w:rsid w:val="006F048A"/>
    <w:rsid w:val="006F2F51"/>
    <w:rsid w:val="006F4F31"/>
    <w:rsid w:val="006F7496"/>
    <w:rsid w:val="006F76F2"/>
    <w:rsid w:val="007002F4"/>
    <w:rsid w:val="00701893"/>
    <w:rsid w:val="0070250E"/>
    <w:rsid w:val="00704B9C"/>
    <w:rsid w:val="0070717D"/>
    <w:rsid w:val="00707436"/>
    <w:rsid w:val="0070747F"/>
    <w:rsid w:val="007076F4"/>
    <w:rsid w:val="007141DD"/>
    <w:rsid w:val="00714C55"/>
    <w:rsid w:val="00720861"/>
    <w:rsid w:val="00726D2D"/>
    <w:rsid w:val="007324D3"/>
    <w:rsid w:val="00732748"/>
    <w:rsid w:val="00734E09"/>
    <w:rsid w:val="007365AC"/>
    <w:rsid w:val="00736E30"/>
    <w:rsid w:val="007410CD"/>
    <w:rsid w:val="00742F91"/>
    <w:rsid w:val="00743C3E"/>
    <w:rsid w:val="007469A9"/>
    <w:rsid w:val="00746A92"/>
    <w:rsid w:val="00746B4C"/>
    <w:rsid w:val="00750AC7"/>
    <w:rsid w:val="00751351"/>
    <w:rsid w:val="00752016"/>
    <w:rsid w:val="00754EAF"/>
    <w:rsid w:val="007621D0"/>
    <w:rsid w:val="00762792"/>
    <w:rsid w:val="00767C1A"/>
    <w:rsid w:val="007710AC"/>
    <w:rsid w:val="00772A4C"/>
    <w:rsid w:val="007740BA"/>
    <w:rsid w:val="007744D6"/>
    <w:rsid w:val="00774BD9"/>
    <w:rsid w:val="007756E1"/>
    <w:rsid w:val="00776672"/>
    <w:rsid w:val="00776FD3"/>
    <w:rsid w:val="00780F78"/>
    <w:rsid w:val="007852F9"/>
    <w:rsid w:val="007879E1"/>
    <w:rsid w:val="00793B90"/>
    <w:rsid w:val="007942D4"/>
    <w:rsid w:val="00796F2A"/>
    <w:rsid w:val="007973A9"/>
    <w:rsid w:val="007977FB"/>
    <w:rsid w:val="007A002A"/>
    <w:rsid w:val="007A1450"/>
    <w:rsid w:val="007A1F4F"/>
    <w:rsid w:val="007A3612"/>
    <w:rsid w:val="007A42EE"/>
    <w:rsid w:val="007A447A"/>
    <w:rsid w:val="007A5B4B"/>
    <w:rsid w:val="007A7C77"/>
    <w:rsid w:val="007B18EF"/>
    <w:rsid w:val="007B2B68"/>
    <w:rsid w:val="007B491B"/>
    <w:rsid w:val="007B62C8"/>
    <w:rsid w:val="007B6D6C"/>
    <w:rsid w:val="007C09C7"/>
    <w:rsid w:val="007C5C26"/>
    <w:rsid w:val="007D3EF5"/>
    <w:rsid w:val="007D501C"/>
    <w:rsid w:val="007D67D8"/>
    <w:rsid w:val="007E68B7"/>
    <w:rsid w:val="007F3DCC"/>
    <w:rsid w:val="007F7715"/>
    <w:rsid w:val="00803177"/>
    <w:rsid w:val="0080572F"/>
    <w:rsid w:val="00807153"/>
    <w:rsid w:val="008119E9"/>
    <w:rsid w:val="00812761"/>
    <w:rsid w:val="00814E0E"/>
    <w:rsid w:val="00815660"/>
    <w:rsid w:val="0081681A"/>
    <w:rsid w:val="00817259"/>
    <w:rsid w:val="008206BD"/>
    <w:rsid w:val="00823F4A"/>
    <w:rsid w:val="00824FCD"/>
    <w:rsid w:val="00825C17"/>
    <w:rsid w:val="00826E11"/>
    <w:rsid w:val="00832A8B"/>
    <w:rsid w:val="008351D0"/>
    <w:rsid w:val="0083524C"/>
    <w:rsid w:val="00836CA9"/>
    <w:rsid w:val="0083706C"/>
    <w:rsid w:val="00841388"/>
    <w:rsid w:val="00842643"/>
    <w:rsid w:val="00846684"/>
    <w:rsid w:val="0084736F"/>
    <w:rsid w:val="00855A38"/>
    <w:rsid w:val="00856B52"/>
    <w:rsid w:val="008577E4"/>
    <w:rsid w:val="00861798"/>
    <w:rsid w:val="00861B58"/>
    <w:rsid w:val="008636BF"/>
    <w:rsid w:val="0086490B"/>
    <w:rsid w:val="0086589B"/>
    <w:rsid w:val="00870682"/>
    <w:rsid w:val="008709B7"/>
    <w:rsid w:val="00870B72"/>
    <w:rsid w:val="00870E85"/>
    <w:rsid w:val="008713C8"/>
    <w:rsid w:val="0088369D"/>
    <w:rsid w:val="00884260"/>
    <w:rsid w:val="00886C98"/>
    <w:rsid w:val="00893B27"/>
    <w:rsid w:val="008960B8"/>
    <w:rsid w:val="008A0BA2"/>
    <w:rsid w:val="008A0E4A"/>
    <w:rsid w:val="008A259B"/>
    <w:rsid w:val="008A388B"/>
    <w:rsid w:val="008A4304"/>
    <w:rsid w:val="008B0658"/>
    <w:rsid w:val="008B0925"/>
    <w:rsid w:val="008B4741"/>
    <w:rsid w:val="008B68CB"/>
    <w:rsid w:val="008C34F2"/>
    <w:rsid w:val="008C36D0"/>
    <w:rsid w:val="008C4B4B"/>
    <w:rsid w:val="008C52AD"/>
    <w:rsid w:val="008C65B2"/>
    <w:rsid w:val="008C7D23"/>
    <w:rsid w:val="008D202A"/>
    <w:rsid w:val="008D3117"/>
    <w:rsid w:val="008D32E7"/>
    <w:rsid w:val="008D36AF"/>
    <w:rsid w:val="008D6ED9"/>
    <w:rsid w:val="008D7954"/>
    <w:rsid w:val="008E0FD3"/>
    <w:rsid w:val="008E5DB9"/>
    <w:rsid w:val="008E6296"/>
    <w:rsid w:val="008E7B79"/>
    <w:rsid w:val="008F2D0D"/>
    <w:rsid w:val="008F2F1D"/>
    <w:rsid w:val="008F525D"/>
    <w:rsid w:val="008F5B2D"/>
    <w:rsid w:val="009018CF"/>
    <w:rsid w:val="0090388D"/>
    <w:rsid w:val="00911748"/>
    <w:rsid w:val="00914CD8"/>
    <w:rsid w:val="00915086"/>
    <w:rsid w:val="00916ACC"/>
    <w:rsid w:val="009217CA"/>
    <w:rsid w:val="009251F9"/>
    <w:rsid w:val="00926486"/>
    <w:rsid w:val="00926BB4"/>
    <w:rsid w:val="009322A4"/>
    <w:rsid w:val="009322CE"/>
    <w:rsid w:val="0093399A"/>
    <w:rsid w:val="009410CE"/>
    <w:rsid w:val="009418DE"/>
    <w:rsid w:val="009448A8"/>
    <w:rsid w:val="00950896"/>
    <w:rsid w:val="00950B83"/>
    <w:rsid w:val="00951E9D"/>
    <w:rsid w:val="009522CA"/>
    <w:rsid w:val="00954D66"/>
    <w:rsid w:val="00955701"/>
    <w:rsid w:val="0095667A"/>
    <w:rsid w:val="00956E90"/>
    <w:rsid w:val="0096084A"/>
    <w:rsid w:val="00960DA1"/>
    <w:rsid w:val="00961810"/>
    <w:rsid w:val="0097107A"/>
    <w:rsid w:val="009745AA"/>
    <w:rsid w:val="00980C88"/>
    <w:rsid w:val="00980CFF"/>
    <w:rsid w:val="00981A64"/>
    <w:rsid w:val="00982546"/>
    <w:rsid w:val="00982B0E"/>
    <w:rsid w:val="009840FD"/>
    <w:rsid w:val="00986D3A"/>
    <w:rsid w:val="009874BD"/>
    <w:rsid w:val="009875D6"/>
    <w:rsid w:val="009924CA"/>
    <w:rsid w:val="0099400C"/>
    <w:rsid w:val="0099608B"/>
    <w:rsid w:val="009A180D"/>
    <w:rsid w:val="009A2418"/>
    <w:rsid w:val="009A3F9C"/>
    <w:rsid w:val="009A6392"/>
    <w:rsid w:val="009A74F3"/>
    <w:rsid w:val="009A77E2"/>
    <w:rsid w:val="009A79F2"/>
    <w:rsid w:val="009B2C76"/>
    <w:rsid w:val="009B513B"/>
    <w:rsid w:val="009B538A"/>
    <w:rsid w:val="009B595C"/>
    <w:rsid w:val="009B6CEB"/>
    <w:rsid w:val="009C18DD"/>
    <w:rsid w:val="009C34F6"/>
    <w:rsid w:val="009C396E"/>
    <w:rsid w:val="009D03D7"/>
    <w:rsid w:val="009D19B4"/>
    <w:rsid w:val="009D2F57"/>
    <w:rsid w:val="009D3195"/>
    <w:rsid w:val="009D42AC"/>
    <w:rsid w:val="009D5F08"/>
    <w:rsid w:val="009D6396"/>
    <w:rsid w:val="009D7036"/>
    <w:rsid w:val="009E03B0"/>
    <w:rsid w:val="009E0896"/>
    <w:rsid w:val="009E10B2"/>
    <w:rsid w:val="009E1545"/>
    <w:rsid w:val="009E23E6"/>
    <w:rsid w:val="009E287E"/>
    <w:rsid w:val="009E4353"/>
    <w:rsid w:val="009E53E3"/>
    <w:rsid w:val="009F0FEE"/>
    <w:rsid w:val="009F1270"/>
    <w:rsid w:val="009F275B"/>
    <w:rsid w:val="009F2E6A"/>
    <w:rsid w:val="009F510C"/>
    <w:rsid w:val="009F5AD1"/>
    <w:rsid w:val="00A0225D"/>
    <w:rsid w:val="00A05614"/>
    <w:rsid w:val="00A0584F"/>
    <w:rsid w:val="00A06E52"/>
    <w:rsid w:val="00A07654"/>
    <w:rsid w:val="00A13495"/>
    <w:rsid w:val="00A14E38"/>
    <w:rsid w:val="00A201DB"/>
    <w:rsid w:val="00A2095F"/>
    <w:rsid w:val="00A211F6"/>
    <w:rsid w:val="00A25297"/>
    <w:rsid w:val="00A26F34"/>
    <w:rsid w:val="00A27238"/>
    <w:rsid w:val="00A31140"/>
    <w:rsid w:val="00A31794"/>
    <w:rsid w:val="00A3359F"/>
    <w:rsid w:val="00A3495C"/>
    <w:rsid w:val="00A37134"/>
    <w:rsid w:val="00A42DA1"/>
    <w:rsid w:val="00A4469F"/>
    <w:rsid w:val="00A456E5"/>
    <w:rsid w:val="00A46BCA"/>
    <w:rsid w:val="00A5034B"/>
    <w:rsid w:val="00A52CC2"/>
    <w:rsid w:val="00A53C87"/>
    <w:rsid w:val="00A63A31"/>
    <w:rsid w:val="00A65408"/>
    <w:rsid w:val="00A70B75"/>
    <w:rsid w:val="00A75578"/>
    <w:rsid w:val="00A75E60"/>
    <w:rsid w:val="00A76EAF"/>
    <w:rsid w:val="00A77F1C"/>
    <w:rsid w:val="00A80685"/>
    <w:rsid w:val="00A8172F"/>
    <w:rsid w:val="00A84577"/>
    <w:rsid w:val="00A853E6"/>
    <w:rsid w:val="00A85B85"/>
    <w:rsid w:val="00A867EF"/>
    <w:rsid w:val="00A94505"/>
    <w:rsid w:val="00A94C0F"/>
    <w:rsid w:val="00AA0633"/>
    <w:rsid w:val="00AA424A"/>
    <w:rsid w:val="00AA4CD8"/>
    <w:rsid w:val="00AA4F99"/>
    <w:rsid w:val="00AA64A0"/>
    <w:rsid w:val="00AB594A"/>
    <w:rsid w:val="00AB6053"/>
    <w:rsid w:val="00AC0322"/>
    <w:rsid w:val="00AC0561"/>
    <w:rsid w:val="00AC2F3E"/>
    <w:rsid w:val="00AC51EC"/>
    <w:rsid w:val="00AC785C"/>
    <w:rsid w:val="00AD2CBB"/>
    <w:rsid w:val="00AD4308"/>
    <w:rsid w:val="00AD66EB"/>
    <w:rsid w:val="00AD6D31"/>
    <w:rsid w:val="00AE0467"/>
    <w:rsid w:val="00AE07F2"/>
    <w:rsid w:val="00AE0CD8"/>
    <w:rsid w:val="00AE4582"/>
    <w:rsid w:val="00AE5CAF"/>
    <w:rsid w:val="00AE78DF"/>
    <w:rsid w:val="00AF296C"/>
    <w:rsid w:val="00AF2FB6"/>
    <w:rsid w:val="00AF42B4"/>
    <w:rsid w:val="00AF7124"/>
    <w:rsid w:val="00AF78E4"/>
    <w:rsid w:val="00B002EE"/>
    <w:rsid w:val="00B0088E"/>
    <w:rsid w:val="00B015C9"/>
    <w:rsid w:val="00B03112"/>
    <w:rsid w:val="00B04A62"/>
    <w:rsid w:val="00B054D6"/>
    <w:rsid w:val="00B055E7"/>
    <w:rsid w:val="00B112DD"/>
    <w:rsid w:val="00B13821"/>
    <w:rsid w:val="00B13EAD"/>
    <w:rsid w:val="00B17FB5"/>
    <w:rsid w:val="00B20497"/>
    <w:rsid w:val="00B20DCD"/>
    <w:rsid w:val="00B22CFF"/>
    <w:rsid w:val="00B24B1F"/>
    <w:rsid w:val="00B26FCA"/>
    <w:rsid w:val="00B2748B"/>
    <w:rsid w:val="00B34762"/>
    <w:rsid w:val="00B362E0"/>
    <w:rsid w:val="00B375D6"/>
    <w:rsid w:val="00B40F8C"/>
    <w:rsid w:val="00B40FAE"/>
    <w:rsid w:val="00B41A58"/>
    <w:rsid w:val="00B449C8"/>
    <w:rsid w:val="00B541BC"/>
    <w:rsid w:val="00B5423B"/>
    <w:rsid w:val="00B56255"/>
    <w:rsid w:val="00B56DEB"/>
    <w:rsid w:val="00B64363"/>
    <w:rsid w:val="00B65516"/>
    <w:rsid w:val="00B7111B"/>
    <w:rsid w:val="00B73128"/>
    <w:rsid w:val="00B74342"/>
    <w:rsid w:val="00B769FE"/>
    <w:rsid w:val="00B8066C"/>
    <w:rsid w:val="00B824E6"/>
    <w:rsid w:val="00B82D32"/>
    <w:rsid w:val="00B849E5"/>
    <w:rsid w:val="00B92765"/>
    <w:rsid w:val="00B97C73"/>
    <w:rsid w:val="00BA0F43"/>
    <w:rsid w:val="00BA11F7"/>
    <w:rsid w:val="00BA12C8"/>
    <w:rsid w:val="00BA1F0C"/>
    <w:rsid w:val="00BA39D7"/>
    <w:rsid w:val="00BA3A65"/>
    <w:rsid w:val="00BA5790"/>
    <w:rsid w:val="00BA6346"/>
    <w:rsid w:val="00BA6E5E"/>
    <w:rsid w:val="00BB11DA"/>
    <w:rsid w:val="00BB2DEE"/>
    <w:rsid w:val="00BB3323"/>
    <w:rsid w:val="00BB3DF6"/>
    <w:rsid w:val="00BB429C"/>
    <w:rsid w:val="00BB6A51"/>
    <w:rsid w:val="00BC2DD6"/>
    <w:rsid w:val="00BC3CAB"/>
    <w:rsid w:val="00BC58D9"/>
    <w:rsid w:val="00BD4131"/>
    <w:rsid w:val="00BE0B60"/>
    <w:rsid w:val="00BE1638"/>
    <w:rsid w:val="00BE449C"/>
    <w:rsid w:val="00BE47D1"/>
    <w:rsid w:val="00BE7F71"/>
    <w:rsid w:val="00BF1377"/>
    <w:rsid w:val="00BF206A"/>
    <w:rsid w:val="00BF47CC"/>
    <w:rsid w:val="00BF7E31"/>
    <w:rsid w:val="00C00F31"/>
    <w:rsid w:val="00C024E7"/>
    <w:rsid w:val="00C03941"/>
    <w:rsid w:val="00C03C32"/>
    <w:rsid w:val="00C1475F"/>
    <w:rsid w:val="00C14AB2"/>
    <w:rsid w:val="00C15486"/>
    <w:rsid w:val="00C21DC1"/>
    <w:rsid w:val="00C22479"/>
    <w:rsid w:val="00C237AC"/>
    <w:rsid w:val="00C237F7"/>
    <w:rsid w:val="00C243F1"/>
    <w:rsid w:val="00C25016"/>
    <w:rsid w:val="00C3006B"/>
    <w:rsid w:val="00C30651"/>
    <w:rsid w:val="00C323C5"/>
    <w:rsid w:val="00C32A8C"/>
    <w:rsid w:val="00C3604B"/>
    <w:rsid w:val="00C37C6B"/>
    <w:rsid w:val="00C46E29"/>
    <w:rsid w:val="00C50E57"/>
    <w:rsid w:val="00C515DB"/>
    <w:rsid w:val="00C51A46"/>
    <w:rsid w:val="00C6092A"/>
    <w:rsid w:val="00C63B3A"/>
    <w:rsid w:val="00C66F10"/>
    <w:rsid w:val="00C7044D"/>
    <w:rsid w:val="00C739CA"/>
    <w:rsid w:val="00C7429F"/>
    <w:rsid w:val="00C7566D"/>
    <w:rsid w:val="00C7567D"/>
    <w:rsid w:val="00C76C86"/>
    <w:rsid w:val="00C8110F"/>
    <w:rsid w:val="00C859DB"/>
    <w:rsid w:val="00C8679E"/>
    <w:rsid w:val="00C87973"/>
    <w:rsid w:val="00C92B77"/>
    <w:rsid w:val="00C93C05"/>
    <w:rsid w:val="00C96163"/>
    <w:rsid w:val="00C96687"/>
    <w:rsid w:val="00CA0E55"/>
    <w:rsid w:val="00CA266A"/>
    <w:rsid w:val="00CA32DD"/>
    <w:rsid w:val="00CA3964"/>
    <w:rsid w:val="00CA492D"/>
    <w:rsid w:val="00CA4A64"/>
    <w:rsid w:val="00CA7D6A"/>
    <w:rsid w:val="00CB0FEE"/>
    <w:rsid w:val="00CB1D0A"/>
    <w:rsid w:val="00CB6881"/>
    <w:rsid w:val="00CC0137"/>
    <w:rsid w:val="00CC7898"/>
    <w:rsid w:val="00CD177B"/>
    <w:rsid w:val="00CD1C00"/>
    <w:rsid w:val="00CD46A6"/>
    <w:rsid w:val="00CD55A0"/>
    <w:rsid w:val="00CD5835"/>
    <w:rsid w:val="00CD5C72"/>
    <w:rsid w:val="00CE1AD2"/>
    <w:rsid w:val="00CE2343"/>
    <w:rsid w:val="00CE286E"/>
    <w:rsid w:val="00CF2C69"/>
    <w:rsid w:val="00CF39A5"/>
    <w:rsid w:val="00CF3B7A"/>
    <w:rsid w:val="00D004F9"/>
    <w:rsid w:val="00D005DC"/>
    <w:rsid w:val="00D009CD"/>
    <w:rsid w:val="00D01373"/>
    <w:rsid w:val="00D02F68"/>
    <w:rsid w:val="00D0407E"/>
    <w:rsid w:val="00D05B43"/>
    <w:rsid w:val="00D06146"/>
    <w:rsid w:val="00D10F81"/>
    <w:rsid w:val="00D11269"/>
    <w:rsid w:val="00D1141F"/>
    <w:rsid w:val="00D16E1B"/>
    <w:rsid w:val="00D2157C"/>
    <w:rsid w:val="00D251A4"/>
    <w:rsid w:val="00D2581F"/>
    <w:rsid w:val="00D27637"/>
    <w:rsid w:val="00D31975"/>
    <w:rsid w:val="00D31A5D"/>
    <w:rsid w:val="00D34FB4"/>
    <w:rsid w:val="00D37538"/>
    <w:rsid w:val="00D431D6"/>
    <w:rsid w:val="00D4547F"/>
    <w:rsid w:val="00D45526"/>
    <w:rsid w:val="00D46876"/>
    <w:rsid w:val="00D4706C"/>
    <w:rsid w:val="00D511E3"/>
    <w:rsid w:val="00D55B77"/>
    <w:rsid w:val="00D613EC"/>
    <w:rsid w:val="00D6243A"/>
    <w:rsid w:val="00D6249B"/>
    <w:rsid w:val="00D6750E"/>
    <w:rsid w:val="00D7027A"/>
    <w:rsid w:val="00D72B4A"/>
    <w:rsid w:val="00D72DA7"/>
    <w:rsid w:val="00D75E09"/>
    <w:rsid w:val="00D75F93"/>
    <w:rsid w:val="00D77025"/>
    <w:rsid w:val="00D8222B"/>
    <w:rsid w:val="00D83FDD"/>
    <w:rsid w:val="00D85745"/>
    <w:rsid w:val="00D92028"/>
    <w:rsid w:val="00D92334"/>
    <w:rsid w:val="00DA024A"/>
    <w:rsid w:val="00DA087A"/>
    <w:rsid w:val="00DA0A33"/>
    <w:rsid w:val="00DA3E45"/>
    <w:rsid w:val="00DA40F8"/>
    <w:rsid w:val="00DB0E65"/>
    <w:rsid w:val="00DB4082"/>
    <w:rsid w:val="00DB4BA9"/>
    <w:rsid w:val="00DB701F"/>
    <w:rsid w:val="00DC0AE6"/>
    <w:rsid w:val="00DC2CFD"/>
    <w:rsid w:val="00DC44AA"/>
    <w:rsid w:val="00DD110C"/>
    <w:rsid w:val="00DD1379"/>
    <w:rsid w:val="00DD15CD"/>
    <w:rsid w:val="00DD25E3"/>
    <w:rsid w:val="00DD2E2F"/>
    <w:rsid w:val="00DD3B27"/>
    <w:rsid w:val="00DD6332"/>
    <w:rsid w:val="00DD6D2A"/>
    <w:rsid w:val="00DE2579"/>
    <w:rsid w:val="00DE2B62"/>
    <w:rsid w:val="00DE76F4"/>
    <w:rsid w:val="00E03F76"/>
    <w:rsid w:val="00E04851"/>
    <w:rsid w:val="00E050BB"/>
    <w:rsid w:val="00E07780"/>
    <w:rsid w:val="00E11FD3"/>
    <w:rsid w:val="00E12612"/>
    <w:rsid w:val="00E14220"/>
    <w:rsid w:val="00E228A9"/>
    <w:rsid w:val="00E256D3"/>
    <w:rsid w:val="00E260B5"/>
    <w:rsid w:val="00E307C6"/>
    <w:rsid w:val="00E3116A"/>
    <w:rsid w:val="00E35090"/>
    <w:rsid w:val="00E367A9"/>
    <w:rsid w:val="00E377D5"/>
    <w:rsid w:val="00E41B66"/>
    <w:rsid w:val="00E420D9"/>
    <w:rsid w:val="00E42322"/>
    <w:rsid w:val="00E44BC4"/>
    <w:rsid w:val="00E561B7"/>
    <w:rsid w:val="00E56659"/>
    <w:rsid w:val="00E605D5"/>
    <w:rsid w:val="00E6284E"/>
    <w:rsid w:val="00E63EE3"/>
    <w:rsid w:val="00E66FB5"/>
    <w:rsid w:val="00E75D68"/>
    <w:rsid w:val="00E76A2C"/>
    <w:rsid w:val="00E804ED"/>
    <w:rsid w:val="00E85040"/>
    <w:rsid w:val="00E91E05"/>
    <w:rsid w:val="00E93CA4"/>
    <w:rsid w:val="00EA082C"/>
    <w:rsid w:val="00EA4CE1"/>
    <w:rsid w:val="00EA7BE0"/>
    <w:rsid w:val="00EB09E9"/>
    <w:rsid w:val="00EB10C3"/>
    <w:rsid w:val="00EB1A4D"/>
    <w:rsid w:val="00EB26B1"/>
    <w:rsid w:val="00EB2F83"/>
    <w:rsid w:val="00EB35FA"/>
    <w:rsid w:val="00EC120A"/>
    <w:rsid w:val="00EC32AE"/>
    <w:rsid w:val="00EC37B3"/>
    <w:rsid w:val="00EC6AF9"/>
    <w:rsid w:val="00EC7751"/>
    <w:rsid w:val="00ED000C"/>
    <w:rsid w:val="00ED20F7"/>
    <w:rsid w:val="00ED3087"/>
    <w:rsid w:val="00ED58B1"/>
    <w:rsid w:val="00ED71FF"/>
    <w:rsid w:val="00EE0E7A"/>
    <w:rsid w:val="00EE27F1"/>
    <w:rsid w:val="00EE4570"/>
    <w:rsid w:val="00EE4FD3"/>
    <w:rsid w:val="00EF11FB"/>
    <w:rsid w:val="00EF26FF"/>
    <w:rsid w:val="00EF4B03"/>
    <w:rsid w:val="00EF65F6"/>
    <w:rsid w:val="00EF6F26"/>
    <w:rsid w:val="00EF7AAC"/>
    <w:rsid w:val="00F00A6E"/>
    <w:rsid w:val="00F025B3"/>
    <w:rsid w:val="00F02E18"/>
    <w:rsid w:val="00F07FFE"/>
    <w:rsid w:val="00F12B36"/>
    <w:rsid w:val="00F148FA"/>
    <w:rsid w:val="00F17A83"/>
    <w:rsid w:val="00F2466C"/>
    <w:rsid w:val="00F27DA2"/>
    <w:rsid w:val="00F305D0"/>
    <w:rsid w:val="00F31F8D"/>
    <w:rsid w:val="00F34C10"/>
    <w:rsid w:val="00F35E61"/>
    <w:rsid w:val="00F3799C"/>
    <w:rsid w:val="00F37ACA"/>
    <w:rsid w:val="00F40134"/>
    <w:rsid w:val="00F415A0"/>
    <w:rsid w:val="00F42046"/>
    <w:rsid w:val="00F421F2"/>
    <w:rsid w:val="00F42F8A"/>
    <w:rsid w:val="00F43926"/>
    <w:rsid w:val="00F4509B"/>
    <w:rsid w:val="00F45410"/>
    <w:rsid w:val="00F51197"/>
    <w:rsid w:val="00F52D98"/>
    <w:rsid w:val="00F5445E"/>
    <w:rsid w:val="00F56B4D"/>
    <w:rsid w:val="00F60283"/>
    <w:rsid w:val="00F667E4"/>
    <w:rsid w:val="00F73B0E"/>
    <w:rsid w:val="00F82DE1"/>
    <w:rsid w:val="00F833FE"/>
    <w:rsid w:val="00F8374C"/>
    <w:rsid w:val="00F8510C"/>
    <w:rsid w:val="00F92983"/>
    <w:rsid w:val="00F92EA6"/>
    <w:rsid w:val="00F9792A"/>
    <w:rsid w:val="00FA3C09"/>
    <w:rsid w:val="00FB224C"/>
    <w:rsid w:val="00FB388E"/>
    <w:rsid w:val="00FB7063"/>
    <w:rsid w:val="00FB79D6"/>
    <w:rsid w:val="00FC0712"/>
    <w:rsid w:val="00FC137A"/>
    <w:rsid w:val="00FC4335"/>
    <w:rsid w:val="00FC537F"/>
    <w:rsid w:val="00FC6DD3"/>
    <w:rsid w:val="00FC7D7C"/>
    <w:rsid w:val="00FD0843"/>
    <w:rsid w:val="00FD0BB6"/>
    <w:rsid w:val="00FD46A3"/>
    <w:rsid w:val="00FD4BE6"/>
    <w:rsid w:val="00FD5C58"/>
    <w:rsid w:val="00FD5C90"/>
    <w:rsid w:val="00FD6001"/>
    <w:rsid w:val="00FD70F6"/>
    <w:rsid w:val="00FE193A"/>
    <w:rsid w:val="00FE32B2"/>
    <w:rsid w:val="00FE415B"/>
    <w:rsid w:val="00FF0872"/>
    <w:rsid w:val="00FF6145"/>
    <w:rsid w:val="014433D2"/>
    <w:rsid w:val="04DE3E6B"/>
    <w:rsid w:val="0702FF90"/>
    <w:rsid w:val="0C866BA7"/>
    <w:rsid w:val="21C273B4"/>
    <w:rsid w:val="224A9B2A"/>
    <w:rsid w:val="37A3F979"/>
    <w:rsid w:val="3806F899"/>
    <w:rsid w:val="4A575F99"/>
    <w:rsid w:val="55041F22"/>
    <w:rsid w:val="6327614C"/>
    <w:rsid w:val="6ACF8E88"/>
    <w:rsid w:val="6F282195"/>
    <w:rsid w:val="7D1BC47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F9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ordia New"/>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D98"/>
    <w:pPr>
      <w:spacing w:before="120" w:after="120"/>
      <w:jc w:val="both"/>
    </w:pPr>
    <w:rPr>
      <w:szCs w:val="22"/>
      <w:lang w:val="en-GB" w:eastAsia="en-US"/>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cs="Angsana New"/>
      <w:b/>
      <w:bCs/>
      <w:color w:val="365F91"/>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cs="Angsana New"/>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cs="Angsana New"/>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Cambria" w:hAnsi="Cambria" w:cs="Angsana New"/>
      <w:b/>
      <w:bCs/>
      <w:i/>
      <w:iCs/>
      <w:color w:val="4F81BD"/>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Cambria" w:hAnsi="Cambria" w:cs="Angsana New"/>
      <w:color w:val="243F60"/>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Cambria" w:hAnsi="Cambria" w:cs="Angsana New"/>
      <w:i/>
      <w:iCs/>
      <w:color w:val="243F60"/>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Cambria" w:hAnsi="Cambria" w:cs="Angsana New"/>
      <w:i/>
      <w:iCs/>
      <w:color w:val="404040"/>
    </w:rPr>
  </w:style>
  <w:style w:type="paragraph" w:styleId="Heading8">
    <w:name w:val="heading 8"/>
    <w:basedOn w:val="Normal"/>
    <w:next w:val="Normal"/>
    <w:link w:val="Heading8Char"/>
    <w:uiPriority w:val="9"/>
    <w:semiHidden/>
    <w:unhideWhenUsed/>
    <w:qFormat/>
    <w:rsid w:val="00956E90"/>
    <w:pPr>
      <w:keepNext/>
      <w:keepLines/>
      <w:numPr>
        <w:ilvl w:val="7"/>
        <w:numId w:val="1"/>
      </w:numPr>
      <w:spacing w:before="200" w:after="0"/>
      <w:outlineLvl w:val="7"/>
    </w:pPr>
    <w:rPr>
      <w:rFonts w:ascii="Cambria" w:hAnsi="Cambria" w:cs="Angsana New"/>
      <w:color w:val="404040"/>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Cambria" w:hAnsi="Cambria" w:cs="Angsana New"/>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1EFC"/>
    <w:rPr>
      <w:rFonts w:eastAsia="宋体" w:cs="Angsana New"/>
      <w:b/>
      <w:bCs/>
      <w:color w:val="365F91"/>
      <w:sz w:val="28"/>
      <w:szCs w:val="28"/>
      <w:lang w:val="en-GB"/>
    </w:rPr>
  </w:style>
  <w:style w:type="character" w:customStyle="1" w:styleId="Heading2Char">
    <w:name w:val="Heading 2 Char"/>
    <w:link w:val="Heading2"/>
    <w:uiPriority w:val="9"/>
    <w:rsid w:val="00421EFC"/>
    <w:rPr>
      <w:rFonts w:eastAsia="宋体" w:cs="Angsana New"/>
      <w:b/>
      <w:bCs/>
      <w:sz w:val="24"/>
      <w:szCs w:val="26"/>
      <w:lang w:val="en-GB"/>
    </w:rPr>
  </w:style>
  <w:style w:type="character" w:customStyle="1" w:styleId="Heading3Char">
    <w:name w:val="Heading 3 Char"/>
    <w:link w:val="Heading3"/>
    <w:uiPriority w:val="9"/>
    <w:rsid w:val="008E7B79"/>
    <w:rPr>
      <w:rFonts w:eastAsia="宋体" w:cs="Angsana New"/>
      <w:b/>
      <w:bCs/>
      <w:sz w:val="20"/>
      <w:lang w:val="en-GB"/>
    </w:rPr>
  </w:style>
  <w:style w:type="character" w:customStyle="1" w:styleId="Heading4Char">
    <w:name w:val="Heading 4 Char"/>
    <w:link w:val="Heading4"/>
    <w:uiPriority w:val="9"/>
    <w:rsid w:val="00956E90"/>
    <w:rPr>
      <w:rFonts w:ascii="Cambria" w:eastAsia="宋体" w:hAnsi="Cambria" w:cs="Angsana New"/>
      <w:b/>
      <w:bCs/>
      <w:i/>
      <w:iCs/>
      <w:color w:val="4F81BD"/>
      <w:sz w:val="20"/>
      <w:lang w:val="en-GB"/>
    </w:rPr>
  </w:style>
  <w:style w:type="character" w:customStyle="1" w:styleId="Heading5Char">
    <w:name w:val="Heading 5 Char"/>
    <w:link w:val="Heading5"/>
    <w:uiPriority w:val="9"/>
    <w:semiHidden/>
    <w:rsid w:val="00956E90"/>
    <w:rPr>
      <w:rFonts w:ascii="Cambria" w:eastAsia="宋体" w:hAnsi="Cambria" w:cs="Angsana New"/>
      <w:color w:val="243F60"/>
      <w:sz w:val="20"/>
      <w:lang w:val="en-GB"/>
    </w:rPr>
  </w:style>
  <w:style w:type="character" w:customStyle="1" w:styleId="Heading6Char">
    <w:name w:val="Heading 6 Char"/>
    <w:link w:val="Heading6"/>
    <w:uiPriority w:val="9"/>
    <w:semiHidden/>
    <w:rsid w:val="00956E90"/>
    <w:rPr>
      <w:rFonts w:ascii="Cambria" w:eastAsia="宋体" w:hAnsi="Cambria" w:cs="Angsana New"/>
      <w:i/>
      <w:iCs/>
      <w:color w:val="243F60"/>
      <w:sz w:val="20"/>
      <w:lang w:val="en-GB"/>
    </w:rPr>
  </w:style>
  <w:style w:type="character" w:customStyle="1" w:styleId="Heading7Char">
    <w:name w:val="Heading 7 Char"/>
    <w:link w:val="Heading7"/>
    <w:uiPriority w:val="9"/>
    <w:rsid w:val="00956E90"/>
    <w:rPr>
      <w:rFonts w:ascii="Cambria" w:eastAsia="宋体" w:hAnsi="Cambria" w:cs="Angsana New"/>
      <w:i/>
      <w:iCs/>
      <w:color w:val="404040"/>
      <w:sz w:val="20"/>
      <w:lang w:val="en-GB"/>
    </w:rPr>
  </w:style>
  <w:style w:type="character" w:customStyle="1" w:styleId="Heading8Char">
    <w:name w:val="Heading 8 Char"/>
    <w:link w:val="Heading8"/>
    <w:uiPriority w:val="9"/>
    <w:semiHidden/>
    <w:rsid w:val="00956E90"/>
    <w:rPr>
      <w:rFonts w:ascii="Cambria" w:eastAsia="宋体" w:hAnsi="Cambria" w:cs="Angsana New"/>
      <w:color w:val="404040"/>
      <w:sz w:val="20"/>
      <w:szCs w:val="20"/>
      <w:lang w:val="en-GB"/>
    </w:rPr>
  </w:style>
  <w:style w:type="character" w:customStyle="1" w:styleId="Heading9Char">
    <w:name w:val="Heading 9 Char"/>
    <w:link w:val="Heading9"/>
    <w:uiPriority w:val="9"/>
    <w:semiHidden/>
    <w:rsid w:val="00956E90"/>
    <w:rPr>
      <w:rFonts w:ascii="Cambria" w:eastAsia="宋体" w:hAnsi="Cambria" w:cs="Angsana New"/>
      <w:i/>
      <w:iCs/>
      <w:color w:val="404040"/>
      <w:sz w:val="20"/>
      <w:szCs w:val="20"/>
      <w:lang w:val="en-GB"/>
    </w:rPr>
  </w:style>
  <w:style w:type="paragraph" w:styleId="Title">
    <w:name w:val="Title"/>
    <w:basedOn w:val="Normal"/>
    <w:next w:val="Normal"/>
    <w:link w:val="TitleChar"/>
    <w:uiPriority w:val="10"/>
    <w:qFormat/>
    <w:rsid w:val="00CD177B"/>
    <w:pPr>
      <w:pBdr>
        <w:bottom w:val="single" w:sz="8" w:space="4" w:color="4F81BD"/>
      </w:pBdr>
      <w:spacing w:after="300"/>
      <w:contextualSpacing/>
    </w:pPr>
    <w:rPr>
      <w:rFonts w:ascii="Cambria" w:hAnsi="Cambria" w:cs="Angsana New"/>
      <w:color w:val="17365D"/>
      <w:spacing w:val="5"/>
      <w:kern w:val="28"/>
      <w:sz w:val="52"/>
      <w:szCs w:val="52"/>
    </w:rPr>
  </w:style>
  <w:style w:type="character" w:customStyle="1" w:styleId="TitleChar">
    <w:name w:val="Title Char"/>
    <w:link w:val="Title"/>
    <w:uiPriority w:val="10"/>
    <w:rsid w:val="00CD177B"/>
    <w:rPr>
      <w:rFonts w:ascii="Cambria" w:eastAsia="宋体" w:hAnsi="Cambria" w:cs="Angsana New"/>
      <w:color w:val="17365D"/>
      <w:spacing w:val="5"/>
      <w:kern w:val="28"/>
      <w:sz w:val="52"/>
      <w:szCs w:val="52"/>
    </w:rPr>
  </w:style>
  <w:style w:type="table" w:styleId="TableGrid">
    <w:name w:val="Table Grid"/>
    <w:aliases w:val="tableau PC,HocTable,bang,表格样式,Muc lon"/>
    <w:basedOn w:val="TableNormal"/>
    <w:uiPriority w:val="59"/>
    <w:qFormat/>
    <w:rsid w:val="00B2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Cambria" w:hAnsi="Cambria"/>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uiPriority w:val="99"/>
    <w:unhideWhenUsed/>
    <w:rsid w:val="00B20DCD"/>
    <w:rPr>
      <w:color w:val="0000FF"/>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link w:val="BalloonText"/>
    <w:uiPriority w:val="99"/>
    <w:semiHidden/>
    <w:rsid w:val="00B20DCD"/>
    <w:rPr>
      <w:rFonts w:ascii="Tahoma" w:hAnsi="Tahoma" w:cs="Tahoma"/>
      <w:sz w:val="16"/>
      <w:szCs w:val="16"/>
    </w:rPr>
  </w:style>
  <w:style w:type="character" w:styleId="Emphasis">
    <w:name w:val="Emphasis"/>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rPr>
      <w:sz w:val="22"/>
      <w:szCs w:val="22"/>
      <w:lang w:eastAsia="ja-JP"/>
    </w:rPr>
  </w:style>
  <w:style w:type="character" w:customStyle="1" w:styleId="NoSpacingChar">
    <w:name w:val="No Spacing Char"/>
    <w:link w:val="NoSpacing"/>
    <w:uiPriority w:val="1"/>
    <w:rsid w:val="00666505"/>
    <w:rPr>
      <w:rFonts w:eastAsia="宋体"/>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cs="Arial"/>
      <w:b/>
    </w:rPr>
  </w:style>
  <w:style w:type="character" w:customStyle="1" w:styleId="BodyText1Char">
    <w:name w:val="Body Text1 Char"/>
    <w:link w:val="BodyText1"/>
    <w:rsid w:val="00690363"/>
    <w:rPr>
      <w:rFonts w:eastAsia="宋体"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link w:val="FootnoteText"/>
    <w:qFormat/>
    <w:rsid w:val="004C38B1"/>
    <w:rPr>
      <w:rFonts w:eastAsia="宋体"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uiPriority w:val="99"/>
    <w:semiHidden/>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kern w:val="2"/>
      <w:szCs w:val="20"/>
      <w:lang w:val="en-US" w:eastAsia="zh-CN"/>
    </w:rPr>
  </w:style>
  <w:style w:type="character" w:customStyle="1" w:styleId="CommentTextChar">
    <w:name w:val="Comment Text Char"/>
    <w:link w:val="CommentText"/>
    <w:uiPriority w:val="99"/>
    <w:rsid w:val="005A7D7B"/>
    <w:rPr>
      <w:rFonts w:eastAsia="宋体"/>
      <w:kern w:val="2"/>
      <w:sz w:val="20"/>
      <w:szCs w:val="20"/>
      <w:lang w:eastAsia="zh-CN"/>
    </w:rPr>
  </w:style>
  <w:style w:type="paragraph" w:customStyle="1" w:styleId="Default">
    <w:name w:val="Default"/>
    <w:rsid w:val="0081681A"/>
    <w:pPr>
      <w:autoSpaceDE w:val="0"/>
      <w:autoSpaceDN w:val="0"/>
      <w:adjustRightInd w:val="0"/>
    </w:pPr>
    <w:rPr>
      <w:rFonts w:ascii="Myriad Pro" w:hAnsi="Myriad Pro" w:cs="Myriad Pro"/>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Calibri"/>
      <w:b/>
      <w:bCs/>
      <w:kern w:val="0"/>
      <w:lang w:val="en-GB" w:eastAsia="en-US"/>
    </w:rPr>
  </w:style>
  <w:style w:type="character" w:customStyle="1" w:styleId="CommentSubjectChar">
    <w:name w:val="Comment Subject Char"/>
    <w:link w:val="CommentSubject"/>
    <w:uiPriority w:val="99"/>
    <w:semiHidden/>
    <w:rsid w:val="00D8222B"/>
    <w:rPr>
      <w:rFonts w:eastAsia="宋体"/>
      <w:b/>
      <w:bCs/>
      <w:kern w:val="2"/>
      <w:sz w:val="20"/>
      <w:szCs w:val="20"/>
      <w:lang w:val="en-GB" w:eastAsia="zh-CN"/>
    </w:rPr>
  </w:style>
  <w:style w:type="paragraph" w:styleId="Revision">
    <w:name w:val="Revision"/>
    <w:hidden/>
    <w:uiPriority w:val="99"/>
    <w:semiHidden/>
    <w:rsid w:val="008A0E4A"/>
    <w:rPr>
      <w:szCs w:val="22"/>
      <w:lang w:val="en-GB" w:eastAsia="en-US"/>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uiPriority w:val="99"/>
    <w:semiHidden/>
    <w:unhideWhenUsed/>
    <w:rsid w:val="00C25016"/>
    <w:rPr>
      <w:color w:val="808080"/>
      <w:shd w:val="clear" w:color="auto" w:fill="E6E6E6"/>
    </w:rPr>
  </w:style>
  <w:style w:type="paragraph" w:styleId="Caption">
    <w:name w:val="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uiPriority w:val="99"/>
    <w:semiHidden/>
    <w:unhideWhenUsed/>
    <w:rsid w:val="00FD70F6"/>
    <w:rPr>
      <w:color w:val="808080"/>
      <w:shd w:val="clear" w:color="auto" w:fill="E6E6E6"/>
    </w:rPr>
  </w:style>
  <w:style w:type="character" w:styleId="FollowedHyperlink">
    <w:name w:val="FollowedHyperlink"/>
    <w:uiPriority w:val="99"/>
    <w:semiHidden/>
    <w:unhideWhenUsed/>
    <w:rsid w:val="0099400C"/>
    <w:rPr>
      <w:color w:val="800080"/>
      <w:u w:val="single"/>
    </w:rPr>
  </w:style>
  <w:style w:type="character" w:customStyle="1" w:styleId="UnresolvedMention3">
    <w:name w:val="Unresolved Mention3"/>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5"/>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8"/>
      </w:numPr>
      <w:spacing w:before="0" w:after="0"/>
      <w:contextualSpacing/>
      <w:jc w:val="left"/>
    </w:pPr>
    <w:rPr>
      <w:rFonts w:ascii="Cambria" w:hAnsi="Cambria"/>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eastAsia="Times" w:cs="Times New Roman"/>
      <w:b/>
      <w:sz w:val="26"/>
      <w:szCs w:val="20"/>
      <w:lang w:val="en-US" w:eastAsia="ja-JP"/>
    </w:rPr>
  </w:style>
  <w:style w:type="character" w:customStyle="1" w:styleId="EndnoteTextChar">
    <w:name w:val="Endnote Text Char"/>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6"/>
      </w:numPr>
      <w:tabs>
        <w:tab w:val="num" w:pos="360"/>
        <w:tab w:val="left" w:pos="2880"/>
      </w:tabs>
      <w:spacing w:before="60" w:after="60" w:line="360" w:lineRule="auto"/>
      <w:ind w:firstLine="0"/>
    </w:pPr>
    <w:rPr>
      <w:rFonts w:eastAsia="MS Mincho"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eastAsia="MS Mincho" w:cs="Times New Roman"/>
      <w:bCs/>
      <w:szCs w:val="24"/>
      <w:lang w:val="en-US" w:eastAsia="ja-JP"/>
    </w:rPr>
  </w:style>
  <w:style w:type="paragraph" w:customStyle="1" w:styleId="listlettered">
    <w:name w:val="list lettered"/>
    <w:basedOn w:val="listbulletsSESP"/>
    <w:qFormat/>
    <w:rsid w:val="00780F78"/>
    <w:pPr>
      <w:numPr>
        <w:numId w:val="17"/>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Cambria" w:hAnsi="Cambria"/>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Cambria" w:hAnsi="Cambria"/>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Cambria" w:hAnsi="Cambria"/>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Cambria" w:hAnsi="Cambria"/>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Cambria" w:hAnsi="Cambria"/>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Cambria" w:hAnsi="Cambria"/>
      <w:szCs w:val="24"/>
      <w:lang w:val="en-US" w:eastAsia="ja-JP"/>
    </w:rPr>
  </w:style>
  <w:style w:type="paragraph" w:customStyle="1" w:styleId="SESPbodynumbered">
    <w:name w:val="SESP body numbered"/>
    <w:basedOn w:val="SESPbody"/>
    <w:qFormat/>
    <w:rsid w:val="00780F78"/>
    <w:pPr>
      <w:numPr>
        <w:numId w:val="19"/>
      </w:numPr>
    </w:pPr>
  </w:style>
  <w:style w:type="paragraph" w:customStyle="1" w:styleId="listbullets1">
    <w:name w:val="list bullets 1"/>
    <w:basedOn w:val="Normal"/>
    <w:autoRedefine/>
    <w:qFormat/>
    <w:rsid w:val="00780F78"/>
    <w:pPr>
      <w:numPr>
        <w:numId w:val="20"/>
      </w:numPr>
      <w:spacing w:before="60" w:after="60" w:line="300" w:lineRule="auto"/>
      <w:jc w:val="left"/>
    </w:pPr>
    <w:rPr>
      <w:rFonts w:eastAsia="ヒラギノ角ゴ Pro W3"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rPr>
      <w:rFonts w:ascii="Cambria" w:hAnsi="Cambria" w:cs="Angsana New"/>
      <w:color w:val="000000"/>
      <w:sz w:val="24"/>
      <w:szCs w:val="24"/>
      <w:lang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1-11">
    <w:name w:val="网格表 1 浅色 - 着色 11"/>
    <w:basedOn w:val="TableNormal"/>
    <w:uiPriority w:val="46"/>
    <w:rsid w:val="002B4FF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767">
      <w:bodyDiv w:val="1"/>
      <w:marLeft w:val="0"/>
      <w:marRight w:val="0"/>
      <w:marTop w:val="0"/>
      <w:marBottom w:val="0"/>
      <w:divBdr>
        <w:top w:val="none" w:sz="0" w:space="0" w:color="auto"/>
        <w:left w:val="none" w:sz="0" w:space="0" w:color="auto"/>
        <w:bottom w:val="none" w:sz="0" w:space="0" w:color="auto"/>
        <w:right w:val="none" w:sz="0" w:space="0" w:color="auto"/>
      </w:divBdr>
    </w:div>
    <w:div w:id="368800818">
      <w:bodyDiv w:val="1"/>
      <w:marLeft w:val="0"/>
      <w:marRight w:val="0"/>
      <w:marTop w:val="0"/>
      <w:marBottom w:val="0"/>
      <w:divBdr>
        <w:top w:val="none" w:sz="0" w:space="0" w:color="auto"/>
        <w:left w:val="none" w:sz="0" w:space="0" w:color="auto"/>
        <w:bottom w:val="none" w:sz="0" w:space="0" w:color="auto"/>
        <w:right w:val="none" w:sz="0" w:space="0" w:color="auto"/>
      </w:divBdr>
      <w:divsChild>
        <w:div w:id="486480571">
          <w:marLeft w:val="0"/>
          <w:marRight w:val="0"/>
          <w:marTop w:val="0"/>
          <w:marBottom w:val="0"/>
          <w:divBdr>
            <w:top w:val="none" w:sz="0" w:space="0" w:color="auto"/>
            <w:left w:val="none" w:sz="0" w:space="0" w:color="auto"/>
            <w:bottom w:val="none" w:sz="0" w:space="0" w:color="auto"/>
            <w:right w:val="none" w:sz="0" w:space="0" w:color="auto"/>
          </w:divBdr>
        </w:div>
      </w:divsChild>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488595276">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n" TargetMode="External"/><Relationship Id="rId18" Type="http://schemas.openxmlformats.org/officeDocument/2006/relationships/hyperlink" Target="https://en.wikipedia.org/wiki/Langua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fo.undp.org/sites/bpps/SES_Toolkit/SES%20Document%20Library/Uploaded%20October%202016/UNDP%20SES%20Assessment%20and%20Management%20GN%20-%20FInal%20Nov2020.pdf" TargetMode="External"/><Relationship Id="rId7" Type="http://schemas.openxmlformats.org/officeDocument/2006/relationships/settings" Target="settings.xml"/><Relationship Id="rId12" Type="http://schemas.openxmlformats.org/officeDocument/2006/relationships/hyperlink" Target="mailto:xinhua.zhao@undp.org" TargetMode="External"/><Relationship Id="rId17" Type="http://schemas.openxmlformats.org/officeDocument/2006/relationships/hyperlink" Target="https://en.wikipedia.org/wiki/Ancestry" TargetMode="External"/><Relationship Id="rId25" Type="http://schemas.openxmlformats.org/officeDocument/2006/relationships/hyperlink" Target="https://info.undp.org/sites/bpps/SES_Toolkit/SES%20Document%20Library/Uploaded%20October%202016/Final_UNDP_SES_Assessment_and_Management_GN_-_Dec2016.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Cul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fo.undp.org/sites/bpps/SES_Toolkit/SES%20Document%20Library/Uploaded%20October%202016/Final_UNDP_SES_Assessment_and_Management_GN_-_Dec2016.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n.wikipedia.org/wiki/Soci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ehsguidelines" TargetMode="External"/><Relationship Id="rId2" Type="http://schemas.openxmlformats.org/officeDocument/2006/relationships/hyperlink" Target="http://www.gov.cn/xxgk/pub/govpublic/mrlm/200803/t20080328_31650.html" TargetMode="External"/><Relationship Id="rId1" Type="http://schemas.openxmlformats.org/officeDocument/2006/relationships/hyperlink" Target="file:///C:\Users\lisa.farroway\AppData\Local\Microsoft\Windows\INetCache\Content.Outlook\HIJJA4OB\he%20State%20Counci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2623C7B39EA64DA63EDAA716C692BD" ma:contentTypeVersion="12" ma:contentTypeDescription="Create a new document." ma:contentTypeScope="" ma:versionID="3471767d2c3ac3a53ead9bdfdfcc1002">
  <xsd:schema xmlns:xsd="http://www.w3.org/2001/XMLSchema" xmlns:xs="http://www.w3.org/2001/XMLSchema" xmlns:p="http://schemas.microsoft.com/office/2006/metadata/properties" xmlns:ns2="78415686-6694-4e88-8f0e-391000ec69c9" xmlns:ns3="199bbd8f-6d6d-4e3e-84d2-8c7acbbfdb2c" targetNamespace="http://schemas.microsoft.com/office/2006/metadata/properties" ma:root="true" ma:fieldsID="23fb926e284e1f8e97ed7f1a274d1348" ns2:_="" ns3:_="">
    <xsd:import namespace="78415686-6694-4e88-8f0e-391000ec69c9"/>
    <xsd:import namespace="199bbd8f-6d6d-4e3e-84d2-8c7acbbfd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686-6694-4e88-8f0e-391000ec6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bbd8f-6d6d-4e3e-84d2-8c7acbbfd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1DD22-B47F-4E94-9C5D-EA0B4E02E9AD}">
  <ds:schemaRefs>
    <ds:schemaRef ds:uri="http://schemas.microsoft.com/sharepoint/v3/contenttype/forms"/>
  </ds:schemaRefs>
</ds:datastoreItem>
</file>

<file path=customXml/itemProps2.xml><?xml version="1.0" encoding="utf-8"?>
<ds:datastoreItem xmlns:ds="http://schemas.openxmlformats.org/officeDocument/2006/customXml" ds:itemID="{9887A8C0-E66F-4EEE-BE73-39764E2DF1FA}">
  <ds:schemaRefs>
    <ds:schemaRef ds:uri="http://schemas.openxmlformats.org/officeDocument/2006/bibliography"/>
  </ds:schemaRefs>
</ds:datastoreItem>
</file>

<file path=customXml/itemProps3.xml><?xml version="1.0" encoding="utf-8"?>
<ds:datastoreItem xmlns:ds="http://schemas.openxmlformats.org/officeDocument/2006/customXml" ds:itemID="{B3608B3E-9740-4A83-8F0B-FD33D998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686-6694-4e88-8f0e-391000ec69c9"/>
    <ds:schemaRef ds:uri="199bbd8f-6d6d-4e3e-84d2-8c7acbbfd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8F8A4-1A6C-4E0A-8F1C-E498D6B13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15198</Words>
  <Characters>86630</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DRAFT Environmental and Social Management Framework (ESMF)</vt:lpstr>
    </vt:vector>
  </TitlesOfParts>
  <Company/>
  <LinksUpToDate>false</LinksUpToDate>
  <CharactersWithSpaces>101625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and Social Management Framework (ESMF)</dc:title>
  <dc:subject/>
  <dc:creator/>
  <cp:keywords/>
  <cp:lastModifiedBy/>
  <cp:revision>1</cp:revision>
  <cp:lastPrinted>2018-01-24T17:10:00Z</cp:lastPrinted>
  <dcterms:created xsi:type="dcterms:W3CDTF">2022-06-15T11:06:00Z</dcterms:created>
  <dcterms:modified xsi:type="dcterms:W3CDTF">2022-06-15T11:06:00Z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0x010100132623C7B39EA64DA63EDAA716C692BD</vt:lpwstr>
  </property>
</Properties>
</file>