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463B4" w14:textId="4DE3E44C" w:rsidR="00AA3421" w:rsidRPr="001C35AD" w:rsidRDefault="00AA3421" w:rsidP="001F6BB6">
      <w:pPr>
        <w:tabs>
          <w:tab w:val="left" w:pos="0"/>
          <w:tab w:val="left" w:pos="1530"/>
          <w:tab w:val="left" w:pos="2297"/>
          <w:tab w:val="left" w:pos="7630"/>
        </w:tabs>
        <w:spacing w:after="120"/>
        <w:ind w:right="1267"/>
        <w:outlineLvl w:val="0"/>
        <w:rPr>
          <w:rFonts w:eastAsia="Arial Unicode MS"/>
          <w:bCs/>
          <w:color w:val="000000"/>
          <w:lang w:val="en-GB"/>
        </w:rPr>
      </w:pPr>
      <w:r w:rsidRPr="001C35AD">
        <w:rPr>
          <w:rFonts w:eastAsia="Arial Unicode MS"/>
          <w:b/>
          <w:color w:val="000000"/>
          <w:sz w:val="28"/>
          <w:lang w:val="en-GB"/>
        </w:rPr>
        <w:t xml:space="preserve">Annex I </w:t>
      </w:r>
    </w:p>
    <w:p w14:paraId="2901A046" w14:textId="0E711078" w:rsidR="00AA3421" w:rsidRPr="001C35AD" w:rsidRDefault="00AA3421" w:rsidP="00172E72">
      <w:pPr>
        <w:keepNext/>
        <w:keepLines/>
        <w:tabs>
          <w:tab w:val="left" w:pos="1080"/>
          <w:tab w:val="left" w:pos="1530"/>
          <w:tab w:val="right" w:pos="8920"/>
        </w:tabs>
        <w:spacing w:after="120" w:line="300" w:lineRule="exact"/>
        <w:outlineLvl w:val="0"/>
        <w:rPr>
          <w:rFonts w:eastAsia="Arial Unicode MS"/>
          <w:b/>
          <w:color w:val="000000"/>
          <w:sz w:val="28"/>
          <w:lang w:val="en-GB"/>
        </w:rPr>
      </w:pPr>
      <w:r w:rsidRPr="001C35AD">
        <w:rPr>
          <w:rFonts w:eastAsia="Arial Unicode MS"/>
          <w:b/>
          <w:color w:val="000000"/>
          <w:sz w:val="28"/>
          <w:lang w:val="en-GB"/>
        </w:rPr>
        <w:t>Summary of reports issued by the Joint Inspection Unit in 20</w:t>
      </w:r>
      <w:r w:rsidR="005047CA" w:rsidRPr="001C35AD">
        <w:rPr>
          <w:rFonts w:eastAsia="Arial Unicode MS"/>
          <w:b/>
          <w:color w:val="000000"/>
          <w:sz w:val="28"/>
          <w:lang w:val="en-GB"/>
        </w:rPr>
        <w:t>20</w:t>
      </w:r>
      <w:r w:rsidRPr="001C35AD">
        <w:rPr>
          <w:rFonts w:eastAsia="Arial Unicode MS"/>
          <w:b/>
          <w:color w:val="000000"/>
          <w:sz w:val="28"/>
          <w:lang w:val="en-GB"/>
        </w:rPr>
        <w:t xml:space="preserve"> of relevance to UNDP</w:t>
      </w:r>
      <w:r w:rsidR="00EC28C1" w:rsidRPr="001C35AD">
        <w:rPr>
          <w:rFonts w:eastAsia="Arial Unicode MS"/>
          <w:b/>
          <w:color w:val="000000"/>
          <w:sz w:val="28"/>
          <w:lang w:val="en-GB"/>
        </w:rPr>
        <w:t>, as at 2</w:t>
      </w:r>
      <w:r w:rsidR="005047CA" w:rsidRPr="001C35AD">
        <w:rPr>
          <w:rFonts w:eastAsia="Arial Unicode MS"/>
          <w:b/>
          <w:color w:val="000000"/>
          <w:sz w:val="28"/>
          <w:lang w:val="en-GB"/>
        </w:rPr>
        <w:t>8</w:t>
      </w:r>
      <w:r w:rsidR="00EC28C1" w:rsidRPr="001C35AD">
        <w:rPr>
          <w:rFonts w:eastAsia="Arial Unicode MS"/>
          <w:b/>
          <w:color w:val="000000"/>
          <w:sz w:val="28"/>
          <w:lang w:val="en-GB"/>
        </w:rPr>
        <w:t xml:space="preserve"> February 202</w:t>
      </w:r>
      <w:r w:rsidR="005047CA" w:rsidRPr="001C35AD">
        <w:rPr>
          <w:rFonts w:eastAsia="Arial Unicode MS"/>
          <w:b/>
          <w:color w:val="000000"/>
          <w:sz w:val="28"/>
          <w:lang w:val="en-GB"/>
        </w:rPr>
        <w:t>1</w:t>
      </w:r>
    </w:p>
    <w:tbl>
      <w:tblPr>
        <w:tblpPr w:leftFromText="180" w:rightFromText="180" w:vertAnchor="text" w:tblpX="-650" w:tblpY="1"/>
        <w:tblOverlap w:val="neve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4"/>
        <w:gridCol w:w="2611"/>
        <w:gridCol w:w="1710"/>
        <w:gridCol w:w="1039"/>
        <w:gridCol w:w="1857"/>
        <w:gridCol w:w="1293"/>
        <w:gridCol w:w="1260"/>
        <w:gridCol w:w="1440"/>
        <w:gridCol w:w="980"/>
        <w:gridCol w:w="1041"/>
      </w:tblGrid>
      <w:tr w:rsidR="003F2E6A" w:rsidRPr="001C35AD" w14:paraId="5A2380EC" w14:textId="77777777" w:rsidTr="00EC0644">
        <w:trPr>
          <w:cantSplit/>
          <w:trHeight w:val="455"/>
        </w:trPr>
        <w:tc>
          <w:tcPr>
            <w:tcW w:w="1524"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3E6E5388"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Document </w:t>
            </w:r>
          </w:p>
          <w:p w14:paraId="2987586E"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symbol</w:t>
            </w:r>
          </w:p>
        </w:tc>
        <w:tc>
          <w:tcPr>
            <w:tcW w:w="2611"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48584D80"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Title </w:t>
            </w:r>
          </w:p>
        </w:tc>
        <w:tc>
          <w:tcPr>
            <w:tcW w:w="1710"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7EA203A9"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Total recommendations</w:t>
            </w:r>
          </w:p>
        </w:tc>
        <w:tc>
          <w:tcPr>
            <w:tcW w:w="1039"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28735445"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Directed at UNDP</w:t>
            </w:r>
          </w:p>
        </w:tc>
        <w:tc>
          <w:tcPr>
            <w:tcW w:w="1857" w:type="dxa"/>
            <w:vMerge w:val="restart"/>
            <w:tcBorders>
              <w:top w:val="single" w:sz="4" w:space="0" w:color="auto"/>
              <w:left w:val="single" w:sz="4" w:space="0" w:color="auto"/>
              <w:right w:val="single" w:sz="4" w:space="0" w:color="auto"/>
            </w:tcBorders>
            <w:shd w:val="clear" w:color="auto" w:fill="D9D9D9"/>
          </w:tcPr>
          <w:p w14:paraId="6B74A7DE" w14:textId="77777777" w:rsidR="00AA3421" w:rsidRPr="001C35AD" w:rsidRDefault="00AA3421" w:rsidP="001F6BB6">
            <w:pPr>
              <w:tabs>
                <w:tab w:val="left" w:pos="1530"/>
                <w:tab w:val="left" w:pos="4236"/>
              </w:tabs>
              <w:jc w:val="center"/>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Of which recommendations</w:t>
            </w:r>
          </w:p>
          <w:p w14:paraId="7558D074" w14:textId="77777777" w:rsidR="00AA3421" w:rsidRPr="001C35AD" w:rsidRDefault="00AA3421" w:rsidP="001F6BB6">
            <w:pPr>
              <w:tabs>
                <w:tab w:val="left" w:pos="1530"/>
                <w:tab w:val="left" w:pos="4236"/>
              </w:tabs>
              <w:jc w:val="center"/>
              <w:rPr>
                <w:b/>
                <w:bCs/>
                <w:sz w:val="19"/>
                <w:szCs w:val="19"/>
                <w:lang w:val="en-GB"/>
              </w:rPr>
            </w:pPr>
            <w:r w:rsidRPr="001C35AD">
              <w:rPr>
                <w:rFonts w:eastAsia="Arial Unicode MS"/>
                <w:b/>
                <w:color w:val="000000"/>
                <w:spacing w:val="0"/>
                <w:w w:val="100"/>
                <w:lang w:val="en-GB" w:eastAsia="ja-JP"/>
              </w:rPr>
              <w:t>directed to the Executive Board</w:t>
            </w:r>
          </w:p>
        </w:tc>
        <w:tc>
          <w:tcPr>
            <w:tcW w:w="6014" w:type="dxa"/>
            <w:gridSpan w:val="5"/>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hideMark/>
          </w:tcPr>
          <w:p w14:paraId="6B41E60D" w14:textId="77777777" w:rsidR="00AA3421" w:rsidRPr="001C35AD" w:rsidRDefault="00AA3421" w:rsidP="001F6BB6">
            <w:pPr>
              <w:tabs>
                <w:tab w:val="left" w:pos="1530"/>
                <w:tab w:val="left" w:pos="4236"/>
              </w:tabs>
              <w:jc w:val="center"/>
              <w:rPr>
                <w:b/>
                <w:bCs/>
                <w:sz w:val="19"/>
                <w:szCs w:val="19"/>
                <w:lang w:val="en-GB"/>
              </w:rPr>
            </w:pPr>
            <w:r w:rsidRPr="001C35AD">
              <w:rPr>
                <w:b/>
                <w:bCs/>
                <w:sz w:val="19"/>
                <w:szCs w:val="19"/>
                <w:lang w:val="en-GB"/>
              </w:rPr>
              <w:t>Implementation status of recommendations directed to UNDP</w:t>
            </w:r>
          </w:p>
        </w:tc>
      </w:tr>
      <w:tr w:rsidR="003F2E6A" w:rsidRPr="001C35AD" w14:paraId="126E596A" w14:textId="77777777" w:rsidTr="00EC0644">
        <w:trPr>
          <w:cantSplit/>
          <w:trHeight w:val="369"/>
        </w:trPr>
        <w:tc>
          <w:tcPr>
            <w:tcW w:w="1524"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F15D5D9"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2611"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23B99FD4"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71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2335521F"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039"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4F9C3B63"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857" w:type="dxa"/>
            <w:vMerge/>
            <w:tcBorders>
              <w:left w:val="single" w:sz="4" w:space="0" w:color="auto"/>
              <w:right w:val="single" w:sz="4" w:space="0" w:color="auto"/>
            </w:tcBorders>
            <w:shd w:val="clear" w:color="auto" w:fill="D9D9D9"/>
          </w:tcPr>
          <w:p w14:paraId="379F33C9" w14:textId="77777777" w:rsidR="00AA3421" w:rsidRPr="001C35AD" w:rsidRDefault="00AA3421" w:rsidP="001F6BB6">
            <w:pPr>
              <w:tabs>
                <w:tab w:val="left" w:pos="1530"/>
                <w:tab w:val="left" w:pos="4236"/>
              </w:tabs>
              <w:jc w:val="center"/>
              <w:rPr>
                <w:b/>
                <w:bCs/>
                <w:sz w:val="19"/>
                <w:szCs w:val="19"/>
                <w:lang w:val="en-GB"/>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7192724B" w14:textId="77777777" w:rsidR="00AA3421" w:rsidRPr="001C35AD" w:rsidRDefault="00AA3421" w:rsidP="001F6BB6">
            <w:pPr>
              <w:tabs>
                <w:tab w:val="left" w:pos="1530"/>
                <w:tab w:val="left" w:pos="4236"/>
              </w:tabs>
              <w:jc w:val="center"/>
              <w:rPr>
                <w:b/>
                <w:bCs/>
                <w:sz w:val="19"/>
                <w:szCs w:val="19"/>
                <w:lang w:val="en-GB"/>
              </w:rPr>
            </w:pPr>
            <w:r w:rsidRPr="001C35AD">
              <w:rPr>
                <w:b/>
                <w:bCs/>
                <w:sz w:val="19"/>
                <w:szCs w:val="19"/>
                <w:lang w:val="en-GB"/>
              </w:rPr>
              <w:t>Accepted</w:t>
            </w:r>
          </w:p>
        </w:tc>
        <w:tc>
          <w:tcPr>
            <w:tcW w:w="1440" w:type="dxa"/>
            <w:tcBorders>
              <w:top w:val="single" w:sz="4" w:space="0" w:color="auto"/>
              <w:left w:val="single" w:sz="4" w:space="0" w:color="auto"/>
              <w:right w:val="single" w:sz="4" w:space="0" w:color="auto"/>
            </w:tcBorders>
            <w:shd w:val="clear" w:color="auto" w:fill="D9D9D9"/>
          </w:tcPr>
          <w:p w14:paraId="1A37A401" w14:textId="77777777" w:rsidR="00AA3421" w:rsidRPr="001C35AD" w:rsidRDefault="00AA3421" w:rsidP="001F6BB6">
            <w:pPr>
              <w:tabs>
                <w:tab w:val="left" w:pos="1530"/>
                <w:tab w:val="left" w:pos="4236"/>
              </w:tabs>
              <w:jc w:val="center"/>
              <w:rPr>
                <w:b/>
                <w:bCs/>
                <w:sz w:val="19"/>
                <w:szCs w:val="19"/>
                <w:lang w:val="en-GB"/>
              </w:rPr>
            </w:pPr>
            <w:r w:rsidRPr="001C35AD">
              <w:rPr>
                <w:b/>
                <w:bCs/>
                <w:sz w:val="19"/>
                <w:szCs w:val="19"/>
                <w:lang w:val="en-GB"/>
              </w:rPr>
              <w:t>Under consideration</w:t>
            </w:r>
          </w:p>
        </w:tc>
        <w:tc>
          <w:tcPr>
            <w:tcW w:w="980" w:type="dxa"/>
            <w:tcBorders>
              <w:top w:val="single" w:sz="4" w:space="0" w:color="auto"/>
              <w:left w:val="single" w:sz="4" w:space="0" w:color="auto"/>
              <w:right w:val="single" w:sz="4" w:space="0" w:color="auto"/>
            </w:tcBorders>
            <w:shd w:val="clear" w:color="auto" w:fill="D9D9D9"/>
          </w:tcPr>
          <w:p w14:paraId="639B7E79" w14:textId="77777777" w:rsidR="00AA3421" w:rsidRPr="001C35AD" w:rsidRDefault="00AA3421" w:rsidP="001F6BB6">
            <w:pPr>
              <w:tabs>
                <w:tab w:val="left" w:pos="1530"/>
                <w:tab w:val="left" w:pos="4236"/>
              </w:tabs>
              <w:jc w:val="center"/>
              <w:rPr>
                <w:b/>
                <w:bCs/>
                <w:sz w:val="19"/>
                <w:szCs w:val="19"/>
                <w:lang w:val="en-GB"/>
              </w:rPr>
            </w:pPr>
            <w:r w:rsidRPr="001C35AD">
              <w:rPr>
                <w:b/>
                <w:bCs/>
                <w:sz w:val="19"/>
                <w:szCs w:val="19"/>
                <w:lang w:val="en-GB"/>
              </w:rPr>
              <w:t>Not accepted</w:t>
            </w:r>
          </w:p>
        </w:tc>
        <w:tc>
          <w:tcPr>
            <w:tcW w:w="1041" w:type="dxa"/>
            <w:tcBorders>
              <w:top w:val="single" w:sz="4" w:space="0" w:color="auto"/>
              <w:left w:val="single" w:sz="4" w:space="0" w:color="auto"/>
              <w:right w:val="single" w:sz="4" w:space="0" w:color="auto"/>
            </w:tcBorders>
            <w:shd w:val="clear" w:color="auto" w:fill="D9D9D9"/>
          </w:tcPr>
          <w:p w14:paraId="5F4FC611" w14:textId="77777777" w:rsidR="00AA3421" w:rsidRPr="001C35AD" w:rsidRDefault="00AA3421" w:rsidP="001F6BB6">
            <w:pPr>
              <w:tabs>
                <w:tab w:val="left" w:pos="1530"/>
                <w:tab w:val="left" w:pos="4236"/>
              </w:tabs>
              <w:ind w:right="83"/>
              <w:jc w:val="center"/>
              <w:rPr>
                <w:b/>
                <w:bCs/>
                <w:sz w:val="19"/>
                <w:szCs w:val="19"/>
                <w:lang w:val="en-GB"/>
              </w:rPr>
            </w:pPr>
            <w:r w:rsidRPr="001C35AD">
              <w:rPr>
                <w:b/>
                <w:bCs/>
                <w:sz w:val="19"/>
                <w:szCs w:val="19"/>
                <w:lang w:val="en-GB"/>
              </w:rPr>
              <w:t>Not relevant</w:t>
            </w:r>
          </w:p>
        </w:tc>
      </w:tr>
      <w:tr w:rsidR="003F2E6A" w:rsidRPr="001C35AD" w14:paraId="1C22BA25" w14:textId="77777777" w:rsidTr="00EC0644">
        <w:trPr>
          <w:cantSplit/>
          <w:trHeight w:val="261"/>
        </w:trPr>
        <w:tc>
          <w:tcPr>
            <w:tcW w:w="1524"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2E68E5D1"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2611"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09454025"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71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40BA8E47"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039"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4FF11488" w14:textId="77777777" w:rsidR="00AA3421" w:rsidRPr="001C35AD" w:rsidRDefault="00AA3421" w:rsidP="001F6BB6">
            <w:pPr>
              <w:tabs>
                <w:tab w:val="left" w:pos="1530"/>
                <w:tab w:val="left" w:pos="4236"/>
                <w:tab w:val="right" w:pos="8920"/>
              </w:tabs>
              <w:jc w:val="center"/>
              <w:outlineLvl w:val="0"/>
              <w:rPr>
                <w:rFonts w:eastAsia="Arial Unicode MS"/>
                <w:b/>
                <w:color w:val="000000"/>
                <w:sz w:val="19"/>
                <w:szCs w:val="19"/>
                <w:lang w:val="en-GB"/>
              </w:rPr>
            </w:pPr>
          </w:p>
        </w:tc>
        <w:tc>
          <w:tcPr>
            <w:tcW w:w="1857" w:type="dxa"/>
            <w:vMerge/>
            <w:tcBorders>
              <w:left w:val="single" w:sz="4" w:space="0" w:color="auto"/>
              <w:bottom w:val="single" w:sz="4" w:space="0" w:color="auto"/>
              <w:right w:val="single" w:sz="4" w:space="0" w:color="auto"/>
            </w:tcBorders>
            <w:shd w:val="clear" w:color="auto" w:fill="D9D9D9"/>
          </w:tcPr>
          <w:p w14:paraId="6EAD7DF8" w14:textId="77777777" w:rsidR="00AA3421" w:rsidRPr="001C35AD" w:rsidRDefault="00AA3421" w:rsidP="001F6BB6">
            <w:pPr>
              <w:tabs>
                <w:tab w:val="left" w:pos="1530"/>
                <w:tab w:val="left" w:pos="4236"/>
              </w:tabs>
              <w:jc w:val="center"/>
              <w:rPr>
                <w:b/>
                <w:bCs/>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0C687C3" w14:textId="77777777" w:rsidR="00AA3421" w:rsidRPr="001C35AD" w:rsidRDefault="00AA3421" w:rsidP="001F6BB6">
            <w:pPr>
              <w:tabs>
                <w:tab w:val="left" w:pos="1530"/>
                <w:tab w:val="left" w:pos="4236"/>
              </w:tabs>
              <w:jc w:val="center"/>
              <w:rPr>
                <w:b/>
                <w:bCs/>
                <w:sz w:val="19"/>
                <w:szCs w:val="19"/>
                <w:lang w:val="en-GB"/>
              </w:rPr>
            </w:pPr>
            <w:r w:rsidRPr="001C35AD">
              <w:rPr>
                <w:b/>
                <w:bCs/>
                <w:sz w:val="19"/>
                <w:szCs w:val="19"/>
                <w:lang w:val="en-GB"/>
              </w:rPr>
              <w:t xml:space="preserve">Implemented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B52F046" w14:textId="77777777" w:rsidR="00AA3421" w:rsidRPr="001C35AD" w:rsidRDefault="00AA3421" w:rsidP="001F6BB6">
            <w:pPr>
              <w:tabs>
                <w:tab w:val="left" w:pos="756"/>
                <w:tab w:val="left" w:pos="4236"/>
              </w:tabs>
              <w:jc w:val="center"/>
              <w:rPr>
                <w:b/>
                <w:bCs/>
                <w:sz w:val="19"/>
                <w:szCs w:val="19"/>
                <w:lang w:val="en-GB"/>
              </w:rPr>
            </w:pPr>
            <w:r w:rsidRPr="001C35AD">
              <w:rPr>
                <w:b/>
                <w:bCs/>
                <w:sz w:val="19"/>
                <w:szCs w:val="19"/>
                <w:lang w:val="en-GB"/>
              </w:rPr>
              <w:t>In progress</w:t>
            </w:r>
          </w:p>
        </w:tc>
        <w:tc>
          <w:tcPr>
            <w:tcW w:w="1440" w:type="dxa"/>
            <w:tcBorders>
              <w:left w:val="single" w:sz="4" w:space="0" w:color="auto"/>
              <w:bottom w:val="single" w:sz="4" w:space="0" w:color="auto"/>
              <w:right w:val="single" w:sz="4" w:space="0" w:color="auto"/>
            </w:tcBorders>
            <w:shd w:val="clear" w:color="auto" w:fill="D9D9D9"/>
          </w:tcPr>
          <w:p w14:paraId="27D87C42" w14:textId="77777777" w:rsidR="00AA3421" w:rsidRPr="001C35AD" w:rsidRDefault="00AA3421" w:rsidP="001F6BB6">
            <w:pPr>
              <w:tabs>
                <w:tab w:val="left" w:pos="1530"/>
                <w:tab w:val="left" w:pos="4236"/>
              </w:tabs>
              <w:jc w:val="center"/>
              <w:rPr>
                <w:b/>
                <w:bCs/>
                <w:sz w:val="19"/>
                <w:szCs w:val="19"/>
                <w:lang w:val="en-GB"/>
              </w:rPr>
            </w:pPr>
          </w:p>
        </w:tc>
        <w:tc>
          <w:tcPr>
            <w:tcW w:w="980" w:type="dxa"/>
            <w:tcBorders>
              <w:left w:val="single" w:sz="4" w:space="0" w:color="auto"/>
              <w:bottom w:val="single" w:sz="4" w:space="0" w:color="auto"/>
              <w:right w:val="single" w:sz="4" w:space="0" w:color="auto"/>
            </w:tcBorders>
            <w:shd w:val="clear" w:color="auto" w:fill="D9D9D9"/>
          </w:tcPr>
          <w:p w14:paraId="3723A6C0" w14:textId="77777777" w:rsidR="00AA3421" w:rsidRPr="001C35AD" w:rsidRDefault="00AA3421" w:rsidP="001F6BB6">
            <w:pPr>
              <w:tabs>
                <w:tab w:val="left" w:pos="1530"/>
                <w:tab w:val="left" w:pos="4236"/>
              </w:tabs>
              <w:jc w:val="center"/>
              <w:rPr>
                <w:b/>
                <w:bCs/>
                <w:sz w:val="19"/>
                <w:szCs w:val="19"/>
                <w:lang w:val="en-GB"/>
              </w:rPr>
            </w:pPr>
          </w:p>
        </w:tc>
        <w:tc>
          <w:tcPr>
            <w:tcW w:w="1041" w:type="dxa"/>
            <w:tcBorders>
              <w:left w:val="single" w:sz="4" w:space="0" w:color="auto"/>
              <w:bottom w:val="single" w:sz="4" w:space="0" w:color="auto"/>
              <w:right w:val="single" w:sz="4" w:space="0" w:color="auto"/>
            </w:tcBorders>
            <w:shd w:val="clear" w:color="auto" w:fill="D9D9D9"/>
          </w:tcPr>
          <w:p w14:paraId="6DC0E51F" w14:textId="77777777" w:rsidR="00AA3421" w:rsidRPr="001C35AD" w:rsidRDefault="00AA3421" w:rsidP="001F6BB6">
            <w:pPr>
              <w:tabs>
                <w:tab w:val="left" w:pos="1530"/>
                <w:tab w:val="left" w:pos="4236"/>
              </w:tabs>
              <w:jc w:val="center"/>
              <w:rPr>
                <w:b/>
                <w:bCs/>
                <w:sz w:val="19"/>
                <w:szCs w:val="19"/>
                <w:lang w:val="en-GB"/>
              </w:rPr>
            </w:pPr>
          </w:p>
        </w:tc>
      </w:tr>
      <w:tr w:rsidR="003F2E6A" w:rsidRPr="001C35AD" w14:paraId="52830354"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2B7354B" w14:textId="142A56E4" w:rsidR="00AA3421" w:rsidRPr="001C35AD" w:rsidRDefault="00245EB3" w:rsidP="008F1017">
            <w:pPr>
              <w:tabs>
                <w:tab w:val="left" w:pos="1530"/>
                <w:tab w:val="left" w:pos="4236"/>
              </w:tabs>
              <w:ind w:left="81"/>
            </w:pPr>
            <w:hyperlink r:id="rId11" w:history="1">
              <w:r w:rsidR="00A44131" w:rsidRPr="001C35AD">
                <w:rPr>
                  <w:rStyle w:val="Hyperlink"/>
                </w:rPr>
                <w:t>JIU/REP/2020/1</w:t>
              </w:r>
            </w:hyperlink>
          </w:p>
          <w:p w14:paraId="7B4BD5DC" w14:textId="1E551FF1" w:rsidR="00A44131" w:rsidRPr="001C35AD" w:rsidRDefault="00A44131" w:rsidP="001F6BB6">
            <w:pPr>
              <w:tabs>
                <w:tab w:val="left" w:pos="1530"/>
                <w:tab w:val="left" w:pos="4236"/>
              </w:tabs>
              <w:rPr>
                <w:color w:val="0000FF"/>
                <w:sz w:val="19"/>
                <w:szCs w:val="19"/>
              </w:rPr>
            </w:pP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7585082" w14:textId="5CE0198C" w:rsidR="00AA3421" w:rsidRPr="001C35AD" w:rsidRDefault="00A44131" w:rsidP="001F6BB6">
            <w:pPr>
              <w:tabs>
                <w:tab w:val="left" w:pos="1530"/>
                <w:tab w:val="left" w:pos="4236"/>
              </w:tabs>
              <w:ind w:left="90"/>
              <w:rPr>
                <w:rFonts w:eastAsia="Arial Unicode MS"/>
                <w:color w:val="000000"/>
                <w:sz w:val="19"/>
                <w:szCs w:val="19"/>
                <w:lang w:val="en-GB"/>
              </w:rPr>
            </w:pPr>
            <w:r w:rsidRPr="001C35AD">
              <w:rPr>
                <w:rFonts w:eastAsia="Arial Unicode MS"/>
                <w:color w:val="000000"/>
                <w:sz w:val="19"/>
                <w:szCs w:val="19"/>
                <w:lang w:val="en-GB"/>
              </w:rPr>
              <w:t xml:space="preserve">Review of the state of the investigation function: progress made in the United Nations system organizations in strengthening the investigation function </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3BACEC6"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0215612C" w14:textId="5FE00291"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FF2500"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093D9594" w14:textId="0DAC7B82"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1A9FF1E9"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C9208FB" w14:textId="77777777" w:rsidR="0022328E" w:rsidRPr="001C35AD" w:rsidRDefault="0022328E" w:rsidP="001F6BB6">
            <w:pPr>
              <w:tabs>
                <w:tab w:val="left" w:pos="1530"/>
                <w:tab w:val="left" w:pos="4236"/>
              </w:tabs>
              <w:jc w:val="center"/>
              <w:rPr>
                <w:rFonts w:eastAsia="Arial Unicode MS"/>
                <w:color w:val="000000"/>
                <w:sz w:val="19"/>
                <w:szCs w:val="19"/>
                <w:lang w:val="en-GB"/>
              </w:rPr>
            </w:pPr>
          </w:p>
          <w:p w14:paraId="05405C70" w14:textId="77777777" w:rsidR="00FD1673" w:rsidRPr="001C35AD" w:rsidRDefault="00FD1673" w:rsidP="001F6BB6">
            <w:pPr>
              <w:tabs>
                <w:tab w:val="left" w:pos="1530"/>
                <w:tab w:val="left" w:pos="4236"/>
              </w:tabs>
              <w:jc w:val="center"/>
              <w:rPr>
                <w:rFonts w:eastAsia="Arial Unicode MS"/>
                <w:color w:val="000000"/>
                <w:sz w:val="19"/>
                <w:szCs w:val="19"/>
                <w:lang w:val="en-GB"/>
              </w:rPr>
            </w:pPr>
          </w:p>
          <w:p w14:paraId="05104963" w14:textId="180FCFBA"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p w14:paraId="5CDC05B6" w14:textId="77777777" w:rsidR="00AA3421" w:rsidRPr="001C35AD" w:rsidRDefault="00AA3421" w:rsidP="001F6BB6">
            <w:pPr>
              <w:tabs>
                <w:tab w:val="left" w:pos="1530"/>
                <w:tab w:val="left" w:pos="4236"/>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7E3728F"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7FD3F5C9" w14:textId="7EB83917"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189204D"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1BE3114D" w14:textId="77777777" w:rsidR="0022328E" w:rsidRPr="001C35AD" w:rsidRDefault="0022328E" w:rsidP="001F6BB6">
            <w:pPr>
              <w:tabs>
                <w:tab w:val="left" w:pos="1530"/>
                <w:tab w:val="left" w:pos="4236"/>
              </w:tabs>
              <w:jc w:val="center"/>
              <w:rPr>
                <w:rFonts w:eastAsia="Arial Unicode MS"/>
                <w:color w:val="000000"/>
                <w:sz w:val="19"/>
                <w:szCs w:val="19"/>
                <w:lang w:val="en-GB"/>
              </w:rPr>
            </w:pPr>
          </w:p>
          <w:p w14:paraId="1EE44B11" w14:textId="77777777" w:rsidR="00FD1673" w:rsidRPr="001C35AD" w:rsidRDefault="00FD1673" w:rsidP="001F6BB6">
            <w:pPr>
              <w:tabs>
                <w:tab w:val="left" w:pos="1530"/>
                <w:tab w:val="left" w:pos="4236"/>
              </w:tabs>
              <w:jc w:val="center"/>
              <w:rPr>
                <w:rFonts w:eastAsia="Arial Unicode MS"/>
                <w:color w:val="000000"/>
                <w:sz w:val="19"/>
                <w:szCs w:val="19"/>
                <w:lang w:val="en-GB"/>
              </w:rPr>
            </w:pPr>
          </w:p>
          <w:p w14:paraId="04A8DC41" w14:textId="1126F727" w:rsidR="00AA3421" w:rsidRPr="001C35AD" w:rsidRDefault="00B00A7E"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65885"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4508E15A" w14:textId="77777777" w:rsidR="0022328E" w:rsidRPr="001C35AD" w:rsidRDefault="0022328E" w:rsidP="001F6BB6">
            <w:pPr>
              <w:tabs>
                <w:tab w:val="left" w:pos="1530"/>
                <w:tab w:val="left" w:pos="4236"/>
              </w:tabs>
              <w:jc w:val="center"/>
              <w:rPr>
                <w:rFonts w:eastAsia="Arial Unicode MS"/>
                <w:color w:val="000000"/>
                <w:sz w:val="19"/>
                <w:szCs w:val="19"/>
                <w:lang w:val="en-GB"/>
              </w:rPr>
            </w:pPr>
          </w:p>
          <w:p w14:paraId="778D3CF8" w14:textId="77777777" w:rsidR="00FD1673" w:rsidRPr="001C35AD" w:rsidRDefault="00FD1673" w:rsidP="001F6BB6">
            <w:pPr>
              <w:tabs>
                <w:tab w:val="left" w:pos="1530"/>
                <w:tab w:val="left" w:pos="4236"/>
              </w:tabs>
              <w:jc w:val="center"/>
              <w:rPr>
                <w:rFonts w:eastAsia="Arial Unicode MS"/>
                <w:color w:val="000000"/>
                <w:sz w:val="19"/>
                <w:szCs w:val="19"/>
                <w:lang w:val="en-GB"/>
              </w:rPr>
            </w:pPr>
          </w:p>
          <w:p w14:paraId="3D4EC06A" w14:textId="372091FC" w:rsidR="00AA3421" w:rsidRPr="001C35AD" w:rsidRDefault="0022328E"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113871C9"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7F2A2DD1" w14:textId="77777777" w:rsidR="0022328E" w:rsidRPr="001C35AD" w:rsidRDefault="0022328E" w:rsidP="001F6BB6">
            <w:pPr>
              <w:tabs>
                <w:tab w:val="left" w:pos="1530"/>
                <w:tab w:val="left" w:pos="4236"/>
              </w:tabs>
              <w:jc w:val="center"/>
              <w:rPr>
                <w:rFonts w:eastAsia="Arial Unicode MS"/>
                <w:color w:val="000000"/>
                <w:sz w:val="19"/>
                <w:szCs w:val="19"/>
                <w:lang w:val="en-GB"/>
              </w:rPr>
            </w:pPr>
          </w:p>
          <w:p w14:paraId="57500140" w14:textId="77777777" w:rsidR="00FD1673" w:rsidRPr="001C35AD" w:rsidRDefault="00FD1673" w:rsidP="001F6BB6">
            <w:pPr>
              <w:tabs>
                <w:tab w:val="left" w:pos="1530"/>
                <w:tab w:val="left" w:pos="4236"/>
              </w:tabs>
              <w:jc w:val="center"/>
              <w:rPr>
                <w:rFonts w:eastAsia="Arial Unicode MS"/>
                <w:color w:val="000000"/>
                <w:sz w:val="19"/>
                <w:szCs w:val="19"/>
                <w:lang w:val="en-GB"/>
              </w:rPr>
            </w:pPr>
          </w:p>
          <w:p w14:paraId="3D71E63D" w14:textId="67D2D55A"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559A912B"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19EACE17" w14:textId="77777777" w:rsidR="0022328E" w:rsidRPr="001C35AD" w:rsidRDefault="0022328E" w:rsidP="001F6BB6">
            <w:pPr>
              <w:tabs>
                <w:tab w:val="left" w:pos="1530"/>
                <w:tab w:val="left" w:pos="4236"/>
              </w:tabs>
              <w:jc w:val="center"/>
              <w:rPr>
                <w:rFonts w:eastAsia="Arial Unicode MS"/>
                <w:color w:val="000000"/>
                <w:sz w:val="19"/>
                <w:szCs w:val="19"/>
                <w:lang w:val="en-GB"/>
              </w:rPr>
            </w:pPr>
          </w:p>
          <w:p w14:paraId="254BBFC0" w14:textId="77777777" w:rsidR="00FD1673" w:rsidRPr="001C35AD" w:rsidRDefault="00FD1673" w:rsidP="001F6BB6">
            <w:pPr>
              <w:tabs>
                <w:tab w:val="left" w:pos="1530"/>
                <w:tab w:val="left" w:pos="4236"/>
              </w:tabs>
              <w:jc w:val="center"/>
              <w:rPr>
                <w:rFonts w:eastAsia="Arial Unicode MS"/>
                <w:color w:val="000000"/>
                <w:sz w:val="19"/>
                <w:szCs w:val="19"/>
                <w:lang w:val="en-GB"/>
              </w:rPr>
            </w:pPr>
          </w:p>
          <w:p w14:paraId="25C004C0" w14:textId="7876986E" w:rsidR="00AA3421" w:rsidRPr="001C35AD" w:rsidRDefault="00E14A3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3F2E6A" w:rsidRPr="001C35AD" w14:paraId="54501488"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D79F2F4" w14:textId="046584D3" w:rsidR="00AA3421" w:rsidRPr="001C35AD" w:rsidRDefault="00AA3421" w:rsidP="008F1017">
            <w:pPr>
              <w:tabs>
                <w:tab w:val="left" w:pos="1530"/>
                <w:tab w:val="left" w:pos="4236"/>
              </w:tabs>
              <w:ind w:left="81"/>
              <w:rPr>
                <w:rFonts w:eastAsia="Arial Unicode MS"/>
                <w:color w:val="000000"/>
                <w:lang w:val="en-GB"/>
              </w:rPr>
            </w:pPr>
            <w:r w:rsidRPr="001C35AD">
              <w:rPr>
                <w:rFonts w:eastAsia="Arial Unicode MS"/>
                <w:color w:val="000000"/>
                <w:lang w:val="en-GB"/>
              </w:rPr>
              <w:t xml:space="preserve"> </w:t>
            </w:r>
            <w:r w:rsidR="0080718E" w:rsidRPr="001C35AD">
              <w:t xml:space="preserve"> </w:t>
            </w:r>
            <w:hyperlink r:id="rId12" w:history="1">
              <w:r w:rsidR="0080718E" w:rsidRPr="001C35AD">
                <w:rPr>
                  <w:rStyle w:val="Hyperlink"/>
                  <w:rFonts w:eastAsia="Arial Unicode MS"/>
                  <w:lang w:val="en-GB"/>
                </w:rPr>
                <w:t>JIU/REP/2020/2</w:t>
              </w:r>
            </w:hyperlink>
          </w:p>
          <w:p w14:paraId="0B85C618" w14:textId="77777777" w:rsidR="0080718E" w:rsidRPr="001C35AD" w:rsidRDefault="0080718E" w:rsidP="001F6BB6">
            <w:pPr>
              <w:tabs>
                <w:tab w:val="left" w:pos="1530"/>
                <w:tab w:val="left" w:pos="4236"/>
              </w:tabs>
              <w:rPr>
                <w:rFonts w:eastAsia="Arial Unicode MS"/>
                <w:color w:val="000000"/>
                <w:lang w:val="en-GB"/>
              </w:rPr>
            </w:pPr>
          </w:p>
          <w:p w14:paraId="07239598" w14:textId="3B350E7F" w:rsidR="00BE54A6" w:rsidRPr="001C35AD" w:rsidRDefault="00BE54A6" w:rsidP="001F6BB6">
            <w:pPr>
              <w:tabs>
                <w:tab w:val="left" w:pos="1530"/>
                <w:tab w:val="left" w:pos="4236"/>
              </w:tabs>
              <w:rPr>
                <w:sz w:val="19"/>
                <w:szCs w:val="19"/>
              </w:rPr>
            </w:pP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B2EA728" w14:textId="6DA8F261" w:rsidR="00AA3421" w:rsidRPr="001C35AD" w:rsidRDefault="0080718E" w:rsidP="001F6BB6">
            <w:pPr>
              <w:tabs>
                <w:tab w:val="left" w:pos="1530"/>
                <w:tab w:val="left" w:pos="4236"/>
              </w:tabs>
              <w:ind w:left="90"/>
              <w:rPr>
                <w:rFonts w:eastAsia="Arial Unicode MS"/>
                <w:color w:val="000000"/>
                <w:sz w:val="19"/>
                <w:szCs w:val="19"/>
                <w:lang w:val="en-GB"/>
              </w:rPr>
            </w:pPr>
            <w:r w:rsidRPr="001C35AD">
              <w:rPr>
                <w:sz w:val="19"/>
                <w:szCs w:val="19"/>
              </w:rPr>
              <w:t xml:space="preserve">Policies and platforms in support of learning: towards more coherence, coordination and convergence </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D2D5087"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027EA057"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504F42D8"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02427EFB" w14:textId="67F91EF1" w:rsidR="00AA3421" w:rsidRPr="001C35AD" w:rsidRDefault="0080718E"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9</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ED5C8CC"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585DC9F8"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4CFEDEE8"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55AD2A5E" w14:textId="353BFE3A" w:rsidR="00AA3421" w:rsidRPr="001C35AD" w:rsidRDefault="0080718E"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3BB6CEB8"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223C83A4"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673AAABE"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3044198C"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4DDDCC78" w14:textId="7BC784F1" w:rsidR="00AA3421" w:rsidRPr="001C35AD" w:rsidRDefault="00BE54A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p w14:paraId="150479BC" w14:textId="1CFA6ABE" w:rsidR="007005C4" w:rsidRPr="001C35AD" w:rsidRDefault="007005C4" w:rsidP="001F6BB6">
            <w:pPr>
              <w:tabs>
                <w:tab w:val="left" w:pos="1530"/>
                <w:tab w:val="left" w:pos="4236"/>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CE767D"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16D54260"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7EFEE70F" w14:textId="77777777" w:rsidR="00B07AD1" w:rsidRPr="001C35AD" w:rsidRDefault="00B07AD1" w:rsidP="001F6BB6">
            <w:pPr>
              <w:tabs>
                <w:tab w:val="left" w:pos="1530"/>
                <w:tab w:val="left" w:pos="4236"/>
              </w:tabs>
              <w:jc w:val="center"/>
              <w:rPr>
                <w:rFonts w:eastAsia="Arial Unicode MS"/>
                <w:color w:val="000000"/>
                <w:sz w:val="19"/>
                <w:szCs w:val="19"/>
                <w:lang w:val="en-GB"/>
              </w:rPr>
            </w:pPr>
          </w:p>
          <w:p w14:paraId="21540651" w14:textId="226E4C94" w:rsidR="00AA3421" w:rsidRPr="001C35AD" w:rsidRDefault="0098482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F831144"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01868F2"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0A3D66CF"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6FADAE96"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1D0D3135" w14:textId="7C7C8209" w:rsidR="00BE54A6" w:rsidRPr="001C35AD" w:rsidRDefault="0098482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257D92"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42C07A95"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62CF0D31"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163038A4"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372C426C" w14:textId="4F957CEB" w:rsidR="00BE54A6" w:rsidRPr="001C35AD" w:rsidRDefault="0098482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37FD0C4A"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3A600D2E"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3BE62743"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62045D2B"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3CC2DE58" w14:textId="5C7724B8" w:rsidR="00BE54A6" w:rsidRPr="001C35AD" w:rsidRDefault="00BE54A6"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1AD8ABEB"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4DF8D6C3" w14:textId="77777777" w:rsidR="007005C4" w:rsidRPr="001C35AD" w:rsidRDefault="007005C4" w:rsidP="001F6BB6">
            <w:pPr>
              <w:tabs>
                <w:tab w:val="left" w:pos="1530"/>
                <w:tab w:val="left" w:pos="4236"/>
              </w:tabs>
              <w:jc w:val="center"/>
              <w:rPr>
                <w:rFonts w:eastAsia="Arial Unicode MS"/>
                <w:color w:val="000000"/>
                <w:sz w:val="19"/>
                <w:szCs w:val="19"/>
                <w:lang w:val="en-GB"/>
              </w:rPr>
            </w:pPr>
          </w:p>
          <w:p w14:paraId="5D6ECDE7"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278344F2" w14:textId="77777777" w:rsidR="00BE54A6" w:rsidRPr="001C35AD" w:rsidRDefault="00BE54A6" w:rsidP="001F6BB6">
            <w:pPr>
              <w:tabs>
                <w:tab w:val="left" w:pos="1530"/>
                <w:tab w:val="left" w:pos="4236"/>
              </w:tabs>
              <w:jc w:val="center"/>
              <w:rPr>
                <w:rFonts w:eastAsia="Arial Unicode MS"/>
                <w:color w:val="000000"/>
                <w:sz w:val="19"/>
                <w:szCs w:val="19"/>
                <w:lang w:val="en-GB"/>
              </w:rPr>
            </w:pPr>
          </w:p>
          <w:p w14:paraId="37585F62" w14:textId="34E621B5" w:rsidR="00BE54A6" w:rsidRPr="001C35AD" w:rsidRDefault="0098482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r>
      <w:tr w:rsidR="003F2E6A" w:rsidRPr="001C35AD" w14:paraId="7CDA3FD4" w14:textId="77777777" w:rsidTr="001F6BB6">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2B9D096A" w14:textId="2F97E6C8" w:rsidR="00AA3421" w:rsidRPr="001C35AD" w:rsidRDefault="00245EB3" w:rsidP="008F1017">
            <w:pPr>
              <w:tabs>
                <w:tab w:val="left" w:pos="1530"/>
                <w:tab w:val="left" w:pos="4236"/>
              </w:tabs>
              <w:ind w:left="81"/>
            </w:pPr>
            <w:hyperlink r:id="rId13" w:history="1">
              <w:r w:rsidR="000F5A7F" w:rsidRPr="001C35AD">
                <w:rPr>
                  <w:rStyle w:val="Hyperlink"/>
                </w:rPr>
                <w:t>JIU/REP/2020/3</w:t>
              </w:r>
            </w:hyperlink>
          </w:p>
          <w:p w14:paraId="1F308EC2" w14:textId="523A8F6C" w:rsidR="000F5A7F" w:rsidRPr="001C35AD" w:rsidRDefault="000F5A7F" w:rsidP="001F6BB6">
            <w:pPr>
              <w:tabs>
                <w:tab w:val="left" w:pos="1530"/>
                <w:tab w:val="left" w:pos="4236"/>
              </w:tabs>
              <w:rPr>
                <w:color w:val="0000FF"/>
                <w:sz w:val="19"/>
                <w:szCs w:val="19"/>
              </w:rPr>
            </w:pPr>
          </w:p>
        </w:tc>
        <w:tc>
          <w:tcPr>
            <w:tcW w:w="261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24E16ACA" w14:textId="727E5336" w:rsidR="00AA3421" w:rsidRPr="001C35AD" w:rsidRDefault="000F5A7F" w:rsidP="001F6BB6">
            <w:pPr>
              <w:tabs>
                <w:tab w:val="left" w:pos="1530"/>
                <w:tab w:val="left" w:pos="4236"/>
              </w:tabs>
              <w:ind w:left="90"/>
              <w:rPr>
                <w:rFonts w:eastAsia="Arial Unicode MS"/>
                <w:color w:val="000000"/>
                <w:sz w:val="19"/>
                <w:szCs w:val="19"/>
                <w:lang w:val="en-GB"/>
              </w:rPr>
            </w:pPr>
            <w:r w:rsidRPr="001C35AD">
              <w:rPr>
                <w:sz w:val="19"/>
                <w:szCs w:val="19"/>
              </w:rPr>
              <w:t>Common premises in the United Nations system: current practices and future prospects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FF42A89" w14:textId="77777777" w:rsidR="00015943" w:rsidRPr="001C35AD" w:rsidRDefault="00015943" w:rsidP="001F6BB6">
            <w:pPr>
              <w:tabs>
                <w:tab w:val="left" w:pos="1530"/>
                <w:tab w:val="left" w:pos="4236"/>
              </w:tabs>
              <w:jc w:val="center"/>
              <w:rPr>
                <w:rFonts w:eastAsia="Arial Unicode MS"/>
                <w:color w:val="000000"/>
                <w:sz w:val="19"/>
                <w:szCs w:val="19"/>
                <w:lang w:val="en-GB"/>
              </w:rPr>
            </w:pPr>
          </w:p>
          <w:p w14:paraId="76CA97B4" w14:textId="25E7305F" w:rsidR="00AA3421"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8</w:t>
            </w:r>
          </w:p>
        </w:tc>
        <w:tc>
          <w:tcPr>
            <w:tcW w:w="1039"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4956AE70" w14:textId="77777777" w:rsidR="00015943" w:rsidRPr="001C35AD" w:rsidRDefault="00015943" w:rsidP="001F6BB6">
            <w:pPr>
              <w:tabs>
                <w:tab w:val="left" w:pos="1530"/>
                <w:tab w:val="left" w:pos="4236"/>
              </w:tabs>
              <w:jc w:val="center"/>
              <w:rPr>
                <w:rFonts w:eastAsia="Arial Unicode MS"/>
                <w:color w:val="000000"/>
                <w:sz w:val="19"/>
                <w:szCs w:val="19"/>
                <w:lang w:val="en-GB"/>
              </w:rPr>
            </w:pPr>
          </w:p>
          <w:p w14:paraId="552AC9CD" w14:textId="34927CC6" w:rsidR="00AA3421"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58CAF96"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36F32662" w14:textId="77777777" w:rsidR="000F5A7F" w:rsidRPr="001C35AD" w:rsidRDefault="000F5A7F" w:rsidP="001F6BB6">
            <w:pPr>
              <w:tabs>
                <w:tab w:val="left" w:pos="1530"/>
                <w:tab w:val="left" w:pos="4236"/>
              </w:tabs>
              <w:jc w:val="center"/>
              <w:rPr>
                <w:rFonts w:eastAsia="Arial Unicode MS"/>
                <w:color w:val="000000"/>
                <w:sz w:val="19"/>
                <w:szCs w:val="19"/>
                <w:lang w:val="en-GB"/>
              </w:rPr>
            </w:pPr>
          </w:p>
          <w:p w14:paraId="62BB6F42" w14:textId="72C97DFC" w:rsidR="00AA3421" w:rsidRPr="001C35AD" w:rsidRDefault="00AA3421"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641327C0"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4BA831DC" w14:textId="08B106AA" w:rsidR="00015943"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8D9A91"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696F77C0"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74520119" w14:textId="084B7329" w:rsidR="00AA3421" w:rsidRPr="001C35AD" w:rsidRDefault="00015943"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01220F"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B84443D"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6C3A80C5" w14:textId="1F0E357E" w:rsidR="00AA3421"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B6AF0A4"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709E8CC8"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D8BC042" w14:textId="10971FAF" w:rsidR="00AA3421"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55B5129"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5B4559AD"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E8E1C24" w14:textId="78C8B5F1" w:rsidR="00AA3421" w:rsidRPr="001C35AD" w:rsidRDefault="000F5A7F"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r>
      <w:tr w:rsidR="003F2E6A" w:rsidRPr="001C35AD" w14:paraId="72E1B4F9"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BCFB567" w14:textId="3D62C9D6" w:rsidR="00B03EE7" w:rsidRPr="001C35AD" w:rsidRDefault="00245EB3" w:rsidP="008F1017">
            <w:pPr>
              <w:tabs>
                <w:tab w:val="left" w:pos="1530"/>
                <w:tab w:val="left" w:pos="4236"/>
              </w:tabs>
              <w:ind w:left="81"/>
              <w:rPr>
                <w:color w:val="0000FF"/>
                <w:sz w:val="19"/>
                <w:szCs w:val="19"/>
              </w:rPr>
            </w:pPr>
            <w:hyperlink r:id="rId14" w:history="1">
              <w:r w:rsidR="00B03EE7" w:rsidRPr="001C35AD">
                <w:rPr>
                  <w:rStyle w:val="Hyperlink"/>
                </w:rPr>
                <w:t>JIU/REP/2020/5</w:t>
              </w:r>
            </w:hyperlink>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A6F2754" w14:textId="5EB94D0E" w:rsidR="00AA3421" w:rsidRPr="001C35AD" w:rsidRDefault="00F65C4B" w:rsidP="001F6BB6">
            <w:pPr>
              <w:tabs>
                <w:tab w:val="left" w:pos="1530"/>
                <w:tab w:val="left" w:pos="4236"/>
              </w:tabs>
              <w:ind w:left="90"/>
              <w:rPr>
                <w:rFonts w:eastAsia="Arial Unicode MS"/>
                <w:color w:val="000000"/>
                <w:sz w:val="19"/>
                <w:szCs w:val="19"/>
                <w:lang w:val="en-GB"/>
              </w:rPr>
            </w:pPr>
            <w:r w:rsidRPr="001C35AD">
              <w:rPr>
                <w:sz w:val="19"/>
                <w:szCs w:val="19"/>
              </w:rPr>
              <w:t xml:space="preserve">Enterprise risk management: approaches and uses in United Nations system organizations </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544A579" w14:textId="48C6AA6C"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58CD245" w14:textId="0148DCFC" w:rsidR="00AA3421" w:rsidRPr="001C35AD" w:rsidRDefault="00015943"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166B8D91"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478A53CE" w14:textId="6BB40F73"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0BDE49F" w14:textId="1E4C5402"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FF878FC"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21E56F5D" w14:textId="5EA05EF6" w:rsidR="00AA3421" w:rsidRPr="001C35AD" w:rsidRDefault="00015943"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EE0C49"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7054FA55" w14:textId="2E51FE75"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7147E87"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0982BB45" w14:textId="495128B8"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775705FA" w14:textId="77777777" w:rsidR="00AA3421" w:rsidRPr="001C35AD" w:rsidRDefault="00AA3421" w:rsidP="001F6BB6">
            <w:pPr>
              <w:tabs>
                <w:tab w:val="left" w:pos="1530"/>
                <w:tab w:val="left" w:pos="4236"/>
              </w:tabs>
              <w:jc w:val="center"/>
              <w:rPr>
                <w:rFonts w:eastAsia="Arial Unicode MS"/>
                <w:color w:val="000000"/>
                <w:sz w:val="19"/>
                <w:szCs w:val="19"/>
                <w:lang w:val="en-GB"/>
              </w:rPr>
            </w:pPr>
          </w:p>
          <w:p w14:paraId="26B7C3DD" w14:textId="081CC075" w:rsidR="00AA3421" w:rsidRPr="001C35AD" w:rsidRDefault="00511AD7"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9A4928" w:rsidRPr="001C35AD" w14:paraId="0B4F5583"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CF93991" w14:textId="56467E96" w:rsidR="009A4928" w:rsidRPr="001C35AD" w:rsidRDefault="00245EB3" w:rsidP="008F1017">
            <w:pPr>
              <w:tabs>
                <w:tab w:val="left" w:pos="1530"/>
                <w:tab w:val="left" w:pos="4236"/>
              </w:tabs>
              <w:ind w:left="81"/>
            </w:pPr>
            <w:hyperlink r:id="rId15" w:history="1">
              <w:r w:rsidR="00632DA2" w:rsidRPr="001C35AD">
                <w:rPr>
                  <w:rStyle w:val="Hyperlink"/>
                </w:rPr>
                <w:t>JIU/REP/2020/6</w:t>
              </w:r>
            </w:hyperlink>
          </w:p>
          <w:p w14:paraId="79272D93" w14:textId="401912F6" w:rsidR="00632DA2" w:rsidRPr="001C35AD" w:rsidRDefault="00632DA2" w:rsidP="001F6BB6">
            <w:pPr>
              <w:tabs>
                <w:tab w:val="left" w:pos="1530"/>
                <w:tab w:val="left" w:pos="4236"/>
              </w:tabs>
            </w:pP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F0C531D" w14:textId="69756268" w:rsidR="009A4928" w:rsidRPr="001C35AD" w:rsidRDefault="00632DA2" w:rsidP="001F6BB6">
            <w:pPr>
              <w:tabs>
                <w:tab w:val="left" w:pos="1530"/>
                <w:tab w:val="left" w:pos="4236"/>
              </w:tabs>
              <w:ind w:left="90"/>
              <w:rPr>
                <w:rFonts w:eastAsia="Arial Unicode MS"/>
                <w:sz w:val="19"/>
                <w:szCs w:val="19"/>
                <w:lang w:val="en-GB"/>
              </w:rPr>
            </w:pPr>
            <w:r w:rsidRPr="001C35AD">
              <w:rPr>
                <w:sz w:val="19"/>
                <w:szCs w:val="19"/>
              </w:rPr>
              <w:t>Multilingualism in the United Nations system</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6DD8355" w14:textId="22EB6F52" w:rsidR="009A4928" w:rsidRPr="001C35AD" w:rsidRDefault="006D45B0"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044133" w14:textId="4650B291" w:rsidR="009A4928" w:rsidRPr="001C35AD" w:rsidRDefault="00632DA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0351054D" w14:textId="77777777" w:rsidR="006D45B0" w:rsidRPr="001C35AD" w:rsidRDefault="006D45B0" w:rsidP="001F6BB6">
            <w:pPr>
              <w:tabs>
                <w:tab w:val="left" w:pos="1530"/>
                <w:tab w:val="left" w:pos="4236"/>
              </w:tabs>
              <w:jc w:val="center"/>
              <w:rPr>
                <w:rFonts w:eastAsia="Arial Unicode MS"/>
                <w:color w:val="000000"/>
                <w:sz w:val="19"/>
                <w:szCs w:val="19"/>
                <w:lang w:val="en-GB"/>
              </w:rPr>
            </w:pPr>
          </w:p>
          <w:p w14:paraId="2D461BE4" w14:textId="2D06FB4D" w:rsidR="009A4928" w:rsidRPr="001C35AD" w:rsidRDefault="00632DA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5A8D5E9" w14:textId="1E091D19" w:rsidR="009A4928" w:rsidRPr="001C35AD" w:rsidRDefault="00632DA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078E0D5" w14:textId="77777777" w:rsidR="009A4928" w:rsidRPr="001C35AD" w:rsidRDefault="009A4928" w:rsidP="001F6BB6">
            <w:pPr>
              <w:tabs>
                <w:tab w:val="left" w:pos="1530"/>
                <w:tab w:val="left" w:pos="4236"/>
              </w:tabs>
              <w:jc w:val="center"/>
              <w:rPr>
                <w:rFonts w:eastAsia="Arial Unicode MS"/>
                <w:color w:val="000000"/>
                <w:sz w:val="19"/>
                <w:szCs w:val="19"/>
                <w:lang w:val="en-GB"/>
              </w:rPr>
            </w:pPr>
          </w:p>
          <w:p w14:paraId="692354E9" w14:textId="0855FFE8" w:rsidR="006D45B0" w:rsidRPr="001C35AD" w:rsidRDefault="006D45B0"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C0204B" w14:textId="77777777" w:rsidR="009A4928" w:rsidRPr="001C35AD" w:rsidRDefault="009A4928" w:rsidP="001F6BB6">
            <w:pPr>
              <w:tabs>
                <w:tab w:val="left" w:pos="1530"/>
                <w:tab w:val="left" w:pos="4236"/>
              </w:tabs>
              <w:jc w:val="center"/>
              <w:rPr>
                <w:rFonts w:eastAsia="Arial Unicode MS"/>
                <w:color w:val="000000"/>
                <w:sz w:val="19"/>
                <w:szCs w:val="19"/>
                <w:lang w:val="en-GB"/>
              </w:rPr>
            </w:pPr>
          </w:p>
          <w:p w14:paraId="0B7D65DC" w14:textId="2FA3B0B8" w:rsidR="006D45B0" w:rsidRPr="001C35AD" w:rsidRDefault="006D45B0"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5936272" w14:textId="77777777" w:rsidR="009A4928" w:rsidRPr="001C35AD" w:rsidRDefault="009A4928" w:rsidP="001F6BB6">
            <w:pPr>
              <w:tabs>
                <w:tab w:val="left" w:pos="1530"/>
                <w:tab w:val="left" w:pos="4236"/>
              </w:tabs>
              <w:jc w:val="center"/>
              <w:rPr>
                <w:rFonts w:eastAsia="Arial Unicode MS"/>
                <w:color w:val="000000"/>
                <w:sz w:val="19"/>
                <w:szCs w:val="19"/>
                <w:lang w:val="en-GB"/>
              </w:rPr>
            </w:pPr>
          </w:p>
          <w:p w14:paraId="64B95C05" w14:textId="3A3396F9" w:rsidR="006D45B0" w:rsidRPr="001C35AD" w:rsidRDefault="00632DA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2F606554" w14:textId="77777777" w:rsidR="009A4928" w:rsidRPr="001C35AD" w:rsidRDefault="009A4928" w:rsidP="001F6BB6">
            <w:pPr>
              <w:tabs>
                <w:tab w:val="left" w:pos="1530"/>
                <w:tab w:val="left" w:pos="4236"/>
              </w:tabs>
              <w:jc w:val="center"/>
              <w:rPr>
                <w:rFonts w:eastAsia="Arial Unicode MS"/>
                <w:color w:val="000000"/>
                <w:sz w:val="19"/>
                <w:szCs w:val="19"/>
                <w:lang w:val="en-GB"/>
              </w:rPr>
            </w:pPr>
          </w:p>
          <w:p w14:paraId="360C2760" w14:textId="586188C9" w:rsidR="006D45B0" w:rsidRPr="001C35AD" w:rsidRDefault="00632DA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5</w:t>
            </w:r>
          </w:p>
        </w:tc>
      </w:tr>
      <w:bookmarkStart w:id="0" w:name="_Hlk65259601"/>
      <w:tr w:rsidR="008F1017" w:rsidRPr="001C35AD" w14:paraId="0858D8BF"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551BE91" w14:textId="32DB6725" w:rsidR="008F1017" w:rsidRPr="001C35AD" w:rsidRDefault="008F1017" w:rsidP="005A69F0">
            <w:pPr>
              <w:tabs>
                <w:tab w:val="left" w:pos="1530"/>
                <w:tab w:val="left" w:pos="4236"/>
              </w:tabs>
              <w:ind w:left="81"/>
            </w:pPr>
            <w:r w:rsidRPr="001C35AD">
              <w:fldChar w:fldCharType="begin"/>
            </w:r>
            <w:r w:rsidRPr="001C35AD">
              <w:instrText xml:space="preserve"> HYPERLINK "https://www.unjiu.org/sites/www.unjiu.org/files/jiu_rep_2020_8_english.pdf" </w:instrText>
            </w:r>
            <w:r w:rsidRPr="001C35AD">
              <w:fldChar w:fldCharType="separate"/>
            </w:r>
            <w:r w:rsidR="005A69F0" w:rsidRPr="001C35AD">
              <w:rPr>
                <w:rStyle w:val="Hyperlink"/>
              </w:rPr>
              <w:t>JIU/REP/</w:t>
            </w:r>
            <w:r w:rsidRPr="001C35AD">
              <w:rPr>
                <w:rStyle w:val="Hyperlink"/>
              </w:rPr>
              <w:t>2020</w:t>
            </w:r>
            <w:r w:rsidR="005A69F0" w:rsidRPr="001C35AD">
              <w:rPr>
                <w:rStyle w:val="Hyperlink"/>
              </w:rPr>
              <w:t>/</w:t>
            </w:r>
            <w:r w:rsidRPr="001C35AD">
              <w:rPr>
                <w:rStyle w:val="Hyperlink"/>
              </w:rPr>
              <w:t>8</w:t>
            </w:r>
            <w:r w:rsidRPr="001C35AD">
              <w:fldChar w:fldCharType="end"/>
            </w:r>
            <w:bookmarkEnd w:id="0"/>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089527E6" w14:textId="77777777" w:rsidR="00962BE2" w:rsidRPr="001C35AD" w:rsidRDefault="00962BE2" w:rsidP="00962BE2">
            <w:pPr>
              <w:tabs>
                <w:tab w:val="left" w:pos="1530"/>
                <w:tab w:val="left" w:pos="4236"/>
              </w:tabs>
              <w:ind w:left="90"/>
              <w:rPr>
                <w:sz w:val="19"/>
                <w:szCs w:val="19"/>
              </w:rPr>
            </w:pPr>
            <w:bookmarkStart w:id="1" w:name="_Hlk65259539"/>
            <w:r w:rsidRPr="001C35AD">
              <w:rPr>
                <w:sz w:val="19"/>
                <w:szCs w:val="19"/>
              </w:rPr>
              <w:t>Review of mainstreaming environmental</w:t>
            </w:r>
          </w:p>
          <w:p w14:paraId="5D284C4A" w14:textId="77777777" w:rsidR="00962BE2" w:rsidRPr="001C35AD" w:rsidRDefault="00962BE2" w:rsidP="00962BE2">
            <w:pPr>
              <w:tabs>
                <w:tab w:val="left" w:pos="1530"/>
                <w:tab w:val="left" w:pos="4236"/>
              </w:tabs>
              <w:ind w:left="90"/>
              <w:rPr>
                <w:sz w:val="19"/>
                <w:szCs w:val="19"/>
              </w:rPr>
            </w:pPr>
            <w:r w:rsidRPr="001C35AD">
              <w:rPr>
                <w:sz w:val="19"/>
                <w:szCs w:val="19"/>
              </w:rPr>
              <w:t>sustainability across organizations of the</w:t>
            </w:r>
          </w:p>
          <w:p w14:paraId="7C088A07" w14:textId="6E039363" w:rsidR="008F1017" w:rsidRPr="001C35AD" w:rsidRDefault="00962BE2" w:rsidP="00962BE2">
            <w:pPr>
              <w:tabs>
                <w:tab w:val="left" w:pos="1530"/>
                <w:tab w:val="left" w:pos="4236"/>
              </w:tabs>
              <w:ind w:left="90"/>
              <w:jc w:val="both"/>
              <w:rPr>
                <w:sz w:val="19"/>
                <w:szCs w:val="19"/>
              </w:rPr>
            </w:pPr>
            <w:r w:rsidRPr="001C35AD">
              <w:rPr>
                <w:sz w:val="19"/>
                <w:szCs w:val="19"/>
              </w:rPr>
              <w:t>United Nations system</w:t>
            </w:r>
            <w:bookmarkEnd w:id="1"/>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A42813" w14:textId="1F94AB27" w:rsidR="008F1017" w:rsidRPr="001C35AD" w:rsidRDefault="00962BE2"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AA252B8" w14:textId="72307AFD" w:rsidR="008F1017" w:rsidRPr="001C35AD" w:rsidRDefault="0011427A"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8</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1DEECB49" w14:textId="77777777" w:rsidR="008F1017" w:rsidRPr="001C35AD" w:rsidRDefault="008F1017" w:rsidP="001F6BB6">
            <w:pPr>
              <w:tabs>
                <w:tab w:val="left" w:pos="1530"/>
                <w:tab w:val="left" w:pos="4236"/>
              </w:tabs>
              <w:jc w:val="center"/>
              <w:rPr>
                <w:rFonts w:eastAsia="Arial Unicode MS"/>
                <w:color w:val="000000"/>
                <w:sz w:val="19"/>
                <w:szCs w:val="19"/>
                <w:lang w:val="en-GB"/>
              </w:rPr>
            </w:pPr>
          </w:p>
          <w:p w14:paraId="3A4B74C9" w14:textId="77777777" w:rsidR="0011427A" w:rsidRPr="001C35AD" w:rsidRDefault="0011427A" w:rsidP="001F6BB6">
            <w:pPr>
              <w:tabs>
                <w:tab w:val="left" w:pos="1530"/>
                <w:tab w:val="left" w:pos="4236"/>
              </w:tabs>
              <w:jc w:val="center"/>
              <w:rPr>
                <w:rFonts w:eastAsia="Arial Unicode MS"/>
                <w:color w:val="000000"/>
                <w:sz w:val="19"/>
                <w:szCs w:val="19"/>
                <w:lang w:val="en-GB"/>
              </w:rPr>
            </w:pPr>
          </w:p>
          <w:p w14:paraId="304C3363" w14:textId="7BCC23C0" w:rsidR="0011427A" w:rsidRPr="001C35AD" w:rsidRDefault="0011427A"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65C2EEF" w14:textId="007C3E4C" w:rsidR="008F1017" w:rsidRPr="001C35AD" w:rsidRDefault="0011427A"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364E879" w14:textId="77777777" w:rsidR="008F1017" w:rsidRPr="001C35AD" w:rsidRDefault="008F1017" w:rsidP="001F6BB6">
            <w:pPr>
              <w:tabs>
                <w:tab w:val="left" w:pos="1530"/>
                <w:tab w:val="left" w:pos="4236"/>
              </w:tabs>
              <w:jc w:val="center"/>
              <w:rPr>
                <w:rFonts w:eastAsia="Arial Unicode MS"/>
                <w:color w:val="000000"/>
                <w:sz w:val="19"/>
                <w:szCs w:val="19"/>
                <w:lang w:val="en-GB"/>
              </w:rPr>
            </w:pPr>
          </w:p>
          <w:p w14:paraId="34BCE668" w14:textId="4A37EE51" w:rsidR="0011427A" w:rsidRPr="001C35AD" w:rsidRDefault="0011427A" w:rsidP="001F6BB6">
            <w:pPr>
              <w:tabs>
                <w:tab w:val="left" w:pos="1530"/>
                <w:tab w:val="left" w:pos="4236"/>
              </w:tabs>
              <w:jc w:val="center"/>
              <w:rPr>
                <w:rFonts w:eastAsia="Arial Unicode MS"/>
                <w:color w:val="000000"/>
                <w:sz w:val="19"/>
                <w:szCs w:val="19"/>
                <w:lang w:val="en-GB"/>
              </w:rPr>
            </w:pPr>
          </w:p>
          <w:p w14:paraId="5EBE7AFB" w14:textId="4C80E785" w:rsidR="009A00DD" w:rsidRPr="001C35AD" w:rsidRDefault="009A00DD"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p w14:paraId="49817C16" w14:textId="31376225" w:rsidR="0011427A" w:rsidRPr="001C35AD" w:rsidRDefault="0011427A" w:rsidP="001F6BB6">
            <w:pPr>
              <w:tabs>
                <w:tab w:val="left" w:pos="1530"/>
                <w:tab w:val="left" w:pos="4236"/>
              </w:tabs>
              <w:jc w:val="center"/>
              <w:rPr>
                <w:rFonts w:eastAsia="Arial Unicode MS"/>
                <w:color w:val="000000"/>
                <w:sz w:val="19"/>
                <w:szCs w:val="19"/>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D03DC8" w14:textId="77777777" w:rsidR="008F1017" w:rsidRPr="001C35AD" w:rsidRDefault="008F1017" w:rsidP="001F6BB6">
            <w:pPr>
              <w:tabs>
                <w:tab w:val="left" w:pos="1530"/>
                <w:tab w:val="left" w:pos="4236"/>
              </w:tabs>
              <w:jc w:val="center"/>
              <w:rPr>
                <w:rFonts w:eastAsia="Arial Unicode MS"/>
                <w:color w:val="000000"/>
                <w:sz w:val="19"/>
                <w:szCs w:val="19"/>
                <w:lang w:val="en-GB"/>
              </w:rPr>
            </w:pPr>
          </w:p>
          <w:p w14:paraId="2DD708B2" w14:textId="77777777" w:rsidR="009A00DD" w:rsidRPr="001C35AD" w:rsidRDefault="009A00DD" w:rsidP="001F6BB6">
            <w:pPr>
              <w:tabs>
                <w:tab w:val="left" w:pos="1530"/>
                <w:tab w:val="left" w:pos="4236"/>
              </w:tabs>
              <w:jc w:val="center"/>
              <w:rPr>
                <w:rFonts w:eastAsia="Arial Unicode MS"/>
                <w:color w:val="000000"/>
                <w:sz w:val="19"/>
                <w:szCs w:val="19"/>
                <w:lang w:val="en-GB"/>
              </w:rPr>
            </w:pPr>
          </w:p>
          <w:p w14:paraId="07823C2D" w14:textId="2D75709A" w:rsidR="009A00DD" w:rsidRPr="001C35AD" w:rsidRDefault="009A00DD" w:rsidP="001F6BB6">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2A4B3835" w14:textId="77777777" w:rsidR="008F1017" w:rsidRPr="001C35AD" w:rsidRDefault="008F1017" w:rsidP="001F6BB6">
            <w:pPr>
              <w:tabs>
                <w:tab w:val="left" w:pos="1530"/>
                <w:tab w:val="left" w:pos="4236"/>
              </w:tabs>
              <w:jc w:val="center"/>
              <w:rPr>
                <w:rFonts w:eastAsia="Arial Unicode MS"/>
                <w:color w:val="000000"/>
                <w:sz w:val="19"/>
                <w:szCs w:val="19"/>
                <w:lang w:val="en-GB"/>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22B80307" w14:textId="77777777" w:rsidR="008F1017" w:rsidRPr="001C35AD" w:rsidRDefault="008F1017" w:rsidP="001F6BB6">
            <w:pPr>
              <w:tabs>
                <w:tab w:val="left" w:pos="1530"/>
                <w:tab w:val="left" w:pos="4236"/>
              </w:tabs>
              <w:jc w:val="center"/>
              <w:rPr>
                <w:rFonts w:eastAsia="Arial Unicode MS"/>
                <w:color w:val="000000"/>
                <w:sz w:val="19"/>
                <w:szCs w:val="19"/>
                <w:lang w:val="en-GB"/>
              </w:rPr>
            </w:pPr>
          </w:p>
        </w:tc>
      </w:tr>
      <w:tr w:rsidR="003F2E6A" w:rsidRPr="001C35AD" w14:paraId="135D5A8E" w14:textId="77777777" w:rsidTr="00EC0644">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7E89D6E" w14:textId="77777777" w:rsidR="00AA3421" w:rsidRPr="001C35AD" w:rsidRDefault="00AA3421" w:rsidP="001F6BB6">
            <w:pPr>
              <w:tabs>
                <w:tab w:val="left" w:pos="1530"/>
                <w:tab w:val="left" w:pos="4236"/>
              </w:tabs>
              <w:rPr>
                <w:rFonts w:eastAsia="Arial Unicode MS"/>
                <w:b/>
                <w:bCs/>
                <w:color w:val="000000"/>
                <w:lang w:val="en-GB"/>
              </w:rPr>
            </w:pPr>
            <w:r w:rsidRPr="001C35AD">
              <w:rPr>
                <w:rFonts w:eastAsia="Arial Unicode MS"/>
                <w:b/>
                <w:bCs/>
                <w:color w:val="000000"/>
                <w:lang w:val="en-GB"/>
              </w:rPr>
              <w:lastRenderedPageBreak/>
              <w:t xml:space="preserve"> </w:t>
            </w:r>
          </w:p>
          <w:p w14:paraId="11EC713C" w14:textId="77777777" w:rsidR="00AA3421" w:rsidRPr="001C35AD" w:rsidRDefault="00AA3421" w:rsidP="001F6BB6">
            <w:pPr>
              <w:tabs>
                <w:tab w:val="left" w:pos="1530"/>
                <w:tab w:val="left" w:pos="4236"/>
              </w:tabs>
              <w:rPr>
                <w:rFonts w:eastAsia="Arial Unicode MS"/>
                <w:b/>
                <w:bCs/>
                <w:color w:val="000000"/>
                <w:lang w:val="en-GB"/>
              </w:rPr>
            </w:pPr>
            <w:r w:rsidRPr="001C35AD">
              <w:rPr>
                <w:rFonts w:eastAsia="Arial Unicode MS"/>
                <w:b/>
                <w:bCs/>
                <w:color w:val="000000"/>
                <w:lang w:val="en-GB"/>
              </w:rPr>
              <w:t xml:space="preserve"> Total</w:t>
            </w: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6C0D055" w14:textId="77777777" w:rsidR="00AA3421" w:rsidRPr="001C35AD" w:rsidRDefault="00AA3421" w:rsidP="001F6BB6">
            <w:pPr>
              <w:tabs>
                <w:tab w:val="left" w:pos="1530"/>
                <w:tab w:val="left" w:pos="4236"/>
              </w:tabs>
              <w:ind w:left="90"/>
              <w:rPr>
                <w:rFonts w:eastAsia="Arial Unicode MS"/>
                <w:b/>
                <w:bCs/>
                <w:color w:val="000000"/>
                <w:sz w:val="19"/>
                <w:szCs w:val="19"/>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32123D6" w14:textId="570130A5" w:rsidR="00AA3421" w:rsidRPr="001C35AD" w:rsidRDefault="00962BE2"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4</w:t>
            </w:r>
            <w:r w:rsidR="00D66F38" w:rsidRPr="001C35AD">
              <w:rPr>
                <w:rFonts w:eastAsia="Arial Unicode MS"/>
                <w:b/>
                <w:bCs/>
                <w:color w:val="000000"/>
                <w:sz w:val="19"/>
                <w:szCs w:val="19"/>
                <w:lang w:val="en-GB"/>
              </w:rPr>
              <w:t>8</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9688FC7" w14:textId="0245E388" w:rsidR="00AA3421" w:rsidRPr="001C35AD" w:rsidRDefault="000B2C98"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3</w:t>
            </w:r>
            <w:r w:rsidR="0011427A" w:rsidRPr="001C35AD">
              <w:rPr>
                <w:rFonts w:eastAsia="Arial Unicode MS"/>
                <w:b/>
                <w:bCs/>
                <w:color w:val="000000"/>
                <w:sz w:val="19"/>
                <w:szCs w:val="19"/>
                <w:lang w:val="en-GB"/>
              </w:rPr>
              <w:t>8</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2FC5C701" w14:textId="77777777" w:rsidR="00AA3421" w:rsidRPr="001C35AD" w:rsidRDefault="00AA3421" w:rsidP="001F6BB6">
            <w:pPr>
              <w:tabs>
                <w:tab w:val="left" w:pos="1530"/>
                <w:tab w:val="left" w:pos="4236"/>
              </w:tabs>
              <w:jc w:val="center"/>
              <w:rPr>
                <w:rFonts w:eastAsia="Arial Unicode MS"/>
                <w:b/>
                <w:bCs/>
                <w:color w:val="000000"/>
                <w:sz w:val="19"/>
                <w:szCs w:val="19"/>
                <w:lang w:val="en-GB"/>
              </w:rPr>
            </w:pPr>
          </w:p>
          <w:p w14:paraId="2025624F" w14:textId="2FD7AFB3" w:rsidR="000B2C98" w:rsidRPr="001C35AD" w:rsidRDefault="000B2C98"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1</w:t>
            </w:r>
            <w:r w:rsidR="0011427A" w:rsidRPr="001C35AD">
              <w:rPr>
                <w:rFonts w:eastAsia="Arial Unicode MS"/>
                <w:b/>
                <w:bCs/>
                <w:color w:val="000000"/>
                <w:sz w:val="19"/>
                <w:szCs w:val="19"/>
                <w:lang w:val="en-GB"/>
              </w:rPr>
              <w:t>4</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5392D9D" w14:textId="73DD2BB6" w:rsidR="00AA3421" w:rsidRPr="001C35AD" w:rsidRDefault="00984827"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19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8367062" w14:textId="77777777" w:rsidR="00AA3421" w:rsidRPr="001C35AD" w:rsidRDefault="00AA3421" w:rsidP="001F6BB6">
            <w:pPr>
              <w:tabs>
                <w:tab w:val="left" w:pos="1530"/>
                <w:tab w:val="left" w:pos="4236"/>
              </w:tabs>
              <w:jc w:val="center"/>
              <w:rPr>
                <w:rFonts w:eastAsia="Arial Unicode MS"/>
                <w:b/>
                <w:bCs/>
                <w:color w:val="000000"/>
                <w:sz w:val="19"/>
                <w:szCs w:val="19"/>
                <w:lang w:val="en-GB"/>
              </w:rPr>
            </w:pPr>
          </w:p>
          <w:p w14:paraId="14A24B6F" w14:textId="06E2C9E6" w:rsidR="000B2C98" w:rsidRPr="001C35AD" w:rsidRDefault="00984827"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D22C05" w14:textId="77777777" w:rsidR="00AA3421" w:rsidRPr="001C35AD" w:rsidRDefault="00AA3421" w:rsidP="001F6BB6">
            <w:pPr>
              <w:tabs>
                <w:tab w:val="left" w:pos="1530"/>
                <w:tab w:val="left" w:pos="4236"/>
              </w:tabs>
              <w:jc w:val="center"/>
              <w:rPr>
                <w:rFonts w:eastAsia="Arial Unicode MS"/>
                <w:b/>
                <w:bCs/>
                <w:color w:val="000000"/>
                <w:sz w:val="19"/>
                <w:szCs w:val="19"/>
                <w:lang w:val="en-GB"/>
              </w:rPr>
            </w:pPr>
          </w:p>
          <w:p w14:paraId="48D2F2EE" w14:textId="45683BDE" w:rsidR="000B2C98" w:rsidRPr="001C35AD" w:rsidRDefault="00984827"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5</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3F4772D9" w14:textId="77777777" w:rsidR="00AA3421" w:rsidRPr="001C35AD" w:rsidRDefault="00AA3421" w:rsidP="001F6BB6">
            <w:pPr>
              <w:tabs>
                <w:tab w:val="left" w:pos="1530"/>
                <w:tab w:val="left" w:pos="4236"/>
              </w:tabs>
              <w:jc w:val="center"/>
              <w:rPr>
                <w:rFonts w:eastAsia="Arial Unicode MS"/>
                <w:b/>
                <w:bCs/>
                <w:color w:val="000000"/>
                <w:sz w:val="19"/>
                <w:szCs w:val="19"/>
                <w:lang w:val="en-GB"/>
              </w:rPr>
            </w:pPr>
          </w:p>
          <w:p w14:paraId="2763B41A" w14:textId="5080F00B" w:rsidR="000B2C98" w:rsidRPr="001C35AD" w:rsidRDefault="002D494A"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3</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2B796E12" w14:textId="77777777" w:rsidR="00AA3421" w:rsidRPr="001C35AD" w:rsidRDefault="00AA3421" w:rsidP="001F6BB6">
            <w:pPr>
              <w:tabs>
                <w:tab w:val="left" w:pos="1530"/>
                <w:tab w:val="left" w:pos="4236"/>
              </w:tabs>
              <w:jc w:val="center"/>
              <w:rPr>
                <w:rFonts w:eastAsia="Arial Unicode MS"/>
                <w:b/>
                <w:bCs/>
                <w:color w:val="000000"/>
                <w:sz w:val="19"/>
                <w:szCs w:val="19"/>
                <w:lang w:val="en-GB"/>
              </w:rPr>
            </w:pPr>
          </w:p>
          <w:p w14:paraId="41DE9740" w14:textId="4ACDA025" w:rsidR="000B2C98" w:rsidRPr="001C35AD" w:rsidRDefault="00984827" w:rsidP="001F6BB6">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9</w:t>
            </w:r>
          </w:p>
        </w:tc>
      </w:tr>
    </w:tbl>
    <w:p w14:paraId="2EDA7EC0" w14:textId="255376EF" w:rsidR="003D7FDA" w:rsidRPr="001C35AD" w:rsidRDefault="003D7FDA"/>
    <w:tbl>
      <w:tblPr>
        <w:tblpPr w:leftFromText="180" w:rightFromText="180" w:vertAnchor="text" w:tblpX="-650" w:tblpY="1"/>
        <w:tblOverlap w:val="neve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755"/>
      </w:tblGrid>
      <w:tr w:rsidR="00AF216F" w:rsidRPr="001C35AD" w14:paraId="61EF2755" w14:textId="77777777" w:rsidTr="00EC0644">
        <w:trPr>
          <w:cantSplit/>
          <w:trHeight w:val="17"/>
        </w:trPr>
        <w:tc>
          <w:tcPr>
            <w:tcW w:w="1475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F7ED846" w14:textId="171BE839" w:rsidR="00EC28C1" w:rsidRPr="001C35AD" w:rsidRDefault="00EC28C1" w:rsidP="001F6BB6">
            <w:pPr>
              <w:keepNext/>
              <w:keepLines/>
              <w:tabs>
                <w:tab w:val="left" w:pos="1080"/>
                <w:tab w:val="left" w:pos="1530"/>
                <w:tab w:val="left" w:pos="4236"/>
                <w:tab w:val="right" w:pos="8920"/>
              </w:tabs>
              <w:spacing w:line="240" w:lineRule="auto"/>
              <w:ind w:left="94"/>
              <w:jc w:val="both"/>
              <w:outlineLvl w:val="0"/>
              <w:rPr>
                <w:rFonts w:eastAsia="Arial Unicode MS"/>
                <w:b/>
                <w:color w:val="000000"/>
                <w:lang w:val="en-GB"/>
              </w:rPr>
            </w:pPr>
            <w:r w:rsidRPr="001C35AD">
              <w:rPr>
                <w:rFonts w:eastAsia="Arial Unicode MS"/>
                <w:b/>
                <w:color w:val="000000"/>
                <w:lang w:val="en-GB"/>
              </w:rPr>
              <w:t xml:space="preserve">Reports of the Joint Inspection Unit not </w:t>
            </w:r>
            <w:r w:rsidR="005B3DE6" w:rsidRPr="001C35AD">
              <w:rPr>
                <w:rFonts w:eastAsia="Arial Unicode MS"/>
                <w:b/>
                <w:color w:val="000000"/>
                <w:lang w:val="en-GB"/>
              </w:rPr>
              <w:t>issued</w:t>
            </w:r>
            <w:r w:rsidRPr="001C35AD">
              <w:rPr>
                <w:rFonts w:eastAsia="Arial Unicode MS"/>
                <w:b/>
                <w:color w:val="000000"/>
                <w:lang w:val="en-GB"/>
              </w:rPr>
              <w:t xml:space="preserve"> at the time of the present report:</w:t>
            </w:r>
          </w:p>
          <w:p w14:paraId="46A9F0F3" w14:textId="4A70F2A5" w:rsidR="005047CA" w:rsidRPr="001C35AD" w:rsidRDefault="005047CA" w:rsidP="005B3DE6">
            <w:pPr>
              <w:keepNext/>
              <w:keepLines/>
              <w:tabs>
                <w:tab w:val="left" w:pos="1080"/>
                <w:tab w:val="left" w:pos="1530"/>
                <w:tab w:val="left" w:pos="4236"/>
                <w:tab w:val="right" w:pos="8920"/>
              </w:tabs>
              <w:spacing w:line="240" w:lineRule="auto"/>
              <w:ind w:left="94"/>
              <w:jc w:val="both"/>
              <w:outlineLvl w:val="0"/>
            </w:pPr>
            <w:r w:rsidRPr="001C35AD">
              <w:rPr>
                <w:color w:val="0070C0"/>
              </w:rPr>
              <w:t>JIU/REP/2020/7</w:t>
            </w:r>
            <w:r w:rsidRPr="001C35AD">
              <w:t xml:space="preserve">: Blockchain applications in the United Nations system: towards a state of readiness </w:t>
            </w:r>
          </w:p>
          <w:p w14:paraId="7F67A710" w14:textId="43825EAD" w:rsidR="00AA3421" w:rsidRPr="001C35AD" w:rsidRDefault="00AA3421" w:rsidP="001F6BB6">
            <w:pPr>
              <w:keepNext/>
              <w:keepLines/>
              <w:tabs>
                <w:tab w:val="left" w:pos="1080"/>
                <w:tab w:val="left" w:pos="1530"/>
                <w:tab w:val="left" w:pos="4236"/>
                <w:tab w:val="right" w:pos="8920"/>
              </w:tabs>
              <w:spacing w:line="240" w:lineRule="auto"/>
              <w:ind w:left="94"/>
              <w:jc w:val="both"/>
              <w:outlineLvl w:val="0"/>
              <w:rPr>
                <w:rFonts w:eastAsia="Arial Unicode MS"/>
                <w:b/>
                <w:color w:val="000000"/>
                <w:lang w:val="en-GB"/>
              </w:rPr>
            </w:pPr>
            <w:r w:rsidRPr="001C35AD">
              <w:rPr>
                <w:rFonts w:eastAsia="Arial Unicode MS"/>
                <w:b/>
                <w:color w:val="000000"/>
                <w:lang w:val="en-GB"/>
              </w:rPr>
              <w:t>Reports of the Joint Inspection Unit issued in 201</w:t>
            </w:r>
            <w:r w:rsidR="008871E8" w:rsidRPr="001C35AD">
              <w:rPr>
                <w:rFonts w:eastAsia="Arial Unicode MS"/>
                <w:b/>
                <w:color w:val="000000"/>
                <w:lang w:val="en-GB"/>
              </w:rPr>
              <w:t>9</w:t>
            </w:r>
            <w:r w:rsidRPr="001C35AD">
              <w:rPr>
                <w:rFonts w:eastAsia="Arial Unicode MS"/>
                <w:b/>
                <w:color w:val="000000"/>
                <w:lang w:val="en-GB"/>
              </w:rPr>
              <w:t xml:space="preserve"> not relevant to UNDP</w:t>
            </w:r>
          </w:p>
          <w:p w14:paraId="46811AD5" w14:textId="0E8BBC74" w:rsidR="00AA3421" w:rsidRPr="001C35AD" w:rsidRDefault="00245EB3" w:rsidP="005047CA">
            <w:pPr>
              <w:keepNext/>
              <w:keepLines/>
              <w:tabs>
                <w:tab w:val="left" w:pos="1080"/>
                <w:tab w:val="left" w:pos="1530"/>
                <w:tab w:val="left" w:pos="4236"/>
                <w:tab w:val="right" w:pos="8920"/>
              </w:tabs>
              <w:spacing w:line="240" w:lineRule="auto"/>
              <w:ind w:left="94"/>
              <w:jc w:val="both"/>
              <w:outlineLvl w:val="0"/>
              <w:rPr>
                <w:rFonts w:eastAsia="Arial Unicode MS"/>
                <w:color w:val="000000"/>
                <w:lang w:val="en-GB"/>
              </w:rPr>
            </w:pPr>
            <w:hyperlink r:id="rId16" w:history="1">
              <w:r w:rsidR="005047CA" w:rsidRPr="001C35AD">
                <w:rPr>
                  <w:rStyle w:val="Hyperlink"/>
                </w:rPr>
                <w:t>JIU/REP/2020/4</w:t>
              </w:r>
            </w:hyperlink>
            <w:r w:rsidR="005047CA" w:rsidRPr="001C35AD">
              <w:t xml:space="preserve">: Review of management and administration in the Economic Commission for Latin America and the Caribbean </w:t>
            </w:r>
          </w:p>
        </w:tc>
      </w:tr>
    </w:tbl>
    <w:p w14:paraId="2EC4CC6F" w14:textId="77777777" w:rsidR="00AA3421" w:rsidRPr="001C35AD" w:rsidRDefault="00AA3421" w:rsidP="001F6BB6">
      <w:pPr>
        <w:suppressAutoHyphens w:val="0"/>
        <w:spacing w:after="160" w:line="259" w:lineRule="auto"/>
        <w:rPr>
          <w:rFonts w:eastAsia="Arial Unicode MS"/>
          <w:b/>
          <w:color w:val="000000"/>
          <w:sz w:val="28"/>
        </w:rPr>
        <w:sectPr w:rsidR="00AA3421" w:rsidRPr="001C35AD" w:rsidSect="00417278">
          <w:headerReference w:type="even" r:id="rId17"/>
          <w:headerReference w:type="default" r:id="rId18"/>
          <w:footerReference w:type="even" r:id="rId19"/>
          <w:footerReference w:type="default" r:id="rId20"/>
          <w:headerReference w:type="first" r:id="rId21"/>
          <w:pgSz w:w="15840" w:h="12240" w:orient="landscape"/>
          <w:pgMar w:top="1170" w:right="360" w:bottom="274" w:left="1440" w:header="360" w:footer="415" w:gutter="0"/>
          <w:cols w:space="720"/>
          <w:docGrid w:linePitch="278"/>
        </w:sectPr>
      </w:pPr>
    </w:p>
    <w:p w14:paraId="1900F968" w14:textId="0899CDD3" w:rsidR="007C7C63" w:rsidRPr="001C35AD" w:rsidRDefault="00AA3421" w:rsidP="001F6BB6">
      <w:pPr>
        <w:tabs>
          <w:tab w:val="left" w:pos="0"/>
          <w:tab w:val="left" w:pos="1530"/>
          <w:tab w:val="left" w:pos="1710"/>
          <w:tab w:val="left" w:pos="2218"/>
          <w:tab w:val="left" w:pos="2693"/>
          <w:tab w:val="left" w:pos="3182"/>
          <w:tab w:val="left" w:pos="3658"/>
          <w:tab w:val="left" w:pos="4133"/>
          <w:tab w:val="left" w:pos="4622"/>
          <w:tab w:val="left" w:pos="5098"/>
          <w:tab w:val="left" w:pos="5573"/>
          <w:tab w:val="left" w:pos="6048"/>
          <w:tab w:val="right" w:pos="8920"/>
        </w:tabs>
        <w:spacing w:after="120"/>
        <w:ind w:right="1267"/>
        <w:outlineLvl w:val="0"/>
        <w:rPr>
          <w:rFonts w:eastAsia="Arial Unicode MS"/>
          <w:b/>
          <w:color w:val="000000"/>
          <w:sz w:val="28"/>
          <w:lang w:val="en-GB"/>
        </w:rPr>
      </w:pPr>
      <w:r w:rsidRPr="001C35AD">
        <w:rPr>
          <w:rFonts w:eastAsia="Arial Unicode MS"/>
          <w:b/>
          <w:color w:val="000000"/>
          <w:sz w:val="28"/>
          <w:lang w:val="en-GB"/>
        </w:rPr>
        <w:lastRenderedPageBreak/>
        <w:t xml:space="preserve">Annex II </w:t>
      </w:r>
    </w:p>
    <w:p w14:paraId="0254888D" w14:textId="72F6E375" w:rsidR="007D03CD" w:rsidRPr="001C35AD" w:rsidRDefault="007D03CD" w:rsidP="00AA63D4">
      <w:pPr>
        <w:keepNext/>
        <w:keepLines/>
        <w:tabs>
          <w:tab w:val="left" w:pos="1080"/>
          <w:tab w:val="left" w:pos="1530"/>
        </w:tabs>
        <w:spacing w:after="120" w:line="300" w:lineRule="exact"/>
        <w:outlineLvl w:val="0"/>
        <w:rPr>
          <w:rFonts w:eastAsia="Arial Unicode MS"/>
          <w:b/>
          <w:color w:val="000000"/>
          <w:sz w:val="28"/>
          <w:lang w:val="en-GB"/>
        </w:rPr>
      </w:pPr>
      <w:r w:rsidRPr="001C35AD">
        <w:rPr>
          <w:rFonts w:eastAsia="Arial Unicode MS"/>
          <w:b/>
          <w:color w:val="000000"/>
          <w:sz w:val="28"/>
          <w:lang w:val="en-GB"/>
        </w:rPr>
        <w:t>Review of relevant Joint Inspection Unit recommendations in 20</w:t>
      </w:r>
      <w:r w:rsidR="004530ED" w:rsidRPr="001C35AD">
        <w:rPr>
          <w:rFonts w:eastAsia="Arial Unicode MS"/>
          <w:b/>
          <w:color w:val="000000"/>
          <w:sz w:val="28"/>
          <w:lang w:val="en-GB"/>
        </w:rPr>
        <w:t>20</w:t>
      </w:r>
      <w:r w:rsidRPr="001C35AD">
        <w:rPr>
          <w:rFonts w:eastAsia="Arial Unicode MS"/>
          <w:b/>
          <w:color w:val="000000"/>
          <w:sz w:val="28"/>
          <w:lang w:val="en-GB"/>
        </w:rPr>
        <w:t xml:space="preserve"> for consideration by the Executive Board</w:t>
      </w:r>
    </w:p>
    <w:tbl>
      <w:tblPr>
        <w:tblW w:w="10160" w:type="dxa"/>
        <w:tblInd w:w="-5" w:type="dxa"/>
        <w:shd w:val="clear" w:color="auto" w:fill="FFFFFF"/>
        <w:tblLayout w:type="fixed"/>
        <w:tblLook w:val="04A0" w:firstRow="1" w:lastRow="0" w:firstColumn="1" w:lastColumn="0" w:noHBand="0" w:noVBand="1"/>
      </w:tblPr>
      <w:tblGrid>
        <w:gridCol w:w="4411"/>
        <w:gridCol w:w="5749"/>
      </w:tblGrid>
      <w:tr w:rsidR="007D03CD" w:rsidRPr="001C35AD" w14:paraId="26D012C9"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0074C36" w14:textId="77777777" w:rsidR="007D03CD" w:rsidRPr="001C35AD" w:rsidRDefault="007D03CD" w:rsidP="001F6BB6">
            <w:pPr>
              <w:tabs>
                <w:tab w:val="left" w:pos="1530"/>
              </w:tabs>
              <w:jc w:val="center"/>
              <w:outlineLvl w:val="0"/>
              <w:rPr>
                <w:rFonts w:eastAsia="Arial Unicode MS"/>
                <w:b/>
                <w:color w:val="000000"/>
                <w:spacing w:val="0"/>
                <w:w w:val="100"/>
                <w:sz w:val="22"/>
                <w:szCs w:val="22"/>
                <w:lang w:val="en-GB" w:eastAsia="ja-JP"/>
              </w:rPr>
            </w:pPr>
            <w:r w:rsidRPr="001C35AD">
              <w:rPr>
                <w:rFonts w:eastAsia="Arial Unicode MS"/>
                <w:b/>
                <w:color w:val="000000"/>
                <w:spacing w:val="0"/>
                <w:w w:val="100"/>
                <w:sz w:val="22"/>
                <w:szCs w:val="22"/>
                <w:lang w:val="en-GB" w:eastAsia="ja-JP"/>
              </w:rPr>
              <w:t>Recommendations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330375EF" w14:textId="77777777" w:rsidR="007D03CD" w:rsidRPr="001C35AD" w:rsidRDefault="007D03CD" w:rsidP="001F6BB6">
            <w:pPr>
              <w:tabs>
                <w:tab w:val="left" w:pos="1530"/>
              </w:tabs>
              <w:jc w:val="center"/>
              <w:outlineLvl w:val="0"/>
              <w:rPr>
                <w:rFonts w:eastAsia="Arial Unicode MS"/>
                <w:b/>
                <w:color w:val="000000"/>
                <w:spacing w:val="0"/>
                <w:w w:val="100"/>
                <w:sz w:val="22"/>
                <w:szCs w:val="22"/>
                <w:lang w:val="en-GB" w:eastAsia="ja-JP"/>
              </w:rPr>
            </w:pPr>
            <w:r w:rsidRPr="001C35AD">
              <w:rPr>
                <w:rFonts w:eastAsia="Arial Unicode MS"/>
                <w:b/>
                <w:color w:val="000000"/>
                <w:spacing w:val="0"/>
                <w:w w:val="100"/>
                <w:sz w:val="22"/>
                <w:szCs w:val="22"/>
                <w:lang w:val="en-GB" w:eastAsia="ja-JP"/>
              </w:rPr>
              <w:t>Remarks</w:t>
            </w:r>
          </w:p>
        </w:tc>
      </w:tr>
      <w:tr w:rsidR="007D03CD" w:rsidRPr="001C35AD" w14:paraId="59BD3328" w14:textId="77777777" w:rsidTr="007D03CD">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hideMark/>
          </w:tcPr>
          <w:p w14:paraId="176D5E09" w14:textId="047ADF16" w:rsidR="007D03CD" w:rsidRPr="001C35AD" w:rsidRDefault="004530ED" w:rsidP="001F6BB6">
            <w:pPr>
              <w:tabs>
                <w:tab w:val="left" w:pos="180"/>
                <w:tab w:val="left" w:pos="1530"/>
                <w:tab w:val="left" w:pos="2218"/>
                <w:tab w:val="left" w:pos="2693"/>
                <w:tab w:val="left" w:pos="3182"/>
                <w:tab w:val="left" w:pos="3658"/>
                <w:tab w:val="left" w:pos="4133"/>
                <w:tab w:val="left" w:pos="4622"/>
                <w:tab w:val="left" w:pos="5098"/>
                <w:tab w:val="left" w:pos="5573"/>
                <w:tab w:val="left" w:pos="6048"/>
              </w:tabs>
              <w:spacing w:after="160"/>
              <w:ind w:left="90" w:right="166"/>
              <w:jc w:val="both"/>
              <w:outlineLvl w:val="0"/>
              <w:rPr>
                <w:rFonts w:eastAsia="Arial Unicode MS"/>
                <w:b/>
                <w:color w:val="000000"/>
                <w:spacing w:val="0"/>
                <w:w w:val="100"/>
                <w:sz w:val="22"/>
                <w:szCs w:val="22"/>
                <w:lang w:val="en-GB" w:eastAsia="ja-JP"/>
              </w:rPr>
            </w:pPr>
            <w:r w:rsidRPr="001C35AD">
              <w:rPr>
                <w:rFonts w:eastAsia="Arial Unicode MS"/>
                <w:b/>
                <w:color w:val="000000"/>
                <w:sz w:val="22"/>
                <w:szCs w:val="22"/>
                <w:lang w:val="en-GB"/>
              </w:rPr>
              <w:t>Review of contemporary practices in the external outsourcing of services to commercial service providers by United Nations system organizations (</w:t>
            </w:r>
            <w:hyperlink r:id="rId22" w:history="1">
              <w:r w:rsidRPr="001C35AD">
                <w:rPr>
                  <w:rStyle w:val="Hyperlink"/>
                  <w:b/>
                  <w:bCs/>
                  <w:sz w:val="22"/>
                  <w:szCs w:val="22"/>
                </w:rPr>
                <w:t>JIU/REP/2019/9</w:t>
              </w:r>
            </w:hyperlink>
            <w:r w:rsidRPr="001C35AD">
              <w:rPr>
                <w:rFonts w:eastAsia="Arial Unicode MS"/>
                <w:b/>
                <w:color w:val="000000"/>
                <w:sz w:val="22"/>
                <w:szCs w:val="22"/>
                <w:lang w:val="en-GB"/>
              </w:rPr>
              <w:t>)</w:t>
            </w:r>
            <w:r w:rsidR="007406BD" w:rsidRPr="001C35AD">
              <w:rPr>
                <w:rFonts w:eastAsia="Arial Unicode MS"/>
                <w:color w:val="000000"/>
                <w:sz w:val="22"/>
                <w:szCs w:val="22"/>
                <w:lang w:val="en-GB"/>
              </w:rPr>
              <w:t xml:space="preserve"> </w:t>
            </w:r>
          </w:p>
        </w:tc>
      </w:tr>
      <w:tr w:rsidR="007D03CD" w:rsidRPr="001C35AD" w14:paraId="0FE7014B"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4A606A59" w14:textId="4ECC0159" w:rsidR="007D03CD" w:rsidRPr="001C35AD" w:rsidRDefault="007D03CD" w:rsidP="001F6BB6">
            <w:pPr>
              <w:tabs>
                <w:tab w:val="left" w:pos="169"/>
                <w:tab w:val="left" w:pos="1530"/>
              </w:tabs>
              <w:ind w:left="100"/>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w:t>
            </w:r>
            <w:r w:rsidR="002F1FAD" w:rsidRPr="001C35AD">
              <w:rPr>
                <w:rFonts w:eastAsia="Arial Unicode MS"/>
                <w:b/>
                <w:color w:val="000000"/>
                <w:spacing w:val="0"/>
                <w:w w:val="100"/>
                <w:lang w:val="en-GB" w:eastAsia="ja-JP"/>
              </w:rPr>
              <w:t>2</w:t>
            </w:r>
          </w:p>
          <w:p w14:paraId="6FDCAE32" w14:textId="4B8195D3" w:rsidR="007D03CD" w:rsidRPr="001C35AD" w:rsidRDefault="002F1FAD" w:rsidP="001F6BB6">
            <w:pPr>
              <w:tabs>
                <w:tab w:val="left" w:pos="169"/>
                <w:tab w:val="left" w:pos="1530"/>
              </w:tabs>
              <w:suppressAutoHyphens w:val="0"/>
              <w:spacing w:line="240" w:lineRule="auto"/>
              <w:ind w:left="100" w:right="172"/>
              <w:jc w:val="both"/>
              <w:outlineLvl w:val="0"/>
              <w:rPr>
                <w:rFonts w:eastAsia="Arial Unicode MS"/>
                <w:color w:val="000000"/>
                <w:spacing w:val="0"/>
                <w:w w:val="100"/>
                <w:lang w:val="en-GB" w:eastAsia="ja-JP"/>
              </w:rPr>
            </w:pPr>
            <w:r w:rsidRPr="001C35AD">
              <w:rPr>
                <w:rFonts w:eastAsia="Arial Unicode MS"/>
                <w:color w:val="000000"/>
                <w:spacing w:val="0"/>
                <w:w w:val="100"/>
                <w:lang w:val="en-GB" w:eastAsia="ja-JP"/>
              </w:rPr>
              <w:t>The legislative bodies of the United Nations system organizations should request their executive heads to ensure that, by the end of 2022, annual reports on procurement include a subsection on expenditures on services sourced from commercial service providers.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0013BA84" w14:textId="0C9FB0EA" w:rsidR="007D03CD" w:rsidRPr="001C35AD" w:rsidRDefault="002F1FAD" w:rsidP="001F6BB6">
            <w:pPr>
              <w:ind w:left="184" w:right="166"/>
              <w:jc w:val="both"/>
              <w:rPr>
                <w:rFonts w:eastAsia="Arial Unicode MS"/>
                <w:color w:val="000000"/>
                <w:spacing w:val="0"/>
                <w:w w:val="100"/>
                <w:lang w:val="en-GB" w:eastAsia="ja-JP"/>
              </w:rPr>
            </w:pPr>
            <w:r w:rsidRPr="001C35AD">
              <w:rPr>
                <w:rFonts w:eastAsia="Arial Unicode MS"/>
                <w:color w:val="000000"/>
                <w:spacing w:val="0"/>
                <w:w w:val="100"/>
                <w:lang w:val="en-GB" w:eastAsia="ja-JP"/>
              </w:rPr>
              <w:t xml:space="preserve">The </w:t>
            </w:r>
            <w:hyperlink r:id="rId23" w:history="1">
              <w:r w:rsidRPr="001C35AD">
                <w:rPr>
                  <w:color w:val="0070C0"/>
                  <w:u w:val="single"/>
                  <w:lang w:val="en-GB"/>
                </w:rPr>
                <w:t>Annual Statistics Report on UN Procurement</w:t>
              </w:r>
            </w:hyperlink>
            <w:r w:rsidRPr="001C35AD">
              <w:rPr>
                <w:rFonts w:eastAsia="Arial Unicode MS"/>
                <w:color w:val="1F497D" w:themeColor="text2"/>
                <w:spacing w:val="0"/>
                <w:w w:val="100"/>
                <w:lang w:val="en-GB" w:eastAsia="ja-JP"/>
              </w:rPr>
              <w:t xml:space="preserve"> </w:t>
            </w:r>
            <w:r w:rsidRPr="001C35AD">
              <w:rPr>
                <w:rFonts w:eastAsia="Arial Unicode MS"/>
                <w:color w:val="000000"/>
                <w:spacing w:val="0"/>
                <w:w w:val="100"/>
                <w:lang w:val="en-GB" w:eastAsia="ja-JP"/>
              </w:rPr>
              <w:t>already captures expenditures on services sourced from commercial service providers by the UN Agencies including UNDP. Noting that the recommendation is addressed to the legislative bodies, UNDP management consider</w:t>
            </w:r>
            <w:r w:rsidR="00671935" w:rsidRPr="001C35AD">
              <w:rPr>
                <w:rFonts w:eastAsia="Arial Unicode MS"/>
                <w:color w:val="000000"/>
                <w:spacing w:val="0"/>
                <w:w w:val="100"/>
                <w:lang w:val="en-GB" w:eastAsia="ja-JP"/>
              </w:rPr>
              <w:t>s</w:t>
            </w:r>
            <w:r w:rsidRPr="001C35AD">
              <w:rPr>
                <w:rFonts w:eastAsia="Arial Unicode MS"/>
                <w:color w:val="000000"/>
                <w:spacing w:val="0"/>
                <w:w w:val="100"/>
                <w:lang w:val="en-GB" w:eastAsia="ja-JP"/>
              </w:rPr>
              <w:t xml:space="preserve"> it already implemented.</w:t>
            </w:r>
          </w:p>
        </w:tc>
      </w:tr>
      <w:tr w:rsidR="007D03CD" w:rsidRPr="001C35AD" w14:paraId="49AB599C" w14:textId="77777777" w:rsidTr="007D03CD">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hideMark/>
          </w:tcPr>
          <w:p w14:paraId="2C295B96" w14:textId="283AAF75" w:rsidR="007D03CD" w:rsidRPr="001C35AD" w:rsidRDefault="006426D9" w:rsidP="006426D9">
            <w:pPr>
              <w:tabs>
                <w:tab w:val="left" w:pos="1620"/>
              </w:tabs>
              <w:spacing w:after="120"/>
              <w:ind w:left="90" w:right="80"/>
              <w:jc w:val="both"/>
              <w:rPr>
                <w:rFonts w:eastAsia="Arial Unicode MS"/>
                <w:b/>
                <w:color w:val="000000"/>
                <w:sz w:val="22"/>
                <w:szCs w:val="22"/>
                <w:lang w:val="en-GB"/>
              </w:rPr>
            </w:pPr>
            <w:r w:rsidRPr="001C35AD">
              <w:rPr>
                <w:b/>
                <w:bCs/>
                <w:sz w:val="22"/>
                <w:szCs w:val="22"/>
              </w:rPr>
              <w:t>Review of the state of the investigation function: progress made in the United Nations system organizations in strengthening the investigation function</w:t>
            </w:r>
            <w:r w:rsidRPr="001C35AD">
              <w:rPr>
                <w:rFonts w:eastAsia="Arial Unicode MS"/>
                <w:b/>
                <w:color w:val="000000"/>
                <w:sz w:val="22"/>
                <w:szCs w:val="22"/>
                <w:lang w:val="en-GB"/>
              </w:rPr>
              <w:t xml:space="preserve"> (</w:t>
            </w:r>
            <w:hyperlink r:id="rId24" w:history="1">
              <w:r w:rsidRPr="001C35AD">
                <w:rPr>
                  <w:rStyle w:val="Hyperlink"/>
                  <w:b/>
                  <w:bCs/>
                  <w:sz w:val="22"/>
                  <w:szCs w:val="22"/>
                </w:rPr>
                <w:t>JIU/REP/2020/1</w:t>
              </w:r>
            </w:hyperlink>
            <w:r w:rsidRPr="001C35AD">
              <w:rPr>
                <w:rFonts w:eastAsia="Arial Unicode MS"/>
                <w:b/>
                <w:color w:val="000000"/>
                <w:sz w:val="22"/>
                <w:szCs w:val="22"/>
                <w:lang w:val="en-GB"/>
              </w:rPr>
              <w:t xml:space="preserve">) </w:t>
            </w:r>
          </w:p>
        </w:tc>
      </w:tr>
      <w:tr w:rsidR="007D03CD" w:rsidRPr="001C35AD" w14:paraId="5B6AF078"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998E50" w14:textId="0F79B9D3" w:rsidR="007D03CD" w:rsidRPr="001C35AD" w:rsidRDefault="007D03CD"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1 </w:t>
            </w:r>
          </w:p>
          <w:p w14:paraId="16F56855" w14:textId="36270390" w:rsidR="007D03CD" w:rsidRPr="001C35AD" w:rsidRDefault="00794BE8" w:rsidP="001F6BB6">
            <w:pPr>
              <w:tabs>
                <w:tab w:val="left" w:pos="169"/>
                <w:tab w:val="left" w:pos="1530"/>
              </w:tabs>
              <w:ind w:left="100" w:right="172"/>
              <w:jc w:val="both"/>
              <w:outlineLvl w:val="0"/>
              <w:rPr>
                <w:rFonts w:eastAsia="Arial Unicode MS"/>
                <w:color w:val="000000"/>
                <w:spacing w:val="0"/>
                <w:w w:val="100"/>
                <w:lang w:val="en-GB" w:eastAsia="ja-JP"/>
              </w:rPr>
            </w:pPr>
            <w:r w:rsidRPr="001C35AD">
              <w:rPr>
                <w:rFonts w:eastAsia="Arial Unicode MS"/>
                <w:color w:val="000000"/>
                <w:spacing w:val="0"/>
                <w:w w:val="100"/>
                <w:lang w:val="en-GB" w:eastAsia="ja-JP"/>
              </w:rPr>
              <w:t>The legislative bodies of United Nations system organizations should request that organizations that have not yet done so include in their internal oversight charters a provision for the periodic revision and, where necessary, update of the charters and a requirement for their endorsement by the legislative bodies. The updated charters should be submitted for endorsement by the legislative bodies by the end of 2021.”</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9736808" w14:textId="02985942" w:rsidR="007D03CD" w:rsidRPr="001C35AD" w:rsidRDefault="00794BE8" w:rsidP="00794BE8">
            <w:pPr>
              <w:suppressAutoHyphens w:val="0"/>
              <w:spacing w:line="240" w:lineRule="auto"/>
              <w:ind w:left="180" w:right="170"/>
              <w:jc w:val="both"/>
              <w:rPr>
                <w:rFonts w:eastAsia="Arial Unicode MS"/>
                <w:color w:val="000000"/>
                <w:spacing w:val="0"/>
                <w:w w:val="100"/>
                <w:lang w:val="en-GB" w:eastAsia="ja-JP"/>
              </w:rPr>
            </w:pPr>
            <w:r w:rsidRPr="001C35AD">
              <w:rPr>
                <w:rFonts w:eastAsia="Calibri"/>
                <w:spacing w:val="0"/>
                <w:w w:val="100"/>
                <w:kern w:val="0"/>
              </w:rPr>
              <w:t xml:space="preserve">The </w:t>
            </w:r>
            <w:hyperlink r:id="rId25" w:history="1">
              <w:r w:rsidRPr="001C35AD">
                <w:rPr>
                  <w:rFonts w:eastAsia="Calibri"/>
                  <w:color w:val="0563C1"/>
                  <w:spacing w:val="0"/>
                  <w:w w:val="100"/>
                  <w:kern w:val="0"/>
                  <w:u w:val="single"/>
                </w:rPr>
                <w:t>Charter of the Office of Audit and Investigations (OAI)</w:t>
              </w:r>
            </w:hyperlink>
            <w:r w:rsidRPr="001C35AD">
              <w:rPr>
                <w:rFonts w:eastAsia="Calibri"/>
                <w:spacing w:val="0"/>
                <w:w w:val="100"/>
                <w:kern w:val="0"/>
              </w:rPr>
              <w:t xml:space="preserve"> was last signed by the UNDP Administrator on 17 October 2017. Para.58 of Charter stipulates that the Charter shall be reviewed at least every two years.  UNDP's Executive Board endorses the Charter at its annual session upon reviewing the Annual Report of the Office of Audit and Investigations on internal audit and investigation activities. Whilst it is the prerogative of the Executive Board to decide on its agenda, UNDP management considers the periodic revision and update of the Charter to be in place, and endorsement of the Charter by its legislative body an integral part of agenda items presented to the Executive Board and thus considers this recommendation as implemented. </w:t>
            </w:r>
          </w:p>
        </w:tc>
      </w:tr>
      <w:tr w:rsidR="00013DC8" w:rsidRPr="001C35AD" w14:paraId="70AD573F"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4D6CDA" w14:textId="77777777" w:rsidR="00013DC8" w:rsidRPr="001C35AD" w:rsidRDefault="00013DC8" w:rsidP="00013DC8">
            <w:pPr>
              <w:tabs>
                <w:tab w:val="left" w:pos="169"/>
                <w:tab w:val="left" w:pos="1530"/>
              </w:tabs>
              <w:ind w:left="100" w:right="172"/>
              <w:jc w:val="both"/>
              <w:outlineLvl w:val="0"/>
              <w:rPr>
                <w:rFonts w:eastAsia="Arial Unicode MS"/>
                <w:b/>
                <w:color w:val="000000"/>
                <w:spacing w:val="0"/>
                <w:w w:val="100"/>
                <w:lang w:val="en-GB" w:eastAsia="ja-JP"/>
              </w:rPr>
            </w:pPr>
            <w:bookmarkStart w:id="2" w:name="_Hlk64475341"/>
            <w:r w:rsidRPr="001C35AD">
              <w:rPr>
                <w:rFonts w:eastAsia="Arial Unicode MS"/>
                <w:b/>
                <w:color w:val="000000"/>
                <w:spacing w:val="0"/>
                <w:w w:val="100"/>
                <w:lang w:val="en-GB" w:eastAsia="ja-JP"/>
              </w:rPr>
              <w:t xml:space="preserve">Recommendation 5 </w:t>
            </w:r>
          </w:p>
          <w:p w14:paraId="605E1384" w14:textId="72800CB0" w:rsidR="00013DC8" w:rsidRPr="001C35AD" w:rsidRDefault="00013DC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 xml:space="preserve">The legislative bodies of the United Nations system organizations should request that organizations that have not yet done so include in their oversight charters by the end of 2021 provisions that: </w:t>
            </w:r>
          </w:p>
          <w:p w14:paraId="141F8FFD" w14:textId="77777777" w:rsidR="00013DC8" w:rsidRPr="001C35AD" w:rsidRDefault="00013DC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 xml:space="preserve">(a) Make the appointment and dismissal or removal of the heads of their internal oversight offices subject to consultation with and approval of the legislative bodies; </w:t>
            </w:r>
          </w:p>
          <w:p w14:paraId="19E39901" w14:textId="77777777" w:rsidR="00013DC8" w:rsidRPr="001C35AD" w:rsidRDefault="00013DC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 xml:space="preserve">(b) Establish term limits from five to seven years for the heads of internal oversight offices, preferably making the term non-renewable, with a post-employment restriction within the same organization; and </w:t>
            </w:r>
          </w:p>
          <w:p w14:paraId="1EE5299F" w14:textId="3573A523" w:rsidR="00013DC8" w:rsidRPr="001C35AD" w:rsidRDefault="00013DC8" w:rsidP="00013DC8">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Cs/>
                <w:color w:val="000000"/>
                <w:spacing w:val="0"/>
                <w:w w:val="100"/>
                <w:lang w:val="en-GB" w:eastAsia="ja-JP"/>
              </w:rPr>
              <w:t>(c) Allow for unrestricted access of their heads of internal oversight offices to the legislative bodies and to the respective audit and oversight committees.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734C286" w14:textId="6AE0BBED" w:rsidR="00F55E31" w:rsidRPr="001C35AD" w:rsidRDefault="00F55E31" w:rsidP="00175C47">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With regard to subparagraph (a), UNDP is aligned with the CEB comments on this sub-paragraph of the recommendation in the Note by the Secretary General to this JIU Review (</w:t>
            </w:r>
            <w:hyperlink r:id="rId26" w:history="1">
              <w:r w:rsidRPr="001C35AD">
                <w:rPr>
                  <w:rFonts w:eastAsia="Calibri"/>
                  <w:color w:val="0563C1"/>
                  <w:spacing w:val="0"/>
                  <w:w w:val="100"/>
                  <w:kern w:val="0"/>
                  <w:u w:val="single"/>
                </w:rPr>
                <w:t>A/75/719/Add1</w:t>
              </w:r>
            </w:hyperlink>
            <w:r w:rsidRPr="001C35AD">
              <w:rPr>
                <w:rFonts w:eastAsia="Calibri"/>
                <w:spacing w:val="0"/>
                <w:w w:val="100"/>
                <w:kern w:val="0"/>
              </w:rPr>
              <w:t>, paragraph 17) and wishes to caution about the risk of politicizing the appointment process. With regard to subparagraph (b) UNDP is compliant per OAI's Charter the term limit of the OAI Director is 5 years with the possibility for renewal once for a maximum of five years and the OAI Director is barred from re-entry into UNDP after expiration of his/her term. With regard to subparagraph (c), UNDP is compliant, as per OAI's Charter, the OAI Director has free unrestricted access to the Executive Board, the Audit and Evaluation Committee (AEAC) and to the UN Board of Auditors. Bearing in mind the above, while UNDP is compliant with sub-paragraphs (b) and (c), as these are established practices in UNDP, UNDP is not in agreement with sub-paragraph (a). Noting that Recommendation 5 is addressed to the legislative/governing bodies, UNDP management does not consider it necessary for the Executive Board to accept recommendation 5.</w:t>
            </w:r>
          </w:p>
          <w:p w14:paraId="587A8E2E" w14:textId="77777777" w:rsidR="00013DC8" w:rsidRPr="001C35AD" w:rsidRDefault="00013DC8" w:rsidP="00F55E31">
            <w:pPr>
              <w:suppressAutoHyphens w:val="0"/>
              <w:spacing w:line="240" w:lineRule="auto"/>
              <w:ind w:left="180" w:right="170"/>
              <w:jc w:val="both"/>
              <w:rPr>
                <w:rFonts w:eastAsia="Calibri"/>
                <w:spacing w:val="0"/>
                <w:w w:val="100"/>
                <w:kern w:val="0"/>
              </w:rPr>
            </w:pPr>
          </w:p>
        </w:tc>
      </w:tr>
      <w:bookmarkEnd w:id="2"/>
      <w:tr w:rsidR="00B43AEA" w:rsidRPr="001C35AD" w14:paraId="2825A6C8"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B6DA26F" w14:textId="77777777" w:rsidR="00424678" w:rsidRPr="001C35AD" w:rsidRDefault="00424678" w:rsidP="00013DC8">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lastRenderedPageBreak/>
              <w:t xml:space="preserve">Recommendation 6 </w:t>
            </w:r>
          </w:p>
          <w:p w14:paraId="4A1C8ACD" w14:textId="0E32BF68" w:rsidR="00B43AEA" w:rsidRPr="001C35AD" w:rsidRDefault="0042467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The legislative bodies of the United Nations system organizations that have not yet done so should request that organizations update the terms of reference of their respective audit and oversight committees by the end of 2021 to include, where necessary, appropriate provisions to: (a) review the independence and mandate of the internal oversight office/ investigation function; (b) review its budget and staffing requirements; (c) review its overall performance; and (d) issue related recommendations.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C617B1" w14:textId="45EE909C" w:rsidR="00424678" w:rsidRPr="001C35AD" w:rsidRDefault="00424678" w:rsidP="00424678">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 xml:space="preserve">With regard to subparagraph (a): UNDP is compliant as the Terms of Reference of the Audit and Evaluation Advisory Committee contain provisions under Art. 33 that "The Committee shall prepare a report on its work for the previous calendar year for presentation to the Administrator by 31 March of every year.  The report will be made available to the Executive Board at its annual session.  Upon request by the Executive Board, the Chairperson shall present this report." and Art. 8 </w:t>
            </w:r>
            <w:proofErr w:type="spellStart"/>
            <w:r w:rsidRPr="001C35AD">
              <w:rPr>
                <w:rFonts w:eastAsia="Calibri"/>
                <w:spacing w:val="0"/>
                <w:w w:val="100"/>
                <w:kern w:val="0"/>
              </w:rPr>
              <w:t>i</w:t>
            </w:r>
            <w:proofErr w:type="spellEnd"/>
            <w:r w:rsidRPr="001C35AD">
              <w:rPr>
                <w:rFonts w:eastAsia="Calibri"/>
                <w:spacing w:val="0"/>
                <w:w w:val="100"/>
                <w:kern w:val="0"/>
              </w:rPr>
              <w:t>) "</w:t>
            </w:r>
            <w:proofErr w:type="spellStart"/>
            <w:r w:rsidRPr="001C35AD">
              <w:rPr>
                <w:rFonts w:eastAsia="Calibri"/>
                <w:spacing w:val="0"/>
                <w:w w:val="100"/>
                <w:kern w:val="0"/>
              </w:rPr>
              <w:t>i</w:t>
            </w:r>
            <w:proofErr w:type="spellEnd"/>
            <w:r w:rsidRPr="001C35AD">
              <w:rPr>
                <w:rFonts w:eastAsia="Calibri"/>
                <w:spacing w:val="0"/>
                <w:w w:val="100"/>
                <w:kern w:val="0"/>
              </w:rPr>
              <w:t>) In relation to OAI, review and advise the Administrator on:(</w:t>
            </w:r>
            <w:proofErr w:type="spellStart"/>
            <w:r w:rsidRPr="001C35AD">
              <w:rPr>
                <w:rFonts w:eastAsia="Calibri"/>
                <w:spacing w:val="0"/>
                <w:w w:val="100"/>
                <w:kern w:val="0"/>
              </w:rPr>
              <w:t>i</w:t>
            </w:r>
            <w:proofErr w:type="spellEnd"/>
            <w:r w:rsidRPr="001C35AD">
              <w:rPr>
                <w:rFonts w:eastAsia="Calibri"/>
                <w:spacing w:val="0"/>
                <w:w w:val="100"/>
                <w:kern w:val="0"/>
              </w:rPr>
              <w:t>) "The Charter" of OAI.</w:t>
            </w:r>
          </w:p>
          <w:p w14:paraId="187CFADE" w14:textId="0ACDB215"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With regard to subparagraph</w:t>
            </w:r>
            <w:r w:rsidRPr="001C35AD">
              <w:rPr>
                <w:rFonts w:eastAsia="Calibri"/>
                <w:strike/>
                <w:spacing w:val="0"/>
                <w:w w:val="100"/>
                <w:kern w:val="0"/>
              </w:rPr>
              <w:t xml:space="preserve"> </w:t>
            </w:r>
            <w:r w:rsidRPr="001C35AD">
              <w:rPr>
                <w:rFonts w:eastAsia="Calibri"/>
                <w:spacing w:val="0"/>
                <w:w w:val="100"/>
                <w:kern w:val="0"/>
              </w:rPr>
              <w:t>(b): UNDP is compliant as the Terms of Reference of the Audit and Evaluation Advisory Committee contain provisions under Art. 8 that “</w:t>
            </w:r>
            <w:proofErr w:type="spellStart"/>
            <w:r w:rsidRPr="001C35AD">
              <w:rPr>
                <w:rFonts w:eastAsia="Calibri"/>
                <w:spacing w:val="0"/>
                <w:w w:val="100"/>
                <w:kern w:val="0"/>
              </w:rPr>
              <w:t>i</w:t>
            </w:r>
            <w:proofErr w:type="spellEnd"/>
            <w:r w:rsidRPr="001C35AD">
              <w:rPr>
                <w:rFonts w:eastAsia="Calibri"/>
                <w:spacing w:val="0"/>
                <w:w w:val="100"/>
                <w:kern w:val="0"/>
              </w:rPr>
              <w:t>) in relation to OAI, review and advise the Administrator on OAI’s ii) "The strategy, annual work plans, budget and periodic reports;"</w:t>
            </w:r>
          </w:p>
          <w:p w14:paraId="0DB0E806" w14:textId="77777777"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p>
          <w:p w14:paraId="56C1EBB2" w14:textId="50BE9B39"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With regard to subparagraph (c): UNDP is compliant as the Terms of Reference of the Audit and Evaluation Advisory Committee contain provisions under Art. 32 that the "The Committee shall perform from time to time a self-assessment relative to the Committee’s purpose, duties, and responsibilities outlined herein and also review its TOR to ensure it is operating at maximum effectiveness and recommend any changes it considers necessary to the Administrator for approval."</w:t>
            </w:r>
          </w:p>
          <w:p w14:paraId="687BEA5F" w14:textId="77777777"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p>
          <w:p w14:paraId="74DB2F20" w14:textId="6E696C6E"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With regard to subparagraph (d): UNDP is compliant as the Terms of Reference of the Audit and Evaluation Advisory Committee contain provisions under Art. under 8a that the "Review and advise the Administrator on policies significantly affecting financial management and reporting, the internal audit and investigation functions"</w:t>
            </w:r>
          </w:p>
          <w:p w14:paraId="17ABDF0E" w14:textId="77777777"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p>
          <w:p w14:paraId="3798DC73" w14:textId="77777777" w:rsidR="00A47D13" w:rsidRPr="001C35AD" w:rsidRDefault="00A47D13" w:rsidP="00A47D13">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Bearing in mind that UNDP is compliant with all subparagraphs of Recommendation 6 in that the Terms of Reference of its audit and oversight committee already have the appropriate provisions in place and noting that the recommendation is addressed to the legislative bodies, UNDP management considers this recommendation as implemented.</w:t>
            </w:r>
          </w:p>
          <w:p w14:paraId="4405A8B3" w14:textId="77777777" w:rsidR="00B43AEA" w:rsidRPr="001C35AD" w:rsidRDefault="00B43AEA" w:rsidP="00175C47">
            <w:pPr>
              <w:suppressAutoHyphens w:val="0"/>
              <w:autoSpaceDE w:val="0"/>
              <w:autoSpaceDN w:val="0"/>
              <w:spacing w:line="240" w:lineRule="auto"/>
              <w:ind w:left="180" w:right="170"/>
              <w:jc w:val="both"/>
              <w:rPr>
                <w:rFonts w:eastAsia="Calibri"/>
                <w:spacing w:val="0"/>
                <w:w w:val="100"/>
                <w:kern w:val="0"/>
              </w:rPr>
            </w:pPr>
          </w:p>
        </w:tc>
      </w:tr>
      <w:tr w:rsidR="00B47BF8" w:rsidRPr="001C35AD" w14:paraId="3E6C8032"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7614B8A" w14:textId="77777777" w:rsidR="009707A5" w:rsidRPr="001C35AD" w:rsidRDefault="009707A5" w:rsidP="00013DC8">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8 </w:t>
            </w:r>
          </w:p>
          <w:p w14:paraId="7D2105F6" w14:textId="203C4ADD" w:rsidR="00B47BF8" w:rsidRPr="001C35AD" w:rsidRDefault="009707A5"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The legislative bodies of United Nations system organizations that have not yet done so should request that organizations establish by the end of 2021 formal procedures for handling allegations of misconduct against heads and personnel of their internal oversight offices in order to avoid situations of conflict of interest.</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EBB9D9" w14:textId="40E2C75E" w:rsidR="00C13F8D" w:rsidRPr="001C35AD" w:rsidRDefault="005B79EC" w:rsidP="00424678">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Art. 35 of OAI's Charter contains provisions that "Credible allegations of misconduct against senior management at the level of USG, OAI staff members and other OAI personnel will be reviewed by the Oversight Office of another UN agency or international organization appointed by the Director, OAI, following consultations with the Chair of the Audit and Evaluation Advisory Committee". UNDP’s AEAC has discussed the recommendation at its 48th meeting in November 2020 and has noted that Art 35. of OAI’s Charter contains the formal procedures for handling allegations of misconduct against senior management and OAI personnel and is compliant with Recommendation 8. Noting that the recommendation is addressed to the legislative bodies, UNDP management considers this recommendation as implemented.</w:t>
            </w:r>
          </w:p>
          <w:p w14:paraId="76EEB396" w14:textId="7D62A1F2" w:rsidR="00C13F8D" w:rsidRPr="001C35AD" w:rsidRDefault="00C13F8D" w:rsidP="00424678">
            <w:pPr>
              <w:suppressAutoHyphens w:val="0"/>
              <w:autoSpaceDE w:val="0"/>
              <w:autoSpaceDN w:val="0"/>
              <w:spacing w:line="240" w:lineRule="auto"/>
              <w:ind w:left="180" w:right="170"/>
              <w:jc w:val="both"/>
              <w:rPr>
                <w:rFonts w:eastAsia="Calibri"/>
                <w:spacing w:val="0"/>
                <w:w w:val="100"/>
                <w:kern w:val="0"/>
              </w:rPr>
            </w:pPr>
          </w:p>
        </w:tc>
      </w:tr>
      <w:tr w:rsidR="0028006A" w:rsidRPr="001C35AD" w14:paraId="1F2DFB85"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45DC9C0" w14:textId="77777777" w:rsidR="00C13F8D" w:rsidRPr="001C35AD" w:rsidRDefault="00C13F8D" w:rsidP="00013DC8">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lastRenderedPageBreak/>
              <w:t xml:space="preserve">Recommendation 9 </w:t>
            </w:r>
          </w:p>
          <w:p w14:paraId="0A32471F" w14:textId="1CBB54D8" w:rsidR="0028006A" w:rsidRPr="001C35AD" w:rsidRDefault="00B84F5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w:t>
            </w:r>
            <w:r w:rsidR="00C13F8D" w:rsidRPr="001C35AD">
              <w:rPr>
                <w:rFonts w:eastAsia="Arial Unicode MS"/>
                <w:bCs/>
                <w:color w:val="000000"/>
                <w:spacing w:val="0"/>
                <w:w w:val="100"/>
                <w:lang w:val="en-GB" w:eastAsia="ja-JP"/>
              </w:rPr>
              <w:t>he legislative bodies of United Nations system organizations that have not yet done so should request that the respective organizations’ annual internal oversight activity reports contain information on both complaints and investigations, including details on the number, type and nature of the complaints and investigations and trends in this regard</w:t>
            </w:r>
            <w:r w:rsidRPr="001C35AD">
              <w:rPr>
                <w:rFonts w:eastAsia="Arial Unicode MS"/>
                <w:bCs/>
                <w:color w:val="000000"/>
                <w:spacing w:val="0"/>
                <w:w w:val="100"/>
                <w:lang w:val="en-GB" w:eastAsia="ja-JP"/>
              </w:rPr>
              <w:t>.</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DF362B" w14:textId="56DD3EBC" w:rsidR="0028006A" w:rsidRPr="001C35AD" w:rsidRDefault="00C35D72" w:rsidP="00424678">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OAI's Annual Report presented to the Executive Board at its annual session contains information on complaints and investigations, including details on the number, type and nature of the complaints, investigations</w:t>
            </w:r>
            <w:r w:rsidR="00695681" w:rsidRPr="001C35AD">
              <w:rPr>
                <w:rFonts w:eastAsia="Calibri"/>
                <w:spacing w:val="0"/>
                <w:w w:val="100"/>
                <w:kern w:val="0"/>
              </w:rPr>
              <w:t>,</w:t>
            </w:r>
            <w:r w:rsidRPr="001C35AD">
              <w:rPr>
                <w:rFonts w:eastAsia="Calibri"/>
                <w:spacing w:val="0"/>
                <w:w w:val="100"/>
                <w:kern w:val="0"/>
              </w:rPr>
              <w:t xml:space="preserve"> and trends. Noting that the recommendation is addressed to the legislative bodies, UNDP management considers this recommendation as implemented.</w:t>
            </w:r>
          </w:p>
        </w:tc>
      </w:tr>
      <w:tr w:rsidR="00B84F58" w:rsidRPr="001C35AD" w14:paraId="110AFDE9"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DEDB3C8" w14:textId="77777777" w:rsidR="00B84F58" w:rsidRPr="001C35AD" w:rsidRDefault="00B84F58" w:rsidP="00013DC8">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10 </w:t>
            </w:r>
          </w:p>
          <w:p w14:paraId="47DB0F6A" w14:textId="05D0EA5F" w:rsidR="00B84F58" w:rsidRPr="001C35AD" w:rsidRDefault="00B84F58" w:rsidP="00013DC8">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The legislative bodies of United Nations system organizations should review the adequacy of resources and staffing of the investigation function, taking into consideration the recommendations of the respective audit and oversight committees, where available.</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5F24B98" w14:textId="13175F68" w:rsidR="002B5889" w:rsidRPr="001C35AD" w:rsidRDefault="002B5889" w:rsidP="002B5889">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Within the overall financial constraints of the organization, management is informed by the professional estimates of the Director of OAI for the financial and human resources needed to deliver the programme of work of the OAI. The adequacy of resources and staffing is important.  Management has regular meetings with the Director of OAI to discuss the programme of work, and in addition the programme of work of the OAI and associated resources are reported independently to UNDP’s Executive Board annually. Bearing in mind that UNDP is compliant with this recommendation and noting that the recommendation is addressed to the legislative bodies, UNDP management considers this recommendation as implemented.</w:t>
            </w:r>
          </w:p>
          <w:p w14:paraId="39EB4035" w14:textId="43835674" w:rsidR="00B84F58" w:rsidRPr="001C35AD" w:rsidRDefault="002B5889" w:rsidP="002B5889">
            <w:pPr>
              <w:suppressAutoHyphens w:val="0"/>
              <w:autoSpaceDE w:val="0"/>
              <w:autoSpaceDN w:val="0"/>
              <w:spacing w:line="240" w:lineRule="auto"/>
              <w:ind w:left="180" w:right="170"/>
              <w:jc w:val="both"/>
              <w:rPr>
                <w:rFonts w:eastAsia="Calibri"/>
                <w:spacing w:val="0"/>
                <w:w w:val="100"/>
                <w:kern w:val="0"/>
              </w:rPr>
            </w:pPr>
            <w:r w:rsidRPr="001C35AD">
              <w:rPr>
                <w:rFonts w:eastAsia="Calibri"/>
                <w:spacing w:val="0"/>
                <w:w w:val="100"/>
                <w:kern w:val="0"/>
              </w:rPr>
              <w:t xml:space="preserve">    </w:t>
            </w:r>
          </w:p>
        </w:tc>
      </w:tr>
      <w:tr w:rsidR="007D03CD" w:rsidRPr="001C35AD" w14:paraId="3F973FC7" w14:textId="77777777" w:rsidTr="007D03CD">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hideMark/>
          </w:tcPr>
          <w:p w14:paraId="3E479A45" w14:textId="3DD51933" w:rsidR="00741105" w:rsidRPr="001C35AD" w:rsidRDefault="00741105" w:rsidP="008F175B">
            <w:pPr>
              <w:tabs>
                <w:tab w:val="left" w:pos="90"/>
                <w:tab w:val="left" w:pos="1530"/>
                <w:tab w:val="left" w:pos="1710"/>
                <w:tab w:val="left" w:pos="2218"/>
                <w:tab w:val="left" w:pos="2693"/>
                <w:tab w:val="left" w:pos="3182"/>
                <w:tab w:val="left" w:pos="3658"/>
                <w:tab w:val="left" w:pos="4133"/>
                <w:tab w:val="left" w:pos="4622"/>
                <w:tab w:val="left" w:pos="5098"/>
                <w:tab w:val="left" w:pos="5573"/>
                <w:tab w:val="left" w:pos="6048"/>
              </w:tabs>
              <w:spacing w:after="120"/>
              <w:ind w:left="90" w:right="170"/>
              <w:jc w:val="both"/>
              <w:outlineLvl w:val="0"/>
              <w:rPr>
                <w:rFonts w:eastAsia="Arial Unicode MS"/>
                <w:color w:val="000000"/>
                <w:sz w:val="22"/>
                <w:szCs w:val="22"/>
                <w:lang w:val="en-GB"/>
              </w:rPr>
            </w:pPr>
            <w:r w:rsidRPr="001C35AD">
              <w:rPr>
                <w:b/>
                <w:bCs/>
                <w:sz w:val="22"/>
                <w:szCs w:val="22"/>
              </w:rPr>
              <w:t>Policies and platforms in support of learning: towards more coherence, coordination and convergence</w:t>
            </w:r>
            <w:r w:rsidRPr="001C35AD">
              <w:rPr>
                <w:rFonts w:eastAsia="Arial Unicode MS"/>
                <w:b/>
                <w:bCs/>
                <w:color w:val="000000"/>
                <w:sz w:val="22"/>
                <w:szCs w:val="22"/>
                <w:lang w:val="en-GB"/>
              </w:rPr>
              <w:t xml:space="preserve"> (</w:t>
            </w:r>
            <w:hyperlink r:id="rId27" w:history="1">
              <w:r w:rsidRPr="001C35AD">
                <w:rPr>
                  <w:rStyle w:val="Hyperlink"/>
                  <w:b/>
                  <w:bCs/>
                  <w:sz w:val="22"/>
                  <w:szCs w:val="22"/>
                </w:rPr>
                <w:t>JIU/REP/2020/2</w:t>
              </w:r>
            </w:hyperlink>
            <w:r w:rsidRPr="001C35AD">
              <w:rPr>
                <w:rFonts w:eastAsia="Arial Unicode MS"/>
                <w:b/>
                <w:bCs/>
                <w:color w:val="000000"/>
                <w:sz w:val="22"/>
                <w:szCs w:val="22"/>
                <w:lang w:val="en-GB"/>
              </w:rPr>
              <w:t>)</w:t>
            </w:r>
          </w:p>
          <w:p w14:paraId="4DBBFAF4" w14:textId="3FD089EA" w:rsidR="007D03CD" w:rsidRPr="001C35AD" w:rsidRDefault="007D03CD" w:rsidP="001F6BB6">
            <w:pPr>
              <w:tabs>
                <w:tab w:val="left" w:pos="180"/>
                <w:tab w:val="left" w:pos="1530"/>
                <w:tab w:val="left" w:pos="1710"/>
                <w:tab w:val="left" w:pos="2218"/>
                <w:tab w:val="left" w:pos="2693"/>
                <w:tab w:val="left" w:pos="3182"/>
                <w:tab w:val="left" w:pos="3658"/>
                <w:tab w:val="left" w:pos="4133"/>
                <w:tab w:val="left" w:pos="4622"/>
                <w:tab w:val="left" w:pos="5098"/>
                <w:tab w:val="left" w:pos="5573"/>
                <w:tab w:val="left" w:pos="6048"/>
              </w:tabs>
              <w:spacing w:after="120"/>
              <w:ind w:left="90" w:right="166"/>
              <w:jc w:val="both"/>
              <w:outlineLvl w:val="0"/>
              <w:rPr>
                <w:rFonts w:eastAsia="Arial Unicode MS"/>
                <w:color w:val="000000"/>
                <w:spacing w:val="0"/>
                <w:w w:val="100"/>
                <w:sz w:val="22"/>
                <w:szCs w:val="22"/>
                <w:lang w:val="en-GB" w:eastAsia="ja-JP"/>
              </w:rPr>
            </w:pPr>
          </w:p>
        </w:tc>
      </w:tr>
      <w:tr w:rsidR="007D03CD" w:rsidRPr="001C35AD" w14:paraId="3A78EA0E"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287686AB" w14:textId="4EEA1B08" w:rsidR="007D03CD" w:rsidRPr="001C35AD" w:rsidRDefault="007D03CD" w:rsidP="001F6BB6">
            <w:pPr>
              <w:tabs>
                <w:tab w:val="left" w:pos="169"/>
                <w:tab w:val="left" w:pos="1530"/>
              </w:tabs>
              <w:suppressAutoHyphens w:val="0"/>
              <w:spacing w:line="240" w:lineRule="auto"/>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w:t>
            </w:r>
            <w:r w:rsidR="007269D7" w:rsidRPr="001C35AD">
              <w:rPr>
                <w:rFonts w:eastAsia="Arial Unicode MS"/>
                <w:b/>
                <w:color w:val="000000"/>
                <w:spacing w:val="0"/>
                <w:w w:val="100"/>
                <w:lang w:val="en-GB" w:eastAsia="ja-JP"/>
              </w:rPr>
              <w:t>8</w:t>
            </w:r>
          </w:p>
          <w:p w14:paraId="66190BA3" w14:textId="58F017BA" w:rsidR="007D03CD" w:rsidRPr="001C35AD" w:rsidRDefault="007269D7" w:rsidP="001F6BB6">
            <w:pPr>
              <w:tabs>
                <w:tab w:val="left" w:pos="169"/>
                <w:tab w:val="left" w:pos="1530"/>
              </w:tabs>
              <w:ind w:left="100" w:right="172"/>
              <w:jc w:val="both"/>
              <w:outlineLvl w:val="0"/>
              <w:rPr>
                <w:rFonts w:eastAsia="Arial Unicode MS"/>
                <w:color w:val="000000"/>
                <w:spacing w:val="0"/>
                <w:w w:val="100"/>
                <w:lang w:val="en-GB" w:eastAsia="ja-JP"/>
              </w:rPr>
            </w:pPr>
            <w:r w:rsidRPr="001C35AD">
              <w:rPr>
                <w:rFonts w:eastAsia="Arial Unicode MS"/>
                <w:color w:val="000000"/>
                <w:spacing w:val="0"/>
                <w:w w:val="100"/>
                <w:lang w:val="en-GB" w:eastAsia="ja-JP"/>
              </w:rPr>
              <w:t>The governing bodies of United Nations system organizations should, by the end of 2023, approve a common United Nations Organizational Learning Framework, agreed through relevant interagency mechanisms, which should contain a set of principles and a plan of action for gradual implementation.</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5021C46A" w14:textId="6179A0DD" w:rsidR="007D03CD" w:rsidRPr="001C35AD" w:rsidRDefault="007269D7" w:rsidP="00BF231C">
            <w:pPr>
              <w:suppressAutoHyphens w:val="0"/>
              <w:spacing w:line="240" w:lineRule="auto"/>
              <w:ind w:left="180" w:right="170"/>
              <w:jc w:val="both"/>
              <w:rPr>
                <w:rFonts w:eastAsia="Arial Unicode MS"/>
                <w:color w:val="000000"/>
                <w:spacing w:val="0"/>
                <w:w w:val="100"/>
                <w:lang w:val="en-GB" w:eastAsia="ja-JP"/>
              </w:rPr>
            </w:pPr>
            <w:r w:rsidRPr="001C35AD">
              <w:rPr>
                <w:rFonts w:eastAsia="Calibri"/>
                <w:spacing w:val="0"/>
                <w:w w:val="100"/>
                <w:kern w:val="0"/>
              </w:rPr>
              <w:t>UNDP is aligned with the CEB’s comments in the Note by the Secretary General on this recommendation (</w:t>
            </w:r>
            <w:hyperlink r:id="rId28" w:history="1">
              <w:r w:rsidRPr="001C35AD">
                <w:rPr>
                  <w:rFonts w:eastAsia="Calibri"/>
                  <w:color w:val="0070C0"/>
                  <w:spacing w:val="0"/>
                  <w:w w:val="100"/>
                  <w:kern w:val="0"/>
                  <w:u w:val="single"/>
                </w:rPr>
                <w:t>A/75/713/Add1</w:t>
              </w:r>
            </w:hyperlink>
            <w:r w:rsidRPr="001C35AD">
              <w:rPr>
                <w:rFonts w:eastAsia="Calibri"/>
                <w:spacing w:val="0"/>
                <w:w w:val="100"/>
                <w:kern w:val="0"/>
              </w:rPr>
              <w:t xml:space="preserve">, paragraphs 34 and 35), noting that such a framework should be future-focused and aligned with relevant best practice frameworks that exist. The UN may not need to create an entirely new UN framework, but adapt one that already exists for the UN context. Further, any framework should be focused on the principles of maturity frameworks (defined as a measurement of the ability of an organization for continuous improvement in a particular discipline) and allow for differences between agencies, in terms of their specific learning priorities and capability gaps to be addressed. Before committing to developing such a learning framework and a specific timeline, a discussion in the relevant inter-agency forum needs to be </w:t>
            </w:r>
            <w:proofErr w:type="spellStart"/>
            <w:r w:rsidRPr="001C35AD">
              <w:rPr>
                <w:rFonts w:eastAsia="Calibri"/>
                <w:spacing w:val="0"/>
                <w:w w:val="100"/>
                <w:kern w:val="0"/>
              </w:rPr>
              <w:t>organised</w:t>
            </w:r>
            <w:proofErr w:type="spellEnd"/>
            <w:r w:rsidRPr="001C35AD">
              <w:rPr>
                <w:rFonts w:eastAsia="Calibri"/>
                <w:spacing w:val="0"/>
                <w:w w:val="100"/>
                <w:kern w:val="0"/>
              </w:rPr>
              <w:t xml:space="preserve">. Bearing in mind the above, and that this recommendation is addressed to the legislative bodies, UNDP notes </w:t>
            </w:r>
            <w:r w:rsidR="00BF231C" w:rsidRPr="001C35AD">
              <w:rPr>
                <w:rFonts w:eastAsia="Calibri"/>
                <w:spacing w:val="0"/>
                <w:w w:val="100"/>
                <w:kern w:val="0"/>
              </w:rPr>
              <w:t xml:space="preserve">that </w:t>
            </w:r>
            <w:r w:rsidRPr="001C35AD">
              <w:rPr>
                <w:rFonts w:eastAsia="Calibri"/>
                <w:spacing w:val="0"/>
                <w:w w:val="100"/>
                <w:kern w:val="0"/>
              </w:rPr>
              <w:t xml:space="preserve">this recommendation is system-wide and is not of UNDP’s sole purview. UNDP therefore notes that </w:t>
            </w:r>
            <w:r w:rsidR="00BF231C" w:rsidRPr="001C35AD">
              <w:rPr>
                <w:rFonts w:eastAsia="Calibri"/>
                <w:spacing w:val="0"/>
                <w:w w:val="100"/>
                <w:kern w:val="0"/>
              </w:rPr>
              <w:t>the</w:t>
            </w:r>
            <w:r w:rsidRPr="001C35AD">
              <w:rPr>
                <w:rFonts w:eastAsia="Calibri"/>
                <w:spacing w:val="0"/>
                <w:w w:val="100"/>
                <w:kern w:val="0"/>
              </w:rPr>
              <w:t xml:space="preserve"> recommendation is for the consideration of the HLCM and does not consider it relevant for the Executive Board.</w:t>
            </w:r>
          </w:p>
        </w:tc>
      </w:tr>
      <w:tr w:rsidR="007D03CD" w:rsidRPr="001C35AD" w14:paraId="688738EF" w14:textId="77777777" w:rsidTr="007D03CD">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hideMark/>
          </w:tcPr>
          <w:p w14:paraId="3B52FF12" w14:textId="29501619" w:rsidR="009D6018" w:rsidRPr="001C35AD" w:rsidRDefault="009D6018" w:rsidP="009D6018">
            <w:pPr>
              <w:tabs>
                <w:tab w:val="left" w:pos="90"/>
                <w:tab w:val="left" w:pos="1530"/>
                <w:tab w:val="left" w:pos="1710"/>
                <w:tab w:val="left" w:pos="2218"/>
                <w:tab w:val="left" w:pos="2693"/>
                <w:tab w:val="left" w:pos="3182"/>
                <w:tab w:val="left" w:pos="3658"/>
                <w:tab w:val="left" w:pos="4133"/>
                <w:tab w:val="left" w:pos="4622"/>
                <w:tab w:val="left" w:pos="5098"/>
                <w:tab w:val="left" w:pos="5573"/>
                <w:tab w:val="left" w:pos="6048"/>
              </w:tabs>
              <w:spacing w:after="120"/>
              <w:ind w:left="90" w:right="168"/>
              <w:jc w:val="both"/>
              <w:outlineLvl w:val="0"/>
              <w:rPr>
                <w:rFonts w:eastAsia="Arial Unicode MS"/>
                <w:b/>
                <w:bCs/>
                <w:color w:val="000000"/>
                <w:sz w:val="22"/>
                <w:szCs w:val="22"/>
                <w:lang w:val="en-GB"/>
              </w:rPr>
            </w:pPr>
            <w:r w:rsidRPr="001C35AD">
              <w:rPr>
                <w:b/>
                <w:bCs/>
                <w:sz w:val="22"/>
                <w:szCs w:val="22"/>
              </w:rPr>
              <w:t>Common premises in the United Nations system: current practices and future prospects</w:t>
            </w:r>
            <w:r w:rsidRPr="001C35AD">
              <w:rPr>
                <w:rFonts w:eastAsia="Arial Unicode MS"/>
                <w:b/>
                <w:bCs/>
                <w:color w:val="000000"/>
                <w:sz w:val="22"/>
                <w:szCs w:val="22"/>
                <w:lang w:val="en-GB"/>
              </w:rPr>
              <w:t xml:space="preserve"> (</w:t>
            </w:r>
            <w:hyperlink r:id="rId29" w:history="1">
              <w:r w:rsidRPr="001C35AD">
                <w:rPr>
                  <w:rStyle w:val="Hyperlink"/>
                  <w:b/>
                  <w:bCs/>
                  <w:sz w:val="22"/>
                  <w:szCs w:val="22"/>
                </w:rPr>
                <w:t>JIU/REP/2020/3</w:t>
              </w:r>
            </w:hyperlink>
            <w:r w:rsidRPr="001C35AD">
              <w:rPr>
                <w:rFonts w:eastAsia="Arial Unicode MS"/>
                <w:b/>
                <w:bCs/>
                <w:color w:val="000000"/>
                <w:sz w:val="22"/>
                <w:szCs w:val="22"/>
                <w:lang w:val="en-GB"/>
              </w:rPr>
              <w:t>)</w:t>
            </w:r>
          </w:p>
          <w:p w14:paraId="4BB7E2DE" w14:textId="33246A44" w:rsidR="007D03CD" w:rsidRPr="001C35AD" w:rsidRDefault="007D03CD" w:rsidP="001F6BB6">
            <w:pPr>
              <w:tabs>
                <w:tab w:val="left" w:pos="180"/>
                <w:tab w:val="left" w:pos="1530"/>
                <w:tab w:val="left" w:pos="1710"/>
                <w:tab w:val="left" w:pos="2218"/>
                <w:tab w:val="left" w:pos="2693"/>
                <w:tab w:val="left" w:pos="3182"/>
                <w:tab w:val="left" w:pos="3658"/>
                <w:tab w:val="left" w:pos="4133"/>
                <w:tab w:val="left" w:pos="4622"/>
                <w:tab w:val="left" w:pos="5098"/>
                <w:tab w:val="left" w:pos="5573"/>
                <w:tab w:val="left" w:pos="6048"/>
                <w:tab w:val="right" w:pos="8920"/>
              </w:tabs>
              <w:suppressAutoHyphens w:val="0"/>
              <w:spacing w:after="120" w:line="259" w:lineRule="auto"/>
              <w:ind w:left="180" w:right="1267"/>
              <w:jc w:val="both"/>
              <w:outlineLvl w:val="0"/>
              <w:rPr>
                <w:rFonts w:eastAsia="Arial Unicode MS"/>
                <w:color w:val="000000"/>
                <w:spacing w:val="0"/>
                <w:w w:val="100"/>
                <w:sz w:val="22"/>
                <w:szCs w:val="22"/>
                <w:lang w:val="en-GB" w:eastAsia="ja-JP"/>
              </w:rPr>
            </w:pPr>
          </w:p>
        </w:tc>
      </w:tr>
      <w:tr w:rsidR="007D03CD" w:rsidRPr="001C35AD" w14:paraId="165A9D62" w14:textId="77777777" w:rsidTr="007D03CD">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A0244F" w14:textId="1CF42E58" w:rsidR="007D03CD" w:rsidRPr="001C35AD" w:rsidRDefault="007D03CD"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w:t>
            </w:r>
            <w:r w:rsidR="00FE66E1" w:rsidRPr="001C35AD">
              <w:rPr>
                <w:rFonts w:eastAsia="Arial Unicode MS"/>
                <w:b/>
                <w:color w:val="000000"/>
                <w:spacing w:val="0"/>
                <w:w w:val="100"/>
                <w:lang w:val="en-GB" w:eastAsia="ja-JP"/>
              </w:rPr>
              <w:t>1</w:t>
            </w:r>
          </w:p>
          <w:p w14:paraId="689DAB5C" w14:textId="51FFA88C" w:rsidR="007D03CD" w:rsidRPr="001C35AD" w:rsidRDefault="00FE66E1" w:rsidP="001F6BB6">
            <w:pPr>
              <w:tabs>
                <w:tab w:val="left" w:pos="169"/>
                <w:tab w:val="left" w:pos="1530"/>
              </w:tabs>
              <w:ind w:left="100" w:right="172"/>
              <w:jc w:val="both"/>
              <w:outlineLvl w:val="0"/>
              <w:rPr>
                <w:rFonts w:eastAsia="Arial Unicode MS"/>
                <w:color w:val="000000"/>
                <w:spacing w:val="0"/>
                <w:w w:val="100"/>
                <w:lang w:val="en-GB" w:eastAsia="ja-JP"/>
              </w:rPr>
            </w:pPr>
            <w:r w:rsidRPr="001C35AD">
              <w:rPr>
                <w:rFonts w:eastAsia="Arial Unicode MS"/>
                <w:color w:val="000000"/>
                <w:spacing w:val="0"/>
                <w:w w:val="100"/>
                <w:lang w:val="en-GB" w:eastAsia="ja-JP"/>
              </w:rPr>
              <w:t xml:space="preserve">The governing bodies of United Nations system organizations that have not yet done so should, by </w:t>
            </w:r>
            <w:r w:rsidRPr="001C35AD">
              <w:rPr>
                <w:rFonts w:eastAsia="Arial Unicode MS"/>
                <w:color w:val="000000"/>
                <w:spacing w:val="0"/>
                <w:w w:val="100"/>
                <w:lang w:val="en-GB" w:eastAsia="ja-JP"/>
              </w:rPr>
              <w:lastRenderedPageBreak/>
              <w:t>the end of 2021, give direction to the executive heads on the parameters of participation of their organizations in common premises and request periodic reporting on the results achieved.</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44629E2A" w14:textId="1B91077E" w:rsidR="00151A61" w:rsidRPr="001C35AD" w:rsidRDefault="00FE66E1" w:rsidP="001F6BB6">
            <w:pPr>
              <w:tabs>
                <w:tab w:val="left" w:pos="278"/>
                <w:tab w:val="left" w:pos="1530"/>
              </w:tabs>
              <w:suppressAutoHyphens w:val="0"/>
              <w:spacing w:line="240" w:lineRule="auto"/>
              <w:ind w:left="188" w:right="162"/>
              <w:jc w:val="both"/>
              <w:outlineLvl w:val="0"/>
              <w:rPr>
                <w:rFonts w:eastAsia="Arial Unicode MS"/>
                <w:color w:val="000000"/>
                <w:spacing w:val="0"/>
                <w:w w:val="100"/>
                <w:lang w:val="en-GB" w:eastAsia="ja-JP"/>
              </w:rPr>
            </w:pPr>
            <w:r w:rsidRPr="001C35AD">
              <w:rPr>
                <w:rFonts w:eastAsia="Arial Unicode MS"/>
                <w:color w:val="000000"/>
                <w:spacing w:val="0"/>
                <w:w w:val="100"/>
                <w:lang w:val="en-GB" w:eastAsia="ja-JP"/>
              </w:rPr>
              <w:lastRenderedPageBreak/>
              <w:t xml:space="preserve">UNDP is fully committed to continuing to participate in common premises and is reporting annually to its Executive Board on results achieved on common premises. This reporting is included in </w:t>
            </w:r>
            <w:r w:rsidRPr="001C35AD">
              <w:rPr>
                <w:rFonts w:eastAsia="Arial Unicode MS"/>
                <w:color w:val="000000"/>
                <w:spacing w:val="0"/>
                <w:w w:val="100"/>
                <w:lang w:val="en-GB" w:eastAsia="ja-JP"/>
              </w:rPr>
              <w:lastRenderedPageBreak/>
              <w:t>UNDP’s annual reporting on the organization’s integrated results and resources framework (IRRF) under Indicator 3.1. Common UN approaches facilitate efficient and accelerated joint delivery against sustainable development objectives, Outcome 3. Operational Service Arrangements for United Nations system-wide results, coordination and coherence, Tier 3 of the IRRF which measures and reports on the organization’s effectiveness and efficiency. Bearing in mind that UNDP is compliant with this recommendation and noting that the recommendation is addressed to the legislative bodies, UNDP management considers this recommendation as implemented.</w:t>
            </w:r>
          </w:p>
        </w:tc>
      </w:tr>
      <w:tr w:rsidR="00001153" w:rsidRPr="001C35AD" w14:paraId="75F8C77F" w14:textId="77777777" w:rsidTr="00001153">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50054A1B" w14:textId="4B9C4E63" w:rsidR="00001153" w:rsidRPr="001C35AD" w:rsidRDefault="002C6C92" w:rsidP="002C6C92">
            <w:pPr>
              <w:tabs>
                <w:tab w:val="left" w:pos="90"/>
                <w:tab w:val="left" w:pos="1530"/>
                <w:tab w:val="left" w:pos="1710"/>
                <w:tab w:val="left" w:pos="2218"/>
                <w:tab w:val="left" w:pos="2693"/>
                <w:tab w:val="left" w:pos="3182"/>
                <w:tab w:val="left" w:pos="3658"/>
                <w:tab w:val="left" w:pos="4133"/>
                <w:tab w:val="left" w:pos="4622"/>
                <w:tab w:val="left" w:pos="5098"/>
                <w:tab w:val="left" w:pos="5573"/>
                <w:tab w:val="left" w:pos="6048"/>
              </w:tabs>
              <w:spacing w:after="120"/>
              <w:ind w:left="90" w:right="168"/>
              <w:jc w:val="both"/>
              <w:outlineLvl w:val="0"/>
              <w:rPr>
                <w:rFonts w:eastAsia="Arial Unicode MS"/>
                <w:color w:val="000000"/>
                <w:spacing w:val="0"/>
                <w:w w:val="100"/>
                <w:sz w:val="22"/>
                <w:szCs w:val="22"/>
                <w:lang w:val="en-GB" w:eastAsia="ja-JP"/>
              </w:rPr>
            </w:pPr>
            <w:r w:rsidRPr="001C35AD">
              <w:rPr>
                <w:b/>
                <w:bCs/>
                <w:sz w:val="22"/>
                <w:szCs w:val="22"/>
              </w:rPr>
              <w:lastRenderedPageBreak/>
              <w:t>Enterprise risk management: approaches and uses in United Nations system organizations</w:t>
            </w:r>
            <w:r w:rsidRPr="001C35AD">
              <w:rPr>
                <w:rFonts w:eastAsia="Arial Unicode MS"/>
                <w:b/>
                <w:bCs/>
                <w:sz w:val="22"/>
                <w:szCs w:val="22"/>
                <w:lang w:val="en-GB"/>
              </w:rPr>
              <w:t xml:space="preserve"> (</w:t>
            </w:r>
            <w:hyperlink r:id="rId30" w:history="1">
              <w:r w:rsidRPr="001C35AD">
                <w:rPr>
                  <w:rStyle w:val="Hyperlink"/>
                  <w:b/>
                  <w:bCs/>
                  <w:sz w:val="22"/>
                  <w:szCs w:val="22"/>
                </w:rPr>
                <w:t>JIU/REP/2020/5</w:t>
              </w:r>
            </w:hyperlink>
            <w:r w:rsidRPr="001C35AD">
              <w:rPr>
                <w:rStyle w:val="Hyperlink"/>
                <w:b/>
                <w:bCs/>
                <w:sz w:val="22"/>
                <w:szCs w:val="22"/>
              </w:rPr>
              <w:t>)</w:t>
            </w:r>
          </w:p>
        </w:tc>
      </w:tr>
      <w:tr w:rsidR="00EB784C" w:rsidRPr="001C35AD" w14:paraId="1E0034C5"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F7CEC95" w14:textId="77777777" w:rsidR="00EB784C" w:rsidRPr="001C35AD" w:rsidRDefault="00EB784C"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Recommendation 1</w:t>
            </w:r>
          </w:p>
          <w:p w14:paraId="69AC36D9" w14:textId="2DEB5B9A" w:rsidR="00EB784C" w:rsidRPr="001C35AD" w:rsidRDefault="002C6C92" w:rsidP="001F6BB6">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In order to fulfil their oversight roles and responsibilities, legislative/governing bodies should incorporate ERM into their meetings at least annually, with substantive coverage determined by the organization’s mandate, field network and risk exposure.</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EC10597" w14:textId="57074434" w:rsidR="00EB784C" w:rsidRPr="001C35AD" w:rsidRDefault="00E11CF8" w:rsidP="00AA63D4">
            <w:pPr>
              <w:suppressAutoHyphens w:val="0"/>
              <w:spacing w:line="240" w:lineRule="auto"/>
              <w:ind w:left="178" w:right="258"/>
              <w:jc w:val="both"/>
              <w:rPr>
                <w:rFonts w:eastAsia="Arial Unicode MS"/>
                <w:color w:val="000000"/>
                <w:spacing w:val="0"/>
                <w:w w:val="100"/>
                <w:lang w:val="en-GB" w:eastAsia="ja-JP"/>
              </w:rPr>
            </w:pPr>
            <w:r w:rsidRPr="001C35AD">
              <w:rPr>
                <w:rFonts w:eastAsia="Calibri"/>
                <w:spacing w:val="0"/>
                <w:w w:val="100"/>
                <w:kern w:val="0"/>
              </w:rPr>
              <w:t xml:space="preserve">Enterprise Risk Management (ERM) is a key priority for UNDP's Executive Board (EB) in accordance with </w:t>
            </w:r>
            <w:hyperlink r:id="rId31" w:history="1">
              <w:r w:rsidRPr="001C35AD">
                <w:rPr>
                  <w:rFonts w:eastAsia="Calibri"/>
                  <w:color w:val="0563C1"/>
                  <w:spacing w:val="0"/>
                  <w:w w:val="100"/>
                  <w:kern w:val="0"/>
                  <w:u w:val="single"/>
                </w:rPr>
                <w:t>UNDP’s Accountability Framework</w:t>
              </w:r>
            </w:hyperlink>
            <w:r w:rsidRPr="001C35AD">
              <w:rPr>
                <w:rFonts w:eastAsia="Calibri"/>
                <w:spacing w:val="0"/>
                <w:w w:val="100"/>
                <w:kern w:val="0"/>
              </w:rPr>
              <w:t>. As an integral part of UNDP’s Accountability Framework, UNDP’s integrated approach to risk management across all types of risks, from projects up to corporate level, leads to ERM already being integrated into relevant EB sessions and reports. In particular, it is a recurrent aspect within UNDP’s management responses to recommendations of the Office of Audit and Investigation, the UN Board of Auditors, the Ethics Office, the Independent Evaluation Office and the Audit and Evaluation Advisory Committee (AEAC). Whilst it is the prerogative of the Executive Board to decide on its agenda, UNDP management considers risk management to already be an integral part of agenda items presented to the Executive Board and thus considers this recommendation as implemented.</w:t>
            </w:r>
          </w:p>
        </w:tc>
      </w:tr>
      <w:tr w:rsidR="007A7512" w:rsidRPr="001C35AD" w14:paraId="60AB3AE7"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19C95AE" w14:textId="7336B77F" w:rsidR="007A7512" w:rsidRPr="001C35AD" w:rsidRDefault="007A7512"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 xml:space="preserve">Recommendation 4 </w:t>
            </w:r>
          </w:p>
          <w:p w14:paraId="29C5D0C9" w14:textId="1B2B3CA1" w:rsidR="007A7512" w:rsidRPr="001C35AD" w:rsidRDefault="007A7512" w:rsidP="001F6BB6">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By the end of 2022, legislative/governing bodies of participating organizations should request executive heads to report on the outcomes of a comprehensive review of the organization’s implementation of ERM against JIU benchmarks 1 to 9, as outlined in the present report.</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4E78377" w14:textId="0C6C924A" w:rsidR="007A7512" w:rsidRPr="001C35AD" w:rsidRDefault="000B299D" w:rsidP="00E47180">
            <w:pPr>
              <w:suppressAutoHyphens w:val="0"/>
              <w:autoSpaceDE w:val="0"/>
              <w:autoSpaceDN w:val="0"/>
              <w:spacing w:after="160" w:line="240" w:lineRule="auto"/>
              <w:ind w:left="178" w:right="258"/>
              <w:jc w:val="both"/>
              <w:rPr>
                <w:rFonts w:eastAsia="Calibri"/>
                <w:spacing w:val="0"/>
                <w:w w:val="100"/>
                <w:kern w:val="0"/>
              </w:rPr>
            </w:pPr>
            <w:r w:rsidRPr="001C35AD">
              <w:rPr>
                <w:rFonts w:eastAsia="Calibri"/>
                <w:spacing w:val="0"/>
                <w:w w:val="100"/>
                <w:kern w:val="0"/>
              </w:rPr>
              <w:t xml:space="preserve">As reported in the remarks for recommendation 2 (paragraph </w:t>
            </w:r>
            <w:r w:rsidR="000D13CF" w:rsidRPr="001C35AD">
              <w:rPr>
                <w:rFonts w:eastAsia="Calibri"/>
                <w:spacing w:val="0"/>
                <w:w w:val="100"/>
                <w:kern w:val="0"/>
              </w:rPr>
              <w:t>35</w:t>
            </w:r>
            <w:r w:rsidRPr="001C35AD">
              <w:rPr>
                <w:rFonts w:eastAsia="Calibri"/>
                <w:spacing w:val="0"/>
                <w:w w:val="100"/>
                <w:kern w:val="0"/>
              </w:rPr>
              <w:t>), UNDP management considers its ERM system to already be compliant with the recommended JIU benchmarks 1 to 9. Furthermore, UNDP management considers ERM to already be incorporated within its relevant reports to the Executive Board (recommendation 1). Preparing a separate report on ERM is thus not considered necessary to demonstrate alignment to the benchmarks and runs contrary to UNDP’s integrated ERM approach. Bearing that in mind and noting that this recommendation is addressed to the legislative/governing bodies, UNDP management does not consider it necessary for the Executive Board to accept recommendation 4.</w:t>
            </w:r>
          </w:p>
        </w:tc>
      </w:tr>
      <w:tr w:rsidR="00857E3F" w:rsidRPr="001C35AD" w14:paraId="7486517B" w14:textId="77777777" w:rsidTr="00857E3F">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5CC7B562" w14:textId="19C1AF39" w:rsidR="00857E3F" w:rsidRPr="001C35AD" w:rsidRDefault="00857E3F" w:rsidP="00857E3F">
            <w:pPr>
              <w:tabs>
                <w:tab w:val="left" w:pos="1260"/>
                <w:tab w:val="left" w:pos="1530"/>
                <w:tab w:val="left" w:pos="2218"/>
                <w:tab w:val="left" w:pos="2693"/>
                <w:tab w:val="left" w:pos="3182"/>
                <w:tab w:val="left" w:pos="3658"/>
                <w:tab w:val="left" w:pos="4133"/>
                <w:tab w:val="left" w:pos="4622"/>
                <w:tab w:val="left" w:pos="5098"/>
                <w:tab w:val="left" w:pos="5573"/>
                <w:tab w:val="left" w:pos="6048"/>
                <w:tab w:val="right" w:pos="8920"/>
              </w:tabs>
              <w:spacing w:after="120"/>
              <w:ind w:left="90" w:right="1267"/>
              <w:jc w:val="both"/>
              <w:outlineLvl w:val="0"/>
              <w:rPr>
                <w:rFonts w:eastAsia="Calibri"/>
                <w:spacing w:val="0"/>
                <w:w w:val="100"/>
                <w:kern w:val="0"/>
                <w:sz w:val="22"/>
                <w:szCs w:val="22"/>
              </w:rPr>
            </w:pPr>
            <w:r w:rsidRPr="001C35AD">
              <w:rPr>
                <w:b/>
                <w:bCs/>
                <w:sz w:val="22"/>
                <w:szCs w:val="22"/>
              </w:rPr>
              <w:t>Multilingualism in the United Nations system</w:t>
            </w:r>
            <w:r w:rsidRPr="001C35AD">
              <w:rPr>
                <w:rFonts w:eastAsia="Arial Unicode MS"/>
                <w:b/>
                <w:bCs/>
                <w:sz w:val="22"/>
                <w:szCs w:val="22"/>
                <w:lang w:val="en-GB"/>
              </w:rPr>
              <w:t xml:space="preserve"> (</w:t>
            </w:r>
            <w:hyperlink r:id="rId32" w:history="1">
              <w:r w:rsidRPr="001C35AD">
                <w:rPr>
                  <w:rStyle w:val="Hyperlink"/>
                  <w:b/>
                  <w:bCs/>
                  <w:sz w:val="22"/>
                  <w:szCs w:val="22"/>
                </w:rPr>
                <w:t>JIU/REP/2020/6</w:t>
              </w:r>
            </w:hyperlink>
            <w:r w:rsidRPr="001C35AD">
              <w:rPr>
                <w:b/>
                <w:bCs/>
                <w:sz w:val="22"/>
                <w:szCs w:val="22"/>
              </w:rPr>
              <w:t>)</w:t>
            </w:r>
          </w:p>
        </w:tc>
      </w:tr>
      <w:tr w:rsidR="00857E3F" w:rsidRPr="001C35AD" w14:paraId="3BB46CD3"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E04367D" w14:textId="77777777" w:rsidR="0010537E" w:rsidRPr="001C35AD" w:rsidRDefault="0010537E" w:rsidP="0010537E">
            <w:pPr>
              <w:ind w:left="90"/>
              <w:jc w:val="both"/>
              <w:rPr>
                <w:rFonts w:eastAsia="Arial Unicode MS"/>
                <w:b/>
                <w:color w:val="000000"/>
                <w:spacing w:val="0"/>
                <w:w w:val="100"/>
                <w:lang w:val="en-GB" w:eastAsia="ja-JP"/>
              </w:rPr>
            </w:pPr>
            <w:r w:rsidRPr="001C35AD">
              <w:rPr>
                <w:rFonts w:eastAsia="Arial Unicode MS"/>
                <w:b/>
                <w:color w:val="000000"/>
                <w:spacing w:val="0"/>
                <w:w w:val="100"/>
                <w:lang w:val="en-GB" w:eastAsia="ja-JP"/>
              </w:rPr>
              <w:t>Recommendation 1</w:t>
            </w:r>
          </w:p>
          <w:p w14:paraId="641D6ADE" w14:textId="20520B15" w:rsidR="00857E3F" w:rsidRPr="001C35AD" w:rsidRDefault="0010537E" w:rsidP="0010537E">
            <w:pPr>
              <w:ind w:left="90" w:right="174"/>
              <w:jc w:val="both"/>
              <w:rPr>
                <w:rFonts w:eastAsia="Arial Unicode MS"/>
                <w:b/>
                <w:color w:val="000000"/>
                <w:spacing w:val="0"/>
                <w:w w:val="100"/>
                <w:lang w:val="en-GB" w:eastAsia="ja-JP"/>
              </w:rPr>
            </w:pPr>
            <w:r w:rsidRPr="001C35AD">
              <w:rPr>
                <w:rFonts w:eastAsia="Arial Unicode MS"/>
                <w:bCs/>
                <w:color w:val="000000"/>
                <w:spacing w:val="0"/>
                <w:w w:val="100"/>
                <w:lang w:val="en-GB" w:eastAsia="ja-JP"/>
              </w:rPr>
              <w:t xml:space="preserve">The legislative or governing bodies of the United Nations system organizations should request the executive heads of their respective organizations that have not yet done so, to prepare a strategic policy framework for multilingualism, accompanied by administrative and operational guidelines for its </w:t>
            </w:r>
            <w:r w:rsidRPr="001C35AD">
              <w:rPr>
                <w:rFonts w:eastAsia="Arial Unicode MS"/>
                <w:bCs/>
                <w:color w:val="000000"/>
                <w:spacing w:val="0"/>
                <w:w w:val="100"/>
                <w:lang w:val="en-GB" w:eastAsia="ja-JP"/>
              </w:rPr>
              <w:lastRenderedPageBreak/>
              <w:t>implementation, and submit this for adoption by the end of 2022.</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799A0A3" w14:textId="5E2517D7" w:rsidR="00857E3F" w:rsidRPr="001C35AD" w:rsidRDefault="00DC1B5B" w:rsidP="000B299D">
            <w:pPr>
              <w:suppressAutoHyphens w:val="0"/>
              <w:autoSpaceDE w:val="0"/>
              <w:autoSpaceDN w:val="0"/>
              <w:spacing w:after="160" w:line="240" w:lineRule="auto"/>
              <w:ind w:left="178" w:right="258"/>
              <w:jc w:val="both"/>
              <w:rPr>
                <w:rFonts w:eastAsia="Calibri"/>
                <w:spacing w:val="0"/>
                <w:w w:val="100"/>
                <w:kern w:val="0"/>
              </w:rPr>
            </w:pPr>
            <w:r w:rsidRPr="001C35AD">
              <w:rPr>
                <w:rFonts w:eastAsia="Calibri"/>
                <w:spacing w:val="0"/>
                <w:w w:val="100"/>
                <w:kern w:val="0"/>
              </w:rPr>
              <w:lastRenderedPageBreak/>
              <w:t xml:space="preserve">UNDP mainstreams multilingualism throughout its work and does not support a siloed approach with regard to multilingualism. UNDP’s current strategies and initiatives related to language use encourage continuous language learning, promote linguistic diversity, facilitate language assessments in recruitment processes, enable the outsourcing of language services on an on-call basis, and ensure digital presence and the production of marketing and knowledge products in the six UN official languages, as well as in </w:t>
            </w:r>
            <w:r w:rsidRPr="001C35AD">
              <w:rPr>
                <w:rFonts w:eastAsia="Calibri"/>
                <w:spacing w:val="0"/>
                <w:w w:val="100"/>
                <w:kern w:val="0"/>
              </w:rPr>
              <w:lastRenderedPageBreak/>
              <w:t xml:space="preserve">other languages and dialects relevant to the regions where the Organization serves.  Bearing that in mind and noting that this recommendation is addressed to the legislative/governing bodies, UNDP management does not consider it </w:t>
            </w:r>
            <w:r w:rsidR="00AA63D4" w:rsidRPr="001C35AD">
              <w:rPr>
                <w:rFonts w:eastAsia="Calibri"/>
                <w:spacing w:val="0"/>
                <w:w w:val="100"/>
                <w:kern w:val="0"/>
              </w:rPr>
              <w:t>relevant for the Executive Board.</w:t>
            </w:r>
          </w:p>
        </w:tc>
      </w:tr>
      <w:tr w:rsidR="00857E3F" w:rsidRPr="001C35AD" w14:paraId="7F53C4C2"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812885F" w14:textId="77777777" w:rsidR="00DC1B5B" w:rsidRPr="001C35AD" w:rsidRDefault="00DC1B5B"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lastRenderedPageBreak/>
              <w:t>Recommendation 2</w:t>
            </w:r>
          </w:p>
          <w:p w14:paraId="07B44E7E" w14:textId="66092663" w:rsidR="00857E3F" w:rsidRPr="001C35AD" w:rsidRDefault="00DC1B5B" w:rsidP="001F6BB6">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The legislative or governing bodies of the United Nations system organizations should request the executive heads of their respective organizations that have not yet done so, to appoint, by the end of 2022, a senior official as a coordinator or focal point for multilingualism, with clearly defined responsibilities and delegated authority, tasked with the coordination of the implementation of the strategic policy framework for multilingualism across their respective organizations.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B33DA8B" w14:textId="69785BC7" w:rsidR="00857E3F" w:rsidRPr="001C35AD" w:rsidRDefault="00AA63D4" w:rsidP="000B299D">
            <w:pPr>
              <w:suppressAutoHyphens w:val="0"/>
              <w:autoSpaceDE w:val="0"/>
              <w:autoSpaceDN w:val="0"/>
              <w:spacing w:after="160" w:line="240" w:lineRule="auto"/>
              <w:ind w:left="178" w:right="258"/>
              <w:jc w:val="both"/>
              <w:rPr>
                <w:rFonts w:eastAsia="Calibri"/>
                <w:spacing w:val="0"/>
                <w:w w:val="100"/>
                <w:kern w:val="0"/>
              </w:rPr>
            </w:pPr>
            <w:r w:rsidRPr="001C35AD">
              <w:rPr>
                <w:rFonts w:eastAsia="Calibri"/>
                <w:spacing w:val="0"/>
                <w:w w:val="100"/>
                <w:kern w:val="0"/>
              </w:rPr>
              <w:t xml:space="preserve">UNDP mainstreams multilingualism throughout its work and does not support a siloed approach with regard to multilingualism, as outlined in the remarks to Recommendation 1. </w:t>
            </w:r>
            <w:r w:rsidR="008C539F" w:rsidRPr="001C35AD">
              <w:rPr>
                <w:rFonts w:eastAsia="Calibri"/>
                <w:spacing w:val="0"/>
                <w:w w:val="100"/>
                <w:kern w:val="0"/>
              </w:rPr>
              <w:t xml:space="preserve">Bearing that in mind and noting </w:t>
            </w:r>
            <w:r w:rsidRPr="001C35AD">
              <w:rPr>
                <w:rFonts w:eastAsia="Calibri"/>
                <w:spacing w:val="0"/>
                <w:w w:val="100"/>
                <w:kern w:val="0"/>
              </w:rPr>
              <w:t>that this recommendation is addressed to the legislative/governing bodies, UNDP management does not consider it relevant for the Executive Board.</w:t>
            </w:r>
          </w:p>
        </w:tc>
      </w:tr>
      <w:tr w:rsidR="007E260F" w:rsidRPr="001C35AD" w14:paraId="19F4C0F1"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875BC5C" w14:textId="77777777" w:rsidR="007E260F" w:rsidRPr="001C35AD" w:rsidRDefault="007E260F" w:rsidP="001F6BB6">
            <w:pPr>
              <w:tabs>
                <w:tab w:val="left" w:pos="169"/>
                <w:tab w:val="left" w:pos="1530"/>
              </w:tabs>
              <w:ind w:left="100" w:right="172"/>
              <w:jc w:val="both"/>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Recommendation 4</w:t>
            </w:r>
          </w:p>
          <w:p w14:paraId="2A73453D" w14:textId="2C287DFA" w:rsidR="007E260F" w:rsidRPr="001C35AD" w:rsidRDefault="007E260F" w:rsidP="001F6BB6">
            <w:pPr>
              <w:tabs>
                <w:tab w:val="left" w:pos="169"/>
                <w:tab w:val="left" w:pos="1530"/>
              </w:tabs>
              <w:ind w:left="100" w:right="172"/>
              <w:jc w:val="both"/>
              <w:outlineLvl w:val="0"/>
              <w:rPr>
                <w:rFonts w:eastAsia="Arial Unicode MS"/>
                <w:bCs/>
                <w:color w:val="000000"/>
                <w:spacing w:val="0"/>
                <w:w w:val="100"/>
                <w:lang w:val="en-GB" w:eastAsia="ja-JP"/>
              </w:rPr>
            </w:pPr>
            <w:r w:rsidRPr="001C35AD">
              <w:rPr>
                <w:rFonts w:eastAsia="Arial Unicode MS"/>
                <w:bCs/>
                <w:color w:val="000000"/>
                <w:spacing w:val="0"/>
                <w:w w:val="100"/>
                <w:lang w:val="en-GB" w:eastAsia="ja-JP"/>
              </w:rPr>
              <w:t>The legislative or governing bodies of the United Nations system organizations should request the executive heads of their respective organizations that have not yet done so, to introduce, by the end of 2022, learning policies that encourage continuous learning and improvement of the language skills of their staff members in the official languages of the respective organizations as well as in other languages, as appropriate, securing sufficient funding for this.</w:t>
            </w: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333EC16" w14:textId="399B310E" w:rsidR="007E260F" w:rsidRPr="001C35AD" w:rsidRDefault="004E404D" w:rsidP="000B299D">
            <w:pPr>
              <w:suppressAutoHyphens w:val="0"/>
              <w:autoSpaceDE w:val="0"/>
              <w:autoSpaceDN w:val="0"/>
              <w:spacing w:after="160" w:line="240" w:lineRule="auto"/>
              <w:ind w:left="178" w:right="258"/>
              <w:jc w:val="both"/>
              <w:rPr>
                <w:rFonts w:eastAsia="Calibri"/>
                <w:spacing w:val="0"/>
                <w:w w:val="100"/>
                <w:kern w:val="0"/>
              </w:rPr>
            </w:pPr>
            <w:r w:rsidRPr="001C35AD">
              <w:rPr>
                <w:rFonts w:eastAsia="Calibri"/>
                <w:spacing w:val="0"/>
                <w:w w:val="100"/>
                <w:kern w:val="0"/>
              </w:rPr>
              <w:t xml:space="preserve">UNDP’s People Development Strategy is built on the notion of continuous learning. In addition to dedicated language training programmes offered to staff in the official UN languages, UNDP has also made several of its talent development online learning programmes available in English, Spanish and French and in some cases Arabic. In case insufficient language proficiency affects performance, it is also addressed as part of the performance reviews.  Language requirements in addition to English are included in UNDP’s vacancy announcements, either as a must-have requirement in case the position is based in a country where UNDP’s working language is different from English, or as an additional asset in the recruitment process. Assessment of the language requirements is systematically included in the recruitment process (longlisting and shortlisting of the candidates). Bearing in mind </w:t>
            </w:r>
            <w:r w:rsidR="008C539F" w:rsidRPr="001C35AD">
              <w:rPr>
                <w:rFonts w:eastAsia="Calibri"/>
                <w:spacing w:val="0"/>
                <w:w w:val="100"/>
                <w:kern w:val="0"/>
              </w:rPr>
              <w:t xml:space="preserve">that </w:t>
            </w:r>
            <w:r w:rsidRPr="001C35AD">
              <w:rPr>
                <w:rFonts w:eastAsia="Calibri"/>
                <w:spacing w:val="0"/>
                <w:w w:val="100"/>
                <w:kern w:val="0"/>
              </w:rPr>
              <w:t>UNDP is compliant with this recommendation and noting that the recommendation is addressed to the legislative bodies, UNDP management considers this recommendation as implemented.</w:t>
            </w:r>
          </w:p>
        </w:tc>
      </w:tr>
      <w:tr w:rsidR="0027653A" w:rsidRPr="001C35AD" w14:paraId="756581D5" w14:textId="77777777" w:rsidTr="0027653A">
        <w:tc>
          <w:tcPr>
            <w:tcW w:w="101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2B0B8E79" w14:textId="7395C253" w:rsidR="0027653A" w:rsidRPr="001C35AD" w:rsidRDefault="0027653A" w:rsidP="0027653A">
            <w:pPr>
              <w:tabs>
                <w:tab w:val="left" w:pos="1260"/>
                <w:tab w:val="left" w:pos="1530"/>
                <w:tab w:val="left" w:pos="2218"/>
                <w:tab w:val="left" w:pos="2693"/>
                <w:tab w:val="left" w:pos="3182"/>
                <w:tab w:val="left" w:pos="3658"/>
                <w:tab w:val="left" w:pos="4133"/>
                <w:tab w:val="left" w:pos="4622"/>
                <w:tab w:val="left" w:pos="5098"/>
                <w:tab w:val="left" w:pos="5573"/>
                <w:tab w:val="left" w:pos="6048"/>
                <w:tab w:val="right" w:pos="8920"/>
              </w:tabs>
              <w:spacing w:after="120"/>
              <w:ind w:left="90" w:right="1267"/>
              <w:jc w:val="both"/>
              <w:outlineLvl w:val="0"/>
              <w:rPr>
                <w:rFonts w:eastAsia="Calibri"/>
                <w:spacing w:val="0"/>
                <w:w w:val="100"/>
                <w:kern w:val="0"/>
              </w:rPr>
            </w:pPr>
            <w:r w:rsidRPr="001C35AD">
              <w:rPr>
                <w:b/>
                <w:bCs/>
                <w:sz w:val="24"/>
                <w:szCs w:val="24"/>
              </w:rPr>
              <w:t>Review of mainstreaming environmental sustainability across organizations of the United Nations system(</w:t>
            </w:r>
            <w:hyperlink r:id="rId33" w:history="1">
              <w:r w:rsidRPr="001C35AD">
                <w:rPr>
                  <w:rStyle w:val="Hyperlink"/>
                  <w:b/>
                  <w:bCs/>
                  <w:sz w:val="24"/>
                  <w:szCs w:val="24"/>
                </w:rPr>
                <w:t>JIU/REP/2020/8</w:t>
              </w:r>
            </w:hyperlink>
            <w:r w:rsidRPr="001C35AD">
              <w:rPr>
                <w:b/>
                <w:bCs/>
                <w:sz w:val="24"/>
                <w:szCs w:val="24"/>
              </w:rPr>
              <w:t xml:space="preserve">) </w:t>
            </w:r>
          </w:p>
        </w:tc>
      </w:tr>
      <w:tr w:rsidR="0027653A" w:rsidRPr="001C35AD" w14:paraId="4E547AFF" w14:textId="77777777" w:rsidTr="008E507E">
        <w:tc>
          <w:tcPr>
            <w:tcW w:w="44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08E38D" w14:textId="77777777" w:rsidR="007E7D45" w:rsidRPr="001C35AD" w:rsidRDefault="007E7D45" w:rsidP="007E7D45">
            <w:pPr>
              <w:ind w:left="90" w:right="180"/>
              <w:rPr>
                <w:spacing w:val="0"/>
                <w:w w:val="100"/>
                <w:kern w:val="0"/>
              </w:rPr>
            </w:pPr>
            <w:r w:rsidRPr="001C35AD">
              <w:rPr>
                <w:b/>
                <w:bCs/>
              </w:rPr>
              <w:t xml:space="preserve">Recommendation 2 </w:t>
            </w:r>
          </w:p>
          <w:p w14:paraId="480E6BB1" w14:textId="77777777" w:rsidR="007E7D45" w:rsidRPr="001C35AD" w:rsidRDefault="007E7D45" w:rsidP="007E7D45">
            <w:pPr>
              <w:ind w:left="90" w:right="180"/>
              <w:jc w:val="both"/>
            </w:pPr>
            <w:r w:rsidRPr="001C35AD">
              <w:t xml:space="preserve">The legislative organs and governing bodies of the United Nations system organizations that have not yet done so should, by the end of 2022, direct the executive heads to embed environmental sustainability considerations into the management of their organizations and request them to include in the annual report on the work of the organization the results of efforts to mainstream environmental sustainability in the internal management functions of the organization. </w:t>
            </w:r>
          </w:p>
          <w:p w14:paraId="5FF0C2BA" w14:textId="77777777" w:rsidR="007E7D45" w:rsidRPr="001C35AD" w:rsidRDefault="007E7D45" w:rsidP="007E7D45">
            <w:r w:rsidRPr="001C35AD">
              <w:rPr>
                <w:b/>
                <w:bCs/>
              </w:rPr>
              <w:lastRenderedPageBreak/>
              <w:t> </w:t>
            </w:r>
          </w:p>
          <w:p w14:paraId="77B89943" w14:textId="77777777" w:rsidR="0027653A" w:rsidRPr="001C35AD" w:rsidRDefault="0027653A" w:rsidP="001F6BB6">
            <w:pPr>
              <w:tabs>
                <w:tab w:val="left" w:pos="169"/>
                <w:tab w:val="left" w:pos="1530"/>
              </w:tabs>
              <w:ind w:left="100" w:right="172"/>
              <w:jc w:val="both"/>
              <w:outlineLvl w:val="0"/>
              <w:rPr>
                <w:rFonts w:eastAsia="Arial Unicode MS"/>
                <w:b/>
                <w:color w:val="000000"/>
                <w:spacing w:val="0"/>
                <w:w w:val="100"/>
                <w:lang w:val="en-GB" w:eastAsia="ja-JP"/>
              </w:rPr>
            </w:pPr>
          </w:p>
        </w:tc>
        <w:tc>
          <w:tcPr>
            <w:tcW w:w="57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FDCA28A" w14:textId="72375124" w:rsidR="0027653A" w:rsidRPr="001C35AD" w:rsidRDefault="007E7D45" w:rsidP="000B299D">
            <w:pPr>
              <w:suppressAutoHyphens w:val="0"/>
              <w:autoSpaceDE w:val="0"/>
              <w:autoSpaceDN w:val="0"/>
              <w:spacing w:after="160" w:line="240" w:lineRule="auto"/>
              <w:ind w:left="178" w:right="258"/>
              <w:jc w:val="both"/>
              <w:rPr>
                <w:rFonts w:eastAsia="Calibri"/>
                <w:spacing w:val="0"/>
                <w:w w:val="100"/>
                <w:kern w:val="0"/>
              </w:rPr>
            </w:pPr>
            <w:r w:rsidRPr="001C35AD">
              <w:rPr>
                <w:rFonts w:eastAsia="Calibri"/>
                <w:spacing w:val="0"/>
                <w:w w:val="100"/>
                <w:kern w:val="0"/>
              </w:rPr>
              <w:lastRenderedPageBreak/>
              <w:t xml:space="preserve">With the 2019 UNDP Administrator’s launch of the ‘Greening UNDP Moonshot’ committing to ambitious reductions in greenhouse gas (GHG) emissions, best practice waste management and minimized consumption of natural resources, UNDP has firmly embedded environmental sustainability in the management of its operations. The Bureau Director Deputy-level Greening Moonshot Task Force presents the most senior oversight mechanism for integrating sustainability into internal management functions system-wide. UNDP’s commitment to environmental sustainability management is fully included in UNDP’s Annual Report to the Executive Board, with UNDP already reporting on its greening efforts to the Executive Board for years. Noting that </w:t>
            </w:r>
            <w:r w:rsidRPr="001C35AD">
              <w:rPr>
                <w:rFonts w:eastAsia="Calibri"/>
                <w:spacing w:val="0"/>
                <w:w w:val="100"/>
                <w:kern w:val="0"/>
              </w:rPr>
              <w:lastRenderedPageBreak/>
              <w:t>Recommendation 2 is addressed to the legislative/governing bodies and that environmental sustainability is already fully embedded in UNDP’s operations, and regular periodic reporting on this to the Executive Board is already in place, UNDP management considers this recommendation as implemented.</w:t>
            </w:r>
          </w:p>
        </w:tc>
      </w:tr>
    </w:tbl>
    <w:p w14:paraId="2D547033" w14:textId="77777777" w:rsidR="007D03CD" w:rsidRPr="001C35AD" w:rsidRDefault="007D03CD" w:rsidP="001F6BB6">
      <w:pPr>
        <w:suppressAutoHyphens w:val="0"/>
        <w:spacing w:line="240" w:lineRule="auto"/>
        <w:rPr>
          <w:rFonts w:eastAsia="Arial Unicode MS"/>
          <w:b/>
          <w:color w:val="000000"/>
          <w:sz w:val="28"/>
          <w:lang w:val="en-GB"/>
        </w:rPr>
        <w:sectPr w:rsidR="007D03CD" w:rsidRPr="001C35AD" w:rsidSect="00417278">
          <w:headerReference w:type="even" r:id="rId34"/>
          <w:headerReference w:type="default" r:id="rId35"/>
          <w:footerReference w:type="even" r:id="rId36"/>
          <w:footerReference w:type="default" r:id="rId37"/>
          <w:pgSz w:w="12240" w:h="15840"/>
          <w:pgMar w:top="1170" w:right="720" w:bottom="1526" w:left="1195" w:header="360" w:footer="1037" w:gutter="0"/>
          <w:cols w:space="720"/>
          <w:docGrid w:linePitch="278"/>
        </w:sectPr>
      </w:pPr>
    </w:p>
    <w:p w14:paraId="7ED4A6D4" w14:textId="77777777" w:rsidR="0049014A" w:rsidRPr="001C35AD" w:rsidRDefault="007D03CD" w:rsidP="001F6BB6">
      <w:pPr>
        <w:suppressAutoHyphens w:val="0"/>
        <w:spacing w:line="240" w:lineRule="auto"/>
        <w:rPr>
          <w:rFonts w:eastAsia="Arial Unicode MS"/>
          <w:b/>
          <w:color w:val="000000"/>
          <w:sz w:val="28"/>
          <w:lang w:val="en-GB"/>
        </w:rPr>
      </w:pPr>
      <w:r w:rsidRPr="001C35AD">
        <w:rPr>
          <w:rFonts w:eastAsia="Arial Unicode MS"/>
          <w:b/>
          <w:color w:val="000000"/>
          <w:sz w:val="28"/>
          <w:lang w:val="en-GB"/>
        </w:rPr>
        <w:lastRenderedPageBreak/>
        <w:t>Annex III</w:t>
      </w:r>
    </w:p>
    <w:p w14:paraId="5AAEC179" w14:textId="7DFE0F0B" w:rsidR="00FB6027" w:rsidRPr="001C35AD" w:rsidRDefault="00FB6027" w:rsidP="00FB6027">
      <w:pPr>
        <w:keepNext/>
        <w:keepLines/>
        <w:tabs>
          <w:tab w:val="left" w:pos="1080"/>
          <w:tab w:val="left" w:pos="1530"/>
          <w:tab w:val="right" w:pos="8920"/>
        </w:tabs>
        <w:spacing w:after="120" w:line="300" w:lineRule="exact"/>
        <w:outlineLvl w:val="0"/>
        <w:rPr>
          <w:rFonts w:eastAsia="Arial Unicode MS"/>
          <w:b/>
          <w:color w:val="000000"/>
          <w:sz w:val="28"/>
          <w:lang w:val="en-GB"/>
        </w:rPr>
      </w:pPr>
      <w:r w:rsidRPr="001C35AD">
        <w:rPr>
          <w:rFonts w:eastAsia="Arial Unicode MS"/>
          <w:b/>
          <w:color w:val="000000"/>
          <w:sz w:val="28"/>
          <w:lang w:val="en-GB"/>
        </w:rPr>
        <w:t>Summary of reports issued by the Joint Inspection Unit in 2019 of relevance to UNDP, as at 28 February 2021</w:t>
      </w:r>
      <w:r w:rsidRPr="001C35AD">
        <w:rPr>
          <w:rStyle w:val="FootnoteReference"/>
          <w:rFonts w:eastAsia="Arial Unicode MS"/>
          <w:b/>
          <w:color w:val="000000"/>
          <w:sz w:val="28"/>
          <w:lang w:val="en-GB"/>
        </w:rPr>
        <w:footnoteReference w:id="2"/>
      </w:r>
    </w:p>
    <w:tbl>
      <w:tblPr>
        <w:tblpPr w:leftFromText="180" w:rightFromText="180" w:vertAnchor="text" w:tblpX="-650" w:tblpY="1"/>
        <w:tblOverlap w:val="neve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4"/>
        <w:gridCol w:w="2611"/>
        <w:gridCol w:w="1710"/>
        <w:gridCol w:w="1039"/>
        <w:gridCol w:w="1857"/>
        <w:gridCol w:w="1293"/>
        <w:gridCol w:w="1260"/>
        <w:gridCol w:w="1440"/>
        <w:gridCol w:w="980"/>
        <w:gridCol w:w="1041"/>
      </w:tblGrid>
      <w:tr w:rsidR="00FB6027" w:rsidRPr="001C35AD" w14:paraId="5B93B601" w14:textId="77777777" w:rsidTr="009619EC">
        <w:trPr>
          <w:cantSplit/>
          <w:trHeight w:val="455"/>
        </w:trPr>
        <w:tc>
          <w:tcPr>
            <w:tcW w:w="1524"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7D413185"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Document </w:t>
            </w:r>
          </w:p>
          <w:p w14:paraId="4915B11A"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symbol</w:t>
            </w:r>
          </w:p>
        </w:tc>
        <w:tc>
          <w:tcPr>
            <w:tcW w:w="2611"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603820F7"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Title </w:t>
            </w:r>
          </w:p>
        </w:tc>
        <w:tc>
          <w:tcPr>
            <w:tcW w:w="1710"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64557A7F"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Total recommendations</w:t>
            </w:r>
          </w:p>
        </w:tc>
        <w:tc>
          <w:tcPr>
            <w:tcW w:w="1039"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3E494104"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Directed at UNDP</w:t>
            </w:r>
          </w:p>
        </w:tc>
        <w:tc>
          <w:tcPr>
            <w:tcW w:w="1857" w:type="dxa"/>
            <w:vMerge w:val="restart"/>
            <w:tcBorders>
              <w:top w:val="single" w:sz="4" w:space="0" w:color="auto"/>
              <w:left w:val="single" w:sz="4" w:space="0" w:color="auto"/>
              <w:right w:val="single" w:sz="4" w:space="0" w:color="auto"/>
            </w:tcBorders>
            <w:shd w:val="clear" w:color="auto" w:fill="D9D9D9"/>
          </w:tcPr>
          <w:p w14:paraId="1B4FF8FE" w14:textId="77777777" w:rsidR="00FB6027" w:rsidRPr="001C35AD" w:rsidRDefault="00FB6027" w:rsidP="009619EC">
            <w:pPr>
              <w:tabs>
                <w:tab w:val="left" w:pos="1530"/>
                <w:tab w:val="left" w:pos="4236"/>
              </w:tabs>
              <w:jc w:val="center"/>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Of which recommendations</w:t>
            </w:r>
          </w:p>
          <w:p w14:paraId="660FE723" w14:textId="77777777" w:rsidR="00FB6027" w:rsidRPr="001C35AD" w:rsidRDefault="00FB6027" w:rsidP="009619EC">
            <w:pPr>
              <w:tabs>
                <w:tab w:val="left" w:pos="1530"/>
                <w:tab w:val="left" w:pos="4236"/>
              </w:tabs>
              <w:jc w:val="center"/>
              <w:rPr>
                <w:b/>
                <w:bCs/>
                <w:sz w:val="19"/>
                <w:szCs w:val="19"/>
                <w:lang w:val="en-GB"/>
              </w:rPr>
            </w:pPr>
            <w:r w:rsidRPr="001C35AD">
              <w:rPr>
                <w:rFonts w:eastAsia="Arial Unicode MS"/>
                <w:b/>
                <w:color w:val="000000"/>
                <w:spacing w:val="0"/>
                <w:w w:val="100"/>
                <w:lang w:val="en-GB" w:eastAsia="ja-JP"/>
              </w:rPr>
              <w:t>directed to the Executive Board</w:t>
            </w:r>
          </w:p>
        </w:tc>
        <w:tc>
          <w:tcPr>
            <w:tcW w:w="6014" w:type="dxa"/>
            <w:gridSpan w:val="5"/>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hideMark/>
          </w:tcPr>
          <w:p w14:paraId="0B2312C5" w14:textId="77777777" w:rsidR="00FB6027" w:rsidRPr="001C35AD" w:rsidRDefault="00FB6027" w:rsidP="009619EC">
            <w:pPr>
              <w:tabs>
                <w:tab w:val="left" w:pos="1530"/>
                <w:tab w:val="left" w:pos="4236"/>
              </w:tabs>
              <w:jc w:val="center"/>
              <w:rPr>
                <w:b/>
                <w:bCs/>
                <w:sz w:val="19"/>
                <w:szCs w:val="19"/>
                <w:lang w:val="en-GB"/>
              </w:rPr>
            </w:pPr>
            <w:r w:rsidRPr="001C35AD">
              <w:rPr>
                <w:b/>
                <w:bCs/>
                <w:sz w:val="19"/>
                <w:szCs w:val="19"/>
                <w:lang w:val="en-GB"/>
              </w:rPr>
              <w:t>Implementation status of recommendations directed to UNDP</w:t>
            </w:r>
          </w:p>
        </w:tc>
      </w:tr>
      <w:tr w:rsidR="00FB6027" w:rsidRPr="001C35AD" w14:paraId="35033C48" w14:textId="77777777" w:rsidTr="009619EC">
        <w:trPr>
          <w:cantSplit/>
          <w:trHeight w:val="369"/>
        </w:trPr>
        <w:tc>
          <w:tcPr>
            <w:tcW w:w="1524"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4CBA252C"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2611"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C30D68A"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71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8A31F89"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039"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44FD9579"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857" w:type="dxa"/>
            <w:vMerge/>
            <w:tcBorders>
              <w:left w:val="single" w:sz="4" w:space="0" w:color="auto"/>
              <w:right w:val="single" w:sz="4" w:space="0" w:color="auto"/>
            </w:tcBorders>
            <w:shd w:val="clear" w:color="auto" w:fill="D9D9D9"/>
          </w:tcPr>
          <w:p w14:paraId="4F5C2078" w14:textId="77777777" w:rsidR="00FB6027" w:rsidRPr="001C35AD" w:rsidRDefault="00FB6027" w:rsidP="009619EC">
            <w:pPr>
              <w:tabs>
                <w:tab w:val="left" w:pos="1530"/>
                <w:tab w:val="left" w:pos="4236"/>
              </w:tabs>
              <w:jc w:val="center"/>
              <w:rPr>
                <w:b/>
                <w:bCs/>
                <w:sz w:val="19"/>
                <w:szCs w:val="19"/>
                <w:lang w:val="en-GB"/>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C566972" w14:textId="77777777" w:rsidR="00FB6027" w:rsidRPr="001C35AD" w:rsidRDefault="00FB6027" w:rsidP="009619EC">
            <w:pPr>
              <w:tabs>
                <w:tab w:val="left" w:pos="1530"/>
                <w:tab w:val="left" w:pos="4236"/>
              </w:tabs>
              <w:jc w:val="center"/>
              <w:rPr>
                <w:b/>
                <w:bCs/>
                <w:sz w:val="19"/>
                <w:szCs w:val="19"/>
                <w:lang w:val="en-GB"/>
              </w:rPr>
            </w:pPr>
            <w:r w:rsidRPr="001C35AD">
              <w:rPr>
                <w:b/>
                <w:bCs/>
                <w:sz w:val="19"/>
                <w:szCs w:val="19"/>
                <w:lang w:val="en-GB"/>
              </w:rPr>
              <w:t>Accepted</w:t>
            </w:r>
          </w:p>
        </w:tc>
        <w:tc>
          <w:tcPr>
            <w:tcW w:w="1440" w:type="dxa"/>
            <w:tcBorders>
              <w:top w:val="single" w:sz="4" w:space="0" w:color="auto"/>
              <w:left w:val="single" w:sz="4" w:space="0" w:color="auto"/>
              <w:right w:val="single" w:sz="4" w:space="0" w:color="auto"/>
            </w:tcBorders>
            <w:shd w:val="clear" w:color="auto" w:fill="D9D9D9"/>
          </w:tcPr>
          <w:p w14:paraId="3A1809B0" w14:textId="77777777" w:rsidR="00FB6027" w:rsidRPr="001C35AD" w:rsidRDefault="00FB6027" w:rsidP="009619EC">
            <w:pPr>
              <w:tabs>
                <w:tab w:val="left" w:pos="1530"/>
                <w:tab w:val="left" w:pos="4236"/>
              </w:tabs>
              <w:jc w:val="center"/>
              <w:rPr>
                <w:b/>
                <w:bCs/>
                <w:sz w:val="19"/>
                <w:szCs w:val="19"/>
                <w:lang w:val="en-GB"/>
              </w:rPr>
            </w:pPr>
            <w:r w:rsidRPr="001C35AD">
              <w:rPr>
                <w:b/>
                <w:bCs/>
                <w:sz w:val="19"/>
                <w:szCs w:val="19"/>
                <w:lang w:val="en-GB"/>
              </w:rPr>
              <w:t>Under consideration</w:t>
            </w:r>
          </w:p>
        </w:tc>
        <w:tc>
          <w:tcPr>
            <w:tcW w:w="980" w:type="dxa"/>
            <w:tcBorders>
              <w:top w:val="single" w:sz="4" w:space="0" w:color="auto"/>
              <w:left w:val="single" w:sz="4" w:space="0" w:color="auto"/>
              <w:right w:val="single" w:sz="4" w:space="0" w:color="auto"/>
            </w:tcBorders>
            <w:shd w:val="clear" w:color="auto" w:fill="D9D9D9"/>
          </w:tcPr>
          <w:p w14:paraId="47388585" w14:textId="77777777" w:rsidR="00FB6027" w:rsidRPr="001C35AD" w:rsidRDefault="00FB6027" w:rsidP="009619EC">
            <w:pPr>
              <w:tabs>
                <w:tab w:val="left" w:pos="1530"/>
                <w:tab w:val="left" w:pos="4236"/>
              </w:tabs>
              <w:jc w:val="center"/>
              <w:rPr>
                <w:b/>
                <w:bCs/>
                <w:sz w:val="19"/>
                <w:szCs w:val="19"/>
                <w:lang w:val="en-GB"/>
              </w:rPr>
            </w:pPr>
            <w:r w:rsidRPr="001C35AD">
              <w:rPr>
                <w:b/>
                <w:bCs/>
                <w:sz w:val="19"/>
                <w:szCs w:val="19"/>
                <w:lang w:val="en-GB"/>
              </w:rPr>
              <w:t>Not accepted</w:t>
            </w:r>
          </w:p>
        </w:tc>
        <w:tc>
          <w:tcPr>
            <w:tcW w:w="1041" w:type="dxa"/>
            <w:tcBorders>
              <w:top w:val="single" w:sz="4" w:space="0" w:color="auto"/>
              <w:left w:val="single" w:sz="4" w:space="0" w:color="auto"/>
              <w:right w:val="single" w:sz="4" w:space="0" w:color="auto"/>
            </w:tcBorders>
            <w:shd w:val="clear" w:color="auto" w:fill="D9D9D9"/>
          </w:tcPr>
          <w:p w14:paraId="5E671E53" w14:textId="77777777" w:rsidR="00FB6027" w:rsidRPr="001C35AD" w:rsidRDefault="00FB6027" w:rsidP="009619EC">
            <w:pPr>
              <w:tabs>
                <w:tab w:val="left" w:pos="1530"/>
                <w:tab w:val="left" w:pos="4236"/>
              </w:tabs>
              <w:ind w:right="83"/>
              <w:jc w:val="center"/>
              <w:rPr>
                <w:b/>
                <w:bCs/>
                <w:sz w:val="19"/>
                <w:szCs w:val="19"/>
                <w:lang w:val="en-GB"/>
              </w:rPr>
            </w:pPr>
            <w:r w:rsidRPr="001C35AD">
              <w:rPr>
                <w:b/>
                <w:bCs/>
                <w:sz w:val="19"/>
                <w:szCs w:val="19"/>
                <w:lang w:val="en-GB"/>
              </w:rPr>
              <w:t>Not relevant</w:t>
            </w:r>
          </w:p>
        </w:tc>
      </w:tr>
      <w:tr w:rsidR="00FB6027" w:rsidRPr="001C35AD" w14:paraId="3E229540" w14:textId="77777777" w:rsidTr="009619EC">
        <w:trPr>
          <w:cantSplit/>
          <w:trHeight w:val="261"/>
        </w:trPr>
        <w:tc>
          <w:tcPr>
            <w:tcW w:w="1524"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582C5FBC"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2611"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3961975F"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71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6FF8FCD0"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039"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3E07A795" w14:textId="77777777" w:rsidR="00FB6027" w:rsidRPr="001C35AD" w:rsidRDefault="00FB6027" w:rsidP="009619EC">
            <w:pPr>
              <w:tabs>
                <w:tab w:val="left" w:pos="1530"/>
                <w:tab w:val="left" w:pos="4236"/>
                <w:tab w:val="right" w:pos="8920"/>
              </w:tabs>
              <w:jc w:val="center"/>
              <w:outlineLvl w:val="0"/>
              <w:rPr>
                <w:rFonts w:eastAsia="Arial Unicode MS"/>
                <w:b/>
                <w:color w:val="000000"/>
                <w:sz w:val="19"/>
                <w:szCs w:val="19"/>
                <w:lang w:val="en-GB"/>
              </w:rPr>
            </w:pPr>
          </w:p>
        </w:tc>
        <w:tc>
          <w:tcPr>
            <w:tcW w:w="1857" w:type="dxa"/>
            <w:vMerge/>
            <w:tcBorders>
              <w:left w:val="single" w:sz="4" w:space="0" w:color="auto"/>
              <w:bottom w:val="single" w:sz="4" w:space="0" w:color="auto"/>
              <w:right w:val="single" w:sz="4" w:space="0" w:color="auto"/>
            </w:tcBorders>
            <w:shd w:val="clear" w:color="auto" w:fill="D9D9D9"/>
          </w:tcPr>
          <w:p w14:paraId="46B4C7E2" w14:textId="77777777" w:rsidR="00FB6027" w:rsidRPr="001C35AD" w:rsidRDefault="00FB6027" w:rsidP="009619EC">
            <w:pPr>
              <w:tabs>
                <w:tab w:val="left" w:pos="1530"/>
                <w:tab w:val="left" w:pos="4236"/>
              </w:tabs>
              <w:jc w:val="center"/>
              <w:rPr>
                <w:b/>
                <w:bCs/>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20651141" w14:textId="77777777" w:rsidR="00FB6027" w:rsidRPr="001C35AD" w:rsidRDefault="00FB6027" w:rsidP="009619EC">
            <w:pPr>
              <w:tabs>
                <w:tab w:val="left" w:pos="1530"/>
                <w:tab w:val="left" w:pos="4236"/>
              </w:tabs>
              <w:jc w:val="center"/>
              <w:rPr>
                <w:b/>
                <w:bCs/>
                <w:sz w:val="19"/>
                <w:szCs w:val="19"/>
                <w:lang w:val="en-GB"/>
              </w:rPr>
            </w:pPr>
            <w:r w:rsidRPr="001C35AD">
              <w:rPr>
                <w:b/>
                <w:bCs/>
                <w:sz w:val="19"/>
                <w:szCs w:val="19"/>
                <w:lang w:val="en-GB"/>
              </w:rPr>
              <w:t xml:space="preserve">Implemented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053B085" w14:textId="77777777" w:rsidR="00FB6027" w:rsidRPr="001C35AD" w:rsidRDefault="00FB6027" w:rsidP="009619EC">
            <w:pPr>
              <w:tabs>
                <w:tab w:val="left" w:pos="756"/>
                <w:tab w:val="left" w:pos="4236"/>
              </w:tabs>
              <w:jc w:val="center"/>
              <w:rPr>
                <w:b/>
                <w:bCs/>
                <w:sz w:val="19"/>
                <w:szCs w:val="19"/>
                <w:lang w:val="en-GB"/>
              </w:rPr>
            </w:pPr>
            <w:r w:rsidRPr="001C35AD">
              <w:rPr>
                <w:b/>
                <w:bCs/>
                <w:sz w:val="19"/>
                <w:szCs w:val="19"/>
                <w:lang w:val="en-GB"/>
              </w:rPr>
              <w:t>In progress</w:t>
            </w:r>
          </w:p>
        </w:tc>
        <w:tc>
          <w:tcPr>
            <w:tcW w:w="1440" w:type="dxa"/>
            <w:tcBorders>
              <w:left w:val="single" w:sz="4" w:space="0" w:color="auto"/>
              <w:bottom w:val="single" w:sz="4" w:space="0" w:color="auto"/>
              <w:right w:val="single" w:sz="4" w:space="0" w:color="auto"/>
            </w:tcBorders>
            <w:shd w:val="clear" w:color="auto" w:fill="D9D9D9"/>
          </w:tcPr>
          <w:p w14:paraId="05A7CA38" w14:textId="77777777" w:rsidR="00FB6027" w:rsidRPr="001C35AD" w:rsidRDefault="00FB6027" w:rsidP="009619EC">
            <w:pPr>
              <w:tabs>
                <w:tab w:val="left" w:pos="1530"/>
                <w:tab w:val="left" w:pos="4236"/>
              </w:tabs>
              <w:jc w:val="center"/>
              <w:rPr>
                <w:b/>
                <w:bCs/>
                <w:sz w:val="19"/>
                <w:szCs w:val="19"/>
                <w:lang w:val="en-GB"/>
              </w:rPr>
            </w:pPr>
          </w:p>
        </w:tc>
        <w:tc>
          <w:tcPr>
            <w:tcW w:w="980" w:type="dxa"/>
            <w:tcBorders>
              <w:left w:val="single" w:sz="4" w:space="0" w:color="auto"/>
              <w:bottom w:val="single" w:sz="4" w:space="0" w:color="auto"/>
              <w:right w:val="single" w:sz="4" w:space="0" w:color="auto"/>
            </w:tcBorders>
            <w:shd w:val="clear" w:color="auto" w:fill="D9D9D9"/>
          </w:tcPr>
          <w:p w14:paraId="1105690A" w14:textId="77777777" w:rsidR="00FB6027" w:rsidRPr="001C35AD" w:rsidRDefault="00FB6027" w:rsidP="009619EC">
            <w:pPr>
              <w:tabs>
                <w:tab w:val="left" w:pos="1530"/>
                <w:tab w:val="left" w:pos="4236"/>
              </w:tabs>
              <w:jc w:val="center"/>
              <w:rPr>
                <w:b/>
                <w:bCs/>
                <w:sz w:val="19"/>
                <w:szCs w:val="19"/>
                <w:lang w:val="en-GB"/>
              </w:rPr>
            </w:pPr>
          </w:p>
        </w:tc>
        <w:tc>
          <w:tcPr>
            <w:tcW w:w="1041" w:type="dxa"/>
            <w:tcBorders>
              <w:left w:val="single" w:sz="4" w:space="0" w:color="auto"/>
              <w:bottom w:val="single" w:sz="4" w:space="0" w:color="auto"/>
              <w:right w:val="single" w:sz="4" w:space="0" w:color="auto"/>
            </w:tcBorders>
            <w:shd w:val="clear" w:color="auto" w:fill="D9D9D9"/>
          </w:tcPr>
          <w:p w14:paraId="179B5BEF" w14:textId="77777777" w:rsidR="00FB6027" w:rsidRPr="001C35AD" w:rsidRDefault="00FB6027" w:rsidP="009619EC">
            <w:pPr>
              <w:tabs>
                <w:tab w:val="left" w:pos="1530"/>
                <w:tab w:val="left" w:pos="4236"/>
              </w:tabs>
              <w:jc w:val="center"/>
              <w:rPr>
                <w:b/>
                <w:bCs/>
                <w:sz w:val="19"/>
                <w:szCs w:val="19"/>
                <w:lang w:val="en-GB"/>
              </w:rPr>
            </w:pPr>
          </w:p>
        </w:tc>
      </w:tr>
      <w:tr w:rsidR="00FB6027" w:rsidRPr="001C35AD" w14:paraId="2DED0B9A"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FC47F48" w14:textId="77777777" w:rsidR="00FB6027" w:rsidRPr="001C35AD" w:rsidRDefault="00245EB3" w:rsidP="009619EC">
            <w:pPr>
              <w:tabs>
                <w:tab w:val="left" w:pos="1530"/>
                <w:tab w:val="left" w:pos="4236"/>
              </w:tabs>
              <w:rPr>
                <w:color w:val="0000FF"/>
                <w:sz w:val="19"/>
                <w:szCs w:val="19"/>
              </w:rPr>
            </w:pPr>
            <w:hyperlink r:id="rId38" w:history="1">
              <w:r w:rsidR="00FB6027" w:rsidRPr="001C35AD">
                <w:rPr>
                  <w:rStyle w:val="Hyperlink"/>
                </w:rPr>
                <w:t>JIU/REP/2019/2</w:t>
              </w:r>
            </w:hyperlink>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053CE7D" w14:textId="77777777" w:rsidR="00FB6027" w:rsidRPr="001C35AD" w:rsidRDefault="00FB6027" w:rsidP="009619EC">
            <w:pPr>
              <w:tabs>
                <w:tab w:val="left" w:pos="1530"/>
                <w:tab w:val="left" w:pos="4236"/>
              </w:tabs>
              <w:ind w:left="90"/>
              <w:rPr>
                <w:rFonts w:eastAsia="Arial Unicode MS"/>
                <w:color w:val="000000"/>
                <w:sz w:val="19"/>
                <w:szCs w:val="19"/>
                <w:lang w:val="en-GB"/>
              </w:rPr>
            </w:pPr>
            <w:r w:rsidRPr="001C35AD">
              <w:rPr>
                <w:rFonts w:eastAsia="Arial Unicode MS"/>
                <w:color w:val="000000"/>
                <w:sz w:val="19"/>
                <w:szCs w:val="19"/>
                <w:lang w:val="en-GB"/>
              </w:rPr>
              <w:t>Review of the United Nations system-wide Action Plan on Gender Equality and the Empowerment of Women</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256960"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8486B28"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D43AAD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7FE7EC8"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395295B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046B698"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3D7BDA3"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p w14:paraId="2692D695" w14:textId="77777777" w:rsidR="00FB6027" w:rsidRPr="001C35AD" w:rsidRDefault="00FB6027" w:rsidP="009619EC">
            <w:pPr>
              <w:tabs>
                <w:tab w:val="left" w:pos="1530"/>
                <w:tab w:val="left" w:pos="4236"/>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3EC6B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55ABB0B"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4C656F0"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801E2A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B619DC7"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EEA51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04086B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67C59F7"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1B9449F3"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2E5B470"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147F943"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2132719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73D213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F306058"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r>
      <w:tr w:rsidR="00FB6027" w:rsidRPr="001C35AD" w14:paraId="1B533B6D"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9E2E1B1" w14:textId="77777777" w:rsidR="00FB6027" w:rsidRPr="001C35AD" w:rsidRDefault="00FB6027" w:rsidP="009619EC">
            <w:pPr>
              <w:tabs>
                <w:tab w:val="left" w:pos="1530"/>
                <w:tab w:val="left" w:pos="4236"/>
              </w:tabs>
              <w:rPr>
                <w:rFonts w:eastAsia="Arial Unicode MS"/>
                <w:color w:val="000000"/>
                <w:lang w:val="en-GB"/>
              </w:rPr>
            </w:pPr>
            <w:r w:rsidRPr="001C35AD">
              <w:rPr>
                <w:rFonts w:eastAsia="Arial Unicode MS"/>
                <w:color w:val="000000"/>
                <w:lang w:val="en-GB"/>
              </w:rPr>
              <w:t xml:space="preserve"> </w:t>
            </w:r>
            <w:hyperlink r:id="rId39" w:history="1">
              <w:r w:rsidRPr="001C35AD">
                <w:rPr>
                  <w:rStyle w:val="Hyperlink"/>
                  <w:rFonts w:eastAsia="Arial Unicode MS"/>
                  <w:lang w:val="en-GB"/>
                </w:rPr>
                <w:t>JIU/REP/2019/3</w:t>
              </w:r>
            </w:hyperlink>
          </w:p>
          <w:p w14:paraId="0FF93FD6" w14:textId="77777777" w:rsidR="00FB6027" w:rsidRPr="001C35AD" w:rsidRDefault="00FB6027" w:rsidP="009619EC">
            <w:pPr>
              <w:tabs>
                <w:tab w:val="left" w:pos="1530"/>
                <w:tab w:val="left" w:pos="4236"/>
              </w:tabs>
              <w:rPr>
                <w:sz w:val="19"/>
                <w:szCs w:val="19"/>
              </w:rPr>
            </w:pP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812A405" w14:textId="77777777" w:rsidR="00FB6027" w:rsidRPr="001C35AD" w:rsidRDefault="00245EB3" w:rsidP="009619EC">
            <w:pPr>
              <w:tabs>
                <w:tab w:val="left" w:pos="1530"/>
                <w:tab w:val="left" w:pos="4236"/>
              </w:tabs>
              <w:ind w:left="90"/>
              <w:rPr>
                <w:rFonts w:eastAsia="Arial Unicode MS"/>
                <w:color w:val="000000"/>
                <w:sz w:val="19"/>
                <w:szCs w:val="19"/>
                <w:lang w:val="en-GB"/>
              </w:rPr>
            </w:pPr>
            <w:hyperlink r:id="rId40" w:history="1">
              <w:r w:rsidR="00FB6027" w:rsidRPr="001C35AD">
                <w:rPr>
                  <w:rFonts w:eastAsia="Arial Unicode MS"/>
                  <w:sz w:val="19"/>
                  <w:szCs w:val="19"/>
                  <w:lang w:val="en-GB"/>
                </w:rPr>
                <w:t>Review of the integration of disaster risk reduction in the work of the United Nations system in the context of the 2030 Agenda for Sustainable Development</w:t>
              </w:r>
            </w:hyperlink>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E2B454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D0CCEF7"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F6CB95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90F0FC2"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DC2E2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6E3CCF0"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C39D83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227DB2C"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1E0FD4C5"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0623C5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3B2C1D5"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BC2E07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E2B32FE"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p w14:paraId="4A4FFF6F" w14:textId="77777777" w:rsidR="00FB6027" w:rsidRPr="001C35AD" w:rsidRDefault="00FB6027" w:rsidP="009619EC">
            <w:pPr>
              <w:tabs>
                <w:tab w:val="left" w:pos="1530"/>
                <w:tab w:val="left" w:pos="4236"/>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A0711E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C4696D1"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B14D047"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887137A"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103076F"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C411E8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93D7F94"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7543CB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5AAEEC3"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668F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A46639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9675BB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D37513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E3409AB"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3D63B8A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5B03FE7"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5905B35"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E07D55F"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D91848A"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7296729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0B7814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AE8041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1F2E5F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E6DF4C0"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FB6027" w:rsidRPr="001C35AD" w14:paraId="768C2AE1"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631B779F" w14:textId="77777777" w:rsidR="00FB6027" w:rsidRPr="001C35AD" w:rsidRDefault="00245EB3" w:rsidP="009619EC">
            <w:pPr>
              <w:tabs>
                <w:tab w:val="left" w:pos="1530"/>
                <w:tab w:val="left" w:pos="4236"/>
              </w:tabs>
              <w:rPr>
                <w:color w:val="0000FF"/>
                <w:sz w:val="19"/>
                <w:szCs w:val="19"/>
              </w:rPr>
            </w:pPr>
            <w:hyperlink r:id="rId41" w:history="1">
              <w:r w:rsidR="00FB6027" w:rsidRPr="001C35AD">
                <w:rPr>
                  <w:rStyle w:val="Hyperlink"/>
                </w:rPr>
                <w:t>JIU/REP/2019/4</w:t>
              </w:r>
            </w:hyperlink>
          </w:p>
        </w:tc>
        <w:tc>
          <w:tcPr>
            <w:tcW w:w="261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2FC9035A" w14:textId="77777777" w:rsidR="00FB6027" w:rsidRPr="001C35AD" w:rsidRDefault="00245EB3" w:rsidP="009619EC">
            <w:pPr>
              <w:tabs>
                <w:tab w:val="left" w:pos="1530"/>
                <w:tab w:val="left" w:pos="4236"/>
              </w:tabs>
              <w:ind w:left="90"/>
              <w:rPr>
                <w:rFonts w:eastAsia="Arial Unicode MS"/>
                <w:color w:val="000000"/>
                <w:sz w:val="19"/>
                <w:szCs w:val="19"/>
                <w:lang w:val="en-GB"/>
              </w:rPr>
            </w:pPr>
            <w:hyperlink r:id="rId42" w:history="1">
              <w:r w:rsidR="00FB6027" w:rsidRPr="001C35AD">
                <w:rPr>
                  <w:rFonts w:eastAsia="Arial Unicode MS"/>
                  <w:sz w:val="19"/>
                  <w:szCs w:val="19"/>
                  <w:lang w:val="en-GB"/>
                </w:rPr>
                <w:t>Review of change management in United Nations system organizations</w:t>
              </w:r>
            </w:hyperlink>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4D925F73"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3648AC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32BEEFF"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039"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077C812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E73B12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760D66D"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90EED9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CBD731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AF57D99"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06DFFF4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5A50C5B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7BEF565"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D908B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582F68CF"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DD4A65E"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FF1D78"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31A5CB6"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5637CF8"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4BE218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D19971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59C6B6D5"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3760E2E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AEE2D8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E55A448"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r>
      <w:tr w:rsidR="00FB6027" w:rsidRPr="001C35AD" w14:paraId="3BBA65DC"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A55F9F0" w14:textId="77777777" w:rsidR="00FB6027" w:rsidRPr="001C35AD" w:rsidRDefault="00245EB3" w:rsidP="009619EC">
            <w:pPr>
              <w:tabs>
                <w:tab w:val="left" w:pos="1530"/>
                <w:tab w:val="left" w:pos="4236"/>
              </w:tabs>
              <w:rPr>
                <w:color w:val="0000FF"/>
                <w:sz w:val="19"/>
                <w:szCs w:val="19"/>
              </w:rPr>
            </w:pPr>
            <w:hyperlink r:id="rId43" w:history="1">
              <w:r w:rsidR="00FB6027" w:rsidRPr="001C35AD">
                <w:rPr>
                  <w:rStyle w:val="Hyperlink"/>
                </w:rPr>
                <w:t>JIU/REP/2019/5</w:t>
              </w:r>
            </w:hyperlink>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F62644C" w14:textId="77777777" w:rsidR="00FB6027" w:rsidRPr="001C35AD" w:rsidRDefault="00245EB3" w:rsidP="009619EC">
            <w:pPr>
              <w:tabs>
                <w:tab w:val="left" w:pos="1530"/>
                <w:tab w:val="left" w:pos="4236"/>
              </w:tabs>
              <w:ind w:left="90"/>
              <w:rPr>
                <w:rFonts w:eastAsia="Arial Unicode MS"/>
                <w:color w:val="000000"/>
                <w:sz w:val="19"/>
                <w:szCs w:val="19"/>
                <w:lang w:val="en-GB"/>
              </w:rPr>
            </w:pPr>
            <w:hyperlink r:id="rId44" w:history="1">
              <w:r w:rsidR="00FB6027" w:rsidRPr="001C35AD">
                <w:rPr>
                  <w:rFonts w:eastAsia="Arial Unicode MS"/>
                  <w:sz w:val="19"/>
                  <w:szCs w:val="19"/>
                  <w:lang w:val="en-GB"/>
                </w:rPr>
                <w:t>Managing cloud computing services in the United Nations system</w:t>
              </w:r>
            </w:hyperlink>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CAE980C"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0BAF12"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58480D8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5F3C7CB0"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E885B0F"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01A103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2EDBA12"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080A13"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07743F6"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A76EBAA"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F3BB48B"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408A25E4"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EDC7D2A"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FB6027" w:rsidRPr="001C35AD" w14:paraId="6BD9A271"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E28C33" w14:textId="77777777" w:rsidR="00FB6027" w:rsidRPr="001C35AD" w:rsidRDefault="00245EB3" w:rsidP="009619EC">
            <w:pPr>
              <w:tabs>
                <w:tab w:val="left" w:pos="1530"/>
                <w:tab w:val="left" w:pos="4236"/>
              </w:tabs>
            </w:pPr>
            <w:hyperlink r:id="rId45" w:history="1">
              <w:r w:rsidR="00FB6027" w:rsidRPr="001C35AD">
                <w:rPr>
                  <w:rStyle w:val="Hyperlink"/>
                </w:rPr>
                <w:t>JIU/REP/2019/6</w:t>
              </w:r>
            </w:hyperlink>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6297438" w14:textId="77777777" w:rsidR="00FB6027" w:rsidRPr="001C35AD" w:rsidRDefault="00245EB3" w:rsidP="009619EC">
            <w:pPr>
              <w:tabs>
                <w:tab w:val="left" w:pos="1530"/>
                <w:tab w:val="left" w:pos="4236"/>
              </w:tabs>
              <w:ind w:left="90"/>
              <w:rPr>
                <w:rFonts w:eastAsia="Arial Unicode MS"/>
                <w:sz w:val="19"/>
                <w:szCs w:val="19"/>
                <w:lang w:val="en-GB"/>
              </w:rPr>
            </w:pPr>
            <w:hyperlink r:id="rId46" w:history="1">
              <w:r w:rsidR="00FB6027" w:rsidRPr="001C35AD">
                <w:rPr>
                  <w:rFonts w:eastAsia="Arial Unicode MS"/>
                  <w:sz w:val="19"/>
                  <w:szCs w:val="19"/>
                  <w:lang w:val="en-GB"/>
                </w:rPr>
                <w:t>Review of audit and oversight committees in the United Nations system</w:t>
              </w:r>
            </w:hyperlink>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F5C4D35"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30A9AF5"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38E78564"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4F525BF"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BB5D0BF"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91630B7"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357A3BD"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315988"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444A860"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78FC28F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CBD6200"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08659004"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B52A03A"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r>
      <w:tr w:rsidR="00FB6027" w:rsidRPr="001C35AD" w14:paraId="5A314672"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1739ACEF" w14:textId="77777777" w:rsidR="00FB6027" w:rsidRPr="001C35AD" w:rsidRDefault="00245EB3" w:rsidP="009619EC">
            <w:pPr>
              <w:tabs>
                <w:tab w:val="left" w:pos="1530"/>
                <w:tab w:val="left" w:pos="4236"/>
              </w:tabs>
            </w:pPr>
            <w:hyperlink r:id="rId47" w:history="1">
              <w:r w:rsidR="00FB6027" w:rsidRPr="001C35AD">
                <w:rPr>
                  <w:rStyle w:val="Hyperlink"/>
                </w:rPr>
                <w:t>JIU/REP/2019/8</w:t>
              </w:r>
            </w:hyperlink>
          </w:p>
        </w:tc>
        <w:tc>
          <w:tcPr>
            <w:tcW w:w="261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1AAC053F" w14:textId="77777777" w:rsidR="00FB6027" w:rsidRPr="001C35AD" w:rsidRDefault="00245EB3" w:rsidP="009619EC">
            <w:pPr>
              <w:tabs>
                <w:tab w:val="left" w:pos="1530"/>
                <w:tab w:val="left" w:pos="4236"/>
              </w:tabs>
              <w:ind w:left="90"/>
              <w:rPr>
                <w:rFonts w:eastAsia="Arial Unicode MS"/>
                <w:sz w:val="19"/>
                <w:szCs w:val="19"/>
                <w:lang w:val="en-GB"/>
              </w:rPr>
            </w:pPr>
            <w:hyperlink r:id="rId48" w:history="1">
              <w:r w:rsidR="00FB6027" w:rsidRPr="001C35AD">
                <w:rPr>
                  <w:rFonts w:eastAsia="Arial Unicode MS"/>
                  <w:sz w:val="19"/>
                  <w:szCs w:val="19"/>
                  <w:lang w:val="en-GB"/>
                </w:rPr>
                <w:t>Review of staff exchange and similar inter-agency mobility measures in United Nations system organizations</w:t>
              </w:r>
            </w:hyperlink>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5452131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BB3EF1D"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1039"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70E9127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8770F11"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A89C7EE"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22C7DD9D"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688D95F1" w14:textId="77777777" w:rsidR="00FB6027" w:rsidRPr="001C35AD" w:rsidRDefault="00FB602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ABE2A73"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0C6F46D6" w14:textId="7BDB92F2" w:rsidR="00FB6027" w:rsidRPr="001C35AD" w:rsidRDefault="00EA58E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FD370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435566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D413444" w14:textId="5239FD86" w:rsidR="00FB6027" w:rsidRPr="001C35AD" w:rsidRDefault="00EA58E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7EF609"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6B18F3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4D0D414" w14:textId="13FC898C" w:rsidR="00FB6027" w:rsidRPr="001C35AD" w:rsidRDefault="00EA58E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A64D0A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78A5FBF2"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12BF6C3A" w14:textId="51DE4EC9" w:rsidR="00FB6027" w:rsidRPr="001C35AD" w:rsidRDefault="00EA58E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4A7A38B"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3E39E75C" w14:textId="77777777" w:rsidR="00FB6027" w:rsidRPr="001C35AD" w:rsidRDefault="00FB6027" w:rsidP="009619EC">
            <w:pPr>
              <w:tabs>
                <w:tab w:val="left" w:pos="1530"/>
                <w:tab w:val="left" w:pos="4236"/>
              </w:tabs>
              <w:jc w:val="center"/>
              <w:rPr>
                <w:rFonts w:eastAsia="Arial Unicode MS"/>
                <w:color w:val="000000"/>
                <w:sz w:val="19"/>
                <w:szCs w:val="19"/>
                <w:lang w:val="en-GB"/>
              </w:rPr>
            </w:pPr>
          </w:p>
          <w:p w14:paraId="4E6D826C" w14:textId="7A434BED" w:rsidR="00FB6027" w:rsidRPr="001C35AD" w:rsidRDefault="00EA58E7"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4</w:t>
            </w:r>
          </w:p>
        </w:tc>
      </w:tr>
      <w:tr w:rsidR="00712580" w:rsidRPr="001C35AD" w14:paraId="79D3E1EE"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6C9DEF2C" w14:textId="3D709603" w:rsidR="00712580" w:rsidRPr="001C35AD" w:rsidRDefault="00245EB3" w:rsidP="009619EC">
            <w:pPr>
              <w:tabs>
                <w:tab w:val="left" w:pos="1530"/>
                <w:tab w:val="left" w:pos="4236"/>
              </w:tabs>
            </w:pPr>
            <w:hyperlink r:id="rId49" w:history="1">
              <w:r w:rsidR="00712580" w:rsidRPr="001C35AD">
                <w:rPr>
                  <w:color w:val="0000FF"/>
                </w:rPr>
                <w:t>JIU/REP/2019/9</w:t>
              </w:r>
            </w:hyperlink>
          </w:p>
        </w:tc>
        <w:tc>
          <w:tcPr>
            <w:tcW w:w="261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01ED4EB8" w14:textId="6ACCAC79" w:rsidR="00712580" w:rsidRPr="001C35AD" w:rsidRDefault="00603DEB" w:rsidP="00FB4056">
            <w:pPr>
              <w:tabs>
                <w:tab w:val="left" w:pos="1530"/>
                <w:tab w:val="left" w:pos="4236"/>
              </w:tabs>
              <w:ind w:left="90"/>
              <w:rPr>
                <w:sz w:val="19"/>
                <w:szCs w:val="19"/>
              </w:rPr>
            </w:pPr>
            <w:r w:rsidRPr="001C35AD">
              <w:rPr>
                <w:sz w:val="19"/>
                <w:szCs w:val="19"/>
              </w:rPr>
              <w:t>Review of contemporary practices in the external outsourcing of services to commercial service providers by United Nations system organizations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0012F916" w14:textId="77777777" w:rsidR="00FB4056" w:rsidRPr="001C35AD" w:rsidRDefault="00FB4056" w:rsidP="009619EC">
            <w:pPr>
              <w:tabs>
                <w:tab w:val="left" w:pos="1530"/>
                <w:tab w:val="left" w:pos="4236"/>
              </w:tabs>
              <w:jc w:val="center"/>
              <w:rPr>
                <w:rFonts w:eastAsia="Arial Unicode MS"/>
                <w:color w:val="000000"/>
                <w:sz w:val="19"/>
                <w:szCs w:val="19"/>
                <w:lang w:val="en-GB"/>
              </w:rPr>
            </w:pPr>
          </w:p>
          <w:p w14:paraId="07F19355" w14:textId="39AB6A1F" w:rsidR="00712580" w:rsidRPr="001C35AD" w:rsidRDefault="00FB4056"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039"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DEA1EC7" w14:textId="77777777" w:rsidR="00FB4056" w:rsidRPr="001C35AD" w:rsidRDefault="00FB4056" w:rsidP="009619EC">
            <w:pPr>
              <w:tabs>
                <w:tab w:val="left" w:pos="1530"/>
                <w:tab w:val="left" w:pos="4236"/>
              </w:tabs>
              <w:jc w:val="center"/>
              <w:rPr>
                <w:rFonts w:eastAsia="Arial Unicode MS"/>
                <w:color w:val="000000"/>
                <w:sz w:val="19"/>
                <w:szCs w:val="19"/>
                <w:lang w:val="en-GB"/>
              </w:rPr>
            </w:pPr>
          </w:p>
          <w:p w14:paraId="59ADD6FB" w14:textId="48952CF2" w:rsidR="00712580" w:rsidRPr="001C35AD" w:rsidRDefault="00FB4056"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6</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2094A79"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354BDE72" w14:textId="36C4ED0A" w:rsidR="00FB4056" w:rsidRPr="001C35AD" w:rsidRDefault="00FB4056" w:rsidP="009619EC">
            <w:pPr>
              <w:tabs>
                <w:tab w:val="left" w:pos="1530"/>
                <w:tab w:val="left" w:pos="4236"/>
              </w:tabs>
              <w:jc w:val="center"/>
              <w:rPr>
                <w:rFonts w:eastAsia="Arial Unicode MS"/>
                <w:color w:val="000000"/>
                <w:sz w:val="19"/>
                <w:szCs w:val="19"/>
                <w:lang w:val="en-GB"/>
              </w:rPr>
            </w:pPr>
          </w:p>
          <w:p w14:paraId="3BC67C23" w14:textId="77777777" w:rsidR="00FB4056" w:rsidRPr="001C35AD" w:rsidRDefault="00FB4056" w:rsidP="009619EC">
            <w:pPr>
              <w:tabs>
                <w:tab w:val="left" w:pos="1530"/>
                <w:tab w:val="left" w:pos="4236"/>
              </w:tabs>
              <w:jc w:val="center"/>
              <w:rPr>
                <w:rFonts w:eastAsia="Arial Unicode MS"/>
                <w:color w:val="000000"/>
                <w:sz w:val="19"/>
                <w:szCs w:val="19"/>
                <w:lang w:val="en-GB"/>
              </w:rPr>
            </w:pPr>
          </w:p>
          <w:p w14:paraId="7D1D475E" w14:textId="62F91B04" w:rsidR="00FB4056" w:rsidRPr="001C35AD" w:rsidRDefault="00FB4056"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4C1EFA2B"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6747DD27" w14:textId="5B702494" w:rsidR="00C47770" w:rsidRPr="001C35AD" w:rsidRDefault="00C47770"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C71823"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5226C216"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34B71772"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4AFC12AF" w14:textId="6F0B2DC7" w:rsidR="00C47770" w:rsidRPr="001C35AD" w:rsidRDefault="00C47770"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7DA89B"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1D7EFB35"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2F0B1E38"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4365A488" w14:textId="5893175E" w:rsidR="00C47770" w:rsidRPr="001C35AD" w:rsidRDefault="00C47770"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41AED79"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3BF3E5F9"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6926666C"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2D65D0E5" w14:textId="0134246A" w:rsidR="00C47770" w:rsidRPr="001C35AD" w:rsidRDefault="00C47770"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FE65254" w14:textId="77777777" w:rsidR="00712580" w:rsidRPr="001C35AD" w:rsidRDefault="00712580" w:rsidP="009619EC">
            <w:pPr>
              <w:tabs>
                <w:tab w:val="left" w:pos="1530"/>
                <w:tab w:val="left" w:pos="4236"/>
              </w:tabs>
              <w:jc w:val="center"/>
              <w:rPr>
                <w:rFonts w:eastAsia="Arial Unicode MS"/>
                <w:color w:val="000000"/>
                <w:sz w:val="19"/>
                <w:szCs w:val="19"/>
                <w:lang w:val="en-GB"/>
              </w:rPr>
            </w:pPr>
          </w:p>
          <w:p w14:paraId="6291562D"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38D7AD82" w14:textId="77777777" w:rsidR="00C47770" w:rsidRPr="001C35AD" w:rsidRDefault="00C47770" w:rsidP="009619EC">
            <w:pPr>
              <w:tabs>
                <w:tab w:val="left" w:pos="1530"/>
                <w:tab w:val="left" w:pos="4236"/>
              </w:tabs>
              <w:jc w:val="center"/>
              <w:rPr>
                <w:rFonts w:eastAsia="Arial Unicode MS"/>
                <w:color w:val="000000"/>
                <w:sz w:val="19"/>
                <w:szCs w:val="19"/>
                <w:lang w:val="en-GB"/>
              </w:rPr>
            </w:pPr>
          </w:p>
          <w:p w14:paraId="360BB2B7" w14:textId="45283303" w:rsidR="00C47770" w:rsidRPr="001C35AD" w:rsidRDefault="00C47770" w:rsidP="009619EC">
            <w:pPr>
              <w:tabs>
                <w:tab w:val="left" w:pos="1530"/>
                <w:tab w:val="left" w:pos="4236"/>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FB6027" w:rsidRPr="001C35AD" w14:paraId="1B6F270D" w14:textId="77777777" w:rsidTr="009619EC">
        <w:trPr>
          <w:cantSplit/>
          <w:trHeight w:val="715"/>
        </w:trPr>
        <w:tc>
          <w:tcPr>
            <w:tcW w:w="152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F685BC1" w14:textId="77777777" w:rsidR="00FB6027" w:rsidRPr="001C35AD" w:rsidRDefault="00FB6027" w:rsidP="009619EC">
            <w:pPr>
              <w:tabs>
                <w:tab w:val="left" w:pos="1530"/>
                <w:tab w:val="left" w:pos="4236"/>
              </w:tabs>
              <w:rPr>
                <w:rFonts w:eastAsia="Arial Unicode MS"/>
                <w:b/>
                <w:bCs/>
                <w:color w:val="000000"/>
                <w:lang w:val="en-GB"/>
              </w:rPr>
            </w:pPr>
            <w:r w:rsidRPr="001C35AD">
              <w:rPr>
                <w:rFonts w:eastAsia="Arial Unicode MS"/>
                <w:b/>
                <w:bCs/>
                <w:color w:val="000000"/>
                <w:lang w:val="en-GB"/>
              </w:rPr>
              <w:t xml:space="preserve"> </w:t>
            </w:r>
          </w:p>
          <w:p w14:paraId="5194DADF" w14:textId="77777777" w:rsidR="00FB6027" w:rsidRPr="001C35AD" w:rsidRDefault="00FB6027" w:rsidP="009619EC">
            <w:pPr>
              <w:tabs>
                <w:tab w:val="left" w:pos="1530"/>
                <w:tab w:val="left" w:pos="4236"/>
              </w:tabs>
              <w:rPr>
                <w:rFonts w:eastAsia="Arial Unicode MS"/>
                <w:b/>
                <w:bCs/>
                <w:color w:val="000000"/>
                <w:lang w:val="en-GB"/>
              </w:rPr>
            </w:pPr>
            <w:r w:rsidRPr="001C35AD">
              <w:rPr>
                <w:rFonts w:eastAsia="Arial Unicode MS"/>
                <w:b/>
                <w:bCs/>
                <w:color w:val="000000"/>
                <w:lang w:val="en-GB"/>
              </w:rPr>
              <w:t xml:space="preserve"> Total</w:t>
            </w:r>
          </w:p>
        </w:tc>
        <w:tc>
          <w:tcPr>
            <w:tcW w:w="261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69D7C18" w14:textId="77777777" w:rsidR="00FB6027" w:rsidRPr="001C35AD" w:rsidRDefault="00FB6027" w:rsidP="009619EC">
            <w:pPr>
              <w:tabs>
                <w:tab w:val="left" w:pos="1530"/>
                <w:tab w:val="left" w:pos="4236"/>
              </w:tabs>
              <w:ind w:left="90"/>
              <w:rPr>
                <w:rFonts w:eastAsia="Arial Unicode MS"/>
                <w:b/>
                <w:bCs/>
                <w:color w:val="000000"/>
                <w:sz w:val="19"/>
                <w:szCs w:val="19"/>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AE91D0" w14:textId="382C90F4" w:rsidR="00FB6027" w:rsidRPr="001C35AD" w:rsidRDefault="00C47770"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43</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E1CC463" w14:textId="6E09282A" w:rsidR="00FB6027" w:rsidRPr="001C35AD" w:rsidRDefault="00FB60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3</w:t>
            </w:r>
            <w:r w:rsidR="00C47770" w:rsidRPr="001C35AD">
              <w:rPr>
                <w:rFonts w:eastAsia="Arial Unicode MS"/>
                <w:b/>
                <w:bCs/>
                <w:color w:val="000000"/>
                <w:sz w:val="19"/>
                <w:szCs w:val="19"/>
                <w:lang w:val="en-GB"/>
              </w:rPr>
              <w:t>7</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20A6CC21" w14:textId="77777777" w:rsidR="00FB6027" w:rsidRPr="001C35AD" w:rsidRDefault="00FB6027" w:rsidP="009619EC">
            <w:pPr>
              <w:tabs>
                <w:tab w:val="left" w:pos="1530"/>
                <w:tab w:val="left" w:pos="4236"/>
              </w:tabs>
              <w:jc w:val="center"/>
              <w:rPr>
                <w:rFonts w:eastAsia="Arial Unicode MS"/>
                <w:b/>
                <w:bCs/>
                <w:color w:val="000000"/>
                <w:sz w:val="19"/>
                <w:szCs w:val="19"/>
                <w:lang w:val="en-GB"/>
              </w:rPr>
            </w:pPr>
          </w:p>
          <w:p w14:paraId="39F1D060" w14:textId="0E966922" w:rsidR="00FB6027" w:rsidRPr="001C35AD" w:rsidRDefault="00FB60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1</w:t>
            </w:r>
            <w:r w:rsidR="00C47770" w:rsidRPr="001C35AD">
              <w:rPr>
                <w:rFonts w:eastAsia="Arial Unicode MS"/>
                <w:b/>
                <w:bCs/>
                <w:color w:val="000000"/>
                <w:sz w:val="19"/>
                <w:szCs w:val="19"/>
                <w:lang w:val="en-GB"/>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CD3CA2B" w14:textId="49588129" w:rsidR="00FB6027" w:rsidRPr="001C35AD" w:rsidRDefault="008A7B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20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3FF9E8D" w14:textId="77777777" w:rsidR="00FB6027" w:rsidRPr="001C35AD" w:rsidRDefault="00FB6027" w:rsidP="009619EC">
            <w:pPr>
              <w:tabs>
                <w:tab w:val="left" w:pos="1530"/>
                <w:tab w:val="left" w:pos="4236"/>
              </w:tabs>
              <w:jc w:val="center"/>
              <w:rPr>
                <w:rFonts w:eastAsia="Arial Unicode MS"/>
                <w:b/>
                <w:bCs/>
                <w:color w:val="000000"/>
                <w:sz w:val="19"/>
                <w:szCs w:val="19"/>
                <w:lang w:val="en-GB"/>
              </w:rPr>
            </w:pPr>
          </w:p>
          <w:p w14:paraId="70725346" w14:textId="7097404B" w:rsidR="00FB6027" w:rsidRPr="001C35AD" w:rsidRDefault="008A7B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F18C47" w14:textId="77777777" w:rsidR="00FB6027" w:rsidRPr="001C35AD" w:rsidRDefault="00FB6027" w:rsidP="009619EC">
            <w:pPr>
              <w:tabs>
                <w:tab w:val="left" w:pos="1530"/>
                <w:tab w:val="left" w:pos="4236"/>
              </w:tabs>
              <w:jc w:val="center"/>
              <w:rPr>
                <w:rFonts w:eastAsia="Arial Unicode MS"/>
                <w:b/>
                <w:bCs/>
                <w:color w:val="000000"/>
                <w:sz w:val="19"/>
                <w:szCs w:val="19"/>
                <w:lang w:val="en-GB"/>
              </w:rPr>
            </w:pPr>
          </w:p>
          <w:p w14:paraId="099F76B5" w14:textId="59E21A38" w:rsidR="00FB6027" w:rsidRPr="001C35AD" w:rsidRDefault="008A7B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599BB6B" w14:textId="77777777" w:rsidR="00FB6027" w:rsidRPr="001C35AD" w:rsidRDefault="00FB6027" w:rsidP="009619EC">
            <w:pPr>
              <w:tabs>
                <w:tab w:val="left" w:pos="1530"/>
                <w:tab w:val="left" w:pos="4236"/>
              </w:tabs>
              <w:jc w:val="center"/>
              <w:rPr>
                <w:rFonts w:eastAsia="Arial Unicode MS"/>
                <w:b/>
                <w:bCs/>
                <w:color w:val="000000"/>
                <w:sz w:val="19"/>
                <w:szCs w:val="19"/>
                <w:lang w:val="en-GB"/>
              </w:rPr>
            </w:pPr>
          </w:p>
          <w:p w14:paraId="35B7E485" w14:textId="7DAF58A4" w:rsidR="00FB6027" w:rsidRPr="001C35AD" w:rsidRDefault="008A7B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4</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6AC68453" w14:textId="77777777" w:rsidR="00FB6027" w:rsidRPr="001C35AD" w:rsidRDefault="00FB6027" w:rsidP="009619EC">
            <w:pPr>
              <w:tabs>
                <w:tab w:val="left" w:pos="1530"/>
                <w:tab w:val="left" w:pos="4236"/>
              </w:tabs>
              <w:jc w:val="center"/>
              <w:rPr>
                <w:rFonts w:eastAsia="Arial Unicode MS"/>
                <w:b/>
                <w:bCs/>
                <w:color w:val="000000"/>
                <w:sz w:val="19"/>
                <w:szCs w:val="19"/>
                <w:lang w:val="en-GB"/>
              </w:rPr>
            </w:pPr>
          </w:p>
          <w:p w14:paraId="5CCF6554" w14:textId="558991F0" w:rsidR="00FB6027" w:rsidRPr="001C35AD" w:rsidRDefault="00FB6027" w:rsidP="009619EC">
            <w:pPr>
              <w:tabs>
                <w:tab w:val="left" w:pos="1530"/>
                <w:tab w:val="left" w:pos="4236"/>
              </w:tabs>
              <w:jc w:val="center"/>
              <w:rPr>
                <w:rFonts w:eastAsia="Arial Unicode MS"/>
                <w:b/>
                <w:bCs/>
                <w:color w:val="000000"/>
                <w:sz w:val="19"/>
                <w:szCs w:val="19"/>
                <w:lang w:val="en-GB"/>
              </w:rPr>
            </w:pPr>
            <w:r w:rsidRPr="001C35AD">
              <w:rPr>
                <w:rFonts w:eastAsia="Arial Unicode MS"/>
                <w:b/>
                <w:bCs/>
                <w:color w:val="000000"/>
                <w:sz w:val="19"/>
                <w:szCs w:val="19"/>
                <w:lang w:val="en-GB"/>
              </w:rPr>
              <w:t>1</w:t>
            </w:r>
            <w:r w:rsidR="008A7B27" w:rsidRPr="001C35AD">
              <w:rPr>
                <w:rFonts w:eastAsia="Arial Unicode MS"/>
                <w:b/>
                <w:bCs/>
                <w:color w:val="000000"/>
                <w:sz w:val="19"/>
                <w:szCs w:val="19"/>
                <w:lang w:val="en-GB"/>
              </w:rPr>
              <w:t>2</w:t>
            </w:r>
          </w:p>
        </w:tc>
      </w:tr>
    </w:tbl>
    <w:p w14:paraId="1239E7E8" w14:textId="77777777" w:rsidR="00FB6027" w:rsidRPr="001C35AD" w:rsidRDefault="00FB6027" w:rsidP="00FB6027"/>
    <w:tbl>
      <w:tblPr>
        <w:tblpPr w:leftFromText="180" w:rightFromText="180" w:vertAnchor="text" w:tblpX="-650" w:tblpY="1"/>
        <w:tblOverlap w:val="neve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755"/>
      </w:tblGrid>
      <w:tr w:rsidR="00FB6027" w:rsidRPr="001C35AD" w14:paraId="5CC6BEEA" w14:textId="77777777" w:rsidTr="009619EC">
        <w:trPr>
          <w:cantSplit/>
          <w:trHeight w:val="17"/>
        </w:trPr>
        <w:tc>
          <w:tcPr>
            <w:tcW w:w="1475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51A170A" w14:textId="77777777" w:rsidR="00FB6027" w:rsidRPr="001C35AD" w:rsidRDefault="00FB6027" w:rsidP="009619EC">
            <w:pPr>
              <w:keepNext/>
              <w:keepLines/>
              <w:tabs>
                <w:tab w:val="left" w:pos="1080"/>
                <w:tab w:val="left" w:pos="1530"/>
                <w:tab w:val="left" w:pos="4236"/>
                <w:tab w:val="right" w:pos="8920"/>
              </w:tabs>
              <w:spacing w:line="240" w:lineRule="auto"/>
              <w:ind w:left="94"/>
              <w:jc w:val="both"/>
              <w:outlineLvl w:val="0"/>
              <w:rPr>
                <w:rFonts w:eastAsia="Arial Unicode MS"/>
                <w:b/>
                <w:color w:val="000000"/>
                <w:lang w:val="en-GB"/>
              </w:rPr>
            </w:pPr>
            <w:r w:rsidRPr="001C35AD">
              <w:rPr>
                <w:rFonts w:eastAsia="Arial Unicode MS"/>
                <w:b/>
                <w:color w:val="000000"/>
                <w:lang w:val="en-GB"/>
              </w:rPr>
              <w:t>Reports of the Joint Inspection Unit issued in 2019 not relevant to UNDP</w:t>
            </w:r>
          </w:p>
          <w:p w14:paraId="24F28738" w14:textId="77777777" w:rsidR="00FB6027" w:rsidRPr="001C35AD" w:rsidRDefault="00245EB3" w:rsidP="009619EC">
            <w:pPr>
              <w:keepNext/>
              <w:keepLines/>
              <w:tabs>
                <w:tab w:val="left" w:pos="1080"/>
                <w:tab w:val="left" w:pos="1530"/>
                <w:tab w:val="left" w:pos="4236"/>
                <w:tab w:val="right" w:pos="8920"/>
              </w:tabs>
              <w:spacing w:line="240" w:lineRule="auto"/>
              <w:ind w:left="94" w:right="180"/>
              <w:jc w:val="both"/>
              <w:outlineLvl w:val="0"/>
            </w:pPr>
            <w:hyperlink r:id="rId50" w:history="1">
              <w:r w:rsidR="00FB6027" w:rsidRPr="001C35AD">
                <w:rPr>
                  <w:rStyle w:val="Hyperlink"/>
                </w:rPr>
                <w:t>JIU/REP/2019/1</w:t>
              </w:r>
            </w:hyperlink>
            <w:r w:rsidR="00FB6027" w:rsidRPr="001C35AD">
              <w:rPr>
                <w:rFonts w:eastAsia="Arial Unicode MS"/>
                <w:color w:val="000000"/>
                <w:lang w:val="en-GB"/>
              </w:rPr>
              <w:t xml:space="preserve">: </w:t>
            </w:r>
            <w:hyperlink r:id="rId51" w:history="1">
              <w:r w:rsidR="00FB6027" w:rsidRPr="001C35AD">
                <w:rPr>
                  <w:rFonts w:eastAsia="Arial Unicode MS"/>
                  <w:lang w:val="en-GB"/>
                </w:rPr>
                <w:t>Review of management and administration in the International Civil Aviation Organization (ICAO)</w:t>
              </w:r>
            </w:hyperlink>
          </w:p>
          <w:p w14:paraId="073A25BF" w14:textId="77777777" w:rsidR="00FB6027" w:rsidRPr="001C35AD" w:rsidRDefault="00245EB3" w:rsidP="009619EC">
            <w:pPr>
              <w:keepNext/>
              <w:keepLines/>
              <w:tabs>
                <w:tab w:val="left" w:pos="1080"/>
                <w:tab w:val="left" w:pos="1530"/>
                <w:tab w:val="left" w:pos="4236"/>
                <w:tab w:val="right" w:pos="8920"/>
              </w:tabs>
              <w:spacing w:line="240" w:lineRule="auto"/>
              <w:ind w:left="94" w:right="180"/>
              <w:jc w:val="both"/>
              <w:outlineLvl w:val="0"/>
              <w:rPr>
                <w:rFonts w:eastAsia="Arial Unicode MS"/>
                <w:color w:val="000000"/>
                <w:lang w:val="en-GB"/>
              </w:rPr>
            </w:pPr>
            <w:hyperlink r:id="rId52" w:history="1">
              <w:r w:rsidR="00FB6027" w:rsidRPr="001C35AD">
                <w:rPr>
                  <w:rStyle w:val="Hyperlink"/>
                </w:rPr>
                <w:t>JIU/REP/2019/7</w:t>
              </w:r>
            </w:hyperlink>
            <w:r w:rsidR="00FB6027" w:rsidRPr="001C35AD">
              <w:rPr>
                <w:rFonts w:eastAsia="Arial Unicode MS"/>
                <w:color w:val="000000"/>
                <w:lang w:val="en-GB"/>
              </w:rPr>
              <w:t xml:space="preserve">: </w:t>
            </w:r>
            <w:hyperlink r:id="rId53" w:history="1">
              <w:r w:rsidR="00FB6027" w:rsidRPr="001C35AD">
                <w:rPr>
                  <w:rFonts w:eastAsia="Arial Unicode MS"/>
                  <w:lang w:val="en-GB"/>
                </w:rPr>
                <w:t>Review of the management and administration of the Joint United Nations Programme on HIV/AIDS (UNAIDS)</w:t>
              </w:r>
            </w:hyperlink>
          </w:p>
        </w:tc>
      </w:tr>
    </w:tbl>
    <w:p w14:paraId="376B15E7" w14:textId="17707130" w:rsidR="007E735F" w:rsidRDefault="007E735F" w:rsidP="0049014A">
      <w:pPr>
        <w:suppressAutoHyphens w:val="0"/>
        <w:spacing w:after="100" w:afterAutospacing="1" w:line="240" w:lineRule="auto"/>
        <w:rPr>
          <w:rFonts w:eastAsia="Arial Unicode MS"/>
          <w:b/>
          <w:color w:val="000000"/>
          <w:sz w:val="28"/>
          <w:lang w:val="en-GB"/>
        </w:rPr>
      </w:pPr>
    </w:p>
    <w:p w14:paraId="4FB2F236" w14:textId="77777777" w:rsidR="007E735F" w:rsidRDefault="007E735F">
      <w:pPr>
        <w:suppressAutoHyphens w:val="0"/>
        <w:spacing w:line="240" w:lineRule="auto"/>
        <w:rPr>
          <w:rFonts w:eastAsia="Arial Unicode MS"/>
          <w:b/>
          <w:color w:val="000000"/>
          <w:sz w:val="28"/>
          <w:lang w:val="en-GB"/>
        </w:rPr>
      </w:pPr>
      <w:r>
        <w:rPr>
          <w:rFonts w:eastAsia="Arial Unicode MS"/>
          <w:b/>
          <w:color w:val="000000"/>
          <w:sz w:val="28"/>
          <w:lang w:val="en-GB"/>
        </w:rPr>
        <w:br w:type="page"/>
      </w:r>
    </w:p>
    <w:p w14:paraId="54E39D2A" w14:textId="77777777" w:rsidR="00FB6027" w:rsidRPr="001C35AD" w:rsidRDefault="00FB6027" w:rsidP="00FB6027">
      <w:pPr>
        <w:suppressAutoHyphens w:val="0"/>
        <w:spacing w:line="240" w:lineRule="auto"/>
        <w:rPr>
          <w:rFonts w:eastAsia="Arial Unicode MS"/>
          <w:b/>
          <w:color w:val="000000"/>
          <w:sz w:val="28"/>
          <w:lang w:val="en-GB"/>
        </w:rPr>
      </w:pPr>
      <w:r w:rsidRPr="001C35AD">
        <w:rPr>
          <w:rFonts w:eastAsia="Arial Unicode MS"/>
          <w:b/>
          <w:color w:val="000000"/>
          <w:sz w:val="28"/>
          <w:lang w:val="en-GB"/>
        </w:rPr>
        <w:lastRenderedPageBreak/>
        <w:t>Annex IV</w:t>
      </w:r>
    </w:p>
    <w:p w14:paraId="2973C413" w14:textId="69CFB098" w:rsidR="007D03CD" w:rsidRPr="001C35AD" w:rsidRDefault="007D03CD" w:rsidP="0049014A">
      <w:pPr>
        <w:suppressAutoHyphens w:val="0"/>
        <w:spacing w:after="100" w:afterAutospacing="1" w:line="240" w:lineRule="auto"/>
        <w:rPr>
          <w:rFonts w:eastAsia="Arial Unicode MS"/>
          <w:b/>
          <w:color w:val="000000"/>
          <w:sz w:val="28"/>
          <w:lang w:val="en-GB"/>
        </w:rPr>
      </w:pPr>
      <w:r w:rsidRPr="001C35AD">
        <w:rPr>
          <w:rFonts w:eastAsia="Arial Unicode MS"/>
          <w:b/>
          <w:color w:val="000000"/>
          <w:sz w:val="28"/>
          <w:lang w:val="en-GB"/>
        </w:rPr>
        <w:t>Status of implementation of relevant Joint Inspection Unit recommendations issued in 201</w:t>
      </w:r>
      <w:r w:rsidR="00690C60" w:rsidRPr="001C35AD">
        <w:rPr>
          <w:rFonts w:eastAsia="Arial Unicode MS"/>
          <w:b/>
          <w:color w:val="000000"/>
          <w:sz w:val="28"/>
          <w:lang w:val="en-GB"/>
        </w:rPr>
        <w:t>8</w:t>
      </w:r>
      <w:r w:rsidRPr="001C35AD">
        <w:rPr>
          <w:rFonts w:eastAsia="Arial Unicode MS"/>
          <w:b/>
          <w:color w:val="000000"/>
          <w:sz w:val="28"/>
          <w:lang w:val="en-GB"/>
        </w:rPr>
        <w:t>, as at 2</w:t>
      </w:r>
      <w:r w:rsidR="00FB6027" w:rsidRPr="001C35AD">
        <w:rPr>
          <w:rFonts w:eastAsia="Arial Unicode MS"/>
          <w:b/>
          <w:color w:val="000000"/>
          <w:sz w:val="28"/>
          <w:lang w:val="en-GB"/>
        </w:rPr>
        <w:t>8</w:t>
      </w:r>
      <w:r w:rsidRPr="001C35AD">
        <w:rPr>
          <w:rFonts w:eastAsia="Arial Unicode MS"/>
          <w:b/>
          <w:color w:val="000000"/>
          <w:sz w:val="28"/>
          <w:lang w:val="en-GB"/>
        </w:rPr>
        <w:t xml:space="preserve"> February 20</w:t>
      </w:r>
      <w:r w:rsidR="00690C60" w:rsidRPr="001C35AD">
        <w:rPr>
          <w:rFonts w:eastAsia="Arial Unicode MS"/>
          <w:b/>
          <w:color w:val="000000"/>
          <w:sz w:val="28"/>
          <w:lang w:val="en-GB"/>
        </w:rPr>
        <w:t>2</w:t>
      </w:r>
      <w:r w:rsidR="00FB6027" w:rsidRPr="001C35AD">
        <w:rPr>
          <w:rFonts w:eastAsia="Arial Unicode MS"/>
          <w:b/>
          <w:color w:val="000000"/>
          <w:sz w:val="28"/>
          <w:lang w:val="en-GB"/>
        </w:rPr>
        <w:t>1</w:t>
      </w:r>
      <w:r w:rsidR="00330F73" w:rsidRPr="001C35AD">
        <w:rPr>
          <w:rStyle w:val="FootnoteReference"/>
          <w:rFonts w:eastAsia="Arial Unicode MS"/>
          <w:b/>
          <w:color w:val="000000"/>
          <w:sz w:val="28"/>
          <w:lang w:val="en-GB"/>
        </w:rPr>
        <w:footnoteReference w:id="3"/>
      </w:r>
    </w:p>
    <w:tbl>
      <w:tblPr>
        <w:tblpPr w:leftFromText="180" w:rightFromText="180" w:vertAnchor="text" w:tblpX="-665" w:tblpY="1"/>
        <w:tblOverlap w:val="neve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5"/>
        <w:gridCol w:w="3150"/>
        <w:gridCol w:w="1620"/>
        <w:gridCol w:w="900"/>
        <w:gridCol w:w="1800"/>
        <w:gridCol w:w="1293"/>
        <w:gridCol w:w="1047"/>
        <w:gridCol w:w="1440"/>
        <w:gridCol w:w="990"/>
        <w:gridCol w:w="1080"/>
      </w:tblGrid>
      <w:tr w:rsidR="00002BDD" w:rsidRPr="001C35AD" w14:paraId="3B04A8D4" w14:textId="77777777" w:rsidTr="000C127E">
        <w:trPr>
          <w:cantSplit/>
          <w:trHeight w:val="455"/>
        </w:trPr>
        <w:tc>
          <w:tcPr>
            <w:tcW w:w="1525"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67470339"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Document </w:t>
            </w:r>
          </w:p>
          <w:p w14:paraId="2A53A19C"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symbol</w:t>
            </w:r>
          </w:p>
        </w:tc>
        <w:tc>
          <w:tcPr>
            <w:tcW w:w="3150"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656BB9D5"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 xml:space="preserve">Title </w:t>
            </w:r>
          </w:p>
        </w:tc>
        <w:tc>
          <w:tcPr>
            <w:tcW w:w="1620"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70C50A40"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Total recommendations</w:t>
            </w:r>
          </w:p>
        </w:tc>
        <w:tc>
          <w:tcPr>
            <w:tcW w:w="900" w:type="dxa"/>
            <w:vMerge w:val="restart"/>
            <w:tcBorders>
              <w:top w:val="single" w:sz="4" w:space="0" w:color="auto"/>
              <w:left w:val="single" w:sz="4" w:space="0" w:color="auto"/>
              <w:right w:val="single" w:sz="4" w:space="0" w:color="auto"/>
            </w:tcBorders>
            <w:shd w:val="clear" w:color="auto" w:fill="D9D9D9"/>
            <w:tcMar>
              <w:top w:w="80" w:type="dxa"/>
              <w:left w:w="0" w:type="dxa"/>
              <w:bottom w:w="80" w:type="dxa"/>
              <w:right w:w="0" w:type="dxa"/>
            </w:tcMar>
            <w:hideMark/>
          </w:tcPr>
          <w:p w14:paraId="52272C57"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r w:rsidRPr="001C35AD">
              <w:rPr>
                <w:rFonts w:eastAsia="Arial Unicode MS"/>
                <w:b/>
                <w:color w:val="000000"/>
                <w:sz w:val="19"/>
                <w:szCs w:val="19"/>
                <w:lang w:val="en-GB"/>
              </w:rPr>
              <w:t>Directed at UNDP</w:t>
            </w:r>
          </w:p>
        </w:tc>
        <w:tc>
          <w:tcPr>
            <w:tcW w:w="1800" w:type="dxa"/>
            <w:vMerge w:val="restart"/>
            <w:tcBorders>
              <w:top w:val="single" w:sz="4" w:space="0" w:color="auto"/>
              <w:left w:val="single" w:sz="4" w:space="0" w:color="auto"/>
              <w:right w:val="single" w:sz="4" w:space="0" w:color="auto"/>
            </w:tcBorders>
            <w:shd w:val="clear" w:color="auto" w:fill="D9D9D9"/>
          </w:tcPr>
          <w:p w14:paraId="43DCDF72" w14:textId="77777777" w:rsidR="00690C60" w:rsidRPr="001C35AD" w:rsidRDefault="00690C60" w:rsidP="00FB6027">
            <w:pPr>
              <w:tabs>
                <w:tab w:val="left" w:pos="1530"/>
              </w:tabs>
              <w:jc w:val="center"/>
              <w:outlineLvl w:val="0"/>
              <w:rPr>
                <w:rFonts w:eastAsia="Arial Unicode MS"/>
                <w:b/>
                <w:color w:val="000000"/>
                <w:spacing w:val="0"/>
                <w:w w:val="100"/>
                <w:lang w:val="en-GB" w:eastAsia="ja-JP"/>
              </w:rPr>
            </w:pPr>
            <w:r w:rsidRPr="001C35AD">
              <w:rPr>
                <w:rFonts w:eastAsia="Arial Unicode MS"/>
                <w:b/>
                <w:color w:val="000000"/>
                <w:spacing w:val="0"/>
                <w:w w:val="100"/>
                <w:lang w:val="en-GB" w:eastAsia="ja-JP"/>
              </w:rPr>
              <w:t>Of which recommendations</w:t>
            </w:r>
          </w:p>
          <w:p w14:paraId="0B74EA17" w14:textId="77777777" w:rsidR="00690C60" w:rsidRPr="001C35AD" w:rsidRDefault="00690C60" w:rsidP="00FB6027">
            <w:pPr>
              <w:tabs>
                <w:tab w:val="left" w:pos="1530"/>
              </w:tabs>
              <w:jc w:val="center"/>
              <w:rPr>
                <w:b/>
                <w:bCs/>
                <w:sz w:val="19"/>
                <w:szCs w:val="19"/>
                <w:lang w:val="en-GB"/>
              </w:rPr>
            </w:pPr>
            <w:r w:rsidRPr="001C35AD">
              <w:rPr>
                <w:rFonts w:eastAsia="Arial Unicode MS"/>
                <w:b/>
                <w:color w:val="000000"/>
                <w:spacing w:val="0"/>
                <w:w w:val="100"/>
                <w:lang w:val="en-GB" w:eastAsia="ja-JP"/>
              </w:rPr>
              <w:t>directed to the Executive Board</w:t>
            </w:r>
          </w:p>
        </w:tc>
        <w:tc>
          <w:tcPr>
            <w:tcW w:w="5850" w:type="dxa"/>
            <w:gridSpan w:val="5"/>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hideMark/>
          </w:tcPr>
          <w:p w14:paraId="1F452762" w14:textId="77777777" w:rsidR="00690C60" w:rsidRPr="001C35AD" w:rsidRDefault="00690C60" w:rsidP="00FB6027">
            <w:pPr>
              <w:tabs>
                <w:tab w:val="left" w:pos="1530"/>
              </w:tabs>
              <w:jc w:val="center"/>
              <w:rPr>
                <w:b/>
                <w:bCs/>
                <w:sz w:val="19"/>
                <w:szCs w:val="19"/>
                <w:lang w:val="en-GB"/>
              </w:rPr>
            </w:pPr>
            <w:r w:rsidRPr="001C35AD">
              <w:rPr>
                <w:b/>
                <w:bCs/>
                <w:sz w:val="19"/>
                <w:szCs w:val="19"/>
                <w:lang w:val="en-GB"/>
              </w:rPr>
              <w:t>Implementation status of recommendations directed to UNDP</w:t>
            </w:r>
          </w:p>
        </w:tc>
      </w:tr>
      <w:tr w:rsidR="00002BDD" w:rsidRPr="001C35AD" w14:paraId="3D724CA3" w14:textId="77777777" w:rsidTr="000C127E">
        <w:trPr>
          <w:cantSplit/>
          <w:trHeight w:val="455"/>
        </w:trPr>
        <w:tc>
          <w:tcPr>
            <w:tcW w:w="1525"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3CCD98C5"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315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366A898B"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162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302B7A61"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90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0F02AFC3"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1800" w:type="dxa"/>
            <w:vMerge/>
            <w:tcBorders>
              <w:left w:val="single" w:sz="4" w:space="0" w:color="auto"/>
              <w:right w:val="single" w:sz="4" w:space="0" w:color="auto"/>
            </w:tcBorders>
            <w:shd w:val="clear" w:color="auto" w:fill="D9D9D9"/>
          </w:tcPr>
          <w:p w14:paraId="751D7B1E" w14:textId="77777777" w:rsidR="00690C60" w:rsidRPr="001C35AD" w:rsidRDefault="00690C60" w:rsidP="00FB6027">
            <w:pPr>
              <w:tabs>
                <w:tab w:val="left" w:pos="1530"/>
              </w:tabs>
              <w:jc w:val="center"/>
              <w:rPr>
                <w:b/>
                <w:bCs/>
                <w:sz w:val="19"/>
                <w:szCs w:val="19"/>
                <w:lang w:val="en-GB"/>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07091F58" w14:textId="77777777" w:rsidR="00690C60" w:rsidRPr="001C35AD" w:rsidRDefault="00690C60" w:rsidP="00FB6027">
            <w:pPr>
              <w:tabs>
                <w:tab w:val="left" w:pos="1530"/>
              </w:tabs>
              <w:jc w:val="center"/>
              <w:rPr>
                <w:b/>
                <w:bCs/>
                <w:sz w:val="19"/>
                <w:szCs w:val="19"/>
                <w:lang w:val="en-GB"/>
              </w:rPr>
            </w:pPr>
            <w:r w:rsidRPr="001C35AD">
              <w:rPr>
                <w:b/>
                <w:bCs/>
                <w:sz w:val="19"/>
                <w:szCs w:val="19"/>
                <w:lang w:val="en-GB"/>
              </w:rPr>
              <w:t>Accepted</w:t>
            </w:r>
          </w:p>
        </w:tc>
        <w:tc>
          <w:tcPr>
            <w:tcW w:w="1440" w:type="dxa"/>
            <w:tcBorders>
              <w:top w:val="single" w:sz="4" w:space="0" w:color="auto"/>
              <w:left w:val="single" w:sz="4" w:space="0" w:color="auto"/>
              <w:right w:val="single" w:sz="4" w:space="0" w:color="auto"/>
            </w:tcBorders>
            <w:shd w:val="clear" w:color="auto" w:fill="D9D9D9"/>
          </w:tcPr>
          <w:p w14:paraId="040426C0" w14:textId="77777777" w:rsidR="00690C60" w:rsidRPr="001C35AD" w:rsidRDefault="00690C60" w:rsidP="00FB6027">
            <w:pPr>
              <w:tabs>
                <w:tab w:val="left" w:pos="1530"/>
              </w:tabs>
              <w:jc w:val="center"/>
              <w:rPr>
                <w:b/>
                <w:bCs/>
                <w:sz w:val="19"/>
                <w:szCs w:val="19"/>
                <w:lang w:val="en-GB"/>
              </w:rPr>
            </w:pPr>
            <w:r w:rsidRPr="001C35AD">
              <w:rPr>
                <w:b/>
                <w:bCs/>
                <w:sz w:val="19"/>
                <w:szCs w:val="19"/>
                <w:lang w:val="en-GB"/>
              </w:rPr>
              <w:t>Under consideration</w:t>
            </w:r>
          </w:p>
        </w:tc>
        <w:tc>
          <w:tcPr>
            <w:tcW w:w="990" w:type="dxa"/>
            <w:tcBorders>
              <w:top w:val="single" w:sz="4" w:space="0" w:color="auto"/>
              <w:left w:val="single" w:sz="4" w:space="0" w:color="auto"/>
              <w:right w:val="single" w:sz="4" w:space="0" w:color="auto"/>
            </w:tcBorders>
            <w:shd w:val="clear" w:color="auto" w:fill="D9D9D9"/>
          </w:tcPr>
          <w:p w14:paraId="2E4F3492" w14:textId="77777777" w:rsidR="00690C60" w:rsidRPr="001C35AD" w:rsidRDefault="00690C60" w:rsidP="00FB6027">
            <w:pPr>
              <w:tabs>
                <w:tab w:val="left" w:pos="1530"/>
              </w:tabs>
              <w:jc w:val="center"/>
              <w:rPr>
                <w:b/>
                <w:bCs/>
                <w:sz w:val="19"/>
                <w:szCs w:val="19"/>
                <w:lang w:val="en-GB"/>
              </w:rPr>
            </w:pPr>
            <w:r w:rsidRPr="001C35AD">
              <w:rPr>
                <w:b/>
                <w:bCs/>
                <w:sz w:val="19"/>
                <w:szCs w:val="19"/>
                <w:lang w:val="en-GB"/>
              </w:rPr>
              <w:t>Not accepted</w:t>
            </w:r>
          </w:p>
        </w:tc>
        <w:tc>
          <w:tcPr>
            <w:tcW w:w="1080" w:type="dxa"/>
            <w:tcBorders>
              <w:top w:val="single" w:sz="4" w:space="0" w:color="auto"/>
              <w:left w:val="single" w:sz="4" w:space="0" w:color="auto"/>
              <w:right w:val="single" w:sz="4" w:space="0" w:color="auto"/>
            </w:tcBorders>
            <w:shd w:val="clear" w:color="auto" w:fill="D9D9D9"/>
          </w:tcPr>
          <w:p w14:paraId="2FA08DF2" w14:textId="77777777" w:rsidR="00690C60" w:rsidRPr="001C35AD" w:rsidRDefault="00690C60" w:rsidP="00FB6027">
            <w:pPr>
              <w:tabs>
                <w:tab w:val="left" w:pos="1530"/>
              </w:tabs>
              <w:ind w:right="83"/>
              <w:jc w:val="center"/>
              <w:rPr>
                <w:b/>
                <w:bCs/>
                <w:sz w:val="19"/>
                <w:szCs w:val="19"/>
                <w:lang w:val="en-GB"/>
              </w:rPr>
            </w:pPr>
            <w:r w:rsidRPr="001C35AD">
              <w:rPr>
                <w:b/>
                <w:bCs/>
                <w:sz w:val="19"/>
                <w:szCs w:val="19"/>
                <w:lang w:val="en-GB"/>
              </w:rPr>
              <w:t>Not relevant</w:t>
            </w:r>
          </w:p>
        </w:tc>
      </w:tr>
      <w:tr w:rsidR="00002BDD" w:rsidRPr="001C35AD" w14:paraId="72203B00" w14:textId="77777777" w:rsidTr="000C127E">
        <w:trPr>
          <w:cantSplit/>
          <w:trHeight w:val="168"/>
        </w:trPr>
        <w:tc>
          <w:tcPr>
            <w:tcW w:w="1525"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64F2ED3E"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315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5684502B"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162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2D0469FF"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900" w:type="dxa"/>
            <w:vMerge/>
            <w:tcBorders>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1D633674" w14:textId="77777777" w:rsidR="00690C60" w:rsidRPr="001C35AD" w:rsidRDefault="00690C60" w:rsidP="00FB6027">
            <w:pPr>
              <w:tabs>
                <w:tab w:val="left" w:pos="1530"/>
                <w:tab w:val="right" w:pos="8920"/>
              </w:tabs>
              <w:jc w:val="center"/>
              <w:outlineLvl w:val="0"/>
              <w:rPr>
                <w:rFonts w:eastAsia="Arial Unicode MS"/>
                <w:b/>
                <w:color w:val="000000"/>
                <w:sz w:val="19"/>
                <w:szCs w:val="19"/>
                <w:lang w:val="en-GB"/>
              </w:rPr>
            </w:pPr>
          </w:p>
        </w:tc>
        <w:tc>
          <w:tcPr>
            <w:tcW w:w="1800" w:type="dxa"/>
            <w:vMerge/>
            <w:tcBorders>
              <w:left w:val="single" w:sz="4" w:space="0" w:color="auto"/>
              <w:bottom w:val="single" w:sz="4" w:space="0" w:color="auto"/>
              <w:right w:val="single" w:sz="4" w:space="0" w:color="auto"/>
            </w:tcBorders>
            <w:shd w:val="clear" w:color="auto" w:fill="D9D9D9"/>
          </w:tcPr>
          <w:p w14:paraId="022CB951" w14:textId="77777777" w:rsidR="00690C60" w:rsidRPr="001C35AD" w:rsidRDefault="00690C60" w:rsidP="00FB6027">
            <w:pPr>
              <w:tabs>
                <w:tab w:val="left" w:pos="1530"/>
              </w:tabs>
              <w:jc w:val="center"/>
              <w:rPr>
                <w:b/>
                <w:bCs/>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14:paraId="08CDFC3F" w14:textId="77777777" w:rsidR="00690C60" w:rsidRPr="001C35AD" w:rsidRDefault="00690C60" w:rsidP="00FB6027">
            <w:pPr>
              <w:tabs>
                <w:tab w:val="left" w:pos="1530"/>
              </w:tabs>
              <w:jc w:val="center"/>
              <w:rPr>
                <w:b/>
                <w:bCs/>
                <w:sz w:val="19"/>
                <w:szCs w:val="19"/>
                <w:lang w:val="en-GB"/>
              </w:rPr>
            </w:pPr>
            <w:r w:rsidRPr="001C35AD">
              <w:rPr>
                <w:b/>
                <w:bCs/>
                <w:sz w:val="19"/>
                <w:szCs w:val="19"/>
                <w:lang w:val="en-GB"/>
              </w:rPr>
              <w:t xml:space="preserve">Implemented </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6152A99F" w14:textId="77777777" w:rsidR="00690C60" w:rsidRPr="001C35AD" w:rsidRDefault="00690C60" w:rsidP="00FB6027">
            <w:pPr>
              <w:tabs>
                <w:tab w:val="left" w:pos="756"/>
              </w:tabs>
              <w:jc w:val="center"/>
              <w:rPr>
                <w:b/>
                <w:bCs/>
                <w:sz w:val="19"/>
                <w:szCs w:val="19"/>
                <w:lang w:val="en-GB"/>
              </w:rPr>
            </w:pPr>
            <w:r w:rsidRPr="001C35AD">
              <w:rPr>
                <w:b/>
                <w:bCs/>
                <w:sz w:val="19"/>
                <w:szCs w:val="19"/>
                <w:lang w:val="en-GB"/>
              </w:rPr>
              <w:t>In progress</w:t>
            </w:r>
          </w:p>
        </w:tc>
        <w:tc>
          <w:tcPr>
            <w:tcW w:w="1440" w:type="dxa"/>
            <w:tcBorders>
              <w:left w:val="single" w:sz="4" w:space="0" w:color="auto"/>
              <w:bottom w:val="single" w:sz="4" w:space="0" w:color="auto"/>
              <w:right w:val="single" w:sz="4" w:space="0" w:color="auto"/>
            </w:tcBorders>
            <w:shd w:val="clear" w:color="auto" w:fill="D9D9D9"/>
          </w:tcPr>
          <w:p w14:paraId="3B421417" w14:textId="77777777" w:rsidR="00690C60" w:rsidRPr="001C35AD" w:rsidRDefault="00690C60" w:rsidP="00FB6027">
            <w:pPr>
              <w:tabs>
                <w:tab w:val="left" w:pos="1530"/>
              </w:tabs>
              <w:jc w:val="center"/>
              <w:rPr>
                <w:b/>
                <w:bCs/>
                <w:sz w:val="19"/>
                <w:szCs w:val="19"/>
                <w:lang w:val="en-GB"/>
              </w:rPr>
            </w:pPr>
          </w:p>
        </w:tc>
        <w:tc>
          <w:tcPr>
            <w:tcW w:w="990" w:type="dxa"/>
            <w:tcBorders>
              <w:left w:val="single" w:sz="4" w:space="0" w:color="auto"/>
              <w:bottom w:val="single" w:sz="4" w:space="0" w:color="auto"/>
              <w:right w:val="single" w:sz="4" w:space="0" w:color="auto"/>
            </w:tcBorders>
            <w:shd w:val="clear" w:color="auto" w:fill="D9D9D9"/>
          </w:tcPr>
          <w:p w14:paraId="71099104" w14:textId="77777777" w:rsidR="00690C60" w:rsidRPr="001C35AD" w:rsidRDefault="00690C60" w:rsidP="00FB6027">
            <w:pPr>
              <w:tabs>
                <w:tab w:val="left" w:pos="1530"/>
              </w:tabs>
              <w:jc w:val="center"/>
              <w:rPr>
                <w:b/>
                <w:bCs/>
                <w:sz w:val="19"/>
                <w:szCs w:val="19"/>
                <w:lang w:val="en-GB"/>
              </w:rPr>
            </w:pPr>
          </w:p>
        </w:tc>
        <w:tc>
          <w:tcPr>
            <w:tcW w:w="1080" w:type="dxa"/>
            <w:tcBorders>
              <w:left w:val="single" w:sz="4" w:space="0" w:color="auto"/>
              <w:bottom w:val="single" w:sz="4" w:space="0" w:color="auto"/>
              <w:right w:val="single" w:sz="4" w:space="0" w:color="auto"/>
            </w:tcBorders>
            <w:shd w:val="clear" w:color="auto" w:fill="D9D9D9"/>
          </w:tcPr>
          <w:p w14:paraId="170D3E6B" w14:textId="77777777" w:rsidR="00690C60" w:rsidRPr="001C35AD" w:rsidRDefault="00690C60" w:rsidP="00FB6027">
            <w:pPr>
              <w:tabs>
                <w:tab w:val="left" w:pos="1530"/>
              </w:tabs>
              <w:jc w:val="center"/>
              <w:rPr>
                <w:b/>
                <w:bCs/>
                <w:sz w:val="19"/>
                <w:szCs w:val="19"/>
                <w:lang w:val="en-GB"/>
              </w:rPr>
            </w:pPr>
          </w:p>
        </w:tc>
      </w:tr>
      <w:tr w:rsidR="00002BDD" w:rsidRPr="001C35AD" w14:paraId="4AF8C327" w14:textId="77777777" w:rsidTr="000C127E">
        <w:trPr>
          <w:cantSplit/>
          <w:trHeight w:val="566"/>
        </w:trPr>
        <w:tc>
          <w:tcPr>
            <w:tcW w:w="1525"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59846EAD" w14:textId="77777777" w:rsidR="00690C60" w:rsidRPr="001C35AD" w:rsidRDefault="00690C60" w:rsidP="00FB6027">
            <w:pPr>
              <w:tabs>
                <w:tab w:val="left" w:pos="1530"/>
              </w:tabs>
              <w:rPr>
                <w:color w:val="0000FF"/>
                <w:sz w:val="19"/>
                <w:szCs w:val="19"/>
              </w:rPr>
            </w:pPr>
            <w:r w:rsidRPr="001C35AD">
              <w:rPr>
                <w:rFonts w:eastAsia="Arial Unicode MS"/>
                <w:color w:val="000000"/>
                <w:lang w:val="en-GB"/>
              </w:rPr>
              <w:t xml:space="preserve"> </w:t>
            </w:r>
            <w:hyperlink r:id="rId54" w:history="1">
              <w:r w:rsidRPr="001C35AD">
                <w:rPr>
                  <w:rStyle w:val="Hyperlink"/>
                  <w:rFonts w:eastAsia="Arial Unicode MS"/>
                  <w:lang w:val="en-GB"/>
                </w:rPr>
                <w:t>JIU/REP/2018/1</w:t>
              </w:r>
            </w:hyperlink>
          </w:p>
        </w:tc>
        <w:tc>
          <w:tcPr>
            <w:tcW w:w="315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4896D078" w14:textId="77777777" w:rsidR="00690C60" w:rsidRPr="001C35AD" w:rsidRDefault="00690C60" w:rsidP="00FB6027">
            <w:pPr>
              <w:tabs>
                <w:tab w:val="left" w:pos="1530"/>
              </w:tabs>
              <w:ind w:left="90"/>
              <w:rPr>
                <w:rFonts w:eastAsia="Arial Unicode MS"/>
                <w:color w:val="000000"/>
                <w:sz w:val="19"/>
                <w:szCs w:val="19"/>
                <w:lang w:val="en-GB"/>
              </w:rPr>
            </w:pPr>
            <w:r w:rsidRPr="001C35AD">
              <w:rPr>
                <w:rFonts w:eastAsia="Arial Unicode MS"/>
                <w:color w:val="000000"/>
                <w:sz w:val="19"/>
                <w:szCs w:val="19"/>
                <w:lang w:val="en-GB"/>
              </w:rPr>
              <w:t>Review of internship programmes in the United Nations system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5CC85B77"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0D69D633"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4B2092" w14:textId="77777777" w:rsidR="00690C60" w:rsidRPr="001C35AD" w:rsidRDefault="00690C60" w:rsidP="00FB6027">
            <w:pPr>
              <w:tabs>
                <w:tab w:val="left" w:pos="1530"/>
              </w:tabs>
              <w:jc w:val="center"/>
              <w:rPr>
                <w:rFonts w:eastAsia="Arial Unicode MS"/>
                <w:color w:val="000000"/>
                <w:sz w:val="19"/>
                <w:szCs w:val="19"/>
                <w:lang w:val="en-GB"/>
              </w:rPr>
            </w:pPr>
          </w:p>
          <w:p w14:paraId="4D2D43CD"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p w14:paraId="5C8EE33E" w14:textId="77777777" w:rsidR="00690C60" w:rsidRPr="001C35AD" w:rsidRDefault="00690C60" w:rsidP="00FB6027">
            <w:pPr>
              <w:tabs>
                <w:tab w:val="left" w:pos="1530"/>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70B09E35" w14:textId="5AAC3137" w:rsidR="00690C60" w:rsidRPr="001C35AD" w:rsidRDefault="00915C43"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2B24B8B" w14:textId="77777777" w:rsidR="00690C60" w:rsidRPr="001C35AD" w:rsidRDefault="00690C60" w:rsidP="00FB6027">
            <w:pPr>
              <w:tabs>
                <w:tab w:val="left" w:pos="1530"/>
              </w:tabs>
              <w:jc w:val="center"/>
              <w:rPr>
                <w:rFonts w:eastAsia="Arial Unicode MS"/>
                <w:color w:val="000000"/>
                <w:sz w:val="19"/>
                <w:szCs w:val="19"/>
                <w:lang w:val="en-GB"/>
              </w:rPr>
            </w:pPr>
          </w:p>
          <w:p w14:paraId="4D08E9BD" w14:textId="3547EB5B" w:rsidR="00690C60" w:rsidRPr="001C35AD" w:rsidRDefault="000C756A"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FBD41F" w14:textId="77777777" w:rsidR="00690C60" w:rsidRPr="001C35AD" w:rsidRDefault="00690C60" w:rsidP="00FB6027">
            <w:pPr>
              <w:tabs>
                <w:tab w:val="left" w:pos="1530"/>
              </w:tabs>
              <w:jc w:val="center"/>
              <w:rPr>
                <w:rFonts w:eastAsia="Arial Unicode MS"/>
                <w:color w:val="000000"/>
                <w:sz w:val="19"/>
                <w:szCs w:val="19"/>
                <w:lang w:val="en-GB"/>
              </w:rPr>
            </w:pPr>
          </w:p>
          <w:p w14:paraId="7D0588A4" w14:textId="2F86D8E5" w:rsidR="00690C60" w:rsidRPr="001C35AD" w:rsidRDefault="00915C43"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858048C" w14:textId="77777777" w:rsidR="00690C60" w:rsidRPr="001C35AD" w:rsidRDefault="00690C60" w:rsidP="00FB6027">
            <w:pPr>
              <w:tabs>
                <w:tab w:val="left" w:pos="1530"/>
              </w:tabs>
              <w:jc w:val="center"/>
              <w:rPr>
                <w:rFonts w:eastAsia="Arial Unicode MS"/>
                <w:color w:val="000000"/>
                <w:sz w:val="19"/>
                <w:szCs w:val="19"/>
                <w:lang w:val="en-GB"/>
              </w:rPr>
            </w:pPr>
          </w:p>
          <w:p w14:paraId="43B34A32" w14:textId="253577D7" w:rsidR="00690C60" w:rsidRPr="001C35AD" w:rsidRDefault="000C756A"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324A1D" w14:textId="77777777" w:rsidR="00690C60" w:rsidRPr="001C35AD" w:rsidRDefault="00690C60" w:rsidP="00FB6027">
            <w:pPr>
              <w:tabs>
                <w:tab w:val="left" w:pos="1530"/>
              </w:tabs>
              <w:jc w:val="center"/>
              <w:rPr>
                <w:rFonts w:eastAsia="Arial Unicode MS"/>
                <w:color w:val="000000"/>
                <w:sz w:val="19"/>
                <w:szCs w:val="19"/>
                <w:lang w:val="en-GB"/>
              </w:rPr>
            </w:pPr>
          </w:p>
          <w:p w14:paraId="34520E3B"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002BDD" w:rsidRPr="001C35AD" w14:paraId="24049DC3" w14:textId="77777777" w:rsidTr="000C127E">
        <w:trPr>
          <w:cantSplit/>
          <w:trHeight w:val="868"/>
        </w:trPr>
        <w:tc>
          <w:tcPr>
            <w:tcW w:w="152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4638137" w14:textId="77777777" w:rsidR="00690C60" w:rsidRPr="001C35AD" w:rsidRDefault="00690C60" w:rsidP="00FB6027">
            <w:pPr>
              <w:tabs>
                <w:tab w:val="left" w:pos="1530"/>
              </w:tabs>
              <w:rPr>
                <w:sz w:val="19"/>
                <w:szCs w:val="19"/>
              </w:rPr>
            </w:pPr>
            <w:r w:rsidRPr="001C35AD">
              <w:rPr>
                <w:rFonts w:eastAsia="Arial Unicode MS"/>
                <w:color w:val="000000"/>
                <w:lang w:val="en-GB"/>
              </w:rPr>
              <w:t xml:space="preserve"> </w:t>
            </w:r>
            <w:hyperlink r:id="rId55" w:history="1">
              <w:r w:rsidRPr="001C35AD">
                <w:rPr>
                  <w:rStyle w:val="Hyperlink"/>
                  <w:rFonts w:eastAsia="Arial Unicode MS"/>
                  <w:lang w:val="en-GB"/>
                </w:rPr>
                <w:t>JIU/REP/2018/4</w:t>
              </w:r>
            </w:hyperlink>
          </w:p>
        </w:tc>
        <w:tc>
          <w:tcPr>
            <w:tcW w:w="315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860F0D9" w14:textId="77777777" w:rsidR="00690C60" w:rsidRPr="001C35AD" w:rsidRDefault="00690C60" w:rsidP="00FB6027">
            <w:pPr>
              <w:tabs>
                <w:tab w:val="left" w:pos="1530"/>
              </w:tabs>
              <w:ind w:left="90"/>
              <w:rPr>
                <w:rFonts w:eastAsia="Arial Unicode MS"/>
                <w:color w:val="000000"/>
                <w:sz w:val="19"/>
                <w:szCs w:val="19"/>
                <w:lang w:val="en-GB"/>
              </w:rPr>
            </w:pPr>
            <w:r w:rsidRPr="001C35AD">
              <w:rPr>
                <w:rFonts w:eastAsia="Arial Unicode MS"/>
                <w:color w:val="000000"/>
                <w:sz w:val="19"/>
                <w:szCs w:val="19"/>
                <w:lang w:val="en-GB"/>
              </w:rPr>
              <w:t>Review of whistle-blower policies and practices in United Nations system organizations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A0494D0" w14:textId="77777777" w:rsidR="00690C60" w:rsidRPr="001C35AD" w:rsidRDefault="00690C60" w:rsidP="00FB6027">
            <w:pPr>
              <w:tabs>
                <w:tab w:val="left" w:pos="1530"/>
              </w:tabs>
              <w:jc w:val="center"/>
              <w:rPr>
                <w:rFonts w:eastAsia="Arial Unicode MS"/>
                <w:color w:val="000000"/>
                <w:sz w:val="19"/>
                <w:szCs w:val="19"/>
                <w:lang w:val="en-GB"/>
              </w:rPr>
            </w:pPr>
          </w:p>
          <w:p w14:paraId="1CCDE38E"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9F78F5" w14:textId="77777777" w:rsidR="00690C60" w:rsidRPr="001C35AD" w:rsidRDefault="00690C60" w:rsidP="00FB6027">
            <w:pPr>
              <w:tabs>
                <w:tab w:val="left" w:pos="1530"/>
              </w:tabs>
              <w:jc w:val="center"/>
              <w:rPr>
                <w:rFonts w:eastAsia="Arial Unicode MS"/>
                <w:color w:val="000000"/>
                <w:sz w:val="19"/>
                <w:szCs w:val="19"/>
                <w:lang w:val="en-GB"/>
              </w:rPr>
            </w:pPr>
          </w:p>
          <w:p w14:paraId="7DF01595"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78F960" w14:textId="77777777" w:rsidR="00690C60" w:rsidRPr="001C35AD" w:rsidRDefault="00690C60" w:rsidP="00FB6027">
            <w:pPr>
              <w:tabs>
                <w:tab w:val="left" w:pos="1530"/>
              </w:tabs>
              <w:jc w:val="center"/>
              <w:rPr>
                <w:rFonts w:eastAsia="Arial Unicode MS"/>
                <w:color w:val="000000"/>
                <w:sz w:val="19"/>
                <w:szCs w:val="19"/>
                <w:lang w:val="en-GB"/>
              </w:rPr>
            </w:pPr>
          </w:p>
          <w:p w14:paraId="0203C8A5" w14:textId="77777777" w:rsidR="00690C60" w:rsidRPr="001C35AD" w:rsidRDefault="00690C60" w:rsidP="00FB6027">
            <w:pPr>
              <w:tabs>
                <w:tab w:val="left" w:pos="1530"/>
              </w:tabs>
              <w:jc w:val="center"/>
              <w:rPr>
                <w:rFonts w:eastAsia="Arial Unicode MS"/>
                <w:color w:val="000000"/>
                <w:sz w:val="19"/>
                <w:szCs w:val="19"/>
                <w:lang w:val="en-GB"/>
              </w:rPr>
            </w:pPr>
          </w:p>
          <w:p w14:paraId="663523A7"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2</w:t>
            </w:r>
          </w:p>
          <w:p w14:paraId="1FA5A2FA" w14:textId="77777777" w:rsidR="00690C60" w:rsidRPr="001C35AD" w:rsidRDefault="00690C60" w:rsidP="00FB6027">
            <w:pPr>
              <w:tabs>
                <w:tab w:val="left" w:pos="1530"/>
              </w:tabs>
              <w:jc w:val="center"/>
              <w:rPr>
                <w:rFonts w:eastAsia="Arial Unicode MS"/>
                <w:color w:val="000000"/>
                <w:sz w:val="19"/>
                <w:szCs w:val="19"/>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06A0B1E" w14:textId="77777777" w:rsidR="00690C60" w:rsidRPr="001C35AD" w:rsidRDefault="00690C60" w:rsidP="00FB6027">
            <w:pPr>
              <w:tabs>
                <w:tab w:val="left" w:pos="1530"/>
              </w:tabs>
              <w:jc w:val="center"/>
              <w:rPr>
                <w:rFonts w:eastAsia="Arial Unicode MS"/>
                <w:color w:val="000000"/>
                <w:sz w:val="19"/>
                <w:szCs w:val="19"/>
                <w:lang w:val="en-GB"/>
              </w:rPr>
            </w:pPr>
          </w:p>
          <w:p w14:paraId="6F393D83" w14:textId="6E7EC209" w:rsidR="00690C60" w:rsidRPr="001C35AD" w:rsidRDefault="00BA6DF1"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14:paraId="01F9AC9A" w14:textId="77777777" w:rsidR="00690C60" w:rsidRPr="001C35AD" w:rsidRDefault="00690C60" w:rsidP="00FB6027">
            <w:pPr>
              <w:tabs>
                <w:tab w:val="left" w:pos="1530"/>
              </w:tabs>
              <w:jc w:val="center"/>
              <w:rPr>
                <w:rFonts w:eastAsia="Arial Unicode MS"/>
                <w:color w:val="000000"/>
                <w:sz w:val="19"/>
                <w:szCs w:val="19"/>
                <w:lang w:val="en-GB"/>
              </w:rPr>
            </w:pPr>
          </w:p>
          <w:p w14:paraId="625F3389" w14:textId="77777777" w:rsidR="00690C60" w:rsidRPr="001C35AD" w:rsidRDefault="00690C60" w:rsidP="00FB6027">
            <w:pPr>
              <w:tabs>
                <w:tab w:val="left" w:pos="1530"/>
              </w:tabs>
              <w:jc w:val="center"/>
              <w:rPr>
                <w:rFonts w:eastAsia="Arial Unicode MS"/>
                <w:color w:val="000000"/>
                <w:sz w:val="19"/>
                <w:szCs w:val="19"/>
                <w:lang w:val="en-GB"/>
              </w:rPr>
            </w:pPr>
          </w:p>
          <w:p w14:paraId="7948F353" w14:textId="21B983D5" w:rsidR="00690C60" w:rsidRPr="001C35AD" w:rsidRDefault="00BA6DF1"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AB9ED9" w14:textId="77777777" w:rsidR="00690C60" w:rsidRPr="001C35AD" w:rsidRDefault="00690C60" w:rsidP="00FB6027">
            <w:pPr>
              <w:tabs>
                <w:tab w:val="left" w:pos="1530"/>
              </w:tabs>
              <w:jc w:val="center"/>
              <w:rPr>
                <w:rFonts w:eastAsia="Arial Unicode MS"/>
                <w:color w:val="000000"/>
                <w:sz w:val="19"/>
                <w:szCs w:val="19"/>
                <w:lang w:val="en-GB"/>
              </w:rPr>
            </w:pPr>
          </w:p>
          <w:p w14:paraId="18F9FA06" w14:textId="77777777" w:rsidR="00690C60" w:rsidRPr="001C35AD" w:rsidRDefault="00690C60" w:rsidP="00FB6027">
            <w:pPr>
              <w:tabs>
                <w:tab w:val="left" w:pos="1530"/>
              </w:tabs>
              <w:jc w:val="center"/>
              <w:rPr>
                <w:rFonts w:eastAsia="Arial Unicode MS"/>
                <w:color w:val="000000"/>
                <w:sz w:val="19"/>
                <w:szCs w:val="19"/>
                <w:lang w:val="en-GB"/>
              </w:rPr>
            </w:pPr>
          </w:p>
          <w:p w14:paraId="48F97027" w14:textId="36E03E10" w:rsidR="00690C60" w:rsidRPr="001C35AD" w:rsidRDefault="00BA6DF1"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45055F2" w14:textId="77777777" w:rsidR="00690C60" w:rsidRPr="001C35AD" w:rsidRDefault="00690C60" w:rsidP="00FB6027">
            <w:pPr>
              <w:tabs>
                <w:tab w:val="left" w:pos="1530"/>
              </w:tabs>
              <w:jc w:val="center"/>
              <w:rPr>
                <w:rFonts w:eastAsia="Arial Unicode MS"/>
                <w:color w:val="000000"/>
                <w:sz w:val="19"/>
                <w:szCs w:val="19"/>
                <w:lang w:val="en-GB"/>
              </w:rPr>
            </w:pPr>
          </w:p>
          <w:p w14:paraId="38FDED38" w14:textId="77777777" w:rsidR="00690C60" w:rsidRPr="001C35AD" w:rsidRDefault="00690C60" w:rsidP="00FB6027">
            <w:pPr>
              <w:tabs>
                <w:tab w:val="left" w:pos="1530"/>
              </w:tabs>
              <w:jc w:val="center"/>
              <w:rPr>
                <w:rFonts w:eastAsia="Arial Unicode MS"/>
                <w:color w:val="000000"/>
                <w:sz w:val="19"/>
                <w:szCs w:val="19"/>
                <w:lang w:val="en-GB"/>
              </w:rPr>
            </w:pPr>
          </w:p>
          <w:p w14:paraId="0082620D" w14:textId="463EBA30" w:rsidR="00690C60" w:rsidRPr="001C35AD" w:rsidRDefault="0093034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4F844FF" w14:textId="77777777" w:rsidR="00690C60" w:rsidRPr="001C35AD" w:rsidRDefault="00690C60" w:rsidP="00FB6027">
            <w:pPr>
              <w:tabs>
                <w:tab w:val="left" w:pos="1530"/>
              </w:tabs>
              <w:jc w:val="center"/>
              <w:rPr>
                <w:rFonts w:eastAsia="Arial Unicode MS"/>
                <w:color w:val="000000"/>
                <w:sz w:val="19"/>
                <w:szCs w:val="19"/>
                <w:lang w:val="en-GB"/>
              </w:rPr>
            </w:pPr>
          </w:p>
          <w:p w14:paraId="637BADEC" w14:textId="77777777" w:rsidR="00690C60" w:rsidRPr="001C35AD" w:rsidRDefault="00690C60" w:rsidP="00FB6027">
            <w:pPr>
              <w:tabs>
                <w:tab w:val="left" w:pos="1530"/>
              </w:tabs>
              <w:jc w:val="center"/>
              <w:rPr>
                <w:rFonts w:eastAsia="Arial Unicode MS"/>
                <w:color w:val="000000"/>
                <w:sz w:val="19"/>
                <w:szCs w:val="19"/>
                <w:lang w:val="en-GB"/>
              </w:rPr>
            </w:pPr>
          </w:p>
          <w:p w14:paraId="1ACC206C" w14:textId="26E4265B" w:rsidR="00690C60" w:rsidRPr="001C35AD" w:rsidRDefault="0093034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2</w:t>
            </w:r>
          </w:p>
        </w:tc>
      </w:tr>
      <w:tr w:rsidR="00002BDD" w:rsidRPr="001C35AD" w14:paraId="25FC5819" w14:textId="77777777" w:rsidTr="000C127E">
        <w:trPr>
          <w:cantSplit/>
          <w:trHeight w:val="715"/>
        </w:trPr>
        <w:tc>
          <w:tcPr>
            <w:tcW w:w="152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025031A" w14:textId="77777777" w:rsidR="00690C60" w:rsidRPr="001C35AD" w:rsidRDefault="00690C60" w:rsidP="00FB6027">
            <w:pPr>
              <w:tabs>
                <w:tab w:val="left" w:pos="1530"/>
              </w:tabs>
              <w:rPr>
                <w:color w:val="0000FF"/>
                <w:sz w:val="19"/>
                <w:szCs w:val="19"/>
              </w:rPr>
            </w:pPr>
            <w:r w:rsidRPr="001C35AD">
              <w:rPr>
                <w:color w:val="0000FF"/>
                <w:sz w:val="19"/>
                <w:szCs w:val="19"/>
              </w:rPr>
              <w:t xml:space="preserve"> </w:t>
            </w:r>
            <w:hyperlink r:id="rId56" w:history="1">
              <w:r w:rsidRPr="001C35AD">
                <w:rPr>
                  <w:rStyle w:val="Hyperlink"/>
                  <w:rFonts w:eastAsia="Arial Unicode MS"/>
                  <w:lang w:val="en-GB"/>
                </w:rPr>
                <w:t>JIU/REP/2018/5</w:t>
              </w:r>
            </w:hyperlink>
          </w:p>
        </w:tc>
        <w:tc>
          <w:tcPr>
            <w:tcW w:w="315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06F4DE4E" w14:textId="77777777" w:rsidR="00690C60" w:rsidRPr="001C35AD" w:rsidRDefault="00690C60" w:rsidP="00FB6027">
            <w:pPr>
              <w:tabs>
                <w:tab w:val="left" w:pos="1530"/>
              </w:tabs>
              <w:ind w:left="90"/>
              <w:rPr>
                <w:rFonts w:eastAsia="Arial Unicode MS"/>
                <w:color w:val="000000"/>
                <w:sz w:val="19"/>
                <w:szCs w:val="19"/>
                <w:lang w:val="en-GB"/>
              </w:rPr>
            </w:pPr>
            <w:r w:rsidRPr="001C35AD">
              <w:rPr>
                <w:rFonts w:eastAsia="Arial Unicode MS"/>
                <w:color w:val="000000"/>
                <w:sz w:val="19"/>
                <w:szCs w:val="19"/>
                <w:lang w:val="en-GB"/>
              </w:rPr>
              <w:t>Opportunities to improve efficiency and effectiveness in administrative support services by enhancing inter-agency cooperation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DF3C58" w14:textId="77777777" w:rsidR="00930340" w:rsidRPr="001C35AD" w:rsidRDefault="00930340" w:rsidP="00FB6027">
            <w:pPr>
              <w:tabs>
                <w:tab w:val="left" w:pos="1530"/>
              </w:tabs>
              <w:jc w:val="center"/>
              <w:rPr>
                <w:rFonts w:eastAsia="Arial Unicode MS"/>
                <w:color w:val="000000"/>
                <w:sz w:val="19"/>
                <w:szCs w:val="19"/>
                <w:lang w:val="en-GB"/>
              </w:rPr>
            </w:pPr>
          </w:p>
          <w:p w14:paraId="7B01125A" w14:textId="19DB9491"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9D0BD3" w14:textId="77777777" w:rsidR="00930340" w:rsidRPr="001C35AD" w:rsidRDefault="00930340" w:rsidP="00FB6027">
            <w:pPr>
              <w:tabs>
                <w:tab w:val="left" w:pos="1530"/>
              </w:tabs>
              <w:jc w:val="center"/>
              <w:rPr>
                <w:rFonts w:eastAsia="Arial Unicode MS"/>
                <w:color w:val="000000"/>
                <w:sz w:val="19"/>
                <w:szCs w:val="19"/>
                <w:lang w:val="en-GB"/>
              </w:rPr>
            </w:pPr>
          </w:p>
          <w:p w14:paraId="7329F37D" w14:textId="5B0F2220"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6EF8B9" w14:textId="77777777" w:rsidR="00690C60" w:rsidRPr="001C35AD" w:rsidRDefault="00690C60" w:rsidP="00FB6027">
            <w:pPr>
              <w:tabs>
                <w:tab w:val="left" w:pos="1530"/>
              </w:tabs>
              <w:jc w:val="center"/>
              <w:rPr>
                <w:rFonts w:eastAsia="Arial Unicode MS"/>
                <w:color w:val="000000"/>
                <w:sz w:val="19"/>
                <w:szCs w:val="19"/>
                <w:lang w:val="en-GB"/>
              </w:rPr>
            </w:pPr>
          </w:p>
          <w:p w14:paraId="32C5897D" w14:textId="77777777" w:rsidR="00930340" w:rsidRPr="001C35AD" w:rsidRDefault="00930340" w:rsidP="00FB6027">
            <w:pPr>
              <w:tabs>
                <w:tab w:val="left" w:pos="1530"/>
              </w:tabs>
              <w:jc w:val="center"/>
              <w:rPr>
                <w:rFonts w:eastAsia="Arial Unicode MS"/>
                <w:color w:val="000000"/>
                <w:sz w:val="19"/>
                <w:szCs w:val="19"/>
                <w:lang w:val="en-GB"/>
              </w:rPr>
            </w:pPr>
          </w:p>
          <w:p w14:paraId="0CC2C973" w14:textId="19A0395E"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0A312A6" w14:textId="77777777" w:rsidR="00930340" w:rsidRPr="001C35AD" w:rsidRDefault="00930340" w:rsidP="00FB6027">
            <w:pPr>
              <w:tabs>
                <w:tab w:val="left" w:pos="1530"/>
              </w:tabs>
              <w:jc w:val="center"/>
              <w:rPr>
                <w:rFonts w:eastAsia="Arial Unicode MS"/>
                <w:color w:val="000000"/>
                <w:sz w:val="19"/>
                <w:szCs w:val="19"/>
                <w:lang w:val="en-GB"/>
              </w:rPr>
            </w:pPr>
          </w:p>
          <w:p w14:paraId="27B6FFCB" w14:textId="4A4A578E" w:rsidR="00690C60" w:rsidRPr="001C35AD" w:rsidRDefault="009A52F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14:paraId="327FDF5F" w14:textId="77777777" w:rsidR="00690C60" w:rsidRPr="001C35AD" w:rsidRDefault="00690C60" w:rsidP="00FB6027">
            <w:pPr>
              <w:tabs>
                <w:tab w:val="left" w:pos="1530"/>
              </w:tabs>
              <w:jc w:val="center"/>
              <w:rPr>
                <w:rFonts w:eastAsia="Arial Unicode MS"/>
                <w:color w:val="000000"/>
                <w:sz w:val="19"/>
                <w:szCs w:val="19"/>
                <w:lang w:val="en-GB"/>
              </w:rPr>
            </w:pPr>
          </w:p>
          <w:p w14:paraId="6EA90412" w14:textId="77777777" w:rsidR="00690C60" w:rsidRPr="001C35AD" w:rsidRDefault="00690C60" w:rsidP="00FB6027">
            <w:pPr>
              <w:tabs>
                <w:tab w:val="left" w:pos="1530"/>
              </w:tabs>
              <w:jc w:val="center"/>
              <w:rPr>
                <w:rFonts w:eastAsia="Arial Unicode MS"/>
                <w:color w:val="000000"/>
                <w:sz w:val="19"/>
                <w:szCs w:val="19"/>
                <w:lang w:val="en-GB"/>
              </w:rPr>
            </w:pPr>
          </w:p>
          <w:p w14:paraId="650E0818" w14:textId="11DC75C2" w:rsidR="00690C60" w:rsidRPr="001C35AD" w:rsidRDefault="00D31C5D"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6596DBD" w14:textId="77777777" w:rsidR="00690C60" w:rsidRPr="001C35AD" w:rsidRDefault="00690C60" w:rsidP="00FB6027">
            <w:pPr>
              <w:tabs>
                <w:tab w:val="left" w:pos="1530"/>
              </w:tabs>
              <w:jc w:val="center"/>
              <w:rPr>
                <w:rFonts w:eastAsia="Arial Unicode MS"/>
                <w:color w:val="000000"/>
                <w:sz w:val="19"/>
                <w:szCs w:val="19"/>
                <w:lang w:val="en-GB"/>
              </w:rPr>
            </w:pPr>
          </w:p>
          <w:p w14:paraId="0FD3D084" w14:textId="77777777" w:rsidR="00690C60" w:rsidRPr="001C35AD" w:rsidRDefault="00690C60" w:rsidP="00FB6027">
            <w:pPr>
              <w:tabs>
                <w:tab w:val="left" w:pos="1530"/>
              </w:tabs>
              <w:jc w:val="center"/>
              <w:rPr>
                <w:rFonts w:eastAsia="Arial Unicode MS"/>
                <w:color w:val="000000"/>
                <w:sz w:val="19"/>
                <w:szCs w:val="19"/>
                <w:lang w:val="en-GB"/>
              </w:rPr>
            </w:pPr>
          </w:p>
          <w:p w14:paraId="4BF31E29" w14:textId="34066FE8" w:rsidR="00690C60" w:rsidRPr="001C35AD" w:rsidRDefault="000C756A"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8D8EC4D" w14:textId="77777777" w:rsidR="00690C60" w:rsidRPr="001C35AD" w:rsidRDefault="00690C60" w:rsidP="00FB6027">
            <w:pPr>
              <w:tabs>
                <w:tab w:val="left" w:pos="1530"/>
              </w:tabs>
              <w:jc w:val="center"/>
              <w:rPr>
                <w:rFonts w:eastAsia="Arial Unicode MS"/>
                <w:color w:val="000000"/>
                <w:sz w:val="19"/>
                <w:szCs w:val="19"/>
                <w:lang w:val="en-GB"/>
              </w:rPr>
            </w:pPr>
          </w:p>
          <w:p w14:paraId="44EE24E8" w14:textId="77777777" w:rsidR="00690C60" w:rsidRPr="001C35AD" w:rsidRDefault="00690C60" w:rsidP="00FB6027">
            <w:pPr>
              <w:tabs>
                <w:tab w:val="left" w:pos="1530"/>
              </w:tabs>
              <w:jc w:val="center"/>
              <w:rPr>
                <w:rFonts w:eastAsia="Arial Unicode MS"/>
                <w:color w:val="000000"/>
                <w:sz w:val="19"/>
                <w:szCs w:val="19"/>
                <w:lang w:val="en-GB"/>
              </w:rPr>
            </w:pPr>
          </w:p>
          <w:p w14:paraId="7F0AB770"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92C37C0" w14:textId="77777777" w:rsidR="00690C60" w:rsidRPr="001C35AD" w:rsidRDefault="00690C60" w:rsidP="00FB6027">
            <w:pPr>
              <w:tabs>
                <w:tab w:val="left" w:pos="1530"/>
              </w:tabs>
              <w:jc w:val="center"/>
              <w:rPr>
                <w:rFonts w:eastAsia="Arial Unicode MS"/>
                <w:color w:val="000000"/>
                <w:sz w:val="19"/>
                <w:szCs w:val="19"/>
                <w:lang w:val="en-GB"/>
              </w:rPr>
            </w:pPr>
          </w:p>
          <w:p w14:paraId="1063A887" w14:textId="77777777" w:rsidR="00690C60" w:rsidRPr="001C35AD" w:rsidRDefault="00690C60" w:rsidP="00FB6027">
            <w:pPr>
              <w:tabs>
                <w:tab w:val="left" w:pos="1530"/>
              </w:tabs>
              <w:jc w:val="center"/>
              <w:rPr>
                <w:rFonts w:eastAsia="Arial Unicode MS"/>
                <w:color w:val="000000"/>
                <w:sz w:val="19"/>
                <w:szCs w:val="19"/>
                <w:lang w:val="en-GB"/>
              </w:rPr>
            </w:pPr>
          </w:p>
          <w:p w14:paraId="5A450C79" w14:textId="292D3A50" w:rsidR="00690C60" w:rsidRPr="001C35AD" w:rsidRDefault="009A52F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002BDD" w:rsidRPr="001C35AD" w14:paraId="2E362451" w14:textId="77777777" w:rsidTr="000C127E">
        <w:trPr>
          <w:cantSplit/>
          <w:trHeight w:val="715"/>
        </w:trPr>
        <w:tc>
          <w:tcPr>
            <w:tcW w:w="1525"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5CCC7E43" w14:textId="77777777" w:rsidR="00690C60" w:rsidRPr="001C35AD" w:rsidRDefault="00245EB3" w:rsidP="00FB6027">
            <w:pPr>
              <w:tabs>
                <w:tab w:val="left" w:pos="1530"/>
              </w:tabs>
              <w:rPr>
                <w:color w:val="0000FF"/>
                <w:sz w:val="19"/>
                <w:szCs w:val="19"/>
              </w:rPr>
            </w:pPr>
            <w:hyperlink r:id="rId57" w:history="1">
              <w:r w:rsidR="00690C60" w:rsidRPr="001C35AD">
                <w:rPr>
                  <w:rStyle w:val="Hyperlink"/>
                  <w:rFonts w:eastAsia="Arial Unicode MS"/>
                  <w:lang w:val="en-GB"/>
                </w:rPr>
                <w:t>JIU/REP/2018/6</w:t>
              </w:r>
            </w:hyperlink>
          </w:p>
        </w:tc>
        <w:tc>
          <w:tcPr>
            <w:tcW w:w="315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tcPr>
          <w:p w14:paraId="2C14BF9C" w14:textId="77777777" w:rsidR="00690C60" w:rsidRPr="001C35AD" w:rsidRDefault="00690C60" w:rsidP="00FB6027">
            <w:pPr>
              <w:tabs>
                <w:tab w:val="left" w:pos="1530"/>
              </w:tabs>
              <w:ind w:left="90"/>
              <w:rPr>
                <w:rFonts w:eastAsia="Arial Unicode MS"/>
                <w:color w:val="000000"/>
                <w:sz w:val="19"/>
                <w:szCs w:val="19"/>
                <w:lang w:val="en-GB"/>
              </w:rPr>
            </w:pPr>
            <w:r w:rsidRPr="001C35AD">
              <w:rPr>
                <w:rFonts w:eastAsia="Arial Unicode MS"/>
                <w:color w:val="000000"/>
                <w:sz w:val="19"/>
                <w:szCs w:val="19"/>
                <w:lang w:val="en-GB"/>
              </w:rPr>
              <w:t>Enhancing accessibility for persons with disabilities to conferences and meetings of the United Nations system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0328B210" w14:textId="77777777" w:rsidR="005774C7" w:rsidRPr="001C35AD" w:rsidRDefault="005774C7" w:rsidP="00FB6027">
            <w:pPr>
              <w:tabs>
                <w:tab w:val="left" w:pos="1530"/>
              </w:tabs>
              <w:jc w:val="center"/>
              <w:rPr>
                <w:rFonts w:eastAsia="Arial Unicode MS"/>
                <w:color w:val="000000"/>
                <w:sz w:val="19"/>
                <w:szCs w:val="19"/>
                <w:lang w:val="en-GB"/>
              </w:rPr>
            </w:pPr>
          </w:p>
          <w:p w14:paraId="33079366" w14:textId="2974DC00"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8E7DC0A" w14:textId="77777777" w:rsidR="002F2A9C" w:rsidRPr="001C35AD" w:rsidRDefault="002F2A9C" w:rsidP="00FB6027">
            <w:pPr>
              <w:tabs>
                <w:tab w:val="left" w:pos="1530"/>
              </w:tabs>
              <w:jc w:val="center"/>
              <w:rPr>
                <w:rFonts w:eastAsia="Arial Unicode MS"/>
                <w:color w:val="000000"/>
                <w:sz w:val="19"/>
                <w:szCs w:val="19"/>
                <w:lang w:val="en-GB"/>
              </w:rPr>
            </w:pPr>
          </w:p>
          <w:p w14:paraId="44AE6DB9" w14:textId="5693AAC8"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B4187D" w14:textId="77777777" w:rsidR="00690C60" w:rsidRPr="001C35AD" w:rsidRDefault="00690C60" w:rsidP="00FB6027">
            <w:pPr>
              <w:tabs>
                <w:tab w:val="left" w:pos="1530"/>
              </w:tabs>
              <w:jc w:val="center"/>
              <w:rPr>
                <w:rFonts w:eastAsia="Arial Unicode MS"/>
                <w:color w:val="000000"/>
                <w:sz w:val="19"/>
                <w:szCs w:val="19"/>
                <w:lang w:val="en-GB"/>
              </w:rPr>
            </w:pPr>
          </w:p>
          <w:p w14:paraId="021C5BCA" w14:textId="77777777" w:rsidR="00690C60" w:rsidRPr="001C35AD" w:rsidRDefault="00690C60" w:rsidP="00FB6027">
            <w:pPr>
              <w:tabs>
                <w:tab w:val="left" w:pos="1530"/>
              </w:tabs>
              <w:jc w:val="center"/>
              <w:rPr>
                <w:rFonts w:eastAsia="Arial Unicode MS"/>
                <w:color w:val="000000"/>
                <w:sz w:val="19"/>
                <w:szCs w:val="19"/>
                <w:lang w:val="en-GB"/>
              </w:rPr>
            </w:pPr>
          </w:p>
          <w:p w14:paraId="14FA08E9"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4136FAE0" w14:textId="77777777" w:rsidR="002F0F50" w:rsidRPr="001C35AD" w:rsidRDefault="002F0F50" w:rsidP="00FB6027">
            <w:pPr>
              <w:tabs>
                <w:tab w:val="left" w:pos="1530"/>
              </w:tabs>
              <w:jc w:val="center"/>
              <w:rPr>
                <w:rFonts w:eastAsia="Arial Unicode MS"/>
                <w:color w:val="000000"/>
                <w:sz w:val="19"/>
                <w:szCs w:val="19"/>
                <w:lang w:val="en-GB"/>
              </w:rPr>
            </w:pPr>
          </w:p>
          <w:p w14:paraId="573492C9" w14:textId="7E5B9008" w:rsidR="00690C60" w:rsidRPr="001C35AD" w:rsidRDefault="009A52F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8</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6F00615" w14:textId="77777777" w:rsidR="00690C60" w:rsidRPr="001C35AD" w:rsidRDefault="00690C60" w:rsidP="00FB6027">
            <w:pPr>
              <w:tabs>
                <w:tab w:val="left" w:pos="1530"/>
              </w:tabs>
              <w:jc w:val="center"/>
              <w:rPr>
                <w:rFonts w:eastAsia="Arial Unicode MS"/>
                <w:color w:val="000000"/>
                <w:sz w:val="19"/>
                <w:szCs w:val="19"/>
                <w:lang w:val="en-GB"/>
              </w:rPr>
            </w:pPr>
          </w:p>
          <w:p w14:paraId="11261E09" w14:textId="77777777" w:rsidR="00690C60" w:rsidRPr="001C35AD" w:rsidRDefault="00690C60" w:rsidP="00FB6027">
            <w:pPr>
              <w:tabs>
                <w:tab w:val="left" w:pos="1530"/>
              </w:tabs>
              <w:jc w:val="center"/>
              <w:rPr>
                <w:rFonts w:eastAsia="Arial Unicode MS"/>
                <w:color w:val="000000"/>
                <w:sz w:val="19"/>
                <w:szCs w:val="19"/>
                <w:lang w:val="en-GB"/>
              </w:rPr>
            </w:pPr>
          </w:p>
          <w:p w14:paraId="7E5B00E7" w14:textId="0E474EFA" w:rsidR="00690C60" w:rsidRPr="001C35AD" w:rsidRDefault="009A52F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3EA29F" w14:textId="77777777" w:rsidR="00690C60" w:rsidRPr="001C35AD" w:rsidRDefault="00690C60" w:rsidP="00FB6027">
            <w:pPr>
              <w:tabs>
                <w:tab w:val="left" w:pos="1530"/>
              </w:tabs>
              <w:jc w:val="center"/>
              <w:rPr>
                <w:rFonts w:eastAsia="Arial Unicode MS"/>
                <w:color w:val="000000"/>
                <w:sz w:val="19"/>
                <w:szCs w:val="19"/>
                <w:lang w:val="en-GB"/>
              </w:rPr>
            </w:pPr>
          </w:p>
          <w:p w14:paraId="71F1553F" w14:textId="77777777" w:rsidR="00690C60" w:rsidRPr="001C35AD" w:rsidRDefault="00690C60" w:rsidP="00FB6027">
            <w:pPr>
              <w:tabs>
                <w:tab w:val="left" w:pos="1530"/>
              </w:tabs>
              <w:jc w:val="center"/>
              <w:rPr>
                <w:rFonts w:eastAsia="Arial Unicode MS"/>
                <w:color w:val="000000"/>
                <w:sz w:val="19"/>
                <w:szCs w:val="19"/>
                <w:lang w:val="en-GB"/>
              </w:rPr>
            </w:pPr>
          </w:p>
          <w:p w14:paraId="52604786"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A4C069" w14:textId="77777777" w:rsidR="00690C60" w:rsidRPr="001C35AD" w:rsidRDefault="00690C60" w:rsidP="00FB6027">
            <w:pPr>
              <w:tabs>
                <w:tab w:val="left" w:pos="1530"/>
              </w:tabs>
              <w:jc w:val="center"/>
              <w:rPr>
                <w:rFonts w:eastAsia="Arial Unicode MS"/>
                <w:color w:val="000000"/>
                <w:sz w:val="19"/>
                <w:szCs w:val="19"/>
                <w:lang w:val="en-GB"/>
              </w:rPr>
            </w:pPr>
          </w:p>
          <w:p w14:paraId="15766918" w14:textId="77777777" w:rsidR="00690C60" w:rsidRPr="001C35AD" w:rsidRDefault="00690C60" w:rsidP="00FB6027">
            <w:pPr>
              <w:tabs>
                <w:tab w:val="left" w:pos="1530"/>
              </w:tabs>
              <w:jc w:val="center"/>
              <w:rPr>
                <w:rFonts w:eastAsia="Arial Unicode MS"/>
                <w:color w:val="000000"/>
                <w:sz w:val="19"/>
                <w:szCs w:val="19"/>
                <w:lang w:val="en-GB"/>
              </w:rPr>
            </w:pPr>
          </w:p>
          <w:p w14:paraId="7AAA753D"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6095D9" w14:textId="77777777" w:rsidR="00690C60" w:rsidRPr="001C35AD" w:rsidRDefault="00690C60" w:rsidP="00FB6027">
            <w:pPr>
              <w:tabs>
                <w:tab w:val="left" w:pos="1530"/>
              </w:tabs>
              <w:jc w:val="center"/>
              <w:rPr>
                <w:rFonts w:eastAsia="Arial Unicode MS"/>
                <w:color w:val="000000"/>
                <w:sz w:val="19"/>
                <w:szCs w:val="19"/>
                <w:lang w:val="en-GB"/>
              </w:rPr>
            </w:pPr>
          </w:p>
          <w:p w14:paraId="2C61AD3B" w14:textId="77777777" w:rsidR="00690C60" w:rsidRPr="001C35AD" w:rsidRDefault="00690C60" w:rsidP="00FB6027">
            <w:pPr>
              <w:tabs>
                <w:tab w:val="left" w:pos="1530"/>
              </w:tabs>
              <w:jc w:val="center"/>
              <w:rPr>
                <w:rFonts w:eastAsia="Arial Unicode MS"/>
                <w:color w:val="000000"/>
                <w:sz w:val="19"/>
                <w:szCs w:val="19"/>
                <w:lang w:val="en-GB"/>
              </w:rPr>
            </w:pPr>
          </w:p>
          <w:p w14:paraId="3A3F6C9A" w14:textId="77777777" w:rsidR="00690C60" w:rsidRPr="001C35AD" w:rsidRDefault="00690C6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9170FA" w:rsidRPr="001C35AD" w14:paraId="2CF4F940" w14:textId="77777777" w:rsidTr="000C127E">
        <w:trPr>
          <w:cantSplit/>
          <w:trHeight w:val="715"/>
        </w:trPr>
        <w:tc>
          <w:tcPr>
            <w:tcW w:w="152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54DD5B5" w14:textId="54AEF470" w:rsidR="009170FA" w:rsidRPr="001C35AD" w:rsidRDefault="00245EB3" w:rsidP="00FB6027">
            <w:pPr>
              <w:tabs>
                <w:tab w:val="left" w:pos="1530"/>
              </w:tabs>
            </w:pPr>
            <w:hyperlink r:id="rId58" w:history="1">
              <w:r w:rsidR="00010FE6" w:rsidRPr="001C35AD">
                <w:rPr>
                  <w:rStyle w:val="Hyperlink"/>
                </w:rPr>
                <w:t>JIU/REP/2018/7</w:t>
              </w:r>
            </w:hyperlink>
          </w:p>
        </w:tc>
        <w:tc>
          <w:tcPr>
            <w:tcW w:w="315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60C3B1F" w14:textId="437930F1" w:rsidR="009170FA" w:rsidRPr="001C35AD" w:rsidRDefault="00245EB3" w:rsidP="00FB6027">
            <w:pPr>
              <w:tabs>
                <w:tab w:val="left" w:pos="1530"/>
              </w:tabs>
              <w:ind w:left="90"/>
              <w:rPr>
                <w:rFonts w:eastAsia="Arial Unicode MS"/>
                <w:color w:val="000000"/>
                <w:sz w:val="19"/>
                <w:szCs w:val="19"/>
                <w:lang w:val="en-GB"/>
              </w:rPr>
            </w:pPr>
            <w:hyperlink r:id="rId59" w:history="1">
              <w:r w:rsidR="000A670E" w:rsidRPr="001C35AD">
                <w:rPr>
                  <w:rFonts w:eastAsia="Arial Unicode MS"/>
                  <w:sz w:val="19"/>
                  <w:szCs w:val="19"/>
                  <w:lang w:val="en-GB"/>
                </w:rPr>
                <w:t>Strengthening policy research uptake in the context of the 2030 Agenda for Sustainable Development</w:t>
              </w:r>
            </w:hyperlink>
            <w:r w:rsidR="00002BDD" w:rsidRPr="001C35AD">
              <w:rPr>
                <w:rStyle w:val="FootnoteReference"/>
              </w:rPr>
              <w:footnoteReference w:id="4"/>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30814A1" w14:textId="77777777" w:rsidR="00552000" w:rsidRPr="001C35AD" w:rsidRDefault="00552000" w:rsidP="00FB6027">
            <w:pPr>
              <w:tabs>
                <w:tab w:val="left" w:pos="1530"/>
              </w:tabs>
              <w:jc w:val="center"/>
              <w:rPr>
                <w:rFonts w:eastAsia="Arial Unicode MS"/>
                <w:color w:val="000000"/>
                <w:sz w:val="19"/>
                <w:szCs w:val="19"/>
                <w:lang w:val="en-GB"/>
              </w:rPr>
            </w:pPr>
          </w:p>
          <w:p w14:paraId="79B16B97" w14:textId="77777777" w:rsidR="00637D4B" w:rsidRPr="001C35AD" w:rsidRDefault="00637D4B" w:rsidP="00FB6027">
            <w:pPr>
              <w:tabs>
                <w:tab w:val="left" w:pos="1530"/>
              </w:tabs>
              <w:jc w:val="center"/>
              <w:rPr>
                <w:rFonts w:eastAsia="Arial Unicode MS"/>
                <w:color w:val="000000"/>
                <w:sz w:val="19"/>
                <w:szCs w:val="19"/>
                <w:lang w:val="en-GB"/>
              </w:rPr>
            </w:pPr>
          </w:p>
          <w:p w14:paraId="7E450134" w14:textId="000FD029" w:rsidR="009170FA" w:rsidRPr="001C35AD" w:rsidRDefault="0055200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9D534C5" w14:textId="77777777" w:rsidR="00552000" w:rsidRPr="001C35AD" w:rsidRDefault="00552000" w:rsidP="00FB6027">
            <w:pPr>
              <w:tabs>
                <w:tab w:val="left" w:pos="1530"/>
              </w:tabs>
              <w:jc w:val="center"/>
              <w:rPr>
                <w:rFonts w:eastAsia="Arial Unicode MS"/>
                <w:color w:val="000000"/>
                <w:sz w:val="19"/>
                <w:szCs w:val="19"/>
                <w:lang w:val="en-GB"/>
              </w:rPr>
            </w:pPr>
          </w:p>
          <w:p w14:paraId="5B91B669" w14:textId="77777777" w:rsidR="00637D4B" w:rsidRPr="001C35AD" w:rsidRDefault="00637D4B" w:rsidP="00FB6027">
            <w:pPr>
              <w:tabs>
                <w:tab w:val="left" w:pos="1530"/>
              </w:tabs>
              <w:jc w:val="center"/>
              <w:rPr>
                <w:rFonts w:eastAsia="Arial Unicode MS"/>
                <w:color w:val="000000"/>
                <w:sz w:val="19"/>
                <w:szCs w:val="19"/>
                <w:lang w:val="en-GB"/>
              </w:rPr>
            </w:pPr>
          </w:p>
          <w:p w14:paraId="384C2C24" w14:textId="7C04B49C" w:rsidR="009170FA" w:rsidRPr="001C35AD" w:rsidRDefault="0055200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97E4BA" w14:textId="77777777" w:rsidR="009170FA" w:rsidRPr="001C35AD" w:rsidRDefault="009170FA" w:rsidP="00FB6027">
            <w:pPr>
              <w:tabs>
                <w:tab w:val="left" w:pos="1530"/>
              </w:tabs>
              <w:jc w:val="center"/>
              <w:rPr>
                <w:rFonts w:eastAsia="Arial Unicode MS"/>
                <w:color w:val="000000"/>
                <w:sz w:val="19"/>
                <w:szCs w:val="19"/>
                <w:lang w:val="en-GB"/>
              </w:rPr>
            </w:pPr>
          </w:p>
          <w:p w14:paraId="1E4E8EFB" w14:textId="77777777" w:rsidR="00637D4B" w:rsidRPr="001C35AD" w:rsidRDefault="00637D4B" w:rsidP="00FB6027">
            <w:pPr>
              <w:tabs>
                <w:tab w:val="left" w:pos="1530"/>
              </w:tabs>
              <w:jc w:val="center"/>
              <w:rPr>
                <w:rFonts w:eastAsia="Arial Unicode MS"/>
                <w:color w:val="000000"/>
                <w:sz w:val="19"/>
                <w:szCs w:val="19"/>
                <w:lang w:val="en-GB"/>
              </w:rPr>
            </w:pPr>
          </w:p>
          <w:p w14:paraId="5D462B7B" w14:textId="71928D95" w:rsidR="00552000" w:rsidRPr="001C35AD" w:rsidRDefault="00552000"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1E7980" w14:textId="77777777" w:rsidR="009170FA" w:rsidRPr="001C35AD" w:rsidRDefault="009170FA" w:rsidP="00FB6027">
            <w:pPr>
              <w:tabs>
                <w:tab w:val="left" w:pos="1530"/>
              </w:tabs>
              <w:jc w:val="center"/>
              <w:rPr>
                <w:rFonts w:eastAsia="Arial Unicode MS"/>
                <w:color w:val="000000"/>
                <w:sz w:val="19"/>
                <w:szCs w:val="19"/>
                <w:lang w:val="en-GB"/>
              </w:rPr>
            </w:pPr>
          </w:p>
          <w:p w14:paraId="35543F14" w14:textId="77777777" w:rsidR="00637D4B" w:rsidRPr="001C35AD" w:rsidRDefault="00637D4B" w:rsidP="00FB6027">
            <w:pPr>
              <w:tabs>
                <w:tab w:val="left" w:pos="1530"/>
              </w:tabs>
              <w:jc w:val="center"/>
              <w:rPr>
                <w:rFonts w:eastAsia="Arial Unicode MS"/>
                <w:color w:val="000000"/>
                <w:sz w:val="19"/>
                <w:szCs w:val="19"/>
                <w:lang w:val="en-GB"/>
              </w:rPr>
            </w:pPr>
          </w:p>
          <w:p w14:paraId="67FEF5AF" w14:textId="46D004C8" w:rsidR="000B2A8B" w:rsidRPr="001C35AD" w:rsidRDefault="000B2A8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7</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14:paraId="6E4DFE12" w14:textId="77777777" w:rsidR="009170FA" w:rsidRPr="001C35AD" w:rsidRDefault="009170FA" w:rsidP="00FB6027">
            <w:pPr>
              <w:tabs>
                <w:tab w:val="left" w:pos="1530"/>
              </w:tabs>
              <w:jc w:val="center"/>
              <w:rPr>
                <w:rFonts w:eastAsia="Arial Unicode MS"/>
                <w:color w:val="000000"/>
                <w:sz w:val="19"/>
                <w:szCs w:val="19"/>
                <w:lang w:val="en-GB"/>
              </w:rPr>
            </w:pPr>
          </w:p>
          <w:p w14:paraId="764D7FDE" w14:textId="77777777" w:rsidR="000B2A8B" w:rsidRPr="001C35AD" w:rsidRDefault="000B2A8B" w:rsidP="00FB6027">
            <w:pPr>
              <w:tabs>
                <w:tab w:val="left" w:pos="1530"/>
              </w:tabs>
              <w:jc w:val="center"/>
              <w:rPr>
                <w:rFonts w:eastAsia="Arial Unicode MS"/>
                <w:color w:val="000000"/>
                <w:sz w:val="19"/>
                <w:szCs w:val="19"/>
                <w:lang w:val="en-GB"/>
              </w:rPr>
            </w:pPr>
          </w:p>
          <w:p w14:paraId="3B2418E9" w14:textId="162F6348" w:rsidR="000B2A8B" w:rsidRPr="001C35AD" w:rsidRDefault="000B2A8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D8D73" w14:textId="77777777" w:rsidR="009170FA" w:rsidRPr="001C35AD" w:rsidRDefault="009170FA" w:rsidP="00FB6027">
            <w:pPr>
              <w:tabs>
                <w:tab w:val="left" w:pos="1530"/>
              </w:tabs>
              <w:jc w:val="center"/>
              <w:rPr>
                <w:rFonts w:eastAsia="Arial Unicode MS"/>
                <w:color w:val="000000"/>
                <w:sz w:val="19"/>
                <w:szCs w:val="19"/>
                <w:lang w:val="en-GB"/>
              </w:rPr>
            </w:pPr>
          </w:p>
          <w:p w14:paraId="1A561C93" w14:textId="77777777" w:rsidR="000B2A8B" w:rsidRPr="001C35AD" w:rsidRDefault="000B2A8B" w:rsidP="00FB6027">
            <w:pPr>
              <w:tabs>
                <w:tab w:val="left" w:pos="1530"/>
              </w:tabs>
              <w:jc w:val="center"/>
              <w:rPr>
                <w:rFonts w:eastAsia="Arial Unicode MS"/>
                <w:color w:val="000000"/>
                <w:sz w:val="19"/>
                <w:szCs w:val="19"/>
                <w:lang w:val="en-GB"/>
              </w:rPr>
            </w:pPr>
          </w:p>
          <w:p w14:paraId="72DC706B" w14:textId="7492EF44" w:rsidR="000B2A8B" w:rsidRPr="001C35AD" w:rsidRDefault="000B2A8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74D4470" w14:textId="77777777" w:rsidR="009170FA" w:rsidRPr="001C35AD" w:rsidRDefault="009170FA" w:rsidP="00FB6027">
            <w:pPr>
              <w:tabs>
                <w:tab w:val="left" w:pos="1530"/>
              </w:tabs>
              <w:jc w:val="center"/>
              <w:rPr>
                <w:rFonts w:eastAsia="Arial Unicode MS"/>
                <w:color w:val="000000"/>
                <w:sz w:val="19"/>
                <w:szCs w:val="19"/>
                <w:lang w:val="en-GB"/>
              </w:rPr>
            </w:pPr>
          </w:p>
          <w:p w14:paraId="0EB26080" w14:textId="77777777" w:rsidR="000B2A8B" w:rsidRPr="001C35AD" w:rsidRDefault="000B2A8B" w:rsidP="00FB6027">
            <w:pPr>
              <w:tabs>
                <w:tab w:val="left" w:pos="1530"/>
              </w:tabs>
              <w:jc w:val="center"/>
              <w:rPr>
                <w:rFonts w:eastAsia="Arial Unicode MS"/>
                <w:color w:val="000000"/>
                <w:sz w:val="19"/>
                <w:szCs w:val="19"/>
                <w:lang w:val="en-GB"/>
              </w:rPr>
            </w:pPr>
          </w:p>
          <w:p w14:paraId="0DD1A78B" w14:textId="6C2CD53B" w:rsidR="000B2A8B" w:rsidRPr="001C35AD" w:rsidRDefault="000B2A8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064BA24" w14:textId="77777777" w:rsidR="009170FA" w:rsidRPr="001C35AD" w:rsidRDefault="009170FA" w:rsidP="00FB6027">
            <w:pPr>
              <w:tabs>
                <w:tab w:val="left" w:pos="1530"/>
              </w:tabs>
              <w:jc w:val="center"/>
              <w:rPr>
                <w:rFonts w:eastAsia="Arial Unicode MS"/>
                <w:color w:val="000000"/>
                <w:sz w:val="19"/>
                <w:szCs w:val="19"/>
                <w:lang w:val="en-GB"/>
              </w:rPr>
            </w:pPr>
          </w:p>
          <w:p w14:paraId="34E8E186" w14:textId="77777777" w:rsidR="000B2A8B" w:rsidRPr="001C35AD" w:rsidRDefault="000B2A8B" w:rsidP="00FB6027">
            <w:pPr>
              <w:tabs>
                <w:tab w:val="left" w:pos="1530"/>
              </w:tabs>
              <w:jc w:val="center"/>
              <w:rPr>
                <w:rFonts w:eastAsia="Arial Unicode MS"/>
                <w:color w:val="000000"/>
                <w:sz w:val="19"/>
                <w:szCs w:val="19"/>
                <w:lang w:val="en-GB"/>
              </w:rPr>
            </w:pPr>
          </w:p>
          <w:p w14:paraId="3F153DE9" w14:textId="65209C9B" w:rsidR="000B2A8B" w:rsidRPr="001C35AD" w:rsidRDefault="000B2A8B" w:rsidP="00FB6027">
            <w:pPr>
              <w:tabs>
                <w:tab w:val="left" w:pos="1530"/>
              </w:tabs>
              <w:jc w:val="center"/>
              <w:rPr>
                <w:rFonts w:eastAsia="Arial Unicode MS"/>
                <w:color w:val="000000"/>
                <w:sz w:val="19"/>
                <w:szCs w:val="19"/>
                <w:lang w:val="en-GB"/>
              </w:rPr>
            </w:pPr>
            <w:r w:rsidRPr="001C35AD">
              <w:rPr>
                <w:rFonts w:eastAsia="Arial Unicode MS"/>
                <w:color w:val="000000"/>
                <w:sz w:val="19"/>
                <w:szCs w:val="19"/>
                <w:lang w:val="en-GB"/>
              </w:rPr>
              <w:t>-</w:t>
            </w:r>
          </w:p>
        </w:tc>
      </w:tr>
      <w:tr w:rsidR="00002BDD" w:rsidRPr="001C35AD" w14:paraId="7836D243" w14:textId="77777777" w:rsidTr="000C127E">
        <w:trPr>
          <w:cantSplit/>
          <w:trHeight w:val="715"/>
        </w:trPr>
        <w:tc>
          <w:tcPr>
            <w:tcW w:w="152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E1BFF21" w14:textId="77777777" w:rsidR="00690C60" w:rsidRPr="001C35AD" w:rsidRDefault="00690C60" w:rsidP="00FB6027">
            <w:pPr>
              <w:tabs>
                <w:tab w:val="left" w:pos="1530"/>
              </w:tabs>
              <w:rPr>
                <w:rFonts w:eastAsia="Arial Unicode MS"/>
                <w:b/>
                <w:bCs/>
                <w:color w:val="000000"/>
                <w:lang w:val="en-GB"/>
              </w:rPr>
            </w:pPr>
            <w:r w:rsidRPr="001C35AD">
              <w:rPr>
                <w:rFonts w:eastAsia="Arial Unicode MS"/>
                <w:b/>
                <w:bCs/>
                <w:color w:val="000000"/>
                <w:lang w:val="en-GB"/>
              </w:rPr>
              <w:lastRenderedPageBreak/>
              <w:t xml:space="preserve"> </w:t>
            </w:r>
          </w:p>
          <w:p w14:paraId="43178EAC" w14:textId="77777777" w:rsidR="00690C60" w:rsidRPr="001C35AD" w:rsidRDefault="00690C60" w:rsidP="00FB6027">
            <w:pPr>
              <w:tabs>
                <w:tab w:val="left" w:pos="1530"/>
              </w:tabs>
              <w:rPr>
                <w:rFonts w:eastAsia="Arial Unicode MS"/>
                <w:b/>
                <w:bCs/>
                <w:color w:val="000000"/>
                <w:lang w:val="en-GB"/>
              </w:rPr>
            </w:pPr>
            <w:r w:rsidRPr="001C35AD">
              <w:rPr>
                <w:rFonts w:eastAsia="Arial Unicode MS"/>
                <w:b/>
                <w:bCs/>
                <w:color w:val="000000"/>
                <w:lang w:val="en-GB"/>
              </w:rPr>
              <w:t xml:space="preserve"> Total</w:t>
            </w:r>
          </w:p>
        </w:tc>
        <w:tc>
          <w:tcPr>
            <w:tcW w:w="315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9C935B9" w14:textId="77777777" w:rsidR="00690C60" w:rsidRPr="001C35AD" w:rsidRDefault="00690C60" w:rsidP="00FB6027">
            <w:pPr>
              <w:tabs>
                <w:tab w:val="left" w:pos="1530"/>
              </w:tabs>
              <w:ind w:left="90"/>
              <w:rPr>
                <w:rFonts w:eastAsia="Arial Unicode MS"/>
                <w:b/>
                <w:bCs/>
                <w:color w:val="000000"/>
                <w:sz w:val="19"/>
                <w:szCs w:val="19"/>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9986156" w14:textId="4EC8EFD2" w:rsidR="00690C60" w:rsidRPr="001C35AD" w:rsidRDefault="00FC06CB"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50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5DB2649" w14:textId="11D0A8B5" w:rsidR="00690C60" w:rsidRPr="001C35AD" w:rsidRDefault="00FC06CB"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28707C" w14:textId="77777777" w:rsidR="00690C60" w:rsidRPr="001C35AD" w:rsidRDefault="00690C60" w:rsidP="00FB6027">
            <w:pPr>
              <w:tabs>
                <w:tab w:val="left" w:pos="1530"/>
              </w:tabs>
              <w:jc w:val="center"/>
              <w:rPr>
                <w:rFonts w:eastAsia="Arial Unicode MS"/>
                <w:b/>
                <w:bCs/>
                <w:color w:val="000000"/>
                <w:sz w:val="19"/>
                <w:szCs w:val="19"/>
                <w:lang w:val="en-GB"/>
              </w:rPr>
            </w:pPr>
          </w:p>
          <w:p w14:paraId="1E5A53BA" w14:textId="78700196" w:rsidR="0033338B" w:rsidRPr="001C35AD" w:rsidRDefault="0033338B"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6</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A4AC789" w14:textId="78034D31" w:rsidR="00690C60" w:rsidRPr="001C35AD" w:rsidRDefault="000C756A"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2</w:t>
            </w:r>
            <w:r w:rsidR="009A52FB" w:rsidRPr="001C35AD">
              <w:rPr>
                <w:rFonts w:eastAsia="Arial Unicode MS"/>
                <w:b/>
                <w:bCs/>
                <w:color w:val="000000"/>
                <w:sz w:val="19"/>
                <w:szCs w:val="19"/>
                <w:lang w:val="en-GB"/>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14:paraId="74CB3381" w14:textId="77777777" w:rsidR="00690C60" w:rsidRPr="001C35AD" w:rsidRDefault="00690C60" w:rsidP="00FB6027">
            <w:pPr>
              <w:tabs>
                <w:tab w:val="left" w:pos="1530"/>
              </w:tabs>
              <w:jc w:val="center"/>
              <w:rPr>
                <w:rFonts w:eastAsia="Arial Unicode MS"/>
                <w:b/>
                <w:bCs/>
                <w:color w:val="000000"/>
                <w:sz w:val="19"/>
                <w:szCs w:val="19"/>
                <w:lang w:val="en-GB"/>
              </w:rPr>
            </w:pPr>
          </w:p>
          <w:p w14:paraId="2A51F09E" w14:textId="61A1E2DB" w:rsidR="0033338B" w:rsidRPr="001C35AD" w:rsidRDefault="009A52FB"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672B2F" w14:textId="77777777" w:rsidR="00690C60" w:rsidRPr="001C35AD" w:rsidRDefault="00690C60" w:rsidP="00FB6027">
            <w:pPr>
              <w:tabs>
                <w:tab w:val="left" w:pos="1530"/>
              </w:tabs>
              <w:jc w:val="center"/>
              <w:rPr>
                <w:rFonts w:eastAsia="Arial Unicode MS"/>
                <w:b/>
                <w:bCs/>
                <w:color w:val="000000"/>
                <w:sz w:val="19"/>
                <w:szCs w:val="19"/>
                <w:lang w:val="en-GB"/>
              </w:rPr>
            </w:pPr>
          </w:p>
          <w:p w14:paraId="28CB54C9" w14:textId="438F82B1" w:rsidR="0033338B" w:rsidRPr="001C35AD" w:rsidRDefault="000C756A"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21DB507" w14:textId="77777777" w:rsidR="00690C60" w:rsidRPr="001C35AD" w:rsidRDefault="00690C60" w:rsidP="00FB6027">
            <w:pPr>
              <w:tabs>
                <w:tab w:val="left" w:pos="1530"/>
              </w:tabs>
              <w:jc w:val="center"/>
              <w:rPr>
                <w:rFonts w:eastAsia="Arial Unicode MS"/>
                <w:b/>
                <w:bCs/>
                <w:color w:val="000000"/>
                <w:sz w:val="19"/>
                <w:szCs w:val="19"/>
                <w:lang w:val="en-GB"/>
              </w:rPr>
            </w:pPr>
          </w:p>
          <w:p w14:paraId="73C15AF1" w14:textId="4E413D80" w:rsidR="0033338B" w:rsidRPr="001C35AD" w:rsidRDefault="000C756A"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4</w:t>
            </w:r>
          </w:p>
          <w:p w14:paraId="2A685F6D" w14:textId="58B6B16C" w:rsidR="0033338B" w:rsidRPr="001C35AD" w:rsidRDefault="0033338B" w:rsidP="00FB6027">
            <w:pPr>
              <w:tabs>
                <w:tab w:val="left" w:pos="1530"/>
              </w:tabs>
              <w:jc w:val="center"/>
              <w:rPr>
                <w:rFonts w:eastAsia="Arial Unicode MS"/>
                <w:b/>
                <w:bCs/>
                <w:color w:val="000000"/>
                <w:sz w:val="19"/>
                <w:szCs w:val="19"/>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03EFF05" w14:textId="77777777" w:rsidR="00690C60" w:rsidRPr="001C35AD" w:rsidRDefault="00690C60" w:rsidP="00FB6027">
            <w:pPr>
              <w:tabs>
                <w:tab w:val="left" w:pos="1530"/>
              </w:tabs>
              <w:jc w:val="center"/>
              <w:rPr>
                <w:rFonts w:eastAsia="Arial Unicode MS"/>
                <w:b/>
                <w:bCs/>
                <w:color w:val="000000"/>
                <w:sz w:val="19"/>
                <w:szCs w:val="19"/>
                <w:lang w:val="en-GB"/>
              </w:rPr>
            </w:pPr>
          </w:p>
          <w:p w14:paraId="7FE7BC7C" w14:textId="1D0688DE" w:rsidR="0033338B" w:rsidRPr="001C35AD" w:rsidRDefault="009A52FB" w:rsidP="00FB6027">
            <w:pPr>
              <w:tabs>
                <w:tab w:val="left" w:pos="1530"/>
              </w:tabs>
              <w:jc w:val="center"/>
              <w:rPr>
                <w:rFonts w:eastAsia="Arial Unicode MS"/>
                <w:b/>
                <w:bCs/>
                <w:color w:val="000000"/>
                <w:sz w:val="19"/>
                <w:szCs w:val="19"/>
                <w:lang w:val="en-GB"/>
              </w:rPr>
            </w:pPr>
            <w:r w:rsidRPr="001C35AD">
              <w:rPr>
                <w:rFonts w:eastAsia="Arial Unicode MS"/>
                <w:b/>
                <w:bCs/>
                <w:color w:val="000000"/>
                <w:sz w:val="19"/>
                <w:szCs w:val="19"/>
                <w:lang w:val="en-GB"/>
              </w:rPr>
              <w:t>2</w:t>
            </w:r>
          </w:p>
        </w:tc>
      </w:tr>
    </w:tbl>
    <w:p w14:paraId="09DFCB68" w14:textId="0E21C256" w:rsidR="001376F0" w:rsidRPr="001C35AD" w:rsidRDefault="001376F0"/>
    <w:tbl>
      <w:tblPr>
        <w:tblpPr w:leftFromText="180" w:rightFromText="180" w:vertAnchor="text" w:tblpX="-665" w:tblpY="1"/>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85"/>
      </w:tblGrid>
      <w:tr w:rsidR="00002BDD" w:rsidRPr="00A361AE" w14:paraId="67FFF638" w14:textId="77777777" w:rsidTr="00FB6027">
        <w:trPr>
          <w:cantSplit/>
          <w:trHeight w:val="17"/>
        </w:trPr>
        <w:tc>
          <w:tcPr>
            <w:tcW w:w="1448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A2D4B66" w14:textId="30AA21CF" w:rsidR="00690C60" w:rsidRPr="001C35AD" w:rsidRDefault="00690C60" w:rsidP="00FB6027">
            <w:pPr>
              <w:keepNext/>
              <w:keepLines/>
              <w:tabs>
                <w:tab w:val="left" w:pos="1080"/>
                <w:tab w:val="left" w:pos="1530"/>
                <w:tab w:val="right" w:pos="8920"/>
              </w:tabs>
              <w:spacing w:line="240" w:lineRule="auto"/>
              <w:ind w:left="94"/>
              <w:jc w:val="both"/>
              <w:outlineLvl w:val="0"/>
              <w:rPr>
                <w:rFonts w:eastAsia="Arial Unicode MS"/>
                <w:b/>
                <w:color w:val="000000"/>
                <w:lang w:val="en-GB"/>
              </w:rPr>
            </w:pPr>
            <w:r w:rsidRPr="001C35AD">
              <w:rPr>
                <w:rFonts w:eastAsia="Arial Unicode MS"/>
                <w:b/>
                <w:color w:val="000000"/>
                <w:lang w:val="en-GB"/>
              </w:rPr>
              <w:t>Reports of the Joint Inspection Unit issued in 2018 not relevant to UNDP</w:t>
            </w:r>
          </w:p>
          <w:p w14:paraId="02F7E593" w14:textId="77777777" w:rsidR="00B73E9B" w:rsidRPr="001C35AD" w:rsidRDefault="00245EB3" w:rsidP="00FB6027">
            <w:pPr>
              <w:keepNext/>
              <w:keepLines/>
              <w:tabs>
                <w:tab w:val="left" w:pos="1080"/>
                <w:tab w:val="left" w:pos="1530"/>
                <w:tab w:val="right" w:pos="8920"/>
              </w:tabs>
              <w:spacing w:line="240" w:lineRule="auto"/>
              <w:ind w:left="94" w:right="180"/>
              <w:jc w:val="both"/>
              <w:outlineLvl w:val="0"/>
              <w:rPr>
                <w:rFonts w:eastAsia="Arial Unicode MS"/>
                <w:color w:val="000000"/>
                <w:lang w:val="en-GB"/>
              </w:rPr>
            </w:pPr>
            <w:hyperlink r:id="rId60" w:history="1">
              <w:r w:rsidR="00690C60" w:rsidRPr="001C35AD">
                <w:rPr>
                  <w:rStyle w:val="Hyperlink"/>
                  <w:rFonts w:eastAsia="Arial Unicode MS"/>
                  <w:lang w:val="en-GB"/>
                </w:rPr>
                <w:t>JIU/REP/2018/2</w:t>
              </w:r>
            </w:hyperlink>
            <w:r w:rsidR="00690C60" w:rsidRPr="001C35AD">
              <w:rPr>
                <w:rFonts w:eastAsia="Arial Unicode MS"/>
                <w:color w:val="000000"/>
                <w:lang w:val="en-GB"/>
              </w:rPr>
              <w:t xml:space="preserve">: Progress report on the recommendations contained in the review of South-South and triangular cooperation in the United Nations system </w:t>
            </w:r>
          </w:p>
          <w:p w14:paraId="66B27A05" w14:textId="7B2ED94B" w:rsidR="00690C60" w:rsidRPr="00A361AE" w:rsidRDefault="00245EB3" w:rsidP="00FB6027">
            <w:pPr>
              <w:keepNext/>
              <w:keepLines/>
              <w:tabs>
                <w:tab w:val="left" w:pos="1080"/>
                <w:tab w:val="left" w:pos="1530"/>
                <w:tab w:val="right" w:pos="8920"/>
              </w:tabs>
              <w:spacing w:line="240" w:lineRule="auto"/>
              <w:ind w:left="94" w:right="180"/>
              <w:jc w:val="both"/>
              <w:outlineLvl w:val="0"/>
              <w:rPr>
                <w:rFonts w:eastAsia="Arial Unicode MS"/>
                <w:color w:val="000000"/>
                <w:lang w:val="en-GB"/>
              </w:rPr>
            </w:pPr>
            <w:hyperlink r:id="rId61" w:history="1">
              <w:r w:rsidR="00690C60" w:rsidRPr="001C35AD">
                <w:rPr>
                  <w:rStyle w:val="Hyperlink"/>
                  <w:rFonts w:eastAsia="Arial Unicode MS"/>
                  <w:lang w:val="en-GB"/>
                </w:rPr>
                <w:t>JIU/REP/2018/3</w:t>
              </w:r>
            </w:hyperlink>
            <w:r w:rsidR="00690C60" w:rsidRPr="001C35AD">
              <w:rPr>
                <w:rFonts w:eastAsia="Arial Unicode MS"/>
                <w:color w:val="000000"/>
                <w:lang w:val="en-GB"/>
              </w:rPr>
              <w:t>: Review of management and administration in the United Nations Office for Project Services (UNOPS)</w:t>
            </w:r>
            <w:r w:rsidR="00690C60" w:rsidRPr="00A361AE">
              <w:rPr>
                <w:rFonts w:eastAsia="Arial Unicode MS"/>
                <w:color w:val="000000"/>
                <w:lang w:val="en-GB"/>
              </w:rPr>
              <w:t xml:space="preserve"> </w:t>
            </w:r>
          </w:p>
        </w:tc>
      </w:tr>
    </w:tbl>
    <w:p w14:paraId="7E6AAB9E" w14:textId="371D4868" w:rsidR="007D03CD" w:rsidRPr="00A81063" w:rsidRDefault="007D03CD" w:rsidP="00FB6027">
      <w:pPr>
        <w:suppressAutoHyphens w:val="0"/>
        <w:spacing w:line="240" w:lineRule="auto"/>
        <w:rPr>
          <w:rFonts w:eastAsia="Arial Unicode MS"/>
          <w:bCs/>
          <w:color w:val="000000"/>
          <w:lang w:val="en-GB"/>
        </w:rPr>
      </w:pPr>
    </w:p>
    <w:sectPr w:rsidR="007D03CD" w:rsidRPr="00A81063" w:rsidSect="001944A8">
      <w:headerReference w:type="even" r:id="rId62"/>
      <w:headerReference w:type="default" r:id="rId63"/>
      <w:headerReference w:type="first" r:id="rId64"/>
      <w:pgSz w:w="15840" w:h="12240" w:orient="landscape"/>
      <w:pgMar w:top="1195" w:right="1354" w:bottom="1166" w:left="1152" w:header="360" w:footer="1037" w:gutter="0"/>
      <w:cols w:space="720"/>
      <w:titlePg/>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B217B" w14:textId="77777777" w:rsidR="005110F8" w:rsidRDefault="005110F8">
      <w:r>
        <w:separator/>
      </w:r>
    </w:p>
  </w:endnote>
  <w:endnote w:type="continuationSeparator" w:id="0">
    <w:p w14:paraId="76348025" w14:textId="77777777" w:rsidR="005110F8" w:rsidRDefault="005110F8">
      <w:r>
        <w:continuationSeparator/>
      </w:r>
    </w:p>
  </w:endnote>
  <w:endnote w:type="continuationNotice" w:id="1">
    <w:p w14:paraId="3F31B93F" w14:textId="77777777" w:rsidR="005110F8" w:rsidRDefault="005110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Barcode 3 of 9 by request">
    <w:altName w:val="Calibri"/>
    <w:charset w:val="00"/>
    <w:family w:val="swiss"/>
    <w:pitch w:val="variable"/>
    <w:sig w:usb0="00000003" w:usb1="00000000" w:usb2="00000000" w:usb3="00000000" w:csb0="00000001" w:csb1="00000000"/>
  </w:font>
  <w:font w:name="NHLPOM+TimesNewRoman,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311477971"/>
      <w:docPartObj>
        <w:docPartGallery w:val="Page Numbers (Bottom of Page)"/>
        <w:docPartUnique/>
      </w:docPartObj>
    </w:sdtPr>
    <w:sdtEndPr>
      <w:rPr>
        <w:noProof/>
      </w:rPr>
    </w:sdtEndPr>
    <w:sdtContent>
      <w:p w14:paraId="6920A77E" w14:textId="77777777" w:rsidR="003959C0" w:rsidRPr="00BE2589" w:rsidRDefault="003959C0" w:rsidP="00417278">
        <w:pPr>
          <w:pStyle w:val="Footer"/>
          <w:ind w:hanging="90"/>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4217635"/>
      <w:docPartObj>
        <w:docPartGallery w:val="Page Numbers (Bottom of Page)"/>
        <w:docPartUnique/>
      </w:docPartObj>
    </w:sdtPr>
    <w:sdtEndPr>
      <w:rPr>
        <w:noProof/>
      </w:rPr>
    </w:sdtEndPr>
    <w:sdtContent>
      <w:p w14:paraId="34472B07" w14:textId="6AE99C67" w:rsidR="003959C0" w:rsidRDefault="003959C0" w:rsidP="004A5F99">
        <w:pPr>
          <w:pStyle w:val="Footer"/>
          <w:tabs>
            <w:tab w:val="left" w:pos="9450"/>
            <w:tab w:val="left" w:pos="12780"/>
          </w:tabs>
          <w:ind w:right="900"/>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731979343"/>
      <w:docPartObj>
        <w:docPartGallery w:val="Page Numbers (Bottom of Page)"/>
        <w:docPartUnique/>
      </w:docPartObj>
    </w:sdtPr>
    <w:sdtEndPr>
      <w:rPr>
        <w:noProof/>
      </w:rPr>
    </w:sdtEndPr>
    <w:sdtContent>
      <w:p w14:paraId="090F6553" w14:textId="77777777" w:rsidR="003959C0" w:rsidRPr="00BE2589" w:rsidRDefault="003959C0" w:rsidP="004A5F99">
        <w:pPr>
          <w:pStyle w:val="Footer"/>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022859808"/>
      <w:docPartObj>
        <w:docPartGallery w:val="Page Numbers (Bottom of Page)"/>
        <w:docPartUnique/>
      </w:docPartObj>
    </w:sdtPr>
    <w:sdtEndPr>
      <w:rPr>
        <w:noProof/>
      </w:rPr>
    </w:sdtEndPr>
    <w:sdtContent>
      <w:p w14:paraId="4412BC72" w14:textId="77777777" w:rsidR="003959C0" w:rsidRDefault="003959C0" w:rsidP="004A5F99">
        <w:pPr>
          <w:pStyle w:val="Footer"/>
          <w:tabs>
            <w:tab w:val="left" w:pos="9720"/>
            <w:tab w:val="left" w:pos="10080"/>
            <w:tab w:val="left" w:pos="10170"/>
            <w:tab w:val="left" w:pos="12780"/>
          </w:tabs>
          <w:ind w:right="245"/>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F16E" w14:textId="77777777" w:rsidR="005110F8" w:rsidRDefault="005110F8">
      <w:r>
        <w:separator/>
      </w:r>
    </w:p>
  </w:footnote>
  <w:footnote w:type="continuationSeparator" w:id="0">
    <w:p w14:paraId="62F2E255" w14:textId="77777777" w:rsidR="005110F8" w:rsidRDefault="005110F8">
      <w:r>
        <w:continuationSeparator/>
      </w:r>
    </w:p>
  </w:footnote>
  <w:footnote w:type="continuationNotice" w:id="1">
    <w:p w14:paraId="620E3471" w14:textId="77777777" w:rsidR="005110F8" w:rsidRDefault="005110F8">
      <w:pPr>
        <w:spacing w:line="240" w:lineRule="auto"/>
      </w:pPr>
    </w:p>
  </w:footnote>
  <w:footnote w:id="2">
    <w:p w14:paraId="4DFC7055" w14:textId="1BF96995" w:rsidR="003959C0" w:rsidRPr="00712580" w:rsidRDefault="003959C0" w:rsidP="00712580">
      <w:pPr>
        <w:pStyle w:val="FootnoteText"/>
        <w:tabs>
          <w:tab w:val="clear" w:pos="418"/>
        </w:tabs>
        <w:ind w:left="0" w:firstLine="0"/>
        <w:jc w:val="both"/>
        <w:rPr>
          <w:sz w:val="18"/>
          <w:szCs w:val="18"/>
        </w:rPr>
      </w:pPr>
      <w:r>
        <w:rPr>
          <w:rStyle w:val="FootnoteReference"/>
        </w:rPr>
        <w:footnoteRef/>
      </w:r>
      <w:r>
        <w:t xml:space="preserve"> </w:t>
      </w:r>
      <w:r>
        <w:rPr>
          <w:sz w:val="18"/>
          <w:szCs w:val="18"/>
        </w:rPr>
        <w:t>Full m</w:t>
      </w:r>
      <w:r w:rsidRPr="00FF05EE">
        <w:rPr>
          <w:sz w:val="18"/>
          <w:szCs w:val="18"/>
        </w:rPr>
        <w:t>anagement response update narratives to all JIU reviews are provided in the JIU’s web-based tracking system</w:t>
      </w:r>
      <w:r>
        <w:rPr>
          <w:sz w:val="18"/>
          <w:szCs w:val="18"/>
        </w:rPr>
        <w:t xml:space="preserve"> </w:t>
      </w:r>
      <w:r w:rsidRPr="00A144C0">
        <w:rPr>
          <w:sz w:val="18"/>
          <w:szCs w:val="18"/>
        </w:rPr>
        <w:t>accessible to Member State</w:t>
      </w:r>
      <w:r>
        <w:rPr>
          <w:sz w:val="18"/>
          <w:szCs w:val="18"/>
        </w:rPr>
        <w:t xml:space="preserve">s. The management response narrative to </w:t>
      </w:r>
      <w:hyperlink r:id="rId1" w:history="1">
        <w:r w:rsidRPr="00712580">
          <w:rPr>
            <w:color w:val="0000FF"/>
            <w:sz w:val="18"/>
            <w:szCs w:val="18"/>
            <w:u w:val="single"/>
          </w:rPr>
          <w:t>JIU/REP/2019/9</w:t>
        </w:r>
      </w:hyperlink>
      <w:r w:rsidRPr="00712580">
        <w:rPr>
          <w:sz w:val="18"/>
          <w:szCs w:val="18"/>
        </w:rPr>
        <w:t xml:space="preserve">: </w:t>
      </w:r>
      <w:r w:rsidRPr="00F8121D">
        <w:rPr>
          <w:i/>
          <w:iCs/>
          <w:sz w:val="18"/>
          <w:szCs w:val="18"/>
        </w:rPr>
        <w:t>Review of contemporary practices in the external outsourcing of services to commercial service providers by United Nations system organizations</w:t>
      </w:r>
      <w:r>
        <w:rPr>
          <w:sz w:val="18"/>
          <w:szCs w:val="18"/>
        </w:rPr>
        <w:t xml:space="preserve"> is included in the present report.</w:t>
      </w:r>
    </w:p>
  </w:footnote>
  <w:footnote w:id="3">
    <w:p w14:paraId="503804F6" w14:textId="51609D68" w:rsidR="003959C0" w:rsidRPr="00FF05EE" w:rsidRDefault="003959C0" w:rsidP="00330F73">
      <w:pPr>
        <w:pStyle w:val="FootnoteText"/>
        <w:ind w:left="0" w:firstLine="0"/>
        <w:jc w:val="both"/>
        <w:rPr>
          <w:sz w:val="18"/>
          <w:szCs w:val="18"/>
        </w:rPr>
      </w:pPr>
      <w:r w:rsidRPr="00FF05EE">
        <w:rPr>
          <w:rStyle w:val="FootnoteReference"/>
          <w:sz w:val="18"/>
          <w:szCs w:val="18"/>
        </w:rPr>
        <w:footnoteRef/>
      </w:r>
      <w:r w:rsidRPr="00FF05EE">
        <w:rPr>
          <w:sz w:val="18"/>
          <w:szCs w:val="18"/>
        </w:rPr>
        <w:t xml:space="preserve"> </w:t>
      </w:r>
      <w:r>
        <w:rPr>
          <w:sz w:val="18"/>
          <w:szCs w:val="18"/>
        </w:rPr>
        <w:t>Full m</w:t>
      </w:r>
      <w:r w:rsidRPr="00FF05EE">
        <w:rPr>
          <w:sz w:val="18"/>
          <w:szCs w:val="18"/>
        </w:rPr>
        <w:t>anagement response update narratives to all JIU reviews are provided in the JIU’s web-based tracking system</w:t>
      </w:r>
      <w:r>
        <w:rPr>
          <w:sz w:val="18"/>
          <w:szCs w:val="18"/>
        </w:rPr>
        <w:t xml:space="preserve"> </w:t>
      </w:r>
      <w:r w:rsidRPr="00A144C0">
        <w:rPr>
          <w:sz w:val="18"/>
          <w:szCs w:val="18"/>
        </w:rPr>
        <w:t>accessible to Member States.</w:t>
      </w:r>
    </w:p>
  </w:footnote>
  <w:footnote w:id="4">
    <w:p w14:paraId="05CFA7DB" w14:textId="1FA93ED5" w:rsidR="003959C0" w:rsidRPr="00FF05EE" w:rsidRDefault="003959C0" w:rsidP="00002BDD">
      <w:pPr>
        <w:pStyle w:val="FootnoteText"/>
        <w:tabs>
          <w:tab w:val="clear" w:pos="418"/>
          <w:tab w:val="right" w:pos="0"/>
        </w:tabs>
        <w:ind w:left="0" w:firstLine="0"/>
        <w:jc w:val="both"/>
        <w:rPr>
          <w:sz w:val="18"/>
          <w:szCs w:val="18"/>
        </w:rPr>
      </w:pPr>
      <w:r w:rsidRPr="00FF05EE">
        <w:rPr>
          <w:rStyle w:val="FootnoteReference"/>
          <w:sz w:val="18"/>
          <w:szCs w:val="18"/>
        </w:rPr>
        <w:footnoteRef/>
      </w:r>
      <w:r w:rsidRPr="00FF05EE">
        <w:rPr>
          <w:sz w:val="18"/>
          <w:szCs w:val="18"/>
        </w:rPr>
        <w:t xml:space="preserve"> The </w:t>
      </w:r>
      <w:r>
        <w:rPr>
          <w:sz w:val="18"/>
          <w:szCs w:val="18"/>
        </w:rPr>
        <w:t xml:space="preserve">full </w:t>
      </w:r>
      <w:r w:rsidRPr="00FF05EE">
        <w:rPr>
          <w:sz w:val="18"/>
          <w:szCs w:val="18"/>
        </w:rPr>
        <w:t xml:space="preserve">management response to this JIU review is provided in the JIU’s web-based tracking, as at the time of the </w:t>
      </w:r>
      <w:r w:rsidRPr="00FF05EE">
        <w:rPr>
          <w:i/>
          <w:sz w:val="18"/>
          <w:szCs w:val="18"/>
        </w:rPr>
        <w:t>Report of UNDP on the recommendations of the Joint Inspection Unit in 2018</w:t>
      </w:r>
      <w:r w:rsidRPr="00FF05EE">
        <w:rPr>
          <w:sz w:val="18"/>
          <w:szCs w:val="18"/>
        </w:rPr>
        <w:t xml:space="preserve"> </w:t>
      </w:r>
      <w:r w:rsidRPr="00FF05EE">
        <w:rPr>
          <w:i/>
          <w:sz w:val="18"/>
          <w:szCs w:val="18"/>
        </w:rPr>
        <w:t xml:space="preserve">(DP/2019/10/Add.1) </w:t>
      </w:r>
      <w:r w:rsidRPr="00FF05EE">
        <w:rPr>
          <w:sz w:val="18"/>
          <w:szCs w:val="18"/>
        </w:rPr>
        <w:t>this JIU review was not yet published.</w:t>
      </w:r>
    </w:p>
    <w:p w14:paraId="1B576A17" w14:textId="6E4C7273" w:rsidR="003959C0" w:rsidRPr="00FF05EE" w:rsidRDefault="003959C0">
      <w:pPr>
        <w:pStyle w:val="Footnote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0" w:type="dxa"/>
      <w:tblBorders>
        <w:bottom w:val="single" w:sz="4" w:space="0" w:color="auto"/>
      </w:tblBorders>
      <w:tblLayout w:type="fixed"/>
      <w:tblCellMar>
        <w:left w:w="0" w:type="dxa"/>
        <w:right w:w="0" w:type="dxa"/>
      </w:tblCellMar>
      <w:tblLook w:val="04A0" w:firstRow="1" w:lastRow="0" w:firstColumn="1" w:lastColumn="0" w:noHBand="0" w:noVBand="1"/>
    </w:tblPr>
    <w:tblGrid>
      <w:gridCol w:w="5460"/>
      <w:gridCol w:w="8546"/>
    </w:tblGrid>
    <w:tr w:rsidR="003959C0" w14:paraId="4CF6C83F" w14:textId="77777777" w:rsidTr="007E735F">
      <w:trPr>
        <w:trHeight w:hRule="exact" w:val="633"/>
      </w:trPr>
      <w:tc>
        <w:tcPr>
          <w:tcW w:w="5460" w:type="dxa"/>
          <w:tcBorders>
            <w:top w:val="nil"/>
            <w:left w:val="nil"/>
            <w:bottom w:val="single" w:sz="4" w:space="0" w:color="auto"/>
            <w:right w:val="nil"/>
          </w:tcBorders>
          <w:vAlign w:val="bottom"/>
        </w:tcPr>
        <w:p w14:paraId="3B55AD18" w14:textId="4A504860" w:rsidR="003959C0" w:rsidRPr="00A10898" w:rsidRDefault="007E735F" w:rsidP="00AC421B">
          <w:pPr>
            <w:pStyle w:val="Header"/>
            <w:spacing w:after="60"/>
            <w:rPr>
              <w:b/>
            </w:rPr>
          </w:pPr>
          <w:r>
            <w:rPr>
              <w:b/>
              <w:position w:val="-4"/>
            </w:rPr>
            <w:t xml:space="preserve">Annexes to </w:t>
          </w:r>
          <w:r w:rsidR="003959C0">
            <w:rPr>
              <w:b/>
              <w:position w:val="-4"/>
            </w:rPr>
            <w:t xml:space="preserve">DP/2021/16/Add.1 </w:t>
          </w:r>
        </w:p>
      </w:tc>
      <w:tc>
        <w:tcPr>
          <w:tcW w:w="8546" w:type="dxa"/>
          <w:tcBorders>
            <w:top w:val="nil"/>
            <w:left w:val="nil"/>
            <w:bottom w:val="single" w:sz="4" w:space="0" w:color="auto"/>
            <w:right w:val="nil"/>
          </w:tcBorders>
          <w:vAlign w:val="bottom"/>
        </w:tcPr>
        <w:p w14:paraId="60DE5885" w14:textId="42481248" w:rsidR="003959C0" w:rsidRDefault="003959C0" w:rsidP="00AC421B">
          <w:pPr>
            <w:pStyle w:val="Header"/>
            <w:spacing w:after="80"/>
            <w:jc w:val="right"/>
            <w:rPr>
              <w:b/>
            </w:rPr>
          </w:pPr>
        </w:p>
      </w:tc>
    </w:tr>
  </w:tbl>
  <w:p w14:paraId="7CC2841C" w14:textId="48719D17" w:rsidR="003959C0" w:rsidRDefault="0039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2C54" w14:textId="77777777" w:rsidR="003959C0" w:rsidRDefault="003959C0" w:rsidP="007D03CD">
    <w:pPr>
      <w:pStyle w:val="Header"/>
      <w:jc w:val="right"/>
    </w:pPr>
  </w:p>
  <w:tbl>
    <w:tblPr>
      <w:tblW w:w="0" w:type="auto"/>
      <w:tblInd w:w="-180" w:type="dxa"/>
      <w:tblBorders>
        <w:bottom w:val="single" w:sz="4" w:space="0" w:color="auto"/>
      </w:tblBorders>
      <w:tblLayout w:type="fixed"/>
      <w:tblCellMar>
        <w:left w:w="0" w:type="dxa"/>
        <w:right w:w="0" w:type="dxa"/>
      </w:tblCellMar>
      <w:tblLook w:val="04A0" w:firstRow="1" w:lastRow="0" w:firstColumn="1" w:lastColumn="0" w:noHBand="0" w:noVBand="1"/>
    </w:tblPr>
    <w:tblGrid>
      <w:gridCol w:w="5404"/>
      <w:gridCol w:w="8276"/>
    </w:tblGrid>
    <w:tr w:rsidR="003959C0" w14:paraId="5023D785" w14:textId="77777777" w:rsidTr="007E735F">
      <w:trPr>
        <w:trHeight w:hRule="exact" w:val="633"/>
      </w:trPr>
      <w:tc>
        <w:tcPr>
          <w:tcW w:w="5404" w:type="dxa"/>
          <w:tcBorders>
            <w:top w:val="nil"/>
            <w:left w:val="nil"/>
            <w:bottom w:val="single" w:sz="4" w:space="0" w:color="auto"/>
            <w:right w:val="nil"/>
          </w:tcBorders>
          <w:vAlign w:val="bottom"/>
        </w:tcPr>
        <w:p w14:paraId="1B8C5D26" w14:textId="77777777" w:rsidR="003959C0" w:rsidRPr="00A10898" w:rsidRDefault="003959C0" w:rsidP="00AC421B">
          <w:pPr>
            <w:pStyle w:val="Header"/>
            <w:spacing w:after="60"/>
            <w:rPr>
              <w:b/>
            </w:rPr>
          </w:pPr>
        </w:p>
      </w:tc>
      <w:tc>
        <w:tcPr>
          <w:tcW w:w="8276" w:type="dxa"/>
          <w:tcBorders>
            <w:top w:val="nil"/>
            <w:left w:val="nil"/>
            <w:bottom w:val="single" w:sz="4" w:space="0" w:color="auto"/>
            <w:right w:val="nil"/>
          </w:tcBorders>
          <w:vAlign w:val="bottom"/>
          <w:hideMark/>
        </w:tcPr>
        <w:p w14:paraId="72DE2AFB" w14:textId="23F12A64" w:rsidR="003959C0" w:rsidRDefault="007E735F" w:rsidP="00AC421B">
          <w:pPr>
            <w:pStyle w:val="Header"/>
            <w:spacing w:after="80"/>
            <w:jc w:val="right"/>
            <w:rPr>
              <w:b/>
            </w:rPr>
          </w:pPr>
          <w:r>
            <w:rPr>
              <w:b/>
              <w:position w:val="-4"/>
            </w:rPr>
            <w:t xml:space="preserve">Annexes to </w:t>
          </w:r>
          <w:r w:rsidR="003959C0">
            <w:rPr>
              <w:b/>
              <w:position w:val="-4"/>
            </w:rPr>
            <w:t xml:space="preserve">DP/2021/16/Add.1      </w:t>
          </w:r>
        </w:p>
      </w:tc>
    </w:tr>
  </w:tbl>
  <w:p w14:paraId="0A0FD85F" w14:textId="77777777" w:rsidR="003959C0" w:rsidRDefault="003959C0" w:rsidP="00AC421B">
    <w:pPr>
      <w:pStyle w:val="Header"/>
      <w:ind w:right="87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80" w:type="dxa"/>
      <w:tblInd w:w="-180" w:type="dxa"/>
      <w:tblBorders>
        <w:bottom w:val="single" w:sz="4" w:space="0" w:color="auto"/>
      </w:tblBorders>
      <w:tblLayout w:type="fixed"/>
      <w:tblCellMar>
        <w:left w:w="0" w:type="dxa"/>
        <w:right w:w="0" w:type="dxa"/>
      </w:tblCellMar>
      <w:tblLook w:val="04A0" w:firstRow="1" w:lastRow="0" w:firstColumn="1" w:lastColumn="0" w:noHBand="0" w:noVBand="1"/>
    </w:tblPr>
    <w:tblGrid>
      <w:gridCol w:w="3351"/>
      <w:gridCol w:w="3351"/>
      <w:gridCol w:w="6978"/>
    </w:tblGrid>
    <w:tr w:rsidR="007E735F" w14:paraId="5F6EB899" w14:textId="77777777" w:rsidTr="00726AC1">
      <w:trPr>
        <w:trHeight w:hRule="exact" w:val="933"/>
      </w:trPr>
      <w:tc>
        <w:tcPr>
          <w:tcW w:w="3351" w:type="dxa"/>
          <w:tcBorders>
            <w:top w:val="nil"/>
            <w:left w:val="nil"/>
            <w:bottom w:val="single" w:sz="4" w:space="0" w:color="auto"/>
            <w:right w:val="nil"/>
          </w:tcBorders>
          <w:vAlign w:val="bottom"/>
        </w:tcPr>
        <w:p w14:paraId="55996ED7" w14:textId="77777777" w:rsidR="007E735F" w:rsidRDefault="007E735F" w:rsidP="007E735F">
          <w:pPr>
            <w:pStyle w:val="Header"/>
            <w:spacing w:after="80"/>
            <w:rPr>
              <w:b/>
              <w:position w:val="-4"/>
            </w:rPr>
          </w:pPr>
        </w:p>
      </w:tc>
      <w:tc>
        <w:tcPr>
          <w:tcW w:w="3351" w:type="dxa"/>
          <w:tcBorders>
            <w:top w:val="nil"/>
            <w:left w:val="nil"/>
            <w:bottom w:val="single" w:sz="4" w:space="0" w:color="auto"/>
            <w:right w:val="nil"/>
          </w:tcBorders>
          <w:vAlign w:val="bottom"/>
          <w:hideMark/>
        </w:tcPr>
        <w:p w14:paraId="7A3E0B9D" w14:textId="77777777" w:rsidR="007E735F" w:rsidRDefault="007E735F" w:rsidP="007E735F">
          <w:pPr>
            <w:pStyle w:val="Header"/>
            <w:spacing w:after="80"/>
            <w:rPr>
              <w:b/>
            </w:rPr>
          </w:pPr>
        </w:p>
      </w:tc>
      <w:tc>
        <w:tcPr>
          <w:tcW w:w="6978" w:type="dxa"/>
          <w:tcBorders>
            <w:top w:val="nil"/>
            <w:left w:val="nil"/>
            <w:bottom w:val="single" w:sz="4" w:space="0" w:color="auto"/>
            <w:right w:val="nil"/>
          </w:tcBorders>
          <w:vAlign w:val="bottom"/>
        </w:tcPr>
        <w:p w14:paraId="39507A40" w14:textId="77777777" w:rsidR="007E735F" w:rsidRDefault="007E735F" w:rsidP="007E735F">
          <w:pPr>
            <w:pStyle w:val="Header"/>
            <w:spacing w:after="60"/>
            <w:jc w:val="right"/>
          </w:pPr>
          <w:r>
            <w:rPr>
              <w:b/>
              <w:position w:val="-4"/>
            </w:rPr>
            <w:t>Annexes to DP/2021/16/Add.1</w:t>
          </w:r>
        </w:p>
      </w:tc>
    </w:tr>
  </w:tbl>
  <w:p w14:paraId="3ABD6746" w14:textId="77777777" w:rsidR="007E735F" w:rsidRDefault="007E7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8" w:type="dxa"/>
      <w:tblBorders>
        <w:bottom w:val="single" w:sz="4" w:space="0" w:color="auto"/>
      </w:tblBorders>
      <w:tblLayout w:type="fixed"/>
      <w:tblCellMar>
        <w:left w:w="0" w:type="dxa"/>
        <w:right w:w="0" w:type="dxa"/>
      </w:tblCellMar>
      <w:tblLook w:val="04A0" w:firstRow="1" w:lastRow="0" w:firstColumn="1" w:lastColumn="0" w:noHBand="0" w:noVBand="1"/>
    </w:tblPr>
    <w:tblGrid>
      <w:gridCol w:w="3351"/>
      <w:gridCol w:w="3351"/>
      <w:gridCol w:w="3496"/>
    </w:tblGrid>
    <w:tr w:rsidR="003959C0" w14:paraId="7A215100" w14:textId="77777777" w:rsidTr="00AC421B">
      <w:trPr>
        <w:trHeight w:hRule="exact" w:val="933"/>
      </w:trPr>
      <w:tc>
        <w:tcPr>
          <w:tcW w:w="3351" w:type="dxa"/>
          <w:tcBorders>
            <w:top w:val="nil"/>
            <w:left w:val="nil"/>
            <w:bottom w:val="single" w:sz="4" w:space="0" w:color="auto"/>
            <w:right w:val="nil"/>
          </w:tcBorders>
          <w:vAlign w:val="bottom"/>
        </w:tcPr>
        <w:p w14:paraId="2D242BA1" w14:textId="1370DCE3" w:rsidR="003959C0" w:rsidRDefault="007E735F" w:rsidP="00AC421B">
          <w:pPr>
            <w:pStyle w:val="Header"/>
            <w:spacing w:after="80"/>
            <w:rPr>
              <w:b/>
              <w:position w:val="-4"/>
            </w:rPr>
          </w:pPr>
          <w:r>
            <w:rPr>
              <w:b/>
              <w:position w:val="-4"/>
            </w:rPr>
            <w:t xml:space="preserve">Annexes to </w:t>
          </w:r>
          <w:r w:rsidR="003959C0">
            <w:rPr>
              <w:b/>
              <w:position w:val="-4"/>
            </w:rPr>
            <w:t>DP/2021/16/Add.1</w:t>
          </w:r>
        </w:p>
      </w:tc>
      <w:tc>
        <w:tcPr>
          <w:tcW w:w="3351" w:type="dxa"/>
          <w:tcBorders>
            <w:top w:val="nil"/>
            <w:left w:val="nil"/>
            <w:bottom w:val="single" w:sz="4" w:space="0" w:color="auto"/>
            <w:right w:val="nil"/>
          </w:tcBorders>
          <w:vAlign w:val="bottom"/>
          <w:hideMark/>
        </w:tcPr>
        <w:p w14:paraId="5FAA7FDA" w14:textId="77777777" w:rsidR="003959C0" w:rsidRDefault="003959C0" w:rsidP="00AC421B">
          <w:pPr>
            <w:pStyle w:val="Header"/>
            <w:spacing w:after="80"/>
            <w:rPr>
              <w:b/>
            </w:rPr>
          </w:pPr>
        </w:p>
      </w:tc>
      <w:tc>
        <w:tcPr>
          <w:tcW w:w="3496" w:type="dxa"/>
          <w:tcBorders>
            <w:top w:val="nil"/>
            <w:left w:val="nil"/>
            <w:bottom w:val="single" w:sz="4" w:space="0" w:color="auto"/>
            <w:right w:val="nil"/>
          </w:tcBorders>
          <w:vAlign w:val="bottom"/>
        </w:tcPr>
        <w:p w14:paraId="2AF7A929" w14:textId="77777777" w:rsidR="003959C0" w:rsidRDefault="003959C0" w:rsidP="00AC421B">
          <w:pPr>
            <w:pStyle w:val="Header"/>
            <w:jc w:val="right"/>
          </w:pPr>
        </w:p>
      </w:tc>
    </w:tr>
  </w:tbl>
  <w:p w14:paraId="7EFD579E" w14:textId="77777777" w:rsidR="003959C0" w:rsidRDefault="003959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586B" w14:textId="77777777" w:rsidR="003959C0" w:rsidRDefault="003959C0" w:rsidP="007D03CD">
    <w:pPr>
      <w:pStyle w:val="Header"/>
      <w:jc w:val="right"/>
    </w:pPr>
  </w:p>
  <w:tbl>
    <w:tblPr>
      <w:tblW w:w="10198" w:type="dxa"/>
      <w:tblBorders>
        <w:bottom w:val="single" w:sz="4" w:space="0" w:color="auto"/>
      </w:tblBorders>
      <w:tblLayout w:type="fixed"/>
      <w:tblCellMar>
        <w:left w:w="0" w:type="dxa"/>
        <w:right w:w="0" w:type="dxa"/>
      </w:tblCellMar>
      <w:tblLook w:val="04A0" w:firstRow="1" w:lastRow="0" w:firstColumn="1" w:lastColumn="0" w:noHBand="0" w:noVBand="1"/>
    </w:tblPr>
    <w:tblGrid>
      <w:gridCol w:w="3351"/>
      <w:gridCol w:w="3351"/>
      <w:gridCol w:w="3496"/>
    </w:tblGrid>
    <w:tr w:rsidR="003959C0" w14:paraId="38D868B6" w14:textId="77777777" w:rsidTr="00B57E7A">
      <w:trPr>
        <w:trHeight w:hRule="exact" w:val="933"/>
      </w:trPr>
      <w:tc>
        <w:tcPr>
          <w:tcW w:w="3351" w:type="dxa"/>
          <w:tcBorders>
            <w:top w:val="nil"/>
            <w:left w:val="nil"/>
            <w:bottom w:val="single" w:sz="4" w:space="0" w:color="auto"/>
            <w:right w:val="nil"/>
          </w:tcBorders>
          <w:vAlign w:val="bottom"/>
        </w:tcPr>
        <w:p w14:paraId="2AD8F7DA" w14:textId="6D4F8551" w:rsidR="003959C0" w:rsidRDefault="003959C0" w:rsidP="00AC421B">
          <w:pPr>
            <w:pStyle w:val="Header"/>
            <w:spacing w:after="80"/>
            <w:rPr>
              <w:b/>
              <w:position w:val="-4"/>
            </w:rPr>
          </w:pPr>
        </w:p>
      </w:tc>
      <w:tc>
        <w:tcPr>
          <w:tcW w:w="3351" w:type="dxa"/>
          <w:tcBorders>
            <w:top w:val="nil"/>
            <w:left w:val="nil"/>
            <w:bottom w:val="single" w:sz="4" w:space="0" w:color="auto"/>
            <w:right w:val="nil"/>
          </w:tcBorders>
          <w:vAlign w:val="bottom"/>
          <w:hideMark/>
        </w:tcPr>
        <w:p w14:paraId="60A92D00" w14:textId="77777777" w:rsidR="003959C0" w:rsidRDefault="003959C0" w:rsidP="00AC421B">
          <w:pPr>
            <w:pStyle w:val="Header"/>
            <w:spacing w:after="80"/>
            <w:rPr>
              <w:b/>
            </w:rPr>
          </w:pPr>
        </w:p>
      </w:tc>
      <w:tc>
        <w:tcPr>
          <w:tcW w:w="3496" w:type="dxa"/>
          <w:tcBorders>
            <w:top w:val="nil"/>
            <w:left w:val="nil"/>
            <w:bottom w:val="single" w:sz="4" w:space="0" w:color="auto"/>
            <w:right w:val="nil"/>
          </w:tcBorders>
          <w:vAlign w:val="bottom"/>
        </w:tcPr>
        <w:p w14:paraId="55304BCA" w14:textId="72A04834" w:rsidR="003959C0" w:rsidRDefault="007E735F" w:rsidP="00AC421B">
          <w:pPr>
            <w:pStyle w:val="Header"/>
            <w:spacing w:after="60"/>
            <w:jc w:val="right"/>
          </w:pPr>
          <w:r>
            <w:rPr>
              <w:b/>
              <w:position w:val="-4"/>
            </w:rPr>
            <w:t xml:space="preserve">Annexes to </w:t>
          </w:r>
          <w:r w:rsidR="003959C0">
            <w:rPr>
              <w:b/>
              <w:position w:val="-4"/>
            </w:rPr>
            <w:t>DP/2021/16/Add.1</w:t>
          </w:r>
        </w:p>
      </w:tc>
    </w:tr>
  </w:tbl>
  <w:p w14:paraId="332E6E01" w14:textId="77777777" w:rsidR="003959C0" w:rsidRDefault="003959C0" w:rsidP="00AC421B">
    <w:pPr>
      <w:pStyle w:val="Header"/>
      <w:ind w:right="87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950" w:type="dxa"/>
      <w:tblInd w:w="-270" w:type="dxa"/>
      <w:tblBorders>
        <w:bottom w:val="single" w:sz="4" w:space="0" w:color="auto"/>
      </w:tblBorders>
      <w:tblLayout w:type="fixed"/>
      <w:tblCellMar>
        <w:left w:w="0" w:type="dxa"/>
        <w:right w:w="0" w:type="dxa"/>
      </w:tblCellMar>
      <w:tblLook w:val="04A0" w:firstRow="1" w:lastRow="0" w:firstColumn="1" w:lastColumn="0" w:noHBand="0" w:noVBand="1"/>
    </w:tblPr>
    <w:tblGrid>
      <w:gridCol w:w="3621"/>
      <w:gridCol w:w="3351"/>
      <w:gridCol w:w="6978"/>
    </w:tblGrid>
    <w:tr w:rsidR="007E735F" w14:paraId="2C147D85" w14:textId="77777777" w:rsidTr="007E735F">
      <w:trPr>
        <w:trHeight w:hRule="exact" w:val="933"/>
      </w:trPr>
      <w:tc>
        <w:tcPr>
          <w:tcW w:w="3621" w:type="dxa"/>
          <w:tcBorders>
            <w:top w:val="nil"/>
            <w:left w:val="nil"/>
            <w:bottom w:val="single" w:sz="4" w:space="0" w:color="auto"/>
            <w:right w:val="nil"/>
          </w:tcBorders>
          <w:vAlign w:val="bottom"/>
        </w:tcPr>
        <w:p w14:paraId="760FAAD5" w14:textId="77777777" w:rsidR="007E735F" w:rsidRDefault="007E735F" w:rsidP="00AC421B">
          <w:pPr>
            <w:pStyle w:val="Header"/>
            <w:spacing w:after="80"/>
            <w:rPr>
              <w:b/>
              <w:position w:val="-4"/>
            </w:rPr>
          </w:pPr>
          <w:r>
            <w:rPr>
              <w:b/>
              <w:position w:val="-4"/>
            </w:rPr>
            <w:t>Annexes to DP/2021/16/Add.1</w:t>
          </w:r>
        </w:p>
      </w:tc>
      <w:tc>
        <w:tcPr>
          <w:tcW w:w="3351" w:type="dxa"/>
          <w:tcBorders>
            <w:top w:val="nil"/>
            <w:left w:val="nil"/>
            <w:bottom w:val="single" w:sz="4" w:space="0" w:color="auto"/>
            <w:right w:val="nil"/>
          </w:tcBorders>
          <w:vAlign w:val="bottom"/>
          <w:hideMark/>
        </w:tcPr>
        <w:p w14:paraId="5219B752" w14:textId="77777777" w:rsidR="007E735F" w:rsidRDefault="007E735F" w:rsidP="00AC421B">
          <w:pPr>
            <w:pStyle w:val="Header"/>
            <w:spacing w:after="80"/>
            <w:rPr>
              <w:b/>
            </w:rPr>
          </w:pPr>
        </w:p>
      </w:tc>
      <w:tc>
        <w:tcPr>
          <w:tcW w:w="6978" w:type="dxa"/>
          <w:tcBorders>
            <w:top w:val="nil"/>
            <w:left w:val="nil"/>
            <w:bottom w:val="single" w:sz="4" w:space="0" w:color="auto"/>
            <w:right w:val="nil"/>
          </w:tcBorders>
          <w:vAlign w:val="bottom"/>
        </w:tcPr>
        <w:p w14:paraId="3F9AAE10" w14:textId="77777777" w:rsidR="007E735F" w:rsidRDefault="007E735F" w:rsidP="00AC421B">
          <w:pPr>
            <w:pStyle w:val="Header"/>
            <w:jc w:val="right"/>
          </w:pPr>
        </w:p>
      </w:tc>
    </w:tr>
  </w:tbl>
  <w:p w14:paraId="29202BC3" w14:textId="77777777" w:rsidR="007E735F" w:rsidRDefault="007E73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F559" w14:textId="77777777" w:rsidR="003959C0" w:rsidRDefault="003959C0" w:rsidP="007D03CD">
    <w:pPr>
      <w:pStyle w:val="Header"/>
      <w:jc w:val="right"/>
    </w:pPr>
  </w:p>
  <w:tbl>
    <w:tblPr>
      <w:tblW w:w="13680" w:type="dxa"/>
      <w:tblInd w:w="-180" w:type="dxa"/>
      <w:tblBorders>
        <w:bottom w:val="single" w:sz="4" w:space="0" w:color="auto"/>
      </w:tblBorders>
      <w:tblLayout w:type="fixed"/>
      <w:tblCellMar>
        <w:left w:w="0" w:type="dxa"/>
        <w:right w:w="0" w:type="dxa"/>
      </w:tblCellMar>
      <w:tblLook w:val="04A0" w:firstRow="1" w:lastRow="0" w:firstColumn="1" w:lastColumn="0" w:noHBand="0" w:noVBand="1"/>
    </w:tblPr>
    <w:tblGrid>
      <w:gridCol w:w="3351"/>
      <w:gridCol w:w="3351"/>
      <w:gridCol w:w="6978"/>
    </w:tblGrid>
    <w:tr w:rsidR="003959C0" w14:paraId="1CF16D18" w14:textId="77777777" w:rsidTr="00417278">
      <w:trPr>
        <w:trHeight w:hRule="exact" w:val="933"/>
      </w:trPr>
      <w:tc>
        <w:tcPr>
          <w:tcW w:w="3351" w:type="dxa"/>
          <w:tcBorders>
            <w:top w:val="nil"/>
            <w:left w:val="nil"/>
            <w:bottom w:val="single" w:sz="4" w:space="0" w:color="auto"/>
            <w:right w:val="nil"/>
          </w:tcBorders>
          <w:vAlign w:val="bottom"/>
        </w:tcPr>
        <w:p w14:paraId="38944D1F" w14:textId="77777777" w:rsidR="003959C0" w:rsidRDefault="003959C0" w:rsidP="00AC421B">
          <w:pPr>
            <w:pStyle w:val="Header"/>
            <w:spacing w:after="80"/>
            <w:rPr>
              <w:b/>
              <w:position w:val="-4"/>
            </w:rPr>
          </w:pPr>
        </w:p>
      </w:tc>
      <w:tc>
        <w:tcPr>
          <w:tcW w:w="3351" w:type="dxa"/>
          <w:tcBorders>
            <w:top w:val="nil"/>
            <w:left w:val="nil"/>
            <w:bottom w:val="single" w:sz="4" w:space="0" w:color="auto"/>
            <w:right w:val="nil"/>
          </w:tcBorders>
          <w:vAlign w:val="bottom"/>
          <w:hideMark/>
        </w:tcPr>
        <w:p w14:paraId="2C5F666B" w14:textId="77777777" w:rsidR="003959C0" w:rsidRDefault="003959C0" w:rsidP="00AC421B">
          <w:pPr>
            <w:pStyle w:val="Header"/>
            <w:spacing w:after="80"/>
            <w:rPr>
              <w:b/>
            </w:rPr>
          </w:pPr>
        </w:p>
      </w:tc>
      <w:tc>
        <w:tcPr>
          <w:tcW w:w="6978" w:type="dxa"/>
          <w:tcBorders>
            <w:top w:val="nil"/>
            <w:left w:val="nil"/>
            <w:bottom w:val="single" w:sz="4" w:space="0" w:color="auto"/>
            <w:right w:val="nil"/>
          </w:tcBorders>
          <w:vAlign w:val="bottom"/>
        </w:tcPr>
        <w:p w14:paraId="62E8EDA3" w14:textId="0B6B9F53" w:rsidR="003959C0" w:rsidRDefault="007E735F" w:rsidP="00AC421B">
          <w:pPr>
            <w:pStyle w:val="Header"/>
            <w:spacing w:after="60"/>
            <w:jc w:val="right"/>
          </w:pPr>
          <w:r>
            <w:rPr>
              <w:b/>
              <w:position w:val="-4"/>
            </w:rPr>
            <w:t xml:space="preserve">Annexes to </w:t>
          </w:r>
          <w:r w:rsidR="003959C0">
            <w:rPr>
              <w:b/>
              <w:position w:val="-4"/>
            </w:rPr>
            <w:t>DP/2021/16/Add.1</w:t>
          </w:r>
        </w:p>
      </w:tc>
    </w:tr>
  </w:tbl>
  <w:p w14:paraId="74F2F441" w14:textId="77777777" w:rsidR="003959C0" w:rsidRDefault="003959C0" w:rsidP="00AC421B">
    <w:pPr>
      <w:pStyle w:val="Header"/>
      <w:ind w:right="87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80" w:type="dxa"/>
      <w:tblInd w:w="-180" w:type="dxa"/>
      <w:tblBorders>
        <w:bottom w:val="single" w:sz="4" w:space="0" w:color="auto"/>
      </w:tblBorders>
      <w:tblLayout w:type="fixed"/>
      <w:tblCellMar>
        <w:left w:w="0" w:type="dxa"/>
        <w:right w:w="0" w:type="dxa"/>
      </w:tblCellMar>
      <w:tblLook w:val="04A0" w:firstRow="1" w:lastRow="0" w:firstColumn="1" w:lastColumn="0" w:noHBand="0" w:noVBand="1"/>
    </w:tblPr>
    <w:tblGrid>
      <w:gridCol w:w="3351"/>
      <w:gridCol w:w="3351"/>
      <w:gridCol w:w="6978"/>
    </w:tblGrid>
    <w:tr w:rsidR="007E735F" w14:paraId="7AD37768" w14:textId="77777777" w:rsidTr="00726AC1">
      <w:trPr>
        <w:trHeight w:hRule="exact" w:val="933"/>
      </w:trPr>
      <w:tc>
        <w:tcPr>
          <w:tcW w:w="3351" w:type="dxa"/>
          <w:tcBorders>
            <w:top w:val="nil"/>
            <w:left w:val="nil"/>
            <w:bottom w:val="single" w:sz="4" w:space="0" w:color="auto"/>
            <w:right w:val="nil"/>
          </w:tcBorders>
          <w:vAlign w:val="bottom"/>
        </w:tcPr>
        <w:p w14:paraId="0A27B610" w14:textId="77777777" w:rsidR="007E735F" w:rsidRDefault="007E735F" w:rsidP="007E735F">
          <w:pPr>
            <w:pStyle w:val="Header"/>
            <w:spacing w:after="80"/>
            <w:rPr>
              <w:b/>
              <w:position w:val="-4"/>
            </w:rPr>
          </w:pPr>
        </w:p>
      </w:tc>
      <w:tc>
        <w:tcPr>
          <w:tcW w:w="3351" w:type="dxa"/>
          <w:tcBorders>
            <w:top w:val="nil"/>
            <w:left w:val="nil"/>
            <w:bottom w:val="single" w:sz="4" w:space="0" w:color="auto"/>
            <w:right w:val="nil"/>
          </w:tcBorders>
          <w:vAlign w:val="bottom"/>
          <w:hideMark/>
        </w:tcPr>
        <w:p w14:paraId="30803232" w14:textId="77777777" w:rsidR="007E735F" w:rsidRDefault="007E735F" w:rsidP="007E735F">
          <w:pPr>
            <w:pStyle w:val="Header"/>
            <w:spacing w:after="80"/>
            <w:rPr>
              <w:b/>
            </w:rPr>
          </w:pPr>
        </w:p>
      </w:tc>
      <w:tc>
        <w:tcPr>
          <w:tcW w:w="6978" w:type="dxa"/>
          <w:tcBorders>
            <w:top w:val="nil"/>
            <w:left w:val="nil"/>
            <w:bottom w:val="single" w:sz="4" w:space="0" w:color="auto"/>
            <w:right w:val="nil"/>
          </w:tcBorders>
          <w:vAlign w:val="bottom"/>
        </w:tcPr>
        <w:p w14:paraId="41126C59" w14:textId="77777777" w:rsidR="007E735F" w:rsidRDefault="007E735F" w:rsidP="007E735F">
          <w:pPr>
            <w:pStyle w:val="Header"/>
            <w:spacing w:after="60"/>
            <w:jc w:val="right"/>
          </w:pPr>
          <w:r>
            <w:rPr>
              <w:b/>
              <w:position w:val="-4"/>
            </w:rPr>
            <w:t>Annexes to DP/2021/16/Add.1</w:t>
          </w:r>
        </w:p>
      </w:tc>
    </w:tr>
  </w:tbl>
  <w:p w14:paraId="1D98D242" w14:textId="77777777" w:rsidR="007E735F" w:rsidRDefault="007E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A96"/>
    <w:multiLevelType w:val="hybridMultilevel"/>
    <w:tmpl w:val="9572D214"/>
    <w:lvl w:ilvl="0" w:tplc="DF58B6E8">
      <w:start w:val="1"/>
      <w:numFmt w:val="upperLetter"/>
      <w:lvlText w:val="%1."/>
      <w:lvlJc w:val="left"/>
      <w:pPr>
        <w:ind w:left="1627" w:hanging="360"/>
      </w:pPr>
      <w:rPr>
        <w:b/>
        <w:sz w:val="24"/>
        <w:szCs w:val="24"/>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1" w15:restartNumberingAfterBreak="0">
    <w:nsid w:val="112C0A2B"/>
    <w:multiLevelType w:val="hybridMultilevel"/>
    <w:tmpl w:val="9572D214"/>
    <w:lvl w:ilvl="0" w:tplc="DF58B6E8">
      <w:start w:val="1"/>
      <w:numFmt w:val="upperLetter"/>
      <w:lvlText w:val="%1."/>
      <w:lvlJc w:val="left"/>
      <w:pPr>
        <w:ind w:left="1627" w:hanging="360"/>
      </w:pPr>
      <w:rPr>
        <w:b/>
        <w:sz w:val="24"/>
        <w:szCs w:val="24"/>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2" w15:restartNumberingAfterBreak="0">
    <w:nsid w:val="2E4A7777"/>
    <w:multiLevelType w:val="hybridMultilevel"/>
    <w:tmpl w:val="358804D0"/>
    <w:lvl w:ilvl="0" w:tplc="220A2E72">
      <w:start w:val="1"/>
      <w:numFmt w:val="decimal"/>
      <w:lvlText w:val="%1."/>
      <w:lvlJc w:val="left"/>
      <w:pPr>
        <w:ind w:left="2190" w:hanging="390"/>
      </w:pPr>
      <w:rPr>
        <w:rFonts w:eastAsia="Arial Unicode MS"/>
        <w:strike w:val="0"/>
        <w:dstrike w:val="0"/>
        <w:color w:val="000000"/>
        <w:sz w:val="20"/>
        <w:szCs w:val="20"/>
        <w:u w:val="none"/>
        <w:effect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34D519F6"/>
    <w:multiLevelType w:val="hybridMultilevel"/>
    <w:tmpl w:val="EF8C65D8"/>
    <w:lvl w:ilvl="0" w:tplc="F6EE8D3E">
      <w:start w:val="3"/>
      <w:numFmt w:val="lowerLetter"/>
      <w:lvlText w:val="%1)"/>
      <w:lvlJc w:val="left"/>
      <w:pPr>
        <w:ind w:left="1980" w:hanging="360"/>
      </w:pPr>
      <w:rPr>
        <w:rFonts w:ascii="Times New Roman" w:hAnsi="Times New Roman" w:hint="default"/>
        <w:sz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59720B9"/>
    <w:multiLevelType w:val="hybridMultilevel"/>
    <w:tmpl w:val="F9DE53E2"/>
    <w:lvl w:ilvl="0" w:tplc="B06EE998">
      <w:start w:val="5"/>
      <w:numFmt w:val="lowerLetter"/>
      <w:lvlText w:val="(%1)"/>
      <w:lvlJc w:val="left"/>
      <w:pPr>
        <w:ind w:left="1980" w:hanging="360"/>
      </w:pPr>
      <w:rPr>
        <w:rFonts w:ascii="Times New Roman" w:hAnsi="Times New Roman" w:hint="default"/>
        <w:sz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371875"/>
    <w:multiLevelType w:val="hybridMultilevel"/>
    <w:tmpl w:val="160E6684"/>
    <w:lvl w:ilvl="0" w:tplc="B05A011E">
      <w:numFmt w:val="bullet"/>
      <w:lvlText w:val="-"/>
      <w:lvlJc w:val="left"/>
      <w:pPr>
        <w:ind w:left="1980" w:hanging="360"/>
      </w:pPr>
      <w:rPr>
        <w:rFonts w:ascii="Times New Roman" w:eastAsia="Arial Unicode MS" w:hAnsi="Times New Roman" w:cs="Times New Roman"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474D1743"/>
    <w:multiLevelType w:val="hybridMultilevel"/>
    <w:tmpl w:val="AEB29898"/>
    <w:lvl w:ilvl="0" w:tplc="06402044">
      <w:start w:val="1"/>
      <w:numFmt w:val="upperRoman"/>
      <w:pStyle w:val="Heading2"/>
      <w:lvlText w:val="%1."/>
      <w:lvlJc w:val="left"/>
      <w:pPr>
        <w:tabs>
          <w:tab w:val="num" w:pos="1080"/>
        </w:tabs>
        <w:ind w:left="1080" w:hanging="720"/>
      </w:pPr>
    </w:lvl>
    <w:lvl w:ilvl="1" w:tplc="3202D806">
      <w:start w:val="1"/>
      <w:numFmt w:val="upperLetter"/>
      <w:lvlText w:val="%2."/>
      <w:lvlJc w:val="left"/>
      <w:pPr>
        <w:tabs>
          <w:tab w:val="num" w:pos="1440"/>
        </w:tabs>
        <w:ind w:left="1440" w:hanging="360"/>
      </w:pPr>
    </w:lvl>
    <w:lvl w:ilvl="2" w:tplc="D5A016B2">
      <w:start w:val="1"/>
      <w:numFmt w:val="lowerRoman"/>
      <w:lvlText w:val="%3."/>
      <w:lvlJc w:val="right"/>
      <w:pPr>
        <w:tabs>
          <w:tab w:val="num" w:pos="2160"/>
        </w:tabs>
        <w:ind w:left="2160" w:hanging="180"/>
      </w:pPr>
    </w:lvl>
    <w:lvl w:ilvl="3" w:tplc="EB2EFE20">
      <w:start w:val="1"/>
      <w:numFmt w:val="decimal"/>
      <w:lvlText w:val="%4."/>
      <w:lvlJc w:val="left"/>
      <w:pPr>
        <w:tabs>
          <w:tab w:val="num" w:pos="2880"/>
        </w:tabs>
        <w:ind w:left="2880" w:hanging="360"/>
      </w:pPr>
    </w:lvl>
    <w:lvl w:ilvl="4" w:tplc="C51EC936">
      <w:start w:val="1"/>
      <w:numFmt w:val="lowerLetter"/>
      <w:lvlText w:val="%5."/>
      <w:lvlJc w:val="left"/>
      <w:pPr>
        <w:tabs>
          <w:tab w:val="num" w:pos="3600"/>
        </w:tabs>
        <w:ind w:left="3600" w:hanging="360"/>
      </w:pPr>
    </w:lvl>
    <w:lvl w:ilvl="5" w:tplc="9A924E94">
      <w:start w:val="1"/>
      <w:numFmt w:val="lowerRoman"/>
      <w:lvlText w:val="%6."/>
      <w:lvlJc w:val="right"/>
      <w:pPr>
        <w:tabs>
          <w:tab w:val="num" w:pos="4320"/>
        </w:tabs>
        <w:ind w:left="4320" w:hanging="180"/>
      </w:pPr>
    </w:lvl>
    <w:lvl w:ilvl="6" w:tplc="EF52C708">
      <w:start w:val="1"/>
      <w:numFmt w:val="decimal"/>
      <w:lvlText w:val="%7."/>
      <w:lvlJc w:val="left"/>
      <w:pPr>
        <w:tabs>
          <w:tab w:val="num" w:pos="5040"/>
        </w:tabs>
        <w:ind w:left="5040" w:hanging="360"/>
      </w:pPr>
    </w:lvl>
    <w:lvl w:ilvl="7" w:tplc="09903902">
      <w:start w:val="1"/>
      <w:numFmt w:val="lowerLetter"/>
      <w:lvlText w:val="%8."/>
      <w:lvlJc w:val="left"/>
      <w:pPr>
        <w:tabs>
          <w:tab w:val="num" w:pos="5760"/>
        </w:tabs>
        <w:ind w:left="5760" w:hanging="360"/>
      </w:pPr>
    </w:lvl>
    <w:lvl w:ilvl="8" w:tplc="4F0843A8">
      <w:start w:val="1"/>
      <w:numFmt w:val="lowerRoman"/>
      <w:lvlText w:val="%9."/>
      <w:lvlJc w:val="right"/>
      <w:pPr>
        <w:tabs>
          <w:tab w:val="num" w:pos="6480"/>
        </w:tabs>
        <w:ind w:left="6480" w:hanging="180"/>
      </w:pPr>
    </w:lvl>
  </w:abstractNum>
  <w:abstractNum w:abstractNumId="7" w15:restartNumberingAfterBreak="0">
    <w:nsid w:val="508B23FC"/>
    <w:multiLevelType w:val="hybridMultilevel"/>
    <w:tmpl w:val="E228A91A"/>
    <w:lvl w:ilvl="0" w:tplc="04090001">
      <w:start w:val="1"/>
      <w:numFmt w:val="bullet"/>
      <w:lvlText w:val=""/>
      <w:lvlJc w:val="left"/>
      <w:pPr>
        <w:ind w:left="1980" w:hanging="360"/>
      </w:pPr>
      <w:rPr>
        <w:rFonts w:ascii="Symbol" w:hAnsi="Symbol" w:hint="default"/>
      </w:rPr>
    </w:lvl>
    <w:lvl w:ilvl="1" w:tplc="C10C89D0">
      <w:start w:val="6"/>
      <w:numFmt w:val="bullet"/>
      <w:lvlText w:val="-"/>
      <w:lvlJc w:val="left"/>
      <w:pPr>
        <w:ind w:left="2700" w:hanging="360"/>
      </w:pPr>
      <w:rPr>
        <w:rFonts w:ascii="Times New Roman" w:eastAsia="Arial Unicode MS"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60E0C40"/>
    <w:multiLevelType w:val="hybridMultilevel"/>
    <w:tmpl w:val="374E21E0"/>
    <w:lvl w:ilvl="0" w:tplc="E46A339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3726744">
      <w:start w:val="1"/>
      <w:numFmt w:val="lowerRoman"/>
      <w:lvlText w:val="(%4)"/>
      <w:lvlJc w:val="left"/>
      <w:pPr>
        <w:ind w:left="2520" w:hanging="360"/>
      </w:pPr>
      <w:rPr>
        <w:rFonts w:ascii="Times New Roman" w:eastAsia="Arial Unicode MS"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6E72BFA"/>
    <w:multiLevelType w:val="hybridMultilevel"/>
    <w:tmpl w:val="BB78875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5BB7363D"/>
    <w:multiLevelType w:val="hybridMultilevel"/>
    <w:tmpl w:val="0F36D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D4406"/>
    <w:multiLevelType w:val="multilevel"/>
    <w:tmpl w:val="FA60C5B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6BD46384"/>
    <w:multiLevelType w:val="hybridMultilevel"/>
    <w:tmpl w:val="7E9210BE"/>
    <w:lvl w:ilvl="0" w:tplc="98D6E648">
      <w:start w:val="1"/>
      <w:numFmt w:val="upperRoman"/>
      <w:pStyle w:val="aaamainhead"/>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71DD6CDF"/>
    <w:multiLevelType w:val="hybridMultilevel"/>
    <w:tmpl w:val="879857EC"/>
    <w:lvl w:ilvl="0" w:tplc="88F228FA">
      <w:start w:val="100"/>
      <w:numFmt w:val="lowerRoman"/>
      <w:lvlText w:val="(%1)"/>
      <w:lvlJc w:val="left"/>
      <w:pPr>
        <w:ind w:left="2340" w:hanging="720"/>
      </w:pPr>
      <w:rPr>
        <w:rFonts w:ascii="Times New Roman" w:hAnsi="Times New Roman" w:hint="default"/>
        <w:sz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74B50DA6"/>
    <w:multiLevelType w:val="hybridMultilevel"/>
    <w:tmpl w:val="FA36898E"/>
    <w:lvl w:ilvl="0" w:tplc="C57244A0">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15:restartNumberingAfterBreak="0">
    <w:nsid w:val="77611D80"/>
    <w:multiLevelType w:val="hybridMultilevel"/>
    <w:tmpl w:val="8578F22C"/>
    <w:lvl w:ilvl="0" w:tplc="4C68B168">
      <w:start w:val="1"/>
      <w:numFmt w:val="lowerRoman"/>
      <w:lvlText w:val="(%1)"/>
      <w:lvlJc w:val="left"/>
      <w:pPr>
        <w:ind w:left="908" w:hanging="72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5"/>
  </w:num>
  <w:num w:numId="16">
    <w:abstractNumId w:val="7"/>
  </w:num>
  <w:num w:numId="17">
    <w:abstractNumId w:val="1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activeWritingStyle w:appName="MSWord" w:lang="en-GB" w:vendorID="8" w:dllVersion="513" w:checkStyle="1"/>
  <w:proofState w:spelling="clean" w:grammar="clean"/>
  <w:doNotTrackFormatting/>
  <w:defaultTabStop w:val="475"/>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905900*"/>
    <w:docVar w:name="jobn" w:val="19-05900 (E)"/>
    <w:docVar w:name="JobNo" w:val="1905900E"/>
    <w:docVar w:name="ODSRefJobNo" w:val="1910301E"/>
    <w:docVar w:name="sss1" w:val="DP/2019/10/Add.1"/>
    <w:docVar w:name="sss2" w:val="-"/>
  </w:docVars>
  <w:rsids>
    <w:rsidRoot w:val="00A25929"/>
    <w:rsid w:val="00001042"/>
    <w:rsid w:val="00001153"/>
    <w:rsid w:val="00001FE6"/>
    <w:rsid w:val="00002BDD"/>
    <w:rsid w:val="00002D51"/>
    <w:rsid w:val="00002F97"/>
    <w:rsid w:val="000036F5"/>
    <w:rsid w:val="00003A8E"/>
    <w:rsid w:val="00003DD9"/>
    <w:rsid w:val="00004C52"/>
    <w:rsid w:val="00007F11"/>
    <w:rsid w:val="000100D3"/>
    <w:rsid w:val="00010FE6"/>
    <w:rsid w:val="000111A9"/>
    <w:rsid w:val="000114CB"/>
    <w:rsid w:val="000117AF"/>
    <w:rsid w:val="00013DC8"/>
    <w:rsid w:val="000143D9"/>
    <w:rsid w:val="00015314"/>
    <w:rsid w:val="0001539A"/>
    <w:rsid w:val="00015943"/>
    <w:rsid w:val="00015A20"/>
    <w:rsid w:val="000172C1"/>
    <w:rsid w:val="00017A47"/>
    <w:rsid w:val="00017D02"/>
    <w:rsid w:val="000207F3"/>
    <w:rsid w:val="00020DC9"/>
    <w:rsid w:val="000216CA"/>
    <w:rsid w:val="0002241B"/>
    <w:rsid w:val="00023358"/>
    <w:rsid w:val="00024561"/>
    <w:rsid w:val="000247D5"/>
    <w:rsid w:val="00024FF1"/>
    <w:rsid w:val="0002515E"/>
    <w:rsid w:val="00026E5C"/>
    <w:rsid w:val="00027453"/>
    <w:rsid w:val="00027EA2"/>
    <w:rsid w:val="000312F3"/>
    <w:rsid w:val="000324ED"/>
    <w:rsid w:val="00032D41"/>
    <w:rsid w:val="000331DD"/>
    <w:rsid w:val="00034394"/>
    <w:rsid w:val="00035A57"/>
    <w:rsid w:val="00037409"/>
    <w:rsid w:val="00041109"/>
    <w:rsid w:val="0004171E"/>
    <w:rsid w:val="00042076"/>
    <w:rsid w:val="000429D0"/>
    <w:rsid w:val="00042DBF"/>
    <w:rsid w:val="000438D3"/>
    <w:rsid w:val="00044391"/>
    <w:rsid w:val="00044F79"/>
    <w:rsid w:val="00045207"/>
    <w:rsid w:val="00046012"/>
    <w:rsid w:val="000464AD"/>
    <w:rsid w:val="00047A22"/>
    <w:rsid w:val="00047E6D"/>
    <w:rsid w:val="0005035D"/>
    <w:rsid w:val="00052107"/>
    <w:rsid w:val="00054914"/>
    <w:rsid w:val="000549B5"/>
    <w:rsid w:val="00054EA3"/>
    <w:rsid w:val="00055F51"/>
    <w:rsid w:val="000560E0"/>
    <w:rsid w:val="00057A2E"/>
    <w:rsid w:val="0006243F"/>
    <w:rsid w:val="0006246F"/>
    <w:rsid w:val="0006297B"/>
    <w:rsid w:val="00066B96"/>
    <w:rsid w:val="00070099"/>
    <w:rsid w:val="000718D6"/>
    <w:rsid w:val="00071C74"/>
    <w:rsid w:val="000722A5"/>
    <w:rsid w:val="000723AE"/>
    <w:rsid w:val="000729E6"/>
    <w:rsid w:val="000738A6"/>
    <w:rsid w:val="000738AB"/>
    <w:rsid w:val="00076790"/>
    <w:rsid w:val="00076888"/>
    <w:rsid w:val="00076E42"/>
    <w:rsid w:val="00081CDC"/>
    <w:rsid w:val="0008229A"/>
    <w:rsid w:val="00083F52"/>
    <w:rsid w:val="0008470B"/>
    <w:rsid w:val="00084E58"/>
    <w:rsid w:val="00085916"/>
    <w:rsid w:val="00086467"/>
    <w:rsid w:val="000864B1"/>
    <w:rsid w:val="00086529"/>
    <w:rsid w:val="00086C35"/>
    <w:rsid w:val="00087108"/>
    <w:rsid w:val="000916CF"/>
    <w:rsid w:val="00091ABB"/>
    <w:rsid w:val="000932E2"/>
    <w:rsid w:val="000932F1"/>
    <w:rsid w:val="00094972"/>
    <w:rsid w:val="00097C9B"/>
    <w:rsid w:val="000A14A0"/>
    <w:rsid w:val="000A378A"/>
    <w:rsid w:val="000A3855"/>
    <w:rsid w:val="000A4BB1"/>
    <w:rsid w:val="000A616F"/>
    <w:rsid w:val="000A670E"/>
    <w:rsid w:val="000A7BB1"/>
    <w:rsid w:val="000B06B4"/>
    <w:rsid w:val="000B299D"/>
    <w:rsid w:val="000B2A8B"/>
    <w:rsid w:val="000B2C98"/>
    <w:rsid w:val="000B369D"/>
    <w:rsid w:val="000B4C3E"/>
    <w:rsid w:val="000B4DDA"/>
    <w:rsid w:val="000B4E44"/>
    <w:rsid w:val="000B5035"/>
    <w:rsid w:val="000B53C4"/>
    <w:rsid w:val="000B6767"/>
    <w:rsid w:val="000B7D50"/>
    <w:rsid w:val="000C0F93"/>
    <w:rsid w:val="000C115C"/>
    <w:rsid w:val="000C127E"/>
    <w:rsid w:val="000C2594"/>
    <w:rsid w:val="000C330C"/>
    <w:rsid w:val="000C3AB6"/>
    <w:rsid w:val="000C467A"/>
    <w:rsid w:val="000C6B1B"/>
    <w:rsid w:val="000C756A"/>
    <w:rsid w:val="000D13CF"/>
    <w:rsid w:val="000D242E"/>
    <w:rsid w:val="000D2592"/>
    <w:rsid w:val="000D3C4E"/>
    <w:rsid w:val="000D4A05"/>
    <w:rsid w:val="000D78B6"/>
    <w:rsid w:val="000E0534"/>
    <w:rsid w:val="000F0259"/>
    <w:rsid w:val="000F058B"/>
    <w:rsid w:val="000F1009"/>
    <w:rsid w:val="000F2855"/>
    <w:rsid w:val="000F3BD2"/>
    <w:rsid w:val="000F4CA3"/>
    <w:rsid w:val="000F5A7F"/>
    <w:rsid w:val="000F5ACC"/>
    <w:rsid w:val="000F64EA"/>
    <w:rsid w:val="000F657D"/>
    <w:rsid w:val="000F7AD3"/>
    <w:rsid w:val="000F7BE9"/>
    <w:rsid w:val="000F7C63"/>
    <w:rsid w:val="00100596"/>
    <w:rsid w:val="0010354F"/>
    <w:rsid w:val="00103B9C"/>
    <w:rsid w:val="0010537E"/>
    <w:rsid w:val="00106678"/>
    <w:rsid w:val="00106F39"/>
    <w:rsid w:val="001078B6"/>
    <w:rsid w:val="00110200"/>
    <w:rsid w:val="00110D53"/>
    <w:rsid w:val="001124FF"/>
    <w:rsid w:val="00112B82"/>
    <w:rsid w:val="00112CC9"/>
    <w:rsid w:val="00114048"/>
    <w:rsid w:val="0011427A"/>
    <w:rsid w:val="00114397"/>
    <w:rsid w:val="001152EA"/>
    <w:rsid w:val="00116EF0"/>
    <w:rsid w:val="00117572"/>
    <w:rsid w:val="00121505"/>
    <w:rsid w:val="0012192D"/>
    <w:rsid w:val="00121A99"/>
    <w:rsid w:val="00121CD5"/>
    <w:rsid w:val="00126028"/>
    <w:rsid w:val="001326D5"/>
    <w:rsid w:val="0013350C"/>
    <w:rsid w:val="00134A36"/>
    <w:rsid w:val="00135A8B"/>
    <w:rsid w:val="0013606D"/>
    <w:rsid w:val="001376F0"/>
    <w:rsid w:val="00137A7F"/>
    <w:rsid w:val="00140F51"/>
    <w:rsid w:val="0014262C"/>
    <w:rsid w:val="00143453"/>
    <w:rsid w:val="001444D3"/>
    <w:rsid w:val="00146B99"/>
    <w:rsid w:val="00147CFA"/>
    <w:rsid w:val="0015036A"/>
    <w:rsid w:val="00151A61"/>
    <w:rsid w:val="0015283E"/>
    <w:rsid w:val="00153DCA"/>
    <w:rsid w:val="00153EFB"/>
    <w:rsid w:val="00154B13"/>
    <w:rsid w:val="0015651A"/>
    <w:rsid w:val="00157A29"/>
    <w:rsid w:val="00160AD5"/>
    <w:rsid w:val="0016239D"/>
    <w:rsid w:val="001633F9"/>
    <w:rsid w:val="00165995"/>
    <w:rsid w:val="001672ED"/>
    <w:rsid w:val="001674B7"/>
    <w:rsid w:val="0017006A"/>
    <w:rsid w:val="0017103F"/>
    <w:rsid w:val="0017278C"/>
    <w:rsid w:val="00172813"/>
    <w:rsid w:val="00172E72"/>
    <w:rsid w:val="00173A11"/>
    <w:rsid w:val="0017490A"/>
    <w:rsid w:val="00175C47"/>
    <w:rsid w:val="00176C13"/>
    <w:rsid w:val="00180F24"/>
    <w:rsid w:val="00180F42"/>
    <w:rsid w:val="00181D7F"/>
    <w:rsid w:val="00181E99"/>
    <w:rsid w:val="001823E2"/>
    <w:rsid w:val="00185E19"/>
    <w:rsid w:val="001905DD"/>
    <w:rsid w:val="00190AE1"/>
    <w:rsid w:val="0019191C"/>
    <w:rsid w:val="001920EE"/>
    <w:rsid w:val="00192119"/>
    <w:rsid w:val="0019322B"/>
    <w:rsid w:val="00193B74"/>
    <w:rsid w:val="001944A8"/>
    <w:rsid w:val="001955CE"/>
    <w:rsid w:val="001956BA"/>
    <w:rsid w:val="00195C8D"/>
    <w:rsid w:val="00197257"/>
    <w:rsid w:val="00197CB6"/>
    <w:rsid w:val="001A0092"/>
    <w:rsid w:val="001A06A3"/>
    <w:rsid w:val="001A1806"/>
    <w:rsid w:val="001A1D32"/>
    <w:rsid w:val="001A269E"/>
    <w:rsid w:val="001A3B06"/>
    <w:rsid w:val="001A3C38"/>
    <w:rsid w:val="001A5E07"/>
    <w:rsid w:val="001A6634"/>
    <w:rsid w:val="001A7891"/>
    <w:rsid w:val="001B0814"/>
    <w:rsid w:val="001B255A"/>
    <w:rsid w:val="001B2B92"/>
    <w:rsid w:val="001B408B"/>
    <w:rsid w:val="001B4EE1"/>
    <w:rsid w:val="001B5007"/>
    <w:rsid w:val="001B7BCD"/>
    <w:rsid w:val="001B7F9A"/>
    <w:rsid w:val="001C0825"/>
    <w:rsid w:val="001C35AD"/>
    <w:rsid w:val="001C4BA3"/>
    <w:rsid w:val="001C6426"/>
    <w:rsid w:val="001C6CF3"/>
    <w:rsid w:val="001C6D5B"/>
    <w:rsid w:val="001D0972"/>
    <w:rsid w:val="001D42A8"/>
    <w:rsid w:val="001D4E79"/>
    <w:rsid w:val="001D4E7F"/>
    <w:rsid w:val="001D5199"/>
    <w:rsid w:val="001D5619"/>
    <w:rsid w:val="001D5A53"/>
    <w:rsid w:val="001D5F4D"/>
    <w:rsid w:val="001D66D2"/>
    <w:rsid w:val="001E27CE"/>
    <w:rsid w:val="001E2C2B"/>
    <w:rsid w:val="001E4789"/>
    <w:rsid w:val="001E73FE"/>
    <w:rsid w:val="001E758F"/>
    <w:rsid w:val="001E7944"/>
    <w:rsid w:val="001F22C1"/>
    <w:rsid w:val="001F3503"/>
    <w:rsid w:val="001F45AD"/>
    <w:rsid w:val="001F63BE"/>
    <w:rsid w:val="001F6BB6"/>
    <w:rsid w:val="001F748B"/>
    <w:rsid w:val="00202B2A"/>
    <w:rsid w:val="00202CD1"/>
    <w:rsid w:val="002045DD"/>
    <w:rsid w:val="002067E0"/>
    <w:rsid w:val="00206A48"/>
    <w:rsid w:val="002070BE"/>
    <w:rsid w:val="0021039F"/>
    <w:rsid w:val="00211270"/>
    <w:rsid w:val="0021292C"/>
    <w:rsid w:val="00214BA2"/>
    <w:rsid w:val="00215D14"/>
    <w:rsid w:val="00216ABC"/>
    <w:rsid w:val="00216C7E"/>
    <w:rsid w:val="00216D38"/>
    <w:rsid w:val="002170A7"/>
    <w:rsid w:val="00221EF9"/>
    <w:rsid w:val="002227D8"/>
    <w:rsid w:val="0022328E"/>
    <w:rsid w:val="00223B03"/>
    <w:rsid w:val="00224391"/>
    <w:rsid w:val="00224CAB"/>
    <w:rsid w:val="002268F9"/>
    <w:rsid w:val="002277D5"/>
    <w:rsid w:val="0023136E"/>
    <w:rsid w:val="002313B6"/>
    <w:rsid w:val="0023182A"/>
    <w:rsid w:val="00231918"/>
    <w:rsid w:val="002325B4"/>
    <w:rsid w:val="00233177"/>
    <w:rsid w:val="002337C0"/>
    <w:rsid w:val="002350D1"/>
    <w:rsid w:val="00236971"/>
    <w:rsid w:val="00236B56"/>
    <w:rsid w:val="00237A96"/>
    <w:rsid w:val="0024041B"/>
    <w:rsid w:val="00241A2C"/>
    <w:rsid w:val="00243C1D"/>
    <w:rsid w:val="00245EB3"/>
    <w:rsid w:val="00246E40"/>
    <w:rsid w:val="00250F7C"/>
    <w:rsid w:val="002512B1"/>
    <w:rsid w:val="00251FA4"/>
    <w:rsid w:val="002523CD"/>
    <w:rsid w:val="00252702"/>
    <w:rsid w:val="002531B0"/>
    <w:rsid w:val="00253A3D"/>
    <w:rsid w:val="00253CB7"/>
    <w:rsid w:val="00256D35"/>
    <w:rsid w:val="00260664"/>
    <w:rsid w:val="00260829"/>
    <w:rsid w:val="00265D08"/>
    <w:rsid w:val="00266130"/>
    <w:rsid w:val="00267206"/>
    <w:rsid w:val="00267237"/>
    <w:rsid w:val="00267CEC"/>
    <w:rsid w:val="00270121"/>
    <w:rsid w:val="002702D7"/>
    <w:rsid w:val="00270788"/>
    <w:rsid w:val="00271485"/>
    <w:rsid w:val="0027164E"/>
    <w:rsid w:val="00273EF4"/>
    <w:rsid w:val="002745D4"/>
    <w:rsid w:val="002753C0"/>
    <w:rsid w:val="00275C42"/>
    <w:rsid w:val="002760CA"/>
    <w:rsid w:val="0027653A"/>
    <w:rsid w:val="00277A4C"/>
    <w:rsid w:val="0028006A"/>
    <w:rsid w:val="00280380"/>
    <w:rsid w:val="00281137"/>
    <w:rsid w:val="00281A6A"/>
    <w:rsid w:val="0028295A"/>
    <w:rsid w:val="00282BB3"/>
    <w:rsid w:val="00282CFF"/>
    <w:rsid w:val="0028617B"/>
    <w:rsid w:val="002865C8"/>
    <w:rsid w:val="00286A54"/>
    <w:rsid w:val="00287E4E"/>
    <w:rsid w:val="00291310"/>
    <w:rsid w:val="00293679"/>
    <w:rsid w:val="00295633"/>
    <w:rsid w:val="00296085"/>
    <w:rsid w:val="002A0ACC"/>
    <w:rsid w:val="002A1CC1"/>
    <w:rsid w:val="002A2C46"/>
    <w:rsid w:val="002A4753"/>
    <w:rsid w:val="002A4D45"/>
    <w:rsid w:val="002A5DBE"/>
    <w:rsid w:val="002B3271"/>
    <w:rsid w:val="002B5889"/>
    <w:rsid w:val="002B5B70"/>
    <w:rsid w:val="002B5DF9"/>
    <w:rsid w:val="002C08CE"/>
    <w:rsid w:val="002C1FA8"/>
    <w:rsid w:val="002C43AD"/>
    <w:rsid w:val="002C47F1"/>
    <w:rsid w:val="002C60FE"/>
    <w:rsid w:val="002C6C92"/>
    <w:rsid w:val="002C7F7D"/>
    <w:rsid w:val="002D0701"/>
    <w:rsid w:val="002D204E"/>
    <w:rsid w:val="002D28BB"/>
    <w:rsid w:val="002D3027"/>
    <w:rsid w:val="002D30E4"/>
    <w:rsid w:val="002D333C"/>
    <w:rsid w:val="002D3C41"/>
    <w:rsid w:val="002D494A"/>
    <w:rsid w:val="002D66F1"/>
    <w:rsid w:val="002D7211"/>
    <w:rsid w:val="002D745D"/>
    <w:rsid w:val="002E13AD"/>
    <w:rsid w:val="002E2996"/>
    <w:rsid w:val="002E336A"/>
    <w:rsid w:val="002E653B"/>
    <w:rsid w:val="002E6DA9"/>
    <w:rsid w:val="002E6DB6"/>
    <w:rsid w:val="002F0F50"/>
    <w:rsid w:val="002F1346"/>
    <w:rsid w:val="002F1FAD"/>
    <w:rsid w:val="002F2A9C"/>
    <w:rsid w:val="002F37F2"/>
    <w:rsid w:val="002F6019"/>
    <w:rsid w:val="002F70F9"/>
    <w:rsid w:val="0030027F"/>
    <w:rsid w:val="00300329"/>
    <w:rsid w:val="0030077D"/>
    <w:rsid w:val="00301207"/>
    <w:rsid w:val="00301B3A"/>
    <w:rsid w:val="00301FC9"/>
    <w:rsid w:val="003029CD"/>
    <w:rsid w:val="00304DA9"/>
    <w:rsid w:val="003059CA"/>
    <w:rsid w:val="00306F91"/>
    <w:rsid w:val="00307989"/>
    <w:rsid w:val="00311142"/>
    <w:rsid w:val="0031196B"/>
    <w:rsid w:val="00313143"/>
    <w:rsid w:val="00314813"/>
    <w:rsid w:val="003148F4"/>
    <w:rsid w:val="0031593C"/>
    <w:rsid w:val="00316655"/>
    <w:rsid w:val="003169FA"/>
    <w:rsid w:val="0032085E"/>
    <w:rsid w:val="0032158B"/>
    <w:rsid w:val="00321F42"/>
    <w:rsid w:val="00322877"/>
    <w:rsid w:val="003238B4"/>
    <w:rsid w:val="00323CED"/>
    <w:rsid w:val="00324E6C"/>
    <w:rsid w:val="00324F8D"/>
    <w:rsid w:val="003255E7"/>
    <w:rsid w:val="00326EED"/>
    <w:rsid w:val="00330864"/>
    <w:rsid w:val="00330F50"/>
    <w:rsid w:val="00330F73"/>
    <w:rsid w:val="00332211"/>
    <w:rsid w:val="0033244F"/>
    <w:rsid w:val="003332A5"/>
    <w:rsid w:val="0033338B"/>
    <w:rsid w:val="0033480A"/>
    <w:rsid w:val="003349F6"/>
    <w:rsid w:val="003353EF"/>
    <w:rsid w:val="003375BE"/>
    <w:rsid w:val="00337CF2"/>
    <w:rsid w:val="003405BE"/>
    <w:rsid w:val="00343338"/>
    <w:rsid w:val="00343BEA"/>
    <w:rsid w:val="00344006"/>
    <w:rsid w:val="003441C5"/>
    <w:rsid w:val="00344798"/>
    <w:rsid w:val="003463B9"/>
    <w:rsid w:val="003475E2"/>
    <w:rsid w:val="00347A0F"/>
    <w:rsid w:val="00350963"/>
    <w:rsid w:val="00350AFE"/>
    <w:rsid w:val="00350ED3"/>
    <w:rsid w:val="0035188F"/>
    <w:rsid w:val="00351F9E"/>
    <w:rsid w:val="0035266C"/>
    <w:rsid w:val="003545B3"/>
    <w:rsid w:val="00354696"/>
    <w:rsid w:val="0035598D"/>
    <w:rsid w:val="00356AD0"/>
    <w:rsid w:val="0035731C"/>
    <w:rsid w:val="003601A7"/>
    <w:rsid w:val="00361919"/>
    <w:rsid w:val="00362758"/>
    <w:rsid w:val="00362FDB"/>
    <w:rsid w:val="0036385F"/>
    <w:rsid w:val="00363A8A"/>
    <w:rsid w:val="0036472B"/>
    <w:rsid w:val="00364B9B"/>
    <w:rsid w:val="00366BA7"/>
    <w:rsid w:val="00367B13"/>
    <w:rsid w:val="0037087C"/>
    <w:rsid w:val="00370ACE"/>
    <w:rsid w:val="003719AA"/>
    <w:rsid w:val="00373170"/>
    <w:rsid w:val="003751AD"/>
    <w:rsid w:val="00375856"/>
    <w:rsid w:val="00375B85"/>
    <w:rsid w:val="00375DCD"/>
    <w:rsid w:val="00376006"/>
    <w:rsid w:val="003769E6"/>
    <w:rsid w:val="003778D5"/>
    <w:rsid w:val="00377D50"/>
    <w:rsid w:val="00380338"/>
    <w:rsid w:val="003805CE"/>
    <w:rsid w:val="00380B51"/>
    <w:rsid w:val="00382CC4"/>
    <w:rsid w:val="00383956"/>
    <w:rsid w:val="00384929"/>
    <w:rsid w:val="00384EA1"/>
    <w:rsid w:val="00385473"/>
    <w:rsid w:val="00394FF0"/>
    <w:rsid w:val="00395222"/>
    <w:rsid w:val="003959C0"/>
    <w:rsid w:val="00395E83"/>
    <w:rsid w:val="003965E4"/>
    <w:rsid w:val="00396898"/>
    <w:rsid w:val="003A1516"/>
    <w:rsid w:val="003A1F02"/>
    <w:rsid w:val="003A5C2B"/>
    <w:rsid w:val="003B01D3"/>
    <w:rsid w:val="003B0228"/>
    <w:rsid w:val="003B3089"/>
    <w:rsid w:val="003B47EB"/>
    <w:rsid w:val="003B7CFC"/>
    <w:rsid w:val="003C0FAC"/>
    <w:rsid w:val="003C159A"/>
    <w:rsid w:val="003C2075"/>
    <w:rsid w:val="003C745D"/>
    <w:rsid w:val="003C78B4"/>
    <w:rsid w:val="003D1641"/>
    <w:rsid w:val="003D2B67"/>
    <w:rsid w:val="003D36A8"/>
    <w:rsid w:val="003D3FC1"/>
    <w:rsid w:val="003D47CA"/>
    <w:rsid w:val="003D494C"/>
    <w:rsid w:val="003D56E9"/>
    <w:rsid w:val="003D5CC7"/>
    <w:rsid w:val="003D6690"/>
    <w:rsid w:val="003D751C"/>
    <w:rsid w:val="003D7E3B"/>
    <w:rsid w:val="003D7EC3"/>
    <w:rsid w:val="003D7FDA"/>
    <w:rsid w:val="003E09D4"/>
    <w:rsid w:val="003E2AB4"/>
    <w:rsid w:val="003E4334"/>
    <w:rsid w:val="003E52E4"/>
    <w:rsid w:val="003E53D0"/>
    <w:rsid w:val="003F1EF9"/>
    <w:rsid w:val="003F269D"/>
    <w:rsid w:val="003F2903"/>
    <w:rsid w:val="003F2B02"/>
    <w:rsid w:val="003F2E6A"/>
    <w:rsid w:val="003F3995"/>
    <w:rsid w:val="003F7D7C"/>
    <w:rsid w:val="00401164"/>
    <w:rsid w:val="00401F51"/>
    <w:rsid w:val="004024E2"/>
    <w:rsid w:val="0040373F"/>
    <w:rsid w:val="0040392E"/>
    <w:rsid w:val="004051EC"/>
    <w:rsid w:val="004054B1"/>
    <w:rsid w:val="00405ED9"/>
    <w:rsid w:val="0040665F"/>
    <w:rsid w:val="00407F27"/>
    <w:rsid w:val="0041180A"/>
    <w:rsid w:val="0041248A"/>
    <w:rsid w:val="0041261E"/>
    <w:rsid w:val="004145F1"/>
    <w:rsid w:val="0041474C"/>
    <w:rsid w:val="00414BB1"/>
    <w:rsid w:val="00414EBF"/>
    <w:rsid w:val="00416327"/>
    <w:rsid w:val="00417278"/>
    <w:rsid w:val="0041737D"/>
    <w:rsid w:val="004238A5"/>
    <w:rsid w:val="00424678"/>
    <w:rsid w:val="004246F1"/>
    <w:rsid w:val="0042483F"/>
    <w:rsid w:val="00424D7B"/>
    <w:rsid w:val="004259CE"/>
    <w:rsid w:val="00427C8A"/>
    <w:rsid w:val="0043047A"/>
    <w:rsid w:val="00431EC0"/>
    <w:rsid w:val="00432D61"/>
    <w:rsid w:val="00434672"/>
    <w:rsid w:val="0043681F"/>
    <w:rsid w:val="004403FB"/>
    <w:rsid w:val="004409FD"/>
    <w:rsid w:val="00440CD4"/>
    <w:rsid w:val="00441963"/>
    <w:rsid w:val="00441B1B"/>
    <w:rsid w:val="00441B29"/>
    <w:rsid w:val="00442650"/>
    <w:rsid w:val="00443152"/>
    <w:rsid w:val="00443154"/>
    <w:rsid w:val="00443352"/>
    <w:rsid w:val="00445E41"/>
    <w:rsid w:val="0044649C"/>
    <w:rsid w:val="004503A9"/>
    <w:rsid w:val="004530ED"/>
    <w:rsid w:val="004535B5"/>
    <w:rsid w:val="004540B4"/>
    <w:rsid w:val="004542B6"/>
    <w:rsid w:val="0045439E"/>
    <w:rsid w:val="004546AB"/>
    <w:rsid w:val="0045506A"/>
    <w:rsid w:val="004553C0"/>
    <w:rsid w:val="00455F7D"/>
    <w:rsid w:val="00457395"/>
    <w:rsid w:val="00462889"/>
    <w:rsid w:val="00462946"/>
    <w:rsid w:val="0046295C"/>
    <w:rsid w:val="00463538"/>
    <w:rsid w:val="00464262"/>
    <w:rsid w:val="00466C45"/>
    <w:rsid w:val="00467DEA"/>
    <w:rsid w:val="00467E18"/>
    <w:rsid w:val="00470E6A"/>
    <w:rsid w:val="004736D6"/>
    <w:rsid w:val="004747AF"/>
    <w:rsid w:val="0047605F"/>
    <w:rsid w:val="004768C7"/>
    <w:rsid w:val="00476CE1"/>
    <w:rsid w:val="0047722A"/>
    <w:rsid w:val="00477D02"/>
    <w:rsid w:val="004801FC"/>
    <w:rsid w:val="00480CDB"/>
    <w:rsid w:val="0048255B"/>
    <w:rsid w:val="00483186"/>
    <w:rsid w:val="004857F9"/>
    <w:rsid w:val="00485E85"/>
    <w:rsid w:val="004860D2"/>
    <w:rsid w:val="00487D7A"/>
    <w:rsid w:val="0049014A"/>
    <w:rsid w:val="0049086E"/>
    <w:rsid w:val="004923A6"/>
    <w:rsid w:val="00492C2F"/>
    <w:rsid w:val="00493EC6"/>
    <w:rsid w:val="004944B6"/>
    <w:rsid w:val="00494C5C"/>
    <w:rsid w:val="00494E7E"/>
    <w:rsid w:val="00494EA2"/>
    <w:rsid w:val="00496A82"/>
    <w:rsid w:val="004A28D3"/>
    <w:rsid w:val="004A5010"/>
    <w:rsid w:val="004A50CB"/>
    <w:rsid w:val="004A51D2"/>
    <w:rsid w:val="004A5A64"/>
    <w:rsid w:val="004A5CE0"/>
    <w:rsid w:val="004A5F99"/>
    <w:rsid w:val="004A6137"/>
    <w:rsid w:val="004B05D9"/>
    <w:rsid w:val="004B1A26"/>
    <w:rsid w:val="004B2B56"/>
    <w:rsid w:val="004B37DA"/>
    <w:rsid w:val="004B37F5"/>
    <w:rsid w:val="004B3B76"/>
    <w:rsid w:val="004B41AB"/>
    <w:rsid w:val="004B4FBE"/>
    <w:rsid w:val="004B7CB7"/>
    <w:rsid w:val="004C0274"/>
    <w:rsid w:val="004C2CB3"/>
    <w:rsid w:val="004C3237"/>
    <w:rsid w:val="004C3B6F"/>
    <w:rsid w:val="004C4F87"/>
    <w:rsid w:val="004C7272"/>
    <w:rsid w:val="004C7B35"/>
    <w:rsid w:val="004D0662"/>
    <w:rsid w:val="004D387F"/>
    <w:rsid w:val="004D41E9"/>
    <w:rsid w:val="004D5460"/>
    <w:rsid w:val="004D7F8A"/>
    <w:rsid w:val="004E2C1F"/>
    <w:rsid w:val="004E2CEE"/>
    <w:rsid w:val="004E404D"/>
    <w:rsid w:val="004E426B"/>
    <w:rsid w:val="004E52AF"/>
    <w:rsid w:val="004E6661"/>
    <w:rsid w:val="004E66A1"/>
    <w:rsid w:val="004E7B4A"/>
    <w:rsid w:val="004F07D5"/>
    <w:rsid w:val="004F12AA"/>
    <w:rsid w:val="004F1473"/>
    <w:rsid w:val="004F1D5F"/>
    <w:rsid w:val="004F3A6E"/>
    <w:rsid w:val="004F437B"/>
    <w:rsid w:val="004F6180"/>
    <w:rsid w:val="004F62BC"/>
    <w:rsid w:val="004F7003"/>
    <w:rsid w:val="00500FFC"/>
    <w:rsid w:val="00503E43"/>
    <w:rsid w:val="005047CA"/>
    <w:rsid w:val="00504D77"/>
    <w:rsid w:val="00505230"/>
    <w:rsid w:val="005062A8"/>
    <w:rsid w:val="00507844"/>
    <w:rsid w:val="00510483"/>
    <w:rsid w:val="00510D98"/>
    <w:rsid w:val="005110F8"/>
    <w:rsid w:val="00511AD7"/>
    <w:rsid w:val="00512977"/>
    <w:rsid w:val="005140BA"/>
    <w:rsid w:val="00515C6B"/>
    <w:rsid w:val="005208E5"/>
    <w:rsid w:val="00521736"/>
    <w:rsid w:val="00521B81"/>
    <w:rsid w:val="00522673"/>
    <w:rsid w:val="00523245"/>
    <w:rsid w:val="005232A8"/>
    <w:rsid w:val="005249CC"/>
    <w:rsid w:val="00525288"/>
    <w:rsid w:val="00525E25"/>
    <w:rsid w:val="005261AC"/>
    <w:rsid w:val="0052716A"/>
    <w:rsid w:val="005274D4"/>
    <w:rsid w:val="00532964"/>
    <w:rsid w:val="00535BE1"/>
    <w:rsid w:val="0053693C"/>
    <w:rsid w:val="005405CB"/>
    <w:rsid w:val="005411F1"/>
    <w:rsid w:val="00541B36"/>
    <w:rsid w:val="0054219E"/>
    <w:rsid w:val="00543348"/>
    <w:rsid w:val="005477E7"/>
    <w:rsid w:val="00547B66"/>
    <w:rsid w:val="00550009"/>
    <w:rsid w:val="00552000"/>
    <w:rsid w:val="00552343"/>
    <w:rsid w:val="00552889"/>
    <w:rsid w:val="0055444E"/>
    <w:rsid w:val="00554960"/>
    <w:rsid w:val="005557F7"/>
    <w:rsid w:val="00557014"/>
    <w:rsid w:val="005575D4"/>
    <w:rsid w:val="00560785"/>
    <w:rsid w:val="0056332D"/>
    <w:rsid w:val="0056370A"/>
    <w:rsid w:val="00565A83"/>
    <w:rsid w:val="00567488"/>
    <w:rsid w:val="00570D28"/>
    <w:rsid w:val="00572416"/>
    <w:rsid w:val="005733A1"/>
    <w:rsid w:val="00574717"/>
    <w:rsid w:val="00574F48"/>
    <w:rsid w:val="00575E45"/>
    <w:rsid w:val="00575E65"/>
    <w:rsid w:val="00576139"/>
    <w:rsid w:val="00576176"/>
    <w:rsid w:val="0057674A"/>
    <w:rsid w:val="005774C7"/>
    <w:rsid w:val="00580544"/>
    <w:rsid w:val="00582B87"/>
    <w:rsid w:val="00583F6B"/>
    <w:rsid w:val="00584546"/>
    <w:rsid w:val="00585D14"/>
    <w:rsid w:val="00586FF6"/>
    <w:rsid w:val="0059046D"/>
    <w:rsid w:val="00594516"/>
    <w:rsid w:val="00595B04"/>
    <w:rsid w:val="00596832"/>
    <w:rsid w:val="005A26C5"/>
    <w:rsid w:val="005A2DFE"/>
    <w:rsid w:val="005A33B8"/>
    <w:rsid w:val="005A5BEE"/>
    <w:rsid w:val="005A5DB1"/>
    <w:rsid w:val="005A66CA"/>
    <w:rsid w:val="005A69F0"/>
    <w:rsid w:val="005A6E73"/>
    <w:rsid w:val="005B0399"/>
    <w:rsid w:val="005B0A19"/>
    <w:rsid w:val="005B3862"/>
    <w:rsid w:val="005B3DE6"/>
    <w:rsid w:val="005B3F45"/>
    <w:rsid w:val="005B457A"/>
    <w:rsid w:val="005B6EDD"/>
    <w:rsid w:val="005B78BC"/>
    <w:rsid w:val="005B79EC"/>
    <w:rsid w:val="005C1B82"/>
    <w:rsid w:val="005C2643"/>
    <w:rsid w:val="005C360E"/>
    <w:rsid w:val="005C4450"/>
    <w:rsid w:val="005C5287"/>
    <w:rsid w:val="005D29D0"/>
    <w:rsid w:val="005D2CCC"/>
    <w:rsid w:val="005D39FC"/>
    <w:rsid w:val="005D51C9"/>
    <w:rsid w:val="005D5653"/>
    <w:rsid w:val="005D6473"/>
    <w:rsid w:val="005D773A"/>
    <w:rsid w:val="005E1CD2"/>
    <w:rsid w:val="005E208A"/>
    <w:rsid w:val="005E5B9C"/>
    <w:rsid w:val="005E73AB"/>
    <w:rsid w:val="005E775A"/>
    <w:rsid w:val="005E7FC8"/>
    <w:rsid w:val="005F030F"/>
    <w:rsid w:val="005F1676"/>
    <w:rsid w:val="005F1C3D"/>
    <w:rsid w:val="005F2141"/>
    <w:rsid w:val="005F395A"/>
    <w:rsid w:val="005F5DC5"/>
    <w:rsid w:val="005F66B8"/>
    <w:rsid w:val="0060155A"/>
    <w:rsid w:val="00603DEB"/>
    <w:rsid w:val="00604FA2"/>
    <w:rsid w:val="0060661A"/>
    <w:rsid w:val="00606EF2"/>
    <w:rsid w:val="00612022"/>
    <w:rsid w:val="0061366B"/>
    <w:rsid w:val="00613FC7"/>
    <w:rsid w:val="0061617F"/>
    <w:rsid w:val="00620132"/>
    <w:rsid w:val="00620EDF"/>
    <w:rsid w:val="00623747"/>
    <w:rsid w:val="0062463C"/>
    <w:rsid w:val="006257CD"/>
    <w:rsid w:val="00625A3E"/>
    <w:rsid w:val="00625EEA"/>
    <w:rsid w:val="00626477"/>
    <w:rsid w:val="0062762D"/>
    <w:rsid w:val="00630A6E"/>
    <w:rsid w:val="00630DD5"/>
    <w:rsid w:val="0063239C"/>
    <w:rsid w:val="00632DA2"/>
    <w:rsid w:val="006334CE"/>
    <w:rsid w:val="00633953"/>
    <w:rsid w:val="00633BF4"/>
    <w:rsid w:val="006341AC"/>
    <w:rsid w:val="006352C5"/>
    <w:rsid w:val="00635AE1"/>
    <w:rsid w:val="00637CF9"/>
    <w:rsid w:val="00637D4B"/>
    <w:rsid w:val="006402A2"/>
    <w:rsid w:val="006426D9"/>
    <w:rsid w:val="0064363F"/>
    <w:rsid w:val="006448E5"/>
    <w:rsid w:val="00645607"/>
    <w:rsid w:val="006464AD"/>
    <w:rsid w:val="006507EC"/>
    <w:rsid w:val="006516A6"/>
    <w:rsid w:val="006521FF"/>
    <w:rsid w:val="00652DD5"/>
    <w:rsid w:val="00653EDB"/>
    <w:rsid w:val="00655631"/>
    <w:rsid w:val="0065570E"/>
    <w:rsid w:val="00657458"/>
    <w:rsid w:val="00657EF9"/>
    <w:rsid w:val="00660A19"/>
    <w:rsid w:val="00660DB2"/>
    <w:rsid w:val="00660DD7"/>
    <w:rsid w:val="0066240F"/>
    <w:rsid w:val="006636F5"/>
    <w:rsid w:val="00664AD4"/>
    <w:rsid w:val="00664C7D"/>
    <w:rsid w:val="00671935"/>
    <w:rsid w:val="00673F18"/>
    <w:rsid w:val="00674C88"/>
    <w:rsid w:val="00675426"/>
    <w:rsid w:val="00675B89"/>
    <w:rsid w:val="0067675E"/>
    <w:rsid w:val="00677705"/>
    <w:rsid w:val="00681178"/>
    <w:rsid w:val="00681F71"/>
    <w:rsid w:val="00682D6C"/>
    <w:rsid w:val="00683EFA"/>
    <w:rsid w:val="00684CA5"/>
    <w:rsid w:val="00690C60"/>
    <w:rsid w:val="00690CFA"/>
    <w:rsid w:val="006923E1"/>
    <w:rsid w:val="00695681"/>
    <w:rsid w:val="006959E5"/>
    <w:rsid w:val="0069781F"/>
    <w:rsid w:val="006A059B"/>
    <w:rsid w:val="006A1372"/>
    <w:rsid w:val="006A372B"/>
    <w:rsid w:val="006A3D91"/>
    <w:rsid w:val="006A6D8A"/>
    <w:rsid w:val="006B3191"/>
    <w:rsid w:val="006B3E15"/>
    <w:rsid w:val="006B44B0"/>
    <w:rsid w:val="006B4644"/>
    <w:rsid w:val="006B6278"/>
    <w:rsid w:val="006C08B1"/>
    <w:rsid w:val="006C3286"/>
    <w:rsid w:val="006C3A46"/>
    <w:rsid w:val="006C575B"/>
    <w:rsid w:val="006C58A4"/>
    <w:rsid w:val="006C6823"/>
    <w:rsid w:val="006C6E4A"/>
    <w:rsid w:val="006C723D"/>
    <w:rsid w:val="006D22E3"/>
    <w:rsid w:val="006D2EA9"/>
    <w:rsid w:val="006D3BED"/>
    <w:rsid w:val="006D3D12"/>
    <w:rsid w:val="006D45B0"/>
    <w:rsid w:val="006D4929"/>
    <w:rsid w:val="006D53C3"/>
    <w:rsid w:val="006E059F"/>
    <w:rsid w:val="006E15C1"/>
    <w:rsid w:val="006E1C5A"/>
    <w:rsid w:val="006E23C7"/>
    <w:rsid w:val="006E2DA6"/>
    <w:rsid w:val="006E36CA"/>
    <w:rsid w:val="006E487B"/>
    <w:rsid w:val="006E6DAF"/>
    <w:rsid w:val="006E718F"/>
    <w:rsid w:val="006E7E1D"/>
    <w:rsid w:val="006F2E99"/>
    <w:rsid w:val="006F5014"/>
    <w:rsid w:val="006F588D"/>
    <w:rsid w:val="007005C4"/>
    <w:rsid w:val="007052C3"/>
    <w:rsid w:val="007052CA"/>
    <w:rsid w:val="00707389"/>
    <w:rsid w:val="00707BEF"/>
    <w:rsid w:val="00707F4B"/>
    <w:rsid w:val="0071117B"/>
    <w:rsid w:val="007122EE"/>
    <w:rsid w:val="00712580"/>
    <w:rsid w:val="00712B04"/>
    <w:rsid w:val="00713B23"/>
    <w:rsid w:val="007157FD"/>
    <w:rsid w:val="00717D2D"/>
    <w:rsid w:val="00717DB0"/>
    <w:rsid w:val="00723A2E"/>
    <w:rsid w:val="007247C2"/>
    <w:rsid w:val="00725140"/>
    <w:rsid w:val="007269D7"/>
    <w:rsid w:val="007270C9"/>
    <w:rsid w:val="007279E2"/>
    <w:rsid w:val="00730582"/>
    <w:rsid w:val="00732731"/>
    <w:rsid w:val="00733F27"/>
    <w:rsid w:val="00735A63"/>
    <w:rsid w:val="00736D32"/>
    <w:rsid w:val="00736F69"/>
    <w:rsid w:val="007376A3"/>
    <w:rsid w:val="00737A2D"/>
    <w:rsid w:val="007406BD"/>
    <w:rsid w:val="00741105"/>
    <w:rsid w:val="00741550"/>
    <w:rsid w:val="0074347A"/>
    <w:rsid w:val="00744222"/>
    <w:rsid w:val="00745825"/>
    <w:rsid w:val="007469A9"/>
    <w:rsid w:val="007469DB"/>
    <w:rsid w:val="007479CB"/>
    <w:rsid w:val="00753DFC"/>
    <w:rsid w:val="007543EC"/>
    <w:rsid w:val="0076142B"/>
    <w:rsid w:val="00762C7D"/>
    <w:rsid w:val="00763BC1"/>
    <w:rsid w:val="007650F0"/>
    <w:rsid w:val="00766615"/>
    <w:rsid w:val="0076740C"/>
    <w:rsid w:val="0076740E"/>
    <w:rsid w:val="00770585"/>
    <w:rsid w:val="007714DE"/>
    <w:rsid w:val="007740D8"/>
    <w:rsid w:val="007744A4"/>
    <w:rsid w:val="007746F5"/>
    <w:rsid w:val="0077490E"/>
    <w:rsid w:val="00774B71"/>
    <w:rsid w:val="00775774"/>
    <w:rsid w:val="00776180"/>
    <w:rsid w:val="00777C7B"/>
    <w:rsid w:val="007803F4"/>
    <w:rsid w:val="00781AC0"/>
    <w:rsid w:val="00782341"/>
    <w:rsid w:val="00784CE1"/>
    <w:rsid w:val="00785429"/>
    <w:rsid w:val="00785E86"/>
    <w:rsid w:val="007864DA"/>
    <w:rsid w:val="00786F21"/>
    <w:rsid w:val="007877CD"/>
    <w:rsid w:val="00787F1F"/>
    <w:rsid w:val="0079072E"/>
    <w:rsid w:val="007908EE"/>
    <w:rsid w:val="007933D3"/>
    <w:rsid w:val="00794010"/>
    <w:rsid w:val="00794BE8"/>
    <w:rsid w:val="00795D6D"/>
    <w:rsid w:val="00796213"/>
    <w:rsid w:val="007965EE"/>
    <w:rsid w:val="00796B95"/>
    <w:rsid w:val="007A0DBC"/>
    <w:rsid w:val="007A1195"/>
    <w:rsid w:val="007A3E6F"/>
    <w:rsid w:val="007A4599"/>
    <w:rsid w:val="007A470F"/>
    <w:rsid w:val="007A56C1"/>
    <w:rsid w:val="007A5DD9"/>
    <w:rsid w:val="007A7193"/>
    <w:rsid w:val="007A7512"/>
    <w:rsid w:val="007A7D1B"/>
    <w:rsid w:val="007B097A"/>
    <w:rsid w:val="007B1ECF"/>
    <w:rsid w:val="007B3FD4"/>
    <w:rsid w:val="007B43E5"/>
    <w:rsid w:val="007B48A2"/>
    <w:rsid w:val="007B5DF6"/>
    <w:rsid w:val="007B74B5"/>
    <w:rsid w:val="007C034C"/>
    <w:rsid w:val="007C0A6F"/>
    <w:rsid w:val="007C3CEF"/>
    <w:rsid w:val="007C60B0"/>
    <w:rsid w:val="007C6984"/>
    <w:rsid w:val="007C7C63"/>
    <w:rsid w:val="007D00EE"/>
    <w:rsid w:val="007D0194"/>
    <w:rsid w:val="007D03CD"/>
    <w:rsid w:val="007D0AAE"/>
    <w:rsid w:val="007D10F1"/>
    <w:rsid w:val="007D16F0"/>
    <w:rsid w:val="007D1B40"/>
    <w:rsid w:val="007D2B47"/>
    <w:rsid w:val="007D4471"/>
    <w:rsid w:val="007D5810"/>
    <w:rsid w:val="007D5A7E"/>
    <w:rsid w:val="007D6885"/>
    <w:rsid w:val="007D7084"/>
    <w:rsid w:val="007E15BE"/>
    <w:rsid w:val="007E17B1"/>
    <w:rsid w:val="007E18C7"/>
    <w:rsid w:val="007E1E4B"/>
    <w:rsid w:val="007E260F"/>
    <w:rsid w:val="007E2C4B"/>
    <w:rsid w:val="007E63D3"/>
    <w:rsid w:val="007E735F"/>
    <w:rsid w:val="007E7517"/>
    <w:rsid w:val="007E76E0"/>
    <w:rsid w:val="007E7C7F"/>
    <w:rsid w:val="007E7D45"/>
    <w:rsid w:val="007F126E"/>
    <w:rsid w:val="007F1660"/>
    <w:rsid w:val="007F177E"/>
    <w:rsid w:val="007F3FDE"/>
    <w:rsid w:val="007F46F9"/>
    <w:rsid w:val="007F52F9"/>
    <w:rsid w:val="007F6A8E"/>
    <w:rsid w:val="007F7249"/>
    <w:rsid w:val="0080101B"/>
    <w:rsid w:val="00805CAB"/>
    <w:rsid w:val="0080718E"/>
    <w:rsid w:val="00807C7E"/>
    <w:rsid w:val="00807E74"/>
    <w:rsid w:val="008109D5"/>
    <w:rsid w:val="00814BB5"/>
    <w:rsid w:val="00814D4C"/>
    <w:rsid w:val="008176F3"/>
    <w:rsid w:val="00820D35"/>
    <w:rsid w:val="00821332"/>
    <w:rsid w:val="00821952"/>
    <w:rsid w:val="00822300"/>
    <w:rsid w:val="00824118"/>
    <w:rsid w:val="008249C0"/>
    <w:rsid w:val="00825E53"/>
    <w:rsid w:val="008273D4"/>
    <w:rsid w:val="00830BF8"/>
    <w:rsid w:val="008312FF"/>
    <w:rsid w:val="00831307"/>
    <w:rsid w:val="00831445"/>
    <w:rsid w:val="00832694"/>
    <w:rsid w:val="00833C06"/>
    <w:rsid w:val="00833CB9"/>
    <w:rsid w:val="00834029"/>
    <w:rsid w:val="00834483"/>
    <w:rsid w:val="0083516D"/>
    <w:rsid w:val="008357F6"/>
    <w:rsid w:val="00840080"/>
    <w:rsid w:val="00847330"/>
    <w:rsid w:val="00847AB7"/>
    <w:rsid w:val="00851949"/>
    <w:rsid w:val="00851B5D"/>
    <w:rsid w:val="00851CC5"/>
    <w:rsid w:val="00852242"/>
    <w:rsid w:val="00853DC3"/>
    <w:rsid w:val="00854997"/>
    <w:rsid w:val="0085529F"/>
    <w:rsid w:val="00855B8A"/>
    <w:rsid w:val="00857174"/>
    <w:rsid w:val="008576DD"/>
    <w:rsid w:val="00857E3F"/>
    <w:rsid w:val="00862CB7"/>
    <w:rsid w:val="008632EF"/>
    <w:rsid w:val="008633A2"/>
    <w:rsid w:val="008664FE"/>
    <w:rsid w:val="00866FB1"/>
    <w:rsid w:val="00871046"/>
    <w:rsid w:val="00874F61"/>
    <w:rsid w:val="0087539D"/>
    <w:rsid w:val="0087673C"/>
    <w:rsid w:val="00876EB7"/>
    <w:rsid w:val="00880A51"/>
    <w:rsid w:val="00880FD0"/>
    <w:rsid w:val="00882C5E"/>
    <w:rsid w:val="008871E8"/>
    <w:rsid w:val="00887D29"/>
    <w:rsid w:val="0089107E"/>
    <w:rsid w:val="00891192"/>
    <w:rsid w:val="00891ABA"/>
    <w:rsid w:val="0089331E"/>
    <w:rsid w:val="00893F07"/>
    <w:rsid w:val="0089434F"/>
    <w:rsid w:val="008943B0"/>
    <w:rsid w:val="0089489D"/>
    <w:rsid w:val="008973B6"/>
    <w:rsid w:val="008A089E"/>
    <w:rsid w:val="008A3BD2"/>
    <w:rsid w:val="008A4353"/>
    <w:rsid w:val="008A4EF1"/>
    <w:rsid w:val="008A69B1"/>
    <w:rsid w:val="008A6B48"/>
    <w:rsid w:val="008A7249"/>
    <w:rsid w:val="008A7B27"/>
    <w:rsid w:val="008A7D23"/>
    <w:rsid w:val="008B1521"/>
    <w:rsid w:val="008B1687"/>
    <w:rsid w:val="008B22CD"/>
    <w:rsid w:val="008B3691"/>
    <w:rsid w:val="008B54D2"/>
    <w:rsid w:val="008B5C45"/>
    <w:rsid w:val="008B6B78"/>
    <w:rsid w:val="008B7CA6"/>
    <w:rsid w:val="008C0B54"/>
    <w:rsid w:val="008C12B4"/>
    <w:rsid w:val="008C2E96"/>
    <w:rsid w:val="008C49B1"/>
    <w:rsid w:val="008C4F57"/>
    <w:rsid w:val="008C539F"/>
    <w:rsid w:val="008C7C2A"/>
    <w:rsid w:val="008D1CF2"/>
    <w:rsid w:val="008D2EF9"/>
    <w:rsid w:val="008D3BB0"/>
    <w:rsid w:val="008D3CBE"/>
    <w:rsid w:val="008D4F07"/>
    <w:rsid w:val="008D5075"/>
    <w:rsid w:val="008D6BF6"/>
    <w:rsid w:val="008E507E"/>
    <w:rsid w:val="008E58C5"/>
    <w:rsid w:val="008E60B5"/>
    <w:rsid w:val="008E6F71"/>
    <w:rsid w:val="008E7028"/>
    <w:rsid w:val="008E7A85"/>
    <w:rsid w:val="008F1017"/>
    <w:rsid w:val="008F175B"/>
    <w:rsid w:val="008F2F9C"/>
    <w:rsid w:val="008F5EEB"/>
    <w:rsid w:val="008F64BF"/>
    <w:rsid w:val="008F6CAD"/>
    <w:rsid w:val="009000F2"/>
    <w:rsid w:val="00900176"/>
    <w:rsid w:val="00902336"/>
    <w:rsid w:val="0090257A"/>
    <w:rsid w:val="00905132"/>
    <w:rsid w:val="00905B52"/>
    <w:rsid w:val="00905BF2"/>
    <w:rsid w:val="00910FDD"/>
    <w:rsid w:val="00911CCC"/>
    <w:rsid w:val="009149BB"/>
    <w:rsid w:val="00915C43"/>
    <w:rsid w:val="009170FA"/>
    <w:rsid w:val="0091773C"/>
    <w:rsid w:val="009229CD"/>
    <w:rsid w:val="00922A7D"/>
    <w:rsid w:val="009232BB"/>
    <w:rsid w:val="009248DA"/>
    <w:rsid w:val="00930340"/>
    <w:rsid w:val="00932963"/>
    <w:rsid w:val="00933358"/>
    <w:rsid w:val="00933AE7"/>
    <w:rsid w:val="00934173"/>
    <w:rsid w:val="00934B1B"/>
    <w:rsid w:val="0093529B"/>
    <w:rsid w:val="00935B3B"/>
    <w:rsid w:val="00935FB2"/>
    <w:rsid w:val="00936872"/>
    <w:rsid w:val="009372ED"/>
    <w:rsid w:val="0093754E"/>
    <w:rsid w:val="009376C8"/>
    <w:rsid w:val="009377F8"/>
    <w:rsid w:val="00937984"/>
    <w:rsid w:val="00943D2D"/>
    <w:rsid w:val="0094666C"/>
    <w:rsid w:val="00947C83"/>
    <w:rsid w:val="00947CF3"/>
    <w:rsid w:val="0095389F"/>
    <w:rsid w:val="00955013"/>
    <w:rsid w:val="00957139"/>
    <w:rsid w:val="00957B86"/>
    <w:rsid w:val="0096131F"/>
    <w:rsid w:val="0096195A"/>
    <w:rsid w:val="009619EC"/>
    <w:rsid w:val="00961F37"/>
    <w:rsid w:val="00962BE2"/>
    <w:rsid w:val="00963A2A"/>
    <w:rsid w:val="00965EF7"/>
    <w:rsid w:val="00966042"/>
    <w:rsid w:val="00966AF6"/>
    <w:rsid w:val="00967473"/>
    <w:rsid w:val="0096766E"/>
    <w:rsid w:val="009707A5"/>
    <w:rsid w:val="0097110E"/>
    <w:rsid w:val="00971D16"/>
    <w:rsid w:val="0097269B"/>
    <w:rsid w:val="009737D9"/>
    <w:rsid w:val="009742DF"/>
    <w:rsid w:val="0097508D"/>
    <w:rsid w:val="00975D91"/>
    <w:rsid w:val="0097642A"/>
    <w:rsid w:val="009764E1"/>
    <w:rsid w:val="00976B59"/>
    <w:rsid w:val="009778AB"/>
    <w:rsid w:val="00977926"/>
    <w:rsid w:val="00982EF9"/>
    <w:rsid w:val="0098365F"/>
    <w:rsid w:val="0098421C"/>
    <w:rsid w:val="0098473E"/>
    <w:rsid w:val="00984827"/>
    <w:rsid w:val="00984DAB"/>
    <w:rsid w:val="00985675"/>
    <w:rsid w:val="00986145"/>
    <w:rsid w:val="009864D7"/>
    <w:rsid w:val="00986D14"/>
    <w:rsid w:val="009873A0"/>
    <w:rsid w:val="00990124"/>
    <w:rsid w:val="0099029A"/>
    <w:rsid w:val="00992A69"/>
    <w:rsid w:val="00996639"/>
    <w:rsid w:val="009A00DD"/>
    <w:rsid w:val="009A011F"/>
    <w:rsid w:val="009A054A"/>
    <w:rsid w:val="009A0D85"/>
    <w:rsid w:val="009A24ED"/>
    <w:rsid w:val="009A4928"/>
    <w:rsid w:val="009A52FB"/>
    <w:rsid w:val="009A644B"/>
    <w:rsid w:val="009A6AB2"/>
    <w:rsid w:val="009A7306"/>
    <w:rsid w:val="009B0F9D"/>
    <w:rsid w:val="009B1388"/>
    <w:rsid w:val="009B3009"/>
    <w:rsid w:val="009B564C"/>
    <w:rsid w:val="009C0411"/>
    <w:rsid w:val="009C0BA6"/>
    <w:rsid w:val="009C0C82"/>
    <w:rsid w:val="009C0DF7"/>
    <w:rsid w:val="009C5489"/>
    <w:rsid w:val="009C5D33"/>
    <w:rsid w:val="009C71EB"/>
    <w:rsid w:val="009C7447"/>
    <w:rsid w:val="009D093B"/>
    <w:rsid w:val="009D25D7"/>
    <w:rsid w:val="009D263A"/>
    <w:rsid w:val="009D3682"/>
    <w:rsid w:val="009D37DE"/>
    <w:rsid w:val="009D3EF5"/>
    <w:rsid w:val="009D4BB9"/>
    <w:rsid w:val="009D5758"/>
    <w:rsid w:val="009D5B92"/>
    <w:rsid w:val="009D6018"/>
    <w:rsid w:val="009D79E3"/>
    <w:rsid w:val="009E1DE6"/>
    <w:rsid w:val="009E2B72"/>
    <w:rsid w:val="009E551D"/>
    <w:rsid w:val="009E7E81"/>
    <w:rsid w:val="009F07CC"/>
    <w:rsid w:val="009F0AA2"/>
    <w:rsid w:val="009F0B4D"/>
    <w:rsid w:val="009F0BE6"/>
    <w:rsid w:val="009F0DB6"/>
    <w:rsid w:val="009F1C8B"/>
    <w:rsid w:val="009F36CF"/>
    <w:rsid w:val="009F4DF3"/>
    <w:rsid w:val="009F7AF2"/>
    <w:rsid w:val="00A0321D"/>
    <w:rsid w:val="00A0422D"/>
    <w:rsid w:val="00A050E1"/>
    <w:rsid w:val="00A05F40"/>
    <w:rsid w:val="00A07BB0"/>
    <w:rsid w:val="00A07F6D"/>
    <w:rsid w:val="00A10307"/>
    <w:rsid w:val="00A125B5"/>
    <w:rsid w:val="00A136FB"/>
    <w:rsid w:val="00A144C0"/>
    <w:rsid w:val="00A157AE"/>
    <w:rsid w:val="00A16FB9"/>
    <w:rsid w:val="00A17EB8"/>
    <w:rsid w:val="00A2310F"/>
    <w:rsid w:val="00A23603"/>
    <w:rsid w:val="00A24775"/>
    <w:rsid w:val="00A25634"/>
    <w:rsid w:val="00A25929"/>
    <w:rsid w:val="00A300D0"/>
    <w:rsid w:val="00A30298"/>
    <w:rsid w:val="00A30696"/>
    <w:rsid w:val="00A30CA5"/>
    <w:rsid w:val="00A31169"/>
    <w:rsid w:val="00A32206"/>
    <w:rsid w:val="00A3270E"/>
    <w:rsid w:val="00A32D70"/>
    <w:rsid w:val="00A339E3"/>
    <w:rsid w:val="00A3484D"/>
    <w:rsid w:val="00A34E1E"/>
    <w:rsid w:val="00A35382"/>
    <w:rsid w:val="00A35B45"/>
    <w:rsid w:val="00A36124"/>
    <w:rsid w:val="00A361AE"/>
    <w:rsid w:val="00A362DC"/>
    <w:rsid w:val="00A36384"/>
    <w:rsid w:val="00A368DC"/>
    <w:rsid w:val="00A36D39"/>
    <w:rsid w:val="00A371BF"/>
    <w:rsid w:val="00A37392"/>
    <w:rsid w:val="00A40F6C"/>
    <w:rsid w:val="00A41999"/>
    <w:rsid w:val="00A42824"/>
    <w:rsid w:val="00A44122"/>
    <w:rsid w:val="00A44131"/>
    <w:rsid w:val="00A447CF"/>
    <w:rsid w:val="00A453FC"/>
    <w:rsid w:val="00A464EF"/>
    <w:rsid w:val="00A46C96"/>
    <w:rsid w:val="00A47D13"/>
    <w:rsid w:val="00A47D8C"/>
    <w:rsid w:val="00A50595"/>
    <w:rsid w:val="00A52E85"/>
    <w:rsid w:val="00A56EAB"/>
    <w:rsid w:val="00A60AE9"/>
    <w:rsid w:val="00A618C4"/>
    <w:rsid w:val="00A62767"/>
    <w:rsid w:val="00A62A2D"/>
    <w:rsid w:val="00A63994"/>
    <w:rsid w:val="00A63EDB"/>
    <w:rsid w:val="00A6673C"/>
    <w:rsid w:val="00A66981"/>
    <w:rsid w:val="00A73B89"/>
    <w:rsid w:val="00A76C86"/>
    <w:rsid w:val="00A80AA8"/>
    <w:rsid w:val="00A80B97"/>
    <w:rsid w:val="00A81063"/>
    <w:rsid w:val="00A83A98"/>
    <w:rsid w:val="00A867E2"/>
    <w:rsid w:val="00A87A26"/>
    <w:rsid w:val="00A900BE"/>
    <w:rsid w:val="00A9045A"/>
    <w:rsid w:val="00A904AD"/>
    <w:rsid w:val="00A93022"/>
    <w:rsid w:val="00A94E5F"/>
    <w:rsid w:val="00A95986"/>
    <w:rsid w:val="00A9680C"/>
    <w:rsid w:val="00A96E6B"/>
    <w:rsid w:val="00A97830"/>
    <w:rsid w:val="00A97C0B"/>
    <w:rsid w:val="00AA0116"/>
    <w:rsid w:val="00AA02DC"/>
    <w:rsid w:val="00AA09EA"/>
    <w:rsid w:val="00AA1DF6"/>
    <w:rsid w:val="00AA20CC"/>
    <w:rsid w:val="00AA2B3D"/>
    <w:rsid w:val="00AA31BF"/>
    <w:rsid w:val="00AA31EB"/>
    <w:rsid w:val="00AA3421"/>
    <w:rsid w:val="00AA63D4"/>
    <w:rsid w:val="00AB07C6"/>
    <w:rsid w:val="00AB1E25"/>
    <w:rsid w:val="00AB3423"/>
    <w:rsid w:val="00AB3FA2"/>
    <w:rsid w:val="00AB5D13"/>
    <w:rsid w:val="00AB6E2D"/>
    <w:rsid w:val="00AC1E07"/>
    <w:rsid w:val="00AC374F"/>
    <w:rsid w:val="00AC38AE"/>
    <w:rsid w:val="00AC421B"/>
    <w:rsid w:val="00AC6CD0"/>
    <w:rsid w:val="00AC747B"/>
    <w:rsid w:val="00AC7866"/>
    <w:rsid w:val="00AD006D"/>
    <w:rsid w:val="00AD048F"/>
    <w:rsid w:val="00AD0985"/>
    <w:rsid w:val="00AD5A63"/>
    <w:rsid w:val="00AD5D69"/>
    <w:rsid w:val="00AD7323"/>
    <w:rsid w:val="00AE1F09"/>
    <w:rsid w:val="00AE20A7"/>
    <w:rsid w:val="00AE292B"/>
    <w:rsid w:val="00AE2B96"/>
    <w:rsid w:val="00AE45DD"/>
    <w:rsid w:val="00AE5BE1"/>
    <w:rsid w:val="00AE6D1B"/>
    <w:rsid w:val="00AE7441"/>
    <w:rsid w:val="00AE7ADF"/>
    <w:rsid w:val="00AF0492"/>
    <w:rsid w:val="00AF05DD"/>
    <w:rsid w:val="00AF07DF"/>
    <w:rsid w:val="00AF216F"/>
    <w:rsid w:val="00AF2EF0"/>
    <w:rsid w:val="00AF334A"/>
    <w:rsid w:val="00AF3E30"/>
    <w:rsid w:val="00AF43A2"/>
    <w:rsid w:val="00AF5483"/>
    <w:rsid w:val="00AF5782"/>
    <w:rsid w:val="00AF6478"/>
    <w:rsid w:val="00AF7203"/>
    <w:rsid w:val="00AF73A7"/>
    <w:rsid w:val="00AF7406"/>
    <w:rsid w:val="00AF773A"/>
    <w:rsid w:val="00B00A7E"/>
    <w:rsid w:val="00B028BE"/>
    <w:rsid w:val="00B03EE7"/>
    <w:rsid w:val="00B044AC"/>
    <w:rsid w:val="00B04979"/>
    <w:rsid w:val="00B06CEE"/>
    <w:rsid w:val="00B07904"/>
    <w:rsid w:val="00B07AD1"/>
    <w:rsid w:val="00B1047D"/>
    <w:rsid w:val="00B161CF"/>
    <w:rsid w:val="00B16A39"/>
    <w:rsid w:val="00B205D8"/>
    <w:rsid w:val="00B205FE"/>
    <w:rsid w:val="00B21863"/>
    <w:rsid w:val="00B22030"/>
    <w:rsid w:val="00B22A21"/>
    <w:rsid w:val="00B230DC"/>
    <w:rsid w:val="00B27A2E"/>
    <w:rsid w:val="00B27F2C"/>
    <w:rsid w:val="00B30826"/>
    <w:rsid w:val="00B3109F"/>
    <w:rsid w:val="00B32BFC"/>
    <w:rsid w:val="00B32F74"/>
    <w:rsid w:val="00B33C46"/>
    <w:rsid w:val="00B33DCA"/>
    <w:rsid w:val="00B3585C"/>
    <w:rsid w:val="00B35889"/>
    <w:rsid w:val="00B374A6"/>
    <w:rsid w:val="00B40D63"/>
    <w:rsid w:val="00B412B9"/>
    <w:rsid w:val="00B43AEA"/>
    <w:rsid w:val="00B44B88"/>
    <w:rsid w:val="00B461E9"/>
    <w:rsid w:val="00B46DD0"/>
    <w:rsid w:val="00B47BF8"/>
    <w:rsid w:val="00B510AC"/>
    <w:rsid w:val="00B526D2"/>
    <w:rsid w:val="00B52E8F"/>
    <w:rsid w:val="00B544DF"/>
    <w:rsid w:val="00B54963"/>
    <w:rsid w:val="00B55AC7"/>
    <w:rsid w:val="00B55F63"/>
    <w:rsid w:val="00B57181"/>
    <w:rsid w:val="00B57D23"/>
    <w:rsid w:val="00B57E7A"/>
    <w:rsid w:val="00B60075"/>
    <w:rsid w:val="00B60263"/>
    <w:rsid w:val="00B618AC"/>
    <w:rsid w:val="00B61FB3"/>
    <w:rsid w:val="00B625EB"/>
    <w:rsid w:val="00B63B23"/>
    <w:rsid w:val="00B66CC0"/>
    <w:rsid w:val="00B66D80"/>
    <w:rsid w:val="00B7278C"/>
    <w:rsid w:val="00B72996"/>
    <w:rsid w:val="00B73427"/>
    <w:rsid w:val="00B7362C"/>
    <w:rsid w:val="00B73E9B"/>
    <w:rsid w:val="00B74416"/>
    <w:rsid w:val="00B745EC"/>
    <w:rsid w:val="00B750F4"/>
    <w:rsid w:val="00B75B58"/>
    <w:rsid w:val="00B80216"/>
    <w:rsid w:val="00B80DAC"/>
    <w:rsid w:val="00B812C5"/>
    <w:rsid w:val="00B84F58"/>
    <w:rsid w:val="00B85A07"/>
    <w:rsid w:val="00B8697E"/>
    <w:rsid w:val="00B874A8"/>
    <w:rsid w:val="00B95727"/>
    <w:rsid w:val="00B95DED"/>
    <w:rsid w:val="00B976DD"/>
    <w:rsid w:val="00BA6A04"/>
    <w:rsid w:val="00BA6DF1"/>
    <w:rsid w:val="00BA75D3"/>
    <w:rsid w:val="00BA7727"/>
    <w:rsid w:val="00BA7A73"/>
    <w:rsid w:val="00BB015A"/>
    <w:rsid w:val="00BB212B"/>
    <w:rsid w:val="00BB3345"/>
    <w:rsid w:val="00BB45AD"/>
    <w:rsid w:val="00BB4BD1"/>
    <w:rsid w:val="00BB6FBF"/>
    <w:rsid w:val="00BB713B"/>
    <w:rsid w:val="00BC0BCB"/>
    <w:rsid w:val="00BC175D"/>
    <w:rsid w:val="00BC2DAE"/>
    <w:rsid w:val="00BC2DD2"/>
    <w:rsid w:val="00BC350B"/>
    <w:rsid w:val="00BC572F"/>
    <w:rsid w:val="00BC6662"/>
    <w:rsid w:val="00BC66F7"/>
    <w:rsid w:val="00BC7A1A"/>
    <w:rsid w:val="00BD06FF"/>
    <w:rsid w:val="00BD1988"/>
    <w:rsid w:val="00BD1EE6"/>
    <w:rsid w:val="00BD2D2D"/>
    <w:rsid w:val="00BD41F3"/>
    <w:rsid w:val="00BD4B2E"/>
    <w:rsid w:val="00BD62A6"/>
    <w:rsid w:val="00BD6300"/>
    <w:rsid w:val="00BD79D5"/>
    <w:rsid w:val="00BD7E36"/>
    <w:rsid w:val="00BE06CC"/>
    <w:rsid w:val="00BE0ADD"/>
    <w:rsid w:val="00BE0B97"/>
    <w:rsid w:val="00BE1D1E"/>
    <w:rsid w:val="00BE221C"/>
    <w:rsid w:val="00BE22F2"/>
    <w:rsid w:val="00BE2589"/>
    <w:rsid w:val="00BE28EF"/>
    <w:rsid w:val="00BE3325"/>
    <w:rsid w:val="00BE380D"/>
    <w:rsid w:val="00BE3DC2"/>
    <w:rsid w:val="00BE54A6"/>
    <w:rsid w:val="00BE64E9"/>
    <w:rsid w:val="00BF13A9"/>
    <w:rsid w:val="00BF231C"/>
    <w:rsid w:val="00BF4383"/>
    <w:rsid w:val="00BF5812"/>
    <w:rsid w:val="00BF7370"/>
    <w:rsid w:val="00BF75F7"/>
    <w:rsid w:val="00BF78B9"/>
    <w:rsid w:val="00C00F5E"/>
    <w:rsid w:val="00C01584"/>
    <w:rsid w:val="00C029D7"/>
    <w:rsid w:val="00C04172"/>
    <w:rsid w:val="00C0543B"/>
    <w:rsid w:val="00C056E5"/>
    <w:rsid w:val="00C0577A"/>
    <w:rsid w:val="00C05EE9"/>
    <w:rsid w:val="00C10426"/>
    <w:rsid w:val="00C105B6"/>
    <w:rsid w:val="00C10620"/>
    <w:rsid w:val="00C12E18"/>
    <w:rsid w:val="00C13527"/>
    <w:rsid w:val="00C13F8D"/>
    <w:rsid w:val="00C14985"/>
    <w:rsid w:val="00C15362"/>
    <w:rsid w:val="00C1677C"/>
    <w:rsid w:val="00C16F95"/>
    <w:rsid w:val="00C173B6"/>
    <w:rsid w:val="00C2015E"/>
    <w:rsid w:val="00C2029C"/>
    <w:rsid w:val="00C222A0"/>
    <w:rsid w:val="00C223EC"/>
    <w:rsid w:val="00C22B31"/>
    <w:rsid w:val="00C22D3B"/>
    <w:rsid w:val="00C27825"/>
    <w:rsid w:val="00C32DA3"/>
    <w:rsid w:val="00C33168"/>
    <w:rsid w:val="00C333AB"/>
    <w:rsid w:val="00C333C3"/>
    <w:rsid w:val="00C33703"/>
    <w:rsid w:val="00C34167"/>
    <w:rsid w:val="00C344C3"/>
    <w:rsid w:val="00C34591"/>
    <w:rsid w:val="00C35D72"/>
    <w:rsid w:val="00C3710D"/>
    <w:rsid w:val="00C43CE0"/>
    <w:rsid w:val="00C44D9B"/>
    <w:rsid w:val="00C451AF"/>
    <w:rsid w:val="00C468F4"/>
    <w:rsid w:val="00C47192"/>
    <w:rsid w:val="00C4766E"/>
    <w:rsid w:val="00C47770"/>
    <w:rsid w:val="00C51324"/>
    <w:rsid w:val="00C523C1"/>
    <w:rsid w:val="00C535E1"/>
    <w:rsid w:val="00C5518D"/>
    <w:rsid w:val="00C55345"/>
    <w:rsid w:val="00C55406"/>
    <w:rsid w:val="00C5576C"/>
    <w:rsid w:val="00C55C20"/>
    <w:rsid w:val="00C5650E"/>
    <w:rsid w:val="00C56D92"/>
    <w:rsid w:val="00C60E8A"/>
    <w:rsid w:val="00C61368"/>
    <w:rsid w:val="00C63F7E"/>
    <w:rsid w:val="00C64696"/>
    <w:rsid w:val="00C646F2"/>
    <w:rsid w:val="00C65040"/>
    <w:rsid w:val="00C66597"/>
    <w:rsid w:val="00C67FDC"/>
    <w:rsid w:val="00C7174E"/>
    <w:rsid w:val="00C71CC3"/>
    <w:rsid w:val="00C73149"/>
    <w:rsid w:val="00C7629F"/>
    <w:rsid w:val="00C767FB"/>
    <w:rsid w:val="00C77B3E"/>
    <w:rsid w:val="00C81F54"/>
    <w:rsid w:val="00C82019"/>
    <w:rsid w:val="00C85CAC"/>
    <w:rsid w:val="00C86688"/>
    <w:rsid w:val="00C86D23"/>
    <w:rsid w:val="00C902F8"/>
    <w:rsid w:val="00C923F1"/>
    <w:rsid w:val="00C92B76"/>
    <w:rsid w:val="00C931C0"/>
    <w:rsid w:val="00C9474D"/>
    <w:rsid w:val="00C95739"/>
    <w:rsid w:val="00CA12D1"/>
    <w:rsid w:val="00CA35A4"/>
    <w:rsid w:val="00CA4B20"/>
    <w:rsid w:val="00CA59D4"/>
    <w:rsid w:val="00CA5D71"/>
    <w:rsid w:val="00CA756E"/>
    <w:rsid w:val="00CB18D8"/>
    <w:rsid w:val="00CB2C3E"/>
    <w:rsid w:val="00CB3213"/>
    <w:rsid w:val="00CB5134"/>
    <w:rsid w:val="00CB7488"/>
    <w:rsid w:val="00CB7CD3"/>
    <w:rsid w:val="00CC1BC3"/>
    <w:rsid w:val="00CC3D73"/>
    <w:rsid w:val="00CC4A44"/>
    <w:rsid w:val="00CC5E0A"/>
    <w:rsid w:val="00CC7B45"/>
    <w:rsid w:val="00CD1F33"/>
    <w:rsid w:val="00CD2BDF"/>
    <w:rsid w:val="00CD3092"/>
    <w:rsid w:val="00CD531F"/>
    <w:rsid w:val="00CD63ED"/>
    <w:rsid w:val="00CD67B0"/>
    <w:rsid w:val="00CD692F"/>
    <w:rsid w:val="00CD6B2C"/>
    <w:rsid w:val="00CD7263"/>
    <w:rsid w:val="00CD72AB"/>
    <w:rsid w:val="00CE06BD"/>
    <w:rsid w:val="00CE07FA"/>
    <w:rsid w:val="00CE112E"/>
    <w:rsid w:val="00CE19D6"/>
    <w:rsid w:val="00CE1CA3"/>
    <w:rsid w:val="00CE23AF"/>
    <w:rsid w:val="00CE5565"/>
    <w:rsid w:val="00CE64D3"/>
    <w:rsid w:val="00CE68EF"/>
    <w:rsid w:val="00CE6AD9"/>
    <w:rsid w:val="00CE718E"/>
    <w:rsid w:val="00CF0E98"/>
    <w:rsid w:val="00CF1A2D"/>
    <w:rsid w:val="00CF356D"/>
    <w:rsid w:val="00CF4AEE"/>
    <w:rsid w:val="00CF5109"/>
    <w:rsid w:val="00CF6451"/>
    <w:rsid w:val="00D00A1C"/>
    <w:rsid w:val="00D0185E"/>
    <w:rsid w:val="00D026F6"/>
    <w:rsid w:val="00D0302E"/>
    <w:rsid w:val="00D041DD"/>
    <w:rsid w:val="00D065D5"/>
    <w:rsid w:val="00D129FD"/>
    <w:rsid w:val="00D12CF7"/>
    <w:rsid w:val="00D165D3"/>
    <w:rsid w:val="00D21196"/>
    <w:rsid w:val="00D2436E"/>
    <w:rsid w:val="00D2721F"/>
    <w:rsid w:val="00D31C5D"/>
    <w:rsid w:val="00D323E1"/>
    <w:rsid w:val="00D32AC4"/>
    <w:rsid w:val="00D3410A"/>
    <w:rsid w:val="00D34B2A"/>
    <w:rsid w:val="00D34CA8"/>
    <w:rsid w:val="00D351D0"/>
    <w:rsid w:val="00D3525A"/>
    <w:rsid w:val="00D3599C"/>
    <w:rsid w:val="00D35D13"/>
    <w:rsid w:val="00D360BD"/>
    <w:rsid w:val="00D379DF"/>
    <w:rsid w:val="00D37C66"/>
    <w:rsid w:val="00D42CEE"/>
    <w:rsid w:val="00D436CE"/>
    <w:rsid w:val="00D43A45"/>
    <w:rsid w:val="00D44390"/>
    <w:rsid w:val="00D459B8"/>
    <w:rsid w:val="00D50B62"/>
    <w:rsid w:val="00D51833"/>
    <w:rsid w:val="00D52412"/>
    <w:rsid w:val="00D525B0"/>
    <w:rsid w:val="00D52C46"/>
    <w:rsid w:val="00D532B8"/>
    <w:rsid w:val="00D5364F"/>
    <w:rsid w:val="00D54CE8"/>
    <w:rsid w:val="00D55A44"/>
    <w:rsid w:val="00D56339"/>
    <w:rsid w:val="00D60304"/>
    <w:rsid w:val="00D6065A"/>
    <w:rsid w:val="00D610F9"/>
    <w:rsid w:val="00D6190E"/>
    <w:rsid w:val="00D61CB6"/>
    <w:rsid w:val="00D63C7F"/>
    <w:rsid w:val="00D64117"/>
    <w:rsid w:val="00D644BE"/>
    <w:rsid w:val="00D64B2A"/>
    <w:rsid w:val="00D64DA2"/>
    <w:rsid w:val="00D64EB9"/>
    <w:rsid w:val="00D651AA"/>
    <w:rsid w:val="00D65315"/>
    <w:rsid w:val="00D66F38"/>
    <w:rsid w:val="00D67387"/>
    <w:rsid w:val="00D70132"/>
    <w:rsid w:val="00D71249"/>
    <w:rsid w:val="00D71888"/>
    <w:rsid w:val="00D728FE"/>
    <w:rsid w:val="00D76DEE"/>
    <w:rsid w:val="00D84015"/>
    <w:rsid w:val="00D85612"/>
    <w:rsid w:val="00D857B4"/>
    <w:rsid w:val="00D86298"/>
    <w:rsid w:val="00D8715A"/>
    <w:rsid w:val="00D92975"/>
    <w:rsid w:val="00D92AD0"/>
    <w:rsid w:val="00D94752"/>
    <w:rsid w:val="00D9564F"/>
    <w:rsid w:val="00D97DC4"/>
    <w:rsid w:val="00DA0A75"/>
    <w:rsid w:val="00DA228C"/>
    <w:rsid w:val="00DA26CC"/>
    <w:rsid w:val="00DA27AF"/>
    <w:rsid w:val="00DA42B1"/>
    <w:rsid w:val="00DA5098"/>
    <w:rsid w:val="00DA6281"/>
    <w:rsid w:val="00DA66C5"/>
    <w:rsid w:val="00DA6C09"/>
    <w:rsid w:val="00DA7224"/>
    <w:rsid w:val="00DA756A"/>
    <w:rsid w:val="00DB008E"/>
    <w:rsid w:val="00DB06AC"/>
    <w:rsid w:val="00DB0A3E"/>
    <w:rsid w:val="00DB0DB8"/>
    <w:rsid w:val="00DB1506"/>
    <w:rsid w:val="00DB2FBE"/>
    <w:rsid w:val="00DB4237"/>
    <w:rsid w:val="00DB51AC"/>
    <w:rsid w:val="00DB6FAB"/>
    <w:rsid w:val="00DB7206"/>
    <w:rsid w:val="00DB7C81"/>
    <w:rsid w:val="00DC14EB"/>
    <w:rsid w:val="00DC1B5B"/>
    <w:rsid w:val="00DC244C"/>
    <w:rsid w:val="00DC2685"/>
    <w:rsid w:val="00DC2913"/>
    <w:rsid w:val="00DC3EED"/>
    <w:rsid w:val="00DC46F0"/>
    <w:rsid w:val="00DC59BA"/>
    <w:rsid w:val="00DC5D2B"/>
    <w:rsid w:val="00DC5F74"/>
    <w:rsid w:val="00DD0D22"/>
    <w:rsid w:val="00DD0E5B"/>
    <w:rsid w:val="00DD4EC2"/>
    <w:rsid w:val="00DD630A"/>
    <w:rsid w:val="00DD6753"/>
    <w:rsid w:val="00DE099A"/>
    <w:rsid w:val="00DE0A86"/>
    <w:rsid w:val="00DE0E46"/>
    <w:rsid w:val="00DE1DB7"/>
    <w:rsid w:val="00DE377B"/>
    <w:rsid w:val="00DE4809"/>
    <w:rsid w:val="00DE4A1F"/>
    <w:rsid w:val="00DE6796"/>
    <w:rsid w:val="00DE755F"/>
    <w:rsid w:val="00DE77B7"/>
    <w:rsid w:val="00DF1754"/>
    <w:rsid w:val="00DF213C"/>
    <w:rsid w:val="00DF25DC"/>
    <w:rsid w:val="00DF2783"/>
    <w:rsid w:val="00DF3398"/>
    <w:rsid w:val="00DF3953"/>
    <w:rsid w:val="00DF43E8"/>
    <w:rsid w:val="00DF4EC8"/>
    <w:rsid w:val="00DF6492"/>
    <w:rsid w:val="00DF71BD"/>
    <w:rsid w:val="00DF7B2C"/>
    <w:rsid w:val="00E00A5F"/>
    <w:rsid w:val="00E01C4E"/>
    <w:rsid w:val="00E01E16"/>
    <w:rsid w:val="00E038CB"/>
    <w:rsid w:val="00E040D6"/>
    <w:rsid w:val="00E0475A"/>
    <w:rsid w:val="00E06C0B"/>
    <w:rsid w:val="00E104EF"/>
    <w:rsid w:val="00E10727"/>
    <w:rsid w:val="00E10798"/>
    <w:rsid w:val="00E11567"/>
    <w:rsid w:val="00E11CF8"/>
    <w:rsid w:val="00E1475D"/>
    <w:rsid w:val="00E14A36"/>
    <w:rsid w:val="00E152AC"/>
    <w:rsid w:val="00E17856"/>
    <w:rsid w:val="00E2017A"/>
    <w:rsid w:val="00E21B26"/>
    <w:rsid w:val="00E23CE0"/>
    <w:rsid w:val="00E23DB0"/>
    <w:rsid w:val="00E23EE1"/>
    <w:rsid w:val="00E24E40"/>
    <w:rsid w:val="00E25332"/>
    <w:rsid w:val="00E253E8"/>
    <w:rsid w:val="00E25AA3"/>
    <w:rsid w:val="00E263E7"/>
    <w:rsid w:val="00E30A5F"/>
    <w:rsid w:val="00E30E1F"/>
    <w:rsid w:val="00E321AF"/>
    <w:rsid w:val="00E325CF"/>
    <w:rsid w:val="00E32E74"/>
    <w:rsid w:val="00E345FA"/>
    <w:rsid w:val="00E3566D"/>
    <w:rsid w:val="00E35718"/>
    <w:rsid w:val="00E35949"/>
    <w:rsid w:val="00E35AF5"/>
    <w:rsid w:val="00E37504"/>
    <w:rsid w:val="00E40C1F"/>
    <w:rsid w:val="00E42405"/>
    <w:rsid w:val="00E431D4"/>
    <w:rsid w:val="00E4493C"/>
    <w:rsid w:val="00E449C4"/>
    <w:rsid w:val="00E45343"/>
    <w:rsid w:val="00E45E02"/>
    <w:rsid w:val="00E464A4"/>
    <w:rsid w:val="00E46A88"/>
    <w:rsid w:val="00E47180"/>
    <w:rsid w:val="00E47580"/>
    <w:rsid w:val="00E510A7"/>
    <w:rsid w:val="00E540C7"/>
    <w:rsid w:val="00E546A9"/>
    <w:rsid w:val="00E55B30"/>
    <w:rsid w:val="00E5647D"/>
    <w:rsid w:val="00E565F4"/>
    <w:rsid w:val="00E56C5E"/>
    <w:rsid w:val="00E61276"/>
    <w:rsid w:val="00E61498"/>
    <w:rsid w:val="00E61A2E"/>
    <w:rsid w:val="00E624B7"/>
    <w:rsid w:val="00E6280E"/>
    <w:rsid w:val="00E62A48"/>
    <w:rsid w:val="00E63DC4"/>
    <w:rsid w:val="00E6574C"/>
    <w:rsid w:val="00E66654"/>
    <w:rsid w:val="00E6680E"/>
    <w:rsid w:val="00E67D40"/>
    <w:rsid w:val="00E72421"/>
    <w:rsid w:val="00E72CEA"/>
    <w:rsid w:val="00E731DD"/>
    <w:rsid w:val="00E73C92"/>
    <w:rsid w:val="00E75246"/>
    <w:rsid w:val="00E75D55"/>
    <w:rsid w:val="00E75EC7"/>
    <w:rsid w:val="00E76800"/>
    <w:rsid w:val="00E76BA1"/>
    <w:rsid w:val="00E8191F"/>
    <w:rsid w:val="00E81A09"/>
    <w:rsid w:val="00E8297F"/>
    <w:rsid w:val="00E82B09"/>
    <w:rsid w:val="00E84C92"/>
    <w:rsid w:val="00E85C47"/>
    <w:rsid w:val="00E86E03"/>
    <w:rsid w:val="00E8709D"/>
    <w:rsid w:val="00E9060E"/>
    <w:rsid w:val="00E9140A"/>
    <w:rsid w:val="00E920F8"/>
    <w:rsid w:val="00E94463"/>
    <w:rsid w:val="00E96ACB"/>
    <w:rsid w:val="00E96C3B"/>
    <w:rsid w:val="00E97F8F"/>
    <w:rsid w:val="00EA0469"/>
    <w:rsid w:val="00EA0D87"/>
    <w:rsid w:val="00EA15A4"/>
    <w:rsid w:val="00EA183F"/>
    <w:rsid w:val="00EA2960"/>
    <w:rsid w:val="00EA4541"/>
    <w:rsid w:val="00EA50E4"/>
    <w:rsid w:val="00EA58E7"/>
    <w:rsid w:val="00EA682F"/>
    <w:rsid w:val="00EA6B17"/>
    <w:rsid w:val="00EA72E4"/>
    <w:rsid w:val="00EB0B9E"/>
    <w:rsid w:val="00EB2187"/>
    <w:rsid w:val="00EB3415"/>
    <w:rsid w:val="00EB6E22"/>
    <w:rsid w:val="00EB784C"/>
    <w:rsid w:val="00EC0644"/>
    <w:rsid w:val="00EC08CD"/>
    <w:rsid w:val="00EC1A3A"/>
    <w:rsid w:val="00EC24E2"/>
    <w:rsid w:val="00EC27A9"/>
    <w:rsid w:val="00EC28C1"/>
    <w:rsid w:val="00EC2D29"/>
    <w:rsid w:val="00EC339A"/>
    <w:rsid w:val="00EC6E09"/>
    <w:rsid w:val="00ED1A83"/>
    <w:rsid w:val="00ED3396"/>
    <w:rsid w:val="00ED393B"/>
    <w:rsid w:val="00ED3B3D"/>
    <w:rsid w:val="00ED3BE5"/>
    <w:rsid w:val="00ED543F"/>
    <w:rsid w:val="00ED62DD"/>
    <w:rsid w:val="00EE00B4"/>
    <w:rsid w:val="00EE1306"/>
    <w:rsid w:val="00EE4B14"/>
    <w:rsid w:val="00EE6607"/>
    <w:rsid w:val="00EE6AE4"/>
    <w:rsid w:val="00EE78F4"/>
    <w:rsid w:val="00EF0384"/>
    <w:rsid w:val="00EF1914"/>
    <w:rsid w:val="00EF1A41"/>
    <w:rsid w:val="00EF1AC2"/>
    <w:rsid w:val="00EF2C6E"/>
    <w:rsid w:val="00EF3495"/>
    <w:rsid w:val="00EF36D4"/>
    <w:rsid w:val="00EF5773"/>
    <w:rsid w:val="00EF7B06"/>
    <w:rsid w:val="00F01D04"/>
    <w:rsid w:val="00F0290D"/>
    <w:rsid w:val="00F054AC"/>
    <w:rsid w:val="00F07269"/>
    <w:rsid w:val="00F07D7F"/>
    <w:rsid w:val="00F1017B"/>
    <w:rsid w:val="00F10995"/>
    <w:rsid w:val="00F12004"/>
    <w:rsid w:val="00F12718"/>
    <w:rsid w:val="00F12D7B"/>
    <w:rsid w:val="00F130D5"/>
    <w:rsid w:val="00F13625"/>
    <w:rsid w:val="00F14537"/>
    <w:rsid w:val="00F16965"/>
    <w:rsid w:val="00F16A1C"/>
    <w:rsid w:val="00F20E72"/>
    <w:rsid w:val="00F21580"/>
    <w:rsid w:val="00F226A1"/>
    <w:rsid w:val="00F24C14"/>
    <w:rsid w:val="00F25352"/>
    <w:rsid w:val="00F26A02"/>
    <w:rsid w:val="00F27282"/>
    <w:rsid w:val="00F2744C"/>
    <w:rsid w:val="00F27CA2"/>
    <w:rsid w:val="00F3015B"/>
    <w:rsid w:val="00F30508"/>
    <w:rsid w:val="00F312EE"/>
    <w:rsid w:val="00F31DB0"/>
    <w:rsid w:val="00F3435C"/>
    <w:rsid w:val="00F346F2"/>
    <w:rsid w:val="00F356DE"/>
    <w:rsid w:val="00F35E5A"/>
    <w:rsid w:val="00F4413F"/>
    <w:rsid w:val="00F44EED"/>
    <w:rsid w:val="00F454E7"/>
    <w:rsid w:val="00F45E31"/>
    <w:rsid w:val="00F45F7A"/>
    <w:rsid w:val="00F46F2B"/>
    <w:rsid w:val="00F51070"/>
    <w:rsid w:val="00F5122E"/>
    <w:rsid w:val="00F51D6C"/>
    <w:rsid w:val="00F522DF"/>
    <w:rsid w:val="00F54670"/>
    <w:rsid w:val="00F55D8A"/>
    <w:rsid w:val="00F55E31"/>
    <w:rsid w:val="00F57EC9"/>
    <w:rsid w:val="00F64050"/>
    <w:rsid w:val="00F64B02"/>
    <w:rsid w:val="00F64B51"/>
    <w:rsid w:val="00F652D1"/>
    <w:rsid w:val="00F652EA"/>
    <w:rsid w:val="00F65C4B"/>
    <w:rsid w:val="00F676E4"/>
    <w:rsid w:val="00F6797D"/>
    <w:rsid w:val="00F7141C"/>
    <w:rsid w:val="00F71953"/>
    <w:rsid w:val="00F71E53"/>
    <w:rsid w:val="00F72A56"/>
    <w:rsid w:val="00F73029"/>
    <w:rsid w:val="00F73E3D"/>
    <w:rsid w:val="00F746A8"/>
    <w:rsid w:val="00F75474"/>
    <w:rsid w:val="00F772BA"/>
    <w:rsid w:val="00F77A94"/>
    <w:rsid w:val="00F80F49"/>
    <w:rsid w:val="00F8121D"/>
    <w:rsid w:val="00F81D42"/>
    <w:rsid w:val="00F8220E"/>
    <w:rsid w:val="00F822CF"/>
    <w:rsid w:val="00F823FB"/>
    <w:rsid w:val="00F825AA"/>
    <w:rsid w:val="00F82990"/>
    <w:rsid w:val="00F865AD"/>
    <w:rsid w:val="00F86A6F"/>
    <w:rsid w:val="00F904FD"/>
    <w:rsid w:val="00F910C7"/>
    <w:rsid w:val="00F91D5E"/>
    <w:rsid w:val="00F9247B"/>
    <w:rsid w:val="00F924CE"/>
    <w:rsid w:val="00F92E1E"/>
    <w:rsid w:val="00F9363B"/>
    <w:rsid w:val="00F940FD"/>
    <w:rsid w:val="00F94CA1"/>
    <w:rsid w:val="00F95FA6"/>
    <w:rsid w:val="00FA2083"/>
    <w:rsid w:val="00FA2CD2"/>
    <w:rsid w:val="00FA5965"/>
    <w:rsid w:val="00FA78A6"/>
    <w:rsid w:val="00FA7F58"/>
    <w:rsid w:val="00FB15F2"/>
    <w:rsid w:val="00FB23A8"/>
    <w:rsid w:val="00FB3869"/>
    <w:rsid w:val="00FB4056"/>
    <w:rsid w:val="00FB4C90"/>
    <w:rsid w:val="00FB5407"/>
    <w:rsid w:val="00FB5F6E"/>
    <w:rsid w:val="00FB6027"/>
    <w:rsid w:val="00FB6383"/>
    <w:rsid w:val="00FB68B5"/>
    <w:rsid w:val="00FB6A19"/>
    <w:rsid w:val="00FC06CB"/>
    <w:rsid w:val="00FC06EF"/>
    <w:rsid w:val="00FC09B0"/>
    <w:rsid w:val="00FC0FD1"/>
    <w:rsid w:val="00FC1218"/>
    <w:rsid w:val="00FC12DE"/>
    <w:rsid w:val="00FC2178"/>
    <w:rsid w:val="00FC56D7"/>
    <w:rsid w:val="00FC5E19"/>
    <w:rsid w:val="00FD08F5"/>
    <w:rsid w:val="00FD0E15"/>
    <w:rsid w:val="00FD14CA"/>
    <w:rsid w:val="00FD1673"/>
    <w:rsid w:val="00FD1D42"/>
    <w:rsid w:val="00FD2837"/>
    <w:rsid w:val="00FD4685"/>
    <w:rsid w:val="00FD53AD"/>
    <w:rsid w:val="00FD5864"/>
    <w:rsid w:val="00FD5AA6"/>
    <w:rsid w:val="00FD5F12"/>
    <w:rsid w:val="00FD6905"/>
    <w:rsid w:val="00FD6E3D"/>
    <w:rsid w:val="00FE001D"/>
    <w:rsid w:val="00FE0461"/>
    <w:rsid w:val="00FE167C"/>
    <w:rsid w:val="00FE5D2E"/>
    <w:rsid w:val="00FE66E1"/>
    <w:rsid w:val="00FE77B3"/>
    <w:rsid w:val="00FE7B95"/>
    <w:rsid w:val="00FF0522"/>
    <w:rsid w:val="00FF05EE"/>
    <w:rsid w:val="00FF0D53"/>
    <w:rsid w:val="00FF10AA"/>
    <w:rsid w:val="00FF21F2"/>
    <w:rsid w:val="00FF2F5F"/>
    <w:rsid w:val="00FF30AC"/>
    <w:rsid w:val="00FF3461"/>
    <w:rsid w:val="00FF4B91"/>
    <w:rsid w:val="00FF5BB7"/>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26F6FB"/>
  <w14:defaultImageDpi w14:val="330"/>
  <w15:docId w15:val="{D75E79BC-EC73-49A7-AAB6-16AB6567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3A"/>
    <w:pPr>
      <w:suppressAutoHyphens/>
      <w:spacing w:line="240" w:lineRule="exact"/>
    </w:pPr>
    <w:rPr>
      <w:spacing w:val="4"/>
      <w:w w:val="103"/>
      <w:kern w:val="14"/>
    </w:rPr>
  </w:style>
  <w:style w:type="paragraph" w:styleId="Heading1">
    <w:name w:val="heading 1"/>
    <w:basedOn w:val="Normal"/>
    <w:next w:val="Normal"/>
    <w:link w:val="Heading1Char"/>
    <w:qFormat/>
    <w:pPr>
      <w:keepNext/>
      <w:tabs>
        <w:tab w:val="num" w:pos="1080"/>
      </w:tabs>
      <w:ind w:left="1080" w:hanging="720"/>
      <w:outlineLvl w:val="0"/>
    </w:pPr>
    <w:rPr>
      <w:rFonts w:eastAsia="MS Mincho"/>
      <w:b/>
    </w:rPr>
  </w:style>
  <w:style w:type="paragraph" w:styleId="Heading2">
    <w:name w:val="heading 2"/>
    <w:basedOn w:val="Normal"/>
    <w:next w:val="Normal"/>
    <w:link w:val="Heading2Char"/>
    <w:qFormat/>
    <w:pPr>
      <w:keepNext/>
      <w:numPr>
        <w:numId w:val="2"/>
      </w:numPr>
      <w:tabs>
        <w:tab w:val="num" w:pos="0"/>
      </w:tabs>
      <w:ind w:left="0" w:firstLine="0"/>
      <w:jc w:val="both"/>
      <w:outlineLvl w:val="1"/>
    </w:pPr>
    <w:rPr>
      <w:rFonts w:eastAsia="MS Mincho"/>
      <w:b/>
    </w:rPr>
  </w:style>
  <w:style w:type="paragraph" w:styleId="Heading3">
    <w:name w:val="heading 3"/>
    <w:basedOn w:val="Normal"/>
    <w:next w:val="Normal"/>
    <w:link w:val="Heading3Char"/>
    <w:qFormat/>
    <w:pPr>
      <w:keepNext/>
      <w:suppressAutoHyphens w:val="0"/>
      <w:spacing w:line="240" w:lineRule="auto"/>
      <w:outlineLvl w:val="2"/>
    </w:pPr>
    <w:rPr>
      <w:rFonts w:eastAsia="MS Mincho"/>
      <w:spacing w:val="0"/>
      <w:w w:val="100"/>
      <w:kern w:val="0"/>
      <w:sz w:val="24"/>
    </w:rPr>
  </w:style>
  <w:style w:type="paragraph" w:styleId="Heading5">
    <w:name w:val="heading 5"/>
    <w:basedOn w:val="Normal"/>
    <w:next w:val="Normal"/>
    <w:link w:val="Heading5Char"/>
    <w:qFormat/>
    <w:pPr>
      <w:keepNext/>
      <w:suppressAutoHyphens w:val="0"/>
      <w:spacing w:line="240" w:lineRule="auto"/>
      <w:outlineLvl w:val="4"/>
    </w:pPr>
    <w:rPr>
      <w:rFonts w:eastAsia="MS Mincho"/>
      <w:spacing w:val="0"/>
      <w:w w:val="100"/>
      <w:kern w:val="0"/>
      <w:sz w:val="24"/>
      <w:u w:val="single"/>
    </w:rPr>
  </w:style>
  <w:style w:type="paragraph" w:styleId="Heading6">
    <w:name w:val="heading 6"/>
    <w:basedOn w:val="Normal"/>
    <w:next w:val="Normal"/>
    <w:link w:val="Heading6Char"/>
    <w:qFormat/>
    <w:pPr>
      <w:keepNext/>
      <w:suppressAutoHyphens w:val="0"/>
      <w:spacing w:line="240" w:lineRule="auto"/>
      <w:outlineLvl w:val="5"/>
    </w:pPr>
    <w:rPr>
      <w:rFonts w:eastAsia="MS Mincho"/>
      <w:b/>
      <w:spacing w:val="0"/>
      <w:w w:val="100"/>
      <w:kern w:val="0"/>
      <w:sz w:val="24"/>
      <w:u w:val="single"/>
    </w:rPr>
  </w:style>
  <w:style w:type="paragraph" w:styleId="Heading7">
    <w:name w:val="heading 7"/>
    <w:basedOn w:val="Normal"/>
    <w:next w:val="Normal"/>
    <w:link w:val="Heading7Char"/>
    <w:qFormat/>
    <w:pPr>
      <w:numPr>
        <w:ilvl w:val="6"/>
        <w:numId w:val="4"/>
      </w:numPr>
      <w:spacing w:before="240" w:after="60"/>
      <w:outlineLvl w:val="6"/>
    </w:pPr>
    <w:rPr>
      <w:rFonts w:ascii="Arial" w:hAnsi="Arial"/>
    </w:rPr>
  </w:style>
  <w:style w:type="paragraph" w:styleId="Heading8">
    <w:name w:val="heading 8"/>
    <w:basedOn w:val="Normal"/>
    <w:next w:val="Normal"/>
    <w:link w:val="Heading8Char"/>
    <w:qFormat/>
    <w:pPr>
      <w:numPr>
        <w:ilvl w:val="7"/>
        <w:numId w:val="4"/>
      </w:numPr>
      <w:spacing w:before="240" w:after="60"/>
      <w:outlineLvl w:val="7"/>
    </w:pPr>
    <w:rPr>
      <w:rFonts w:ascii="Arial" w:hAnsi="Arial"/>
      <w:i/>
    </w:rPr>
  </w:style>
  <w:style w:type="paragraph" w:styleId="Heading9">
    <w:name w:val="heading 9"/>
    <w:basedOn w:val="Normal"/>
    <w:next w:val="Normal"/>
    <w:link w:val="Heading9Char"/>
    <w:qFormat/>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none"/>
    </w:rPr>
  </w:style>
  <w:style w:type="character" w:styleId="FollowedHyperlink">
    <w:name w:val="FollowedHyperlink"/>
    <w:semiHidden/>
    <w:unhideWhenUsed/>
    <w:rPr>
      <w:color w:val="0000FF"/>
      <w:u w:val="none"/>
    </w:rPr>
  </w:style>
  <w:style w:type="character" w:customStyle="1" w:styleId="Heading1Char">
    <w:name w:val="Heading 1 Char"/>
    <w:link w:val="Heading1"/>
    <w:rPr>
      <w:rFonts w:ascii="Calibri" w:eastAsia="MS Gothic" w:hAnsi="Calibri" w:cs="Times New Roman"/>
      <w:b/>
      <w:bCs/>
      <w:color w:val="345A8A"/>
      <w:spacing w:val="4"/>
      <w:w w:val="103"/>
      <w:kern w:val="14"/>
      <w:sz w:val="32"/>
      <w:szCs w:val="32"/>
    </w:rPr>
  </w:style>
  <w:style w:type="character" w:customStyle="1" w:styleId="Heading2Char">
    <w:name w:val="Heading 2 Char"/>
    <w:link w:val="Heading2"/>
    <w:rPr>
      <w:rFonts w:ascii="Calibri" w:eastAsia="MS Gothic" w:hAnsi="Calibri" w:cs="Times New Roman"/>
      <w:b/>
      <w:bCs/>
      <w:color w:val="4F81BD"/>
      <w:spacing w:val="4"/>
      <w:w w:val="103"/>
      <w:kern w:val="14"/>
      <w:sz w:val="26"/>
      <w:szCs w:val="26"/>
    </w:rPr>
  </w:style>
  <w:style w:type="character" w:customStyle="1" w:styleId="Heading3Char">
    <w:name w:val="Heading 3 Char"/>
    <w:link w:val="Heading3"/>
    <w:rPr>
      <w:rFonts w:ascii="Calibri" w:eastAsia="MS Gothic" w:hAnsi="Calibri" w:cs="Times New Roman"/>
      <w:b/>
      <w:bCs/>
      <w:color w:val="4F81BD"/>
      <w:spacing w:val="4"/>
      <w:w w:val="103"/>
      <w:kern w:val="14"/>
    </w:rPr>
  </w:style>
  <w:style w:type="character" w:customStyle="1" w:styleId="Heading5Char">
    <w:name w:val="Heading 5 Char"/>
    <w:link w:val="Heading5"/>
    <w:rPr>
      <w:rFonts w:ascii="Calibri" w:eastAsia="MS Gothic" w:hAnsi="Calibri" w:cs="Times New Roman"/>
      <w:color w:val="243F60"/>
      <w:spacing w:val="4"/>
      <w:w w:val="103"/>
      <w:kern w:val="14"/>
    </w:rPr>
  </w:style>
  <w:style w:type="character" w:customStyle="1" w:styleId="Heading6Char">
    <w:name w:val="Heading 6 Char"/>
    <w:link w:val="Heading6"/>
    <w:rPr>
      <w:rFonts w:ascii="Calibri" w:eastAsia="MS Gothic" w:hAnsi="Calibri" w:cs="Times New Roman"/>
      <w:i/>
      <w:iCs/>
      <w:color w:val="243F60"/>
      <w:spacing w:val="4"/>
      <w:w w:val="103"/>
      <w:kern w:val="14"/>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pacing w:val="0"/>
      <w:w w:val="100"/>
      <w:kern w:val="0"/>
    </w:rPr>
  </w:style>
  <w:style w:type="character" w:customStyle="1" w:styleId="HTMLPreformattedChar">
    <w:name w:val="HTML Preformatted Char"/>
    <w:link w:val="HTMLPreformatted"/>
    <w:semiHidden/>
    <w:rPr>
      <w:rFonts w:ascii="Courier" w:hAnsi="Courier"/>
      <w:spacing w:val="4"/>
      <w:w w:val="103"/>
      <w:kern w:val="14"/>
    </w:rPr>
  </w:style>
  <w:style w:type="character" w:customStyle="1" w:styleId="Heading7Char">
    <w:name w:val="Heading 7 Char"/>
    <w:link w:val="Heading7"/>
    <w:rPr>
      <w:rFonts w:ascii="Calibri" w:eastAsia="MS Gothic" w:hAnsi="Calibri" w:cs="Times New Roman"/>
      <w:i/>
      <w:iCs/>
      <w:color w:val="404040"/>
      <w:spacing w:val="4"/>
      <w:w w:val="103"/>
      <w:kern w:val="14"/>
    </w:rPr>
  </w:style>
  <w:style w:type="character" w:customStyle="1" w:styleId="Heading8Char">
    <w:name w:val="Heading 8 Char"/>
    <w:link w:val="Heading8"/>
    <w:rPr>
      <w:rFonts w:ascii="Calibri" w:eastAsia="MS Gothic" w:hAnsi="Calibri" w:cs="Times New Roman"/>
      <w:color w:val="404040"/>
      <w:spacing w:val="4"/>
      <w:w w:val="103"/>
      <w:kern w:val="14"/>
    </w:rPr>
  </w:style>
  <w:style w:type="character" w:customStyle="1" w:styleId="Heading9Char">
    <w:name w:val="Heading 9 Char"/>
    <w:link w:val="Heading9"/>
    <w:rPr>
      <w:rFonts w:ascii="Calibri" w:eastAsia="MS Gothic" w:hAnsi="Calibri" w:cs="Times New Roman"/>
      <w:i/>
      <w:iCs/>
      <w:color w:val="404040"/>
      <w:spacing w:val="4"/>
      <w:w w:val="103"/>
      <w:kern w:val="14"/>
    </w:rPr>
  </w:style>
  <w:style w:type="paragraph" w:styleId="FootnoteText">
    <w:name w:val="footnote text"/>
    <w:basedOn w:val="Normal"/>
    <w:link w:val="FootnoteTextChar"/>
    <w:uiPriority w:val="99"/>
    <w:semiHidden/>
    <w:unhideWhenUsed/>
    <w:pPr>
      <w:widowControl w:val="0"/>
      <w:tabs>
        <w:tab w:val="right" w:pos="418"/>
      </w:tabs>
      <w:spacing w:line="210" w:lineRule="exact"/>
      <w:ind w:left="475" w:hanging="475"/>
    </w:pPr>
    <w:rPr>
      <w:spacing w:val="5"/>
      <w:w w:val="104"/>
      <w:sz w:val="17"/>
    </w:rPr>
  </w:style>
  <w:style w:type="character" w:customStyle="1" w:styleId="FootnoteTextChar">
    <w:name w:val="Footnote Text Char"/>
    <w:link w:val="FootnoteText"/>
    <w:uiPriority w:val="99"/>
    <w:semiHidden/>
    <w:rPr>
      <w:spacing w:val="4"/>
      <w:w w:val="103"/>
      <w:kern w:val="14"/>
      <w:sz w:val="24"/>
      <w:szCs w:val="24"/>
    </w:rPr>
  </w:style>
  <w:style w:type="paragraph" w:styleId="CommentText">
    <w:name w:val="annotation text"/>
    <w:basedOn w:val="Normal"/>
    <w:link w:val="CommentTextChar"/>
    <w:uiPriority w:val="99"/>
    <w:semiHidden/>
    <w:unhideWhenUsed/>
    <w:rPr>
      <w:lang w:val="x-none" w:eastAsia="x-none"/>
    </w:rPr>
  </w:style>
  <w:style w:type="character" w:customStyle="1" w:styleId="CommentTextChar">
    <w:name w:val="Comment Text Char"/>
    <w:link w:val="CommentText"/>
    <w:uiPriority w:val="99"/>
    <w:semiHidden/>
    <w:locked/>
    <w:rPr>
      <w:spacing w:val="4"/>
      <w:w w:val="103"/>
      <w:kern w:val="14"/>
    </w:rPr>
  </w:style>
  <w:style w:type="paragraph" w:styleId="Header">
    <w:name w:val="header"/>
    <w:link w:val="HeaderChar"/>
    <w:uiPriority w:val="99"/>
    <w:unhideWhenUsed/>
    <w:pPr>
      <w:tabs>
        <w:tab w:val="center" w:pos="4320"/>
        <w:tab w:val="right" w:pos="8640"/>
      </w:tabs>
    </w:pPr>
    <w:rPr>
      <w:noProof/>
      <w:sz w:val="17"/>
    </w:rPr>
  </w:style>
  <w:style w:type="character" w:customStyle="1" w:styleId="HeaderChar">
    <w:name w:val="Header Char"/>
    <w:link w:val="Header"/>
    <w:uiPriority w:val="99"/>
    <w:locked/>
    <w:rPr>
      <w:noProof/>
      <w:sz w:val="17"/>
      <w:lang w:val="en-US" w:eastAsia="en-US" w:bidi="ar-SA"/>
    </w:rPr>
  </w:style>
  <w:style w:type="paragraph" w:styleId="Footer">
    <w:name w:val="footer"/>
    <w:link w:val="FooterChar"/>
    <w:uiPriority w:val="99"/>
    <w:unhideWhenUsed/>
    <w:pPr>
      <w:tabs>
        <w:tab w:val="center" w:pos="4320"/>
        <w:tab w:val="right" w:pos="8640"/>
      </w:tabs>
    </w:pPr>
    <w:rPr>
      <w:b/>
      <w:noProof/>
      <w:sz w:val="17"/>
    </w:rPr>
  </w:style>
  <w:style w:type="character" w:customStyle="1" w:styleId="FooterChar">
    <w:name w:val="Footer Char"/>
    <w:link w:val="Footer"/>
    <w:uiPriority w:val="99"/>
    <w:locked/>
    <w:rPr>
      <w:b/>
      <w:bCs w:val="0"/>
      <w:noProof/>
      <w:sz w:val="17"/>
      <w:lang w:val="en-US" w:eastAsia="en-US" w:bidi="ar-SA"/>
    </w:rPr>
  </w:style>
  <w:style w:type="paragraph" w:styleId="EndnoteText">
    <w:name w:val="endnote text"/>
    <w:basedOn w:val="FootnoteText"/>
    <w:link w:val="EndnoteTextChar"/>
    <w:semiHidden/>
    <w:unhideWhenUsed/>
  </w:style>
  <w:style w:type="character" w:customStyle="1" w:styleId="EndnoteTextChar">
    <w:name w:val="Endnote Text Char"/>
    <w:link w:val="EndnoteText"/>
    <w:semiHidden/>
    <w:rPr>
      <w:spacing w:val="4"/>
      <w:w w:val="103"/>
      <w:kern w:val="14"/>
      <w:sz w:val="24"/>
      <w:szCs w:val="24"/>
    </w:rPr>
  </w:style>
  <w:style w:type="paragraph" w:styleId="BodyText">
    <w:name w:val="Body Text"/>
    <w:basedOn w:val="Normal"/>
    <w:link w:val="BodyTextChar"/>
    <w:semiHidden/>
    <w:unhideWhenUsed/>
    <w:pPr>
      <w:suppressAutoHyphens w:val="0"/>
      <w:spacing w:line="240" w:lineRule="auto"/>
    </w:pPr>
    <w:rPr>
      <w:spacing w:val="0"/>
      <w:w w:val="100"/>
      <w:kern w:val="0"/>
      <w:sz w:val="24"/>
    </w:rPr>
  </w:style>
  <w:style w:type="character" w:customStyle="1" w:styleId="BodyTextChar">
    <w:name w:val="Body Text Char"/>
    <w:link w:val="BodyText"/>
    <w:semiHidden/>
    <w:rPr>
      <w:spacing w:val="4"/>
      <w:w w:val="103"/>
      <w:kern w:val="14"/>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link w:val="BodyTextIndent"/>
    <w:semiHidden/>
    <w:rPr>
      <w:spacing w:val="4"/>
      <w:w w:val="103"/>
      <w:kern w:val="14"/>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spacing w:val="4"/>
      <w:w w:val="103"/>
      <w:kern w:val="14"/>
      <w:sz w:val="16"/>
      <w:szCs w:val="16"/>
    </w:rPr>
  </w:style>
  <w:style w:type="paragraph" w:styleId="DocumentMap">
    <w:name w:val="Document Map"/>
    <w:basedOn w:val="Normal"/>
    <w:link w:val="DocumentMapChar"/>
    <w:semiHidden/>
    <w:unhideWhenUsed/>
    <w:pPr>
      <w:shd w:val="clear" w:color="auto" w:fill="000080"/>
    </w:pPr>
    <w:rPr>
      <w:rFonts w:ascii="Tahoma" w:hAnsi="Tahoma"/>
    </w:rPr>
  </w:style>
  <w:style w:type="character" w:customStyle="1" w:styleId="DocumentMapChar">
    <w:name w:val="Document Map Char"/>
    <w:link w:val="DocumentMap"/>
    <w:semiHidden/>
    <w:rPr>
      <w:rFonts w:ascii="Lucida Grande" w:hAnsi="Lucida Grande" w:cs="Lucida Grande"/>
      <w:spacing w:val="4"/>
      <w:w w:val="103"/>
      <w:kern w:val="14"/>
      <w:sz w:val="24"/>
      <w:szCs w:val="24"/>
    </w:rPr>
  </w:style>
  <w:style w:type="paragraph" w:styleId="PlainText">
    <w:name w:val="Plain Text"/>
    <w:basedOn w:val="Normal"/>
    <w:link w:val="PlainTextChar"/>
    <w:uiPriority w:val="99"/>
    <w:semiHidden/>
    <w:unhideWhenUsed/>
    <w:pPr>
      <w:suppressAutoHyphens w:val="0"/>
      <w:spacing w:line="240" w:lineRule="auto"/>
    </w:pPr>
    <w:rPr>
      <w:rFonts w:ascii="Consolas" w:eastAsia="Calibri" w:hAnsi="Consolas"/>
      <w:spacing w:val="0"/>
      <w:w w:val="100"/>
      <w:kern w:val="0"/>
      <w:sz w:val="21"/>
      <w:szCs w:val="21"/>
      <w:lang w:val="x-none" w:eastAsia="x-none"/>
    </w:rPr>
  </w:style>
  <w:style w:type="character" w:customStyle="1" w:styleId="PlainTextChar">
    <w:name w:val="Plain Text Char"/>
    <w:link w:val="PlainText"/>
    <w:uiPriority w:val="99"/>
    <w:semiHidden/>
    <w:locked/>
    <w:rPr>
      <w:rFonts w:ascii="Consolas" w:eastAsia="Calibri" w:hAnsi="Consolas" w:hint="default"/>
      <w:sz w:val="21"/>
      <w:szCs w:val="21"/>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b/>
      <w:bCs/>
      <w:spacing w:val="4"/>
      <w:w w:val="103"/>
      <w:kern w:val="14"/>
    </w:rPr>
  </w:style>
  <w:style w:type="paragraph" w:styleId="BalloonText">
    <w:name w:val="Balloon Text"/>
    <w:basedOn w:val="Normal"/>
    <w:link w:val="BalloonTextChar"/>
    <w:semiHidden/>
    <w:unhideWhenUsed/>
    <w:rPr>
      <w:rFonts w:ascii="Tahoma" w:hAnsi="Tahoma" w:cs="Barcode 3 of 9 by request"/>
      <w:sz w:val="16"/>
      <w:szCs w:val="16"/>
    </w:rPr>
  </w:style>
  <w:style w:type="character" w:customStyle="1" w:styleId="BalloonTextChar">
    <w:name w:val="Balloon Text Char"/>
    <w:link w:val="BalloonText"/>
    <w:semiHidden/>
    <w:rPr>
      <w:rFonts w:ascii="Lucida Grande" w:hAnsi="Lucida Grande" w:cs="Lucida Grande"/>
      <w:spacing w:val="4"/>
      <w:w w:val="103"/>
      <w:kern w:val="14"/>
      <w:sz w:val="18"/>
      <w:szCs w:val="18"/>
    </w:rPr>
  </w:style>
  <w:style w:type="paragraph" w:customStyle="1" w:styleId="ColorfulShading-Accent11">
    <w:name w:val="Colorful Shading - Accent 11"/>
    <w:uiPriority w:val="99"/>
    <w:semiHidden/>
    <w:rPr>
      <w:spacing w:val="4"/>
      <w:w w:val="103"/>
      <w:kern w:val="14"/>
    </w:rPr>
  </w:style>
  <w:style w:type="paragraph" w:customStyle="1" w:styleId="ColorfulList-Accent11">
    <w:name w:val="Colorful List - Accent 11"/>
    <w:basedOn w:val="Normal"/>
    <w:uiPriority w:val="34"/>
    <w:qFormat/>
    <w:pPr>
      <w:ind w:left="720"/>
      <w:contextualSpacing/>
    </w:p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H1">
    <w:name w:val="_ H_1"/>
    <w:basedOn w:val="Normal"/>
    <w:next w:val="SingleTxt"/>
    <w:pPr>
      <w:keepNext/>
      <w:keepLines/>
      <w:spacing w:line="270" w:lineRule="exact"/>
      <w:outlineLvl w:val="0"/>
    </w:pPr>
    <w:rPr>
      <w:b/>
      <w:sz w:val="24"/>
    </w:rPr>
  </w:style>
  <w:style w:type="paragraph" w:customStyle="1" w:styleId="HCh">
    <w:name w:val="_ H _Ch"/>
    <w:basedOn w:val="H1"/>
    <w:next w:val="Normal"/>
    <w:pPr>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outlineLvl w:val="1"/>
    </w:pPr>
    <w:rPr>
      <w:spacing w:val="2"/>
      <w:sz w:val="20"/>
    </w:rPr>
  </w:style>
  <w:style w:type="paragraph" w:customStyle="1" w:styleId="H4">
    <w:name w:val="_ H_4"/>
    <w:basedOn w:val="Normal"/>
    <w:next w:val="Normal"/>
    <w:pPr>
      <w:keepNext/>
      <w:keepLines/>
      <w:tabs>
        <w:tab w:val="right" w:pos="360"/>
      </w:tabs>
      <w:outlineLvl w:val="3"/>
    </w:pPr>
    <w:rPr>
      <w:i/>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pPr>
      <w:spacing w:line="540" w:lineRule="exact"/>
    </w:pPr>
    <w:rPr>
      <w:spacing w:val="-8"/>
      <w:w w:val="96"/>
      <w:sz w:val="57"/>
    </w:rPr>
  </w:style>
  <w:style w:type="paragraph" w:customStyle="1" w:styleId="SS">
    <w:name w:val="__S_S"/>
    <w:basedOn w:val="HCh"/>
    <w:next w:val="Normal"/>
    <w:pPr>
      <w:ind w:left="1267" w:right="1267"/>
    </w:pPr>
  </w:style>
  <w:style w:type="paragraph" w:customStyle="1" w:styleId="Small">
    <w:name w:val="Small"/>
    <w:basedOn w:val="Normal"/>
    <w:next w:val="Normal"/>
    <w:pPr>
      <w:tabs>
        <w:tab w:val="right" w:pos="9965"/>
      </w:tabs>
      <w:spacing w:line="210" w:lineRule="exact"/>
    </w:pPr>
    <w:rPr>
      <w:spacing w:val="5"/>
      <w:w w:val="104"/>
      <w:sz w:val="17"/>
    </w:rPr>
  </w:style>
  <w:style w:type="paragraph" w:customStyle="1" w:styleId="SmallX">
    <w:name w:val="SmallX"/>
    <w:basedOn w:val="Small"/>
    <w:next w:val="Normal"/>
    <w:pPr>
      <w:spacing w:line="180" w:lineRule="exact"/>
      <w:jc w:val="right"/>
    </w:pPr>
    <w:rPr>
      <w:spacing w:val="6"/>
      <w:w w:val="106"/>
      <w:sz w:val="14"/>
    </w:rPr>
  </w:style>
  <w:style w:type="paragraph" w:customStyle="1" w:styleId="XLarge">
    <w:name w:val="XLarge"/>
    <w:basedOn w:val="HM"/>
    <w:pPr>
      <w:tabs>
        <w:tab w:val="right" w:leader="dot" w:pos="360"/>
      </w:tabs>
      <w:spacing w:line="390" w:lineRule="exact"/>
    </w:pPr>
    <w:rPr>
      <w:spacing w:val="-4"/>
      <w:w w:val="98"/>
      <w:sz w:val="40"/>
    </w:rPr>
  </w:style>
  <w:style w:type="paragraph" w:customStyle="1" w:styleId="singletxt0">
    <w:name w:val="singletxt"/>
    <w:basedOn w:val="Normal"/>
    <w:pPr>
      <w:suppressAutoHyphens w:val="0"/>
      <w:spacing w:before="100" w:beforeAutospacing="1" w:after="100" w:afterAutospacing="1" w:line="240" w:lineRule="auto"/>
    </w:pPr>
    <w:rPr>
      <w:spacing w:val="0"/>
      <w:w w:val="100"/>
      <w:kern w:val="0"/>
      <w:sz w:val="24"/>
      <w:szCs w:val="24"/>
    </w:rPr>
  </w:style>
  <w:style w:type="paragraph" w:customStyle="1" w:styleId="main">
    <w:name w:val="main"/>
    <w:basedOn w:val="Normal"/>
    <w:pPr>
      <w:suppressAutoHyphens w:val="0"/>
      <w:spacing w:after="100" w:afterAutospacing="1" w:line="167" w:lineRule="atLeast"/>
      <w:jc w:val="both"/>
    </w:pPr>
    <w:rPr>
      <w:color w:val="000000"/>
      <w:spacing w:val="0"/>
      <w:w w:val="100"/>
      <w:kern w:val="0"/>
      <w:sz w:val="15"/>
      <w:szCs w:val="15"/>
    </w:rPr>
  </w:style>
  <w:style w:type="paragraph" w:customStyle="1" w:styleId="Default">
    <w:name w:val="Default"/>
    <w:pPr>
      <w:autoSpaceDE w:val="0"/>
      <w:autoSpaceDN w:val="0"/>
      <w:adjustRightInd w:val="0"/>
    </w:pPr>
    <w:rPr>
      <w:color w:val="000000"/>
      <w:sz w:val="24"/>
      <w:szCs w:val="24"/>
    </w:rPr>
  </w:style>
  <w:style w:type="paragraph" w:customStyle="1" w:styleId="JIUBooklettitles">
    <w:name w:val="JIU Booklet titles"/>
    <w:basedOn w:val="Default"/>
    <w:next w:val="Default"/>
    <w:uiPriority w:val="99"/>
    <w:rPr>
      <w:rFonts w:ascii="NHLPOM+TimesNewRoman,Bold" w:hAnsi="NHLPOM+TimesNewRoman,Bold"/>
      <w:color w:val="auto"/>
    </w:rPr>
  </w:style>
  <w:style w:type="paragraph" w:customStyle="1" w:styleId="ColorfulShading-Accent111">
    <w:name w:val="Colorful Shading - Accent 111"/>
    <w:uiPriority w:val="99"/>
    <w:semiHidden/>
    <w:rPr>
      <w:spacing w:val="4"/>
      <w:w w:val="103"/>
      <w:kern w:val="14"/>
    </w:rPr>
  </w:style>
  <w:style w:type="paragraph" w:customStyle="1" w:styleId="ColorfulList-Accent111">
    <w:name w:val="Colorful List - Accent 111"/>
    <w:basedOn w:val="Normal"/>
    <w:uiPriority w:val="34"/>
    <w:qFormat/>
    <w:pPr>
      <w:suppressAutoHyphens w:val="0"/>
      <w:spacing w:line="240" w:lineRule="auto"/>
      <w:ind w:left="720"/>
    </w:pPr>
    <w:rPr>
      <w:spacing w:val="0"/>
      <w:w w:val="100"/>
      <w:kern w:val="0"/>
      <w:sz w:val="24"/>
    </w:rPr>
  </w:style>
  <w:style w:type="paragraph" w:customStyle="1" w:styleId="aaabodytext">
    <w:name w:val="aaa body text"/>
    <w:basedOn w:val="SingleTxt"/>
    <w:qFormat/>
    <w:pPr>
      <w:tabs>
        <w:tab w:val="clear" w:pos="1267"/>
        <w:tab w:val="clear" w:pos="1742"/>
        <w:tab w:val="left" w:pos="-3690"/>
        <w:tab w:val="left" w:pos="1440"/>
        <w:tab w:val="left" w:pos="1800"/>
      </w:tabs>
    </w:pPr>
  </w:style>
  <w:style w:type="paragraph" w:customStyle="1" w:styleId="aaamainhead">
    <w:name w:val="aaa main head"/>
    <w:basedOn w:val="HCh"/>
    <w:qFormat/>
    <w:pPr>
      <w:numPr>
        <w:numId w:val="6"/>
      </w:numPr>
      <w:tabs>
        <w:tab w:val="left" w:pos="1440"/>
        <w:tab w:val="left" w:pos="1620"/>
      </w:tabs>
      <w:spacing w:after="240" w:line="280" w:lineRule="exact"/>
      <w:ind w:left="1339" w:right="1267"/>
    </w:pPr>
  </w:style>
  <w:style w:type="paragraph" w:customStyle="1" w:styleId="StyleaaamainheadFirstline0">
    <w:name w:val="Style aaa main head + First line:  0&quot;"/>
    <w:basedOn w:val="aaamainhead"/>
    <w:rPr>
      <w:bCs/>
    </w:rPr>
  </w:style>
  <w:style w:type="paragraph" w:customStyle="1" w:styleId="Style1">
    <w:name w:val="Style1"/>
    <w:basedOn w:val="H1"/>
    <w:qFormat/>
    <w:pPr>
      <w:tabs>
        <w:tab w:val="left" w:pos="1440"/>
      </w:tabs>
      <w:spacing w:after="240" w:line="240" w:lineRule="exact"/>
      <w:ind w:left="1886" w:right="1267" w:hanging="619"/>
    </w:pPr>
    <w:rPr>
      <w:lang w:val="en-GB"/>
    </w:rPr>
  </w:style>
  <w:style w:type="paragraph" w:customStyle="1" w:styleId="aaasubhead12">
    <w:name w:val="aaa subhead 12"/>
    <w:basedOn w:val="Style1"/>
    <w:qFormat/>
  </w:style>
  <w:style w:type="paragraph" w:customStyle="1" w:styleId="Styleaaasubhead12Left045">
    <w:name w:val="Style aaa subhead 12 + Left:  0.45&quot;"/>
    <w:basedOn w:val="aaasubhead12"/>
    <w:rPr>
      <w:bCs/>
    </w:rPr>
  </w:style>
  <w:style w:type="paragraph" w:customStyle="1" w:styleId="aaasubhead12a">
    <w:name w:val="aaa subhead 12a"/>
    <w:basedOn w:val="Styleaaasubhead12Left045"/>
    <w:qFormat/>
  </w:style>
  <w:style w:type="character" w:customStyle="1" w:styleId="ColorfulGrid-Accent1Char">
    <w:name w:val="Colorful Grid - Accent 1 Char"/>
    <w:link w:val="ColorfulGrid-Accent11"/>
    <w:uiPriority w:val="29"/>
    <w:locked/>
    <w:rPr>
      <w:rFonts w:ascii="SimSun" w:eastAsia="SimSun" w:hint="eastAsia"/>
      <w:i/>
      <w:iCs/>
      <w:color w:val="000000"/>
    </w:rPr>
  </w:style>
  <w:style w:type="paragraph" w:customStyle="1" w:styleId="ColorfulGrid-Accent11">
    <w:name w:val="Colorful Grid - Accent 11"/>
    <w:basedOn w:val="Normal"/>
    <w:next w:val="Normal"/>
    <w:link w:val="ColorfulGrid-Accent1Char"/>
    <w:uiPriority w:val="29"/>
    <w:qFormat/>
    <w:pPr>
      <w:suppressAutoHyphens w:val="0"/>
      <w:spacing w:line="240" w:lineRule="auto"/>
    </w:pPr>
    <w:rPr>
      <w:rFonts w:eastAsia="SimSun"/>
      <w:i/>
      <w:iCs/>
      <w:color w:val="000000"/>
      <w:spacing w:val="0"/>
      <w:w w:val="100"/>
      <w:kern w:val="0"/>
      <w:lang w:val="x-none" w:eastAsia="x-none"/>
    </w:rPr>
  </w:style>
  <w:style w:type="paragraph" w:customStyle="1" w:styleId="Body1">
    <w:name w:val="Body 1"/>
    <w:rPr>
      <w:rFonts w:ascii="Helvetica" w:eastAsia="Arial Unicode MS" w:hAnsi="Helvetica"/>
      <w:color w:val="000000"/>
      <w:sz w:val="24"/>
      <w:lang w:eastAsia="ja-JP"/>
    </w:rPr>
  </w:style>
  <w:style w:type="character" w:styleId="FootnoteReference">
    <w:name w:val="footnote reference"/>
    <w:uiPriority w:val="99"/>
    <w:semiHidden/>
    <w:unhideWhenUsed/>
    <w:rPr>
      <w:spacing w:val="-5"/>
      <w:w w:val="130"/>
      <w:position w:val="-4"/>
      <w:vertAlign w:val="superscript"/>
    </w:rPr>
  </w:style>
  <w:style w:type="character" w:styleId="CommentReference">
    <w:name w:val="annotation reference"/>
    <w:semiHidden/>
    <w:unhideWhenUsed/>
    <w:rPr>
      <w:sz w:val="6"/>
    </w:rPr>
  </w:style>
  <w:style w:type="character" w:styleId="LineNumber">
    <w:name w:val="line number"/>
    <w:semiHidden/>
    <w:unhideWhenUsed/>
    <w:rPr>
      <w:sz w:val="14"/>
    </w:rPr>
  </w:style>
  <w:style w:type="character" w:styleId="EndnoteReference">
    <w:name w:val="endnote reference"/>
    <w:semiHidden/>
    <w:unhideWhenUsed/>
    <w:rPr>
      <w:spacing w:val="-5"/>
      <w:w w:val="130"/>
      <w:position w:val="-4"/>
      <w:vertAlign w:val="superscript"/>
    </w:rPr>
  </w:style>
  <w:style w:type="character" w:customStyle="1" w:styleId="apple-converted-space">
    <w:name w:val="apple-converted-space"/>
  </w:style>
  <w:style w:type="table" w:styleId="TableGrid">
    <w:name w:val="Table Grid"/>
    <w:basedOn w:val="TableNormal"/>
    <w:uiPriority w:val="59"/>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3C3"/>
    <w:pPr>
      <w:ind w:left="720"/>
      <w:contextualSpacing/>
    </w:pPr>
  </w:style>
  <w:style w:type="paragraph" w:styleId="Revision">
    <w:name w:val="Revision"/>
    <w:hidden/>
    <w:uiPriority w:val="71"/>
    <w:rsid w:val="00CA12D1"/>
    <w:rPr>
      <w:spacing w:val="4"/>
      <w:w w:val="103"/>
      <w:kern w:val="14"/>
    </w:rPr>
  </w:style>
  <w:style w:type="character" w:customStyle="1" w:styleId="UnresolvedMention1">
    <w:name w:val="Unresolved Mention1"/>
    <w:basedOn w:val="DefaultParagraphFont"/>
    <w:uiPriority w:val="99"/>
    <w:semiHidden/>
    <w:unhideWhenUsed/>
    <w:rsid w:val="00D21196"/>
    <w:rPr>
      <w:color w:val="808080"/>
      <w:shd w:val="clear" w:color="auto" w:fill="E6E6E6"/>
    </w:rPr>
  </w:style>
  <w:style w:type="character" w:styleId="UnresolvedMention">
    <w:name w:val="Unresolved Mention"/>
    <w:basedOn w:val="DefaultParagraphFont"/>
    <w:uiPriority w:val="99"/>
    <w:semiHidden/>
    <w:unhideWhenUsed/>
    <w:rsid w:val="00AA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880">
      <w:bodyDiv w:val="1"/>
      <w:marLeft w:val="0"/>
      <w:marRight w:val="0"/>
      <w:marTop w:val="0"/>
      <w:marBottom w:val="0"/>
      <w:divBdr>
        <w:top w:val="none" w:sz="0" w:space="0" w:color="auto"/>
        <w:left w:val="none" w:sz="0" w:space="0" w:color="auto"/>
        <w:bottom w:val="none" w:sz="0" w:space="0" w:color="auto"/>
        <w:right w:val="none" w:sz="0" w:space="0" w:color="auto"/>
      </w:divBdr>
    </w:div>
    <w:div w:id="36859455">
      <w:bodyDiv w:val="1"/>
      <w:marLeft w:val="0"/>
      <w:marRight w:val="0"/>
      <w:marTop w:val="0"/>
      <w:marBottom w:val="0"/>
      <w:divBdr>
        <w:top w:val="none" w:sz="0" w:space="0" w:color="auto"/>
        <w:left w:val="none" w:sz="0" w:space="0" w:color="auto"/>
        <w:bottom w:val="none" w:sz="0" w:space="0" w:color="auto"/>
        <w:right w:val="none" w:sz="0" w:space="0" w:color="auto"/>
      </w:divBdr>
    </w:div>
    <w:div w:id="81800739">
      <w:bodyDiv w:val="1"/>
      <w:marLeft w:val="0"/>
      <w:marRight w:val="0"/>
      <w:marTop w:val="0"/>
      <w:marBottom w:val="0"/>
      <w:divBdr>
        <w:top w:val="none" w:sz="0" w:space="0" w:color="auto"/>
        <w:left w:val="none" w:sz="0" w:space="0" w:color="auto"/>
        <w:bottom w:val="none" w:sz="0" w:space="0" w:color="auto"/>
        <w:right w:val="none" w:sz="0" w:space="0" w:color="auto"/>
      </w:divBdr>
    </w:div>
    <w:div w:id="129446208">
      <w:bodyDiv w:val="1"/>
      <w:marLeft w:val="0"/>
      <w:marRight w:val="0"/>
      <w:marTop w:val="0"/>
      <w:marBottom w:val="0"/>
      <w:divBdr>
        <w:top w:val="none" w:sz="0" w:space="0" w:color="auto"/>
        <w:left w:val="none" w:sz="0" w:space="0" w:color="auto"/>
        <w:bottom w:val="none" w:sz="0" w:space="0" w:color="auto"/>
        <w:right w:val="none" w:sz="0" w:space="0" w:color="auto"/>
      </w:divBdr>
    </w:div>
    <w:div w:id="139466159">
      <w:bodyDiv w:val="1"/>
      <w:marLeft w:val="0"/>
      <w:marRight w:val="0"/>
      <w:marTop w:val="0"/>
      <w:marBottom w:val="0"/>
      <w:divBdr>
        <w:top w:val="none" w:sz="0" w:space="0" w:color="auto"/>
        <w:left w:val="none" w:sz="0" w:space="0" w:color="auto"/>
        <w:bottom w:val="none" w:sz="0" w:space="0" w:color="auto"/>
        <w:right w:val="none" w:sz="0" w:space="0" w:color="auto"/>
      </w:divBdr>
      <w:divsChild>
        <w:div w:id="30690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3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141">
      <w:bodyDiv w:val="1"/>
      <w:marLeft w:val="0"/>
      <w:marRight w:val="0"/>
      <w:marTop w:val="0"/>
      <w:marBottom w:val="0"/>
      <w:divBdr>
        <w:top w:val="none" w:sz="0" w:space="0" w:color="auto"/>
        <w:left w:val="none" w:sz="0" w:space="0" w:color="auto"/>
        <w:bottom w:val="none" w:sz="0" w:space="0" w:color="auto"/>
        <w:right w:val="none" w:sz="0" w:space="0" w:color="auto"/>
      </w:divBdr>
    </w:div>
    <w:div w:id="396368221">
      <w:bodyDiv w:val="1"/>
      <w:marLeft w:val="0"/>
      <w:marRight w:val="0"/>
      <w:marTop w:val="0"/>
      <w:marBottom w:val="0"/>
      <w:divBdr>
        <w:top w:val="none" w:sz="0" w:space="0" w:color="auto"/>
        <w:left w:val="none" w:sz="0" w:space="0" w:color="auto"/>
        <w:bottom w:val="none" w:sz="0" w:space="0" w:color="auto"/>
        <w:right w:val="none" w:sz="0" w:space="0" w:color="auto"/>
      </w:divBdr>
    </w:div>
    <w:div w:id="473448112">
      <w:bodyDiv w:val="1"/>
      <w:marLeft w:val="0"/>
      <w:marRight w:val="0"/>
      <w:marTop w:val="0"/>
      <w:marBottom w:val="0"/>
      <w:divBdr>
        <w:top w:val="none" w:sz="0" w:space="0" w:color="auto"/>
        <w:left w:val="none" w:sz="0" w:space="0" w:color="auto"/>
        <w:bottom w:val="none" w:sz="0" w:space="0" w:color="auto"/>
        <w:right w:val="none" w:sz="0" w:space="0" w:color="auto"/>
      </w:divBdr>
    </w:div>
    <w:div w:id="524098742">
      <w:bodyDiv w:val="1"/>
      <w:marLeft w:val="0"/>
      <w:marRight w:val="0"/>
      <w:marTop w:val="0"/>
      <w:marBottom w:val="0"/>
      <w:divBdr>
        <w:top w:val="none" w:sz="0" w:space="0" w:color="auto"/>
        <w:left w:val="none" w:sz="0" w:space="0" w:color="auto"/>
        <w:bottom w:val="none" w:sz="0" w:space="0" w:color="auto"/>
        <w:right w:val="none" w:sz="0" w:space="0" w:color="auto"/>
      </w:divBdr>
    </w:div>
    <w:div w:id="532109112">
      <w:bodyDiv w:val="1"/>
      <w:marLeft w:val="0"/>
      <w:marRight w:val="0"/>
      <w:marTop w:val="0"/>
      <w:marBottom w:val="0"/>
      <w:divBdr>
        <w:top w:val="none" w:sz="0" w:space="0" w:color="auto"/>
        <w:left w:val="none" w:sz="0" w:space="0" w:color="auto"/>
        <w:bottom w:val="none" w:sz="0" w:space="0" w:color="auto"/>
        <w:right w:val="none" w:sz="0" w:space="0" w:color="auto"/>
      </w:divBdr>
    </w:div>
    <w:div w:id="537738527">
      <w:bodyDiv w:val="1"/>
      <w:marLeft w:val="0"/>
      <w:marRight w:val="0"/>
      <w:marTop w:val="0"/>
      <w:marBottom w:val="0"/>
      <w:divBdr>
        <w:top w:val="none" w:sz="0" w:space="0" w:color="auto"/>
        <w:left w:val="none" w:sz="0" w:space="0" w:color="auto"/>
        <w:bottom w:val="none" w:sz="0" w:space="0" w:color="auto"/>
        <w:right w:val="none" w:sz="0" w:space="0" w:color="auto"/>
      </w:divBdr>
    </w:div>
    <w:div w:id="549390211">
      <w:bodyDiv w:val="1"/>
      <w:marLeft w:val="0"/>
      <w:marRight w:val="0"/>
      <w:marTop w:val="0"/>
      <w:marBottom w:val="0"/>
      <w:divBdr>
        <w:top w:val="none" w:sz="0" w:space="0" w:color="auto"/>
        <w:left w:val="none" w:sz="0" w:space="0" w:color="auto"/>
        <w:bottom w:val="none" w:sz="0" w:space="0" w:color="auto"/>
        <w:right w:val="none" w:sz="0" w:space="0" w:color="auto"/>
      </w:divBdr>
    </w:div>
    <w:div w:id="586112117">
      <w:bodyDiv w:val="1"/>
      <w:marLeft w:val="0"/>
      <w:marRight w:val="0"/>
      <w:marTop w:val="0"/>
      <w:marBottom w:val="0"/>
      <w:divBdr>
        <w:top w:val="none" w:sz="0" w:space="0" w:color="auto"/>
        <w:left w:val="none" w:sz="0" w:space="0" w:color="auto"/>
        <w:bottom w:val="none" w:sz="0" w:space="0" w:color="auto"/>
        <w:right w:val="none" w:sz="0" w:space="0" w:color="auto"/>
      </w:divBdr>
    </w:div>
    <w:div w:id="593132543">
      <w:bodyDiv w:val="1"/>
      <w:marLeft w:val="0"/>
      <w:marRight w:val="0"/>
      <w:marTop w:val="0"/>
      <w:marBottom w:val="0"/>
      <w:divBdr>
        <w:top w:val="none" w:sz="0" w:space="0" w:color="auto"/>
        <w:left w:val="none" w:sz="0" w:space="0" w:color="auto"/>
        <w:bottom w:val="none" w:sz="0" w:space="0" w:color="auto"/>
        <w:right w:val="none" w:sz="0" w:space="0" w:color="auto"/>
      </w:divBdr>
    </w:div>
    <w:div w:id="655184076">
      <w:bodyDiv w:val="1"/>
      <w:marLeft w:val="0"/>
      <w:marRight w:val="0"/>
      <w:marTop w:val="0"/>
      <w:marBottom w:val="0"/>
      <w:divBdr>
        <w:top w:val="none" w:sz="0" w:space="0" w:color="auto"/>
        <w:left w:val="none" w:sz="0" w:space="0" w:color="auto"/>
        <w:bottom w:val="none" w:sz="0" w:space="0" w:color="auto"/>
        <w:right w:val="none" w:sz="0" w:space="0" w:color="auto"/>
      </w:divBdr>
    </w:div>
    <w:div w:id="667296678">
      <w:bodyDiv w:val="1"/>
      <w:marLeft w:val="0"/>
      <w:marRight w:val="0"/>
      <w:marTop w:val="0"/>
      <w:marBottom w:val="0"/>
      <w:divBdr>
        <w:top w:val="none" w:sz="0" w:space="0" w:color="auto"/>
        <w:left w:val="none" w:sz="0" w:space="0" w:color="auto"/>
        <w:bottom w:val="none" w:sz="0" w:space="0" w:color="auto"/>
        <w:right w:val="none" w:sz="0" w:space="0" w:color="auto"/>
      </w:divBdr>
    </w:div>
    <w:div w:id="688457572">
      <w:bodyDiv w:val="1"/>
      <w:marLeft w:val="0"/>
      <w:marRight w:val="0"/>
      <w:marTop w:val="0"/>
      <w:marBottom w:val="0"/>
      <w:divBdr>
        <w:top w:val="none" w:sz="0" w:space="0" w:color="auto"/>
        <w:left w:val="none" w:sz="0" w:space="0" w:color="auto"/>
        <w:bottom w:val="none" w:sz="0" w:space="0" w:color="auto"/>
        <w:right w:val="none" w:sz="0" w:space="0" w:color="auto"/>
      </w:divBdr>
    </w:div>
    <w:div w:id="723138641">
      <w:bodyDiv w:val="1"/>
      <w:marLeft w:val="0"/>
      <w:marRight w:val="0"/>
      <w:marTop w:val="0"/>
      <w:marBottom w:val="0"/>
      <w:divBdr>
        <w:top w:val="none" w:sz="0" w:space="0" w:color="auto"/>
        <w:left w:val="none" w:sz="0" w:space="0" w:color="auto"/>
        <w:bottom w:val="none" w:sz="0" w:space="0" w:color="auto"/>
        <w:right w:val="none" w:sz="0" w:space="0" w:color="auto"/>
      </w:divBdr>
    </w:div>
    <w:div w:id="735199676">
      <w:bodyDiv w:val="1"/>
      <w:marLeft w:val="0"/>
      <w:marRight w:val="0"/>
      <w:marTop w:val="0"/>
      <w:marBottom w:val="0"/>
      <w:divBdr>
        <w:top w:val="none" w:sz="0" w:space="0" w:color="auto"/>
        <w:left w:val="none" w:sz="0" w:space="0" w:color="auto"/>
        <w:bottom w:val="none" w:sz="0" w:space="0" w:color="auto"/>
        <w:right w:val="none" w:sz="0" w:space="0" w:color="auto"/>
      </w:divBdr>
    </w:div>
    <w:div w:id="740250598">
      <w:bodyDiv w:val="1"/>
      <w:marLeft w:val="0"/>
      <w:marRight w:val="0"/>
      <w:marTop w:val="0"/>
      <w:marBottom w:val="0"/>
      <w:divBdr>
        <w:top w:val="none" w:sz="0" w:space="0" w:color="auto"/>
        <w:left w:val="none" w:sz="0" w:space="0" w:color="auto"/>
        <w:bottom w:val="none" w:sz="0" w:space="0" w:color="auto"/>
        <w:right w:val="none" w:sz="0" w:space="0" w:color="auto"/>
      </w:divBdr>
      <w:divsChild>
        <w:div w:id="48073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585">
      <w:bodyDiv w:val="1"/>
      <w:marLeft w:val="0"/>
      <w:marRight w:val="0"/>
      <w:marTop w:val="0"/>
      <w:marBottom w:val="0"/>
      <w:divBdr>
        <w:top w:val="none" w:sz="0" w:space="0" w:color="auto"/>
        <w:left w:val="none" w:sz="0" w:space="0" w:color="auto"/>
        <w:bottom w:val="none" w:sz="0" w:space="0" w:color="auto"/>
        <w:right w:val="none" w:sz="0" w:space="0" w:color="auto"/>
      </w:divBdr>
    </w:div>
    <w:div w:id="813135907">
      <w:bodyDiv w:val="1"/>
      <w:marLeft w:val="0"/>
      <w:marRight w:val="0"/>
      <w:marTop w:val="0"/>
      <w:marBottom w:val="0"/>
      <w:divBdr>
        <w:top w:val="none" w:sz="0" w:space="0" w:color="auto"/>
        <w:left w:val="none" w:sz="0" w:space="0" w:color="auto"/>
        <w:bottom w:val="none" w:sz="0" w:space="0" w:color="auto"/>
        <w:right w:val="none" w:sz="0" w:space="0" w:color="auto"/>
      </w:divBdr>
    </w:div>
    <w:div w:id="821892314">
      <w:marLeft w:val="0"/>
      <w:marRight w:val="0"/>
      <w:marTop w:val="0"/>
      <w:marBottom w:val="0"/>
      <w:divBdr>
        <w:top w:val="single" w:sz="4" w:space="1" w:color="auto"/>
        <w:left w:val="single" w:sz="4" w:space="4" w:color="auto"/>
        <w:bottom w:val="single" w:sz="4" w:space="0" w:color="auto"/>
        <w:right w:val="single" w:sz="4" w:space="4" w:color="auto"/>
      </w:divBdr>
    </w:div>
    <w:div w:id="823669000">
      <w:bodyDiv w:val="1"/>
      <w:marLeft w:val="0"/>
      <w:marRight w:val="0"/>
      <w:marTop w:val="0"/>
      <w:marBottom w:val="0"/>
      <w:divBdr>
        <w:top w:val="none" w:sz="0" w:space="0" w:color="auto"/>
        <w:left w:val="none" w:sz="0" w:space="0" w:color="auto"/>
        <w:bottom w:val="none" w:sz="0" w:space="0" w:color="auto"/>
        <w:right w:val="none" w:sz="0" w:space="0" w:color="auto"/>
      </w:divBdr>
    </w:div>
    <w:div w:id="890656977">
      <w:bodyDiv w:val="1"/>
      <w:marLeft w:val="0"/>
      <w:marRight w:val="0"/>
      <w:marTop w:val="0"/>
      <w:marBottom w:val="0"/>
      <w:divBdr>
        <w:top w:val="none" w:sz="0" w:space="0" w:color="auto"/>
        <w:left w:val="none" w:sz="0" w:space="0" w:color="auto"/>
        <w:bottom w:val="none" w:sz="0" w:space="0" w:color="auto"/>
        <w:right w:val="none" w:sz="0" w:space="0" w:color="auto"/>
      </w:divBdr>
    </w:div>
    <w:div w:id="915748390">
      <w:bodyDiv w:val="1"/>
      <w:marLeft w:val="0"/>
      <w:marRight w:val="0"/>
      <w:marTop w:val="0"/>
      <w:marBottom w:val="0"/>
      <w:divBdr>
        <w:top w:val="none" w:sz="0" w:space="0" w:color="auto"/>
        <w:left w:val="none" w:sz="0" w:space="0" w:color="auto"/>
        <w:bottom w:val="none" w:sz="0" w:space="0" w:color="auto"/>
        <w:right w:val="none" w:sz="0" w:space="0" w:color="auto"/>
      </w:divBdr>
    </w:div>
    <w:div w:id="918371144">
      <w:bodyDiv w:val="1"/>
      <w:marLeft w:val="0"/>
      <w:marRight w:val="0"/>
      <w:marTop w:val="0"/>
      <w:marBottom w:val="0"/>
      <w:divBdr>
        <w:top w:val="none" w:sz="0" w:space="0" w:color="auto"/>
        <w:left w:val="none" w:sz="0" w:space="0" w:color="auto"/>
        <w:bottom w:val="none" w:sz="0" w:space="0" w:color="auto"/>
        <w:right w:val="none" w:sz="0" w:space="0" w:color="auto"/>
      </w:divBdr>
    </w:div>
    <w:div w:id="1059287281">
      <w:bodyDiv w:val="1"/>
      <w:marLeft w:val="0"/>
      <w:marRight w:val="0"/>
      <w:marTop w:val="0"/>
      <w:marBottom w:val="0"/>
      <w:divBdr>
        <w:top w:val="none" w:sz="0" w:space="0" w:color="auto"/>
        <w:left w:val="none" w:sz="0" w:space="0" w:color="auto"/>
        <w:bottom w:val="none" w:sz="0" w:space="0" w:color="auto"/>
        <w:right w:val="none" w:sz="0" w:space="0" w:color="auto"/>
      </w:divBdr>
    </w:div>
    <w:div w:id="1086342310">
      <w:bodyDiv w:val="1"/>
      <w:marLeft w:val="0"/>
      <w:marRight w:val="0"/>
      <w:marTop w:val="0"/>
      <w:marBottom w:val="0"/>
      <w:divBdr>
        <w:top w:val="none" w:sz="0" w:space="0" w:color="auto"/>
        <w:left w:val="none" w:sz="0" w:space="0" w:color="auto"/>
        <w:bottom w:val="none" w:sz="0" w:space="0" w:color="auto"/>
        <w:right w:val="none" w:sz="0" w:space="0" w:color="auto"/>
      </w:divBdr>
    </w:div>
    <w:div w:id="1104765442">
      <w:bodyDiv w:val="1"/>
      <w:marLeft w:val="0"/>
      <w:marRight w:val="0"/>
      <w:marTop w:val="0"/>
      <w:marBottom w:val="0"/>
      <w:divBdr>
        <w:top w:val="none" w:sz="0" w:space="0" w:color="auto"/>
        <w:left w:val="none" w:sz="0" w:space="0" w:color="auto"/>
        <w:bottom w:val="none" w:sz="0" w:space="0" w:color="auto"/>
        <w:right w:val="none" w:sz="0" w:space="0" w:color="auto"/>
      </w:divBdr>
    </w:div>
    <w:div w:id="1424452659">
      <w:bodyDiv w:val="1"/>
      <w:marLeft w:val="0"/>
      <w:marRight w:val="0"/>
      <w:marTop w:val="0"/>
      <w:marBottom w:val="0"/>
      <w:divBdr>
        <w:top w:val="none" w:sz="0" w:space="0" w:color="auto"/>
        <w:left w:val="none" w:sz="0" w:space="0" w:color="auto"/>
        <w:bottom w:val="none" w:sz="0" w:space="0" w:color="auto"/>
        <w:right w:val="none" w:sz="0" w:space="0" w:color="auto"/>
      </w:divBdr>
    </w:div>
    <w:div w:id="1572765431">
      <w:bodyDiv w:val="1"/>
      <w:marLeft w:val="0"/>
      <w:marRight w:val="0"/>
      <w:marTop w:val="0"/>
      <w:marBottom w:val="0"/>
      <w:divBdr>
        <w:top w:val="none" w:sz="0" w:space="0" w:color="auto"/>
        <w:left w:val="none" w:sz="0" w:space="0" w:color="auto"/>
        <w:bottom w:val="none" w:sz="0" w:space="0" w:color="auto"/>
        <w:right w:val="none" w:sz="0" w:space="0" w:color="auto"/>
      </w:divBdr>
    </w:div>
    <w:div w:id="1594052631">
      <w:bodyDiv w:val="1"/>
      <w:marLeft w:val="0"/>
      <w:marRight w:val="0"/>
      <w:marTop w:val="0"/>
      <w:marBottom w:val="0"/>
      <w:divBdr>
        <w:top w:val="none" w:sz="0" w:space="0" w:color="auto"/>
        <w:left w:val="none" w:sz="0" w:space="0" w:color="auto"/>
        <w:bottom w:val="none" w:sz="0" w:space="0" w:color="auto"/>
        <w:right w:val="none" w:sz="0" w:space="0" w:color="auto"/>
      </w:divBdr>
    </w:div>
    <w:div w:id="1617982609">
      <w:bodyDiv w:val="1"/>
      <w:marLeft w:val="0"/>
      <w:marRight w:val="0"/>
      <w:marTop w:val="0"/>
      <w:marBottom w:val="0"/>
      <w:divBdr>
        <w:top w:val="none" w:sz="0" w:space="0" w:color="auto"/>
        <w:left w:val="none" w:sz="0" w:space="0" w:color="auto"/>
        <w:bottom w:val="none" w:sz="0" w:space="0" w:color="auto"/>
        <w:right w:val="none" w:sz="0" w:space="0" w:color="auto"/>
      </w:divBdr>
    </w:div>
    <w:div w:id="1681933766">
      <w:bodyDiv w:val="1"/>
      <w:marLeft w:val="0"/>
      <w:marRight w:val="0"/>
      <w:marTop w:val="0"/>
      <w:marBottom w:val="0"/>
      <w:divBdr>
        <w:top w:val="none" w:sz="0" w:space="0" w:color="auto"/>
        <w:left w:val="none" w:sz="0" w:space="0" w:color="auto"/>
        <w:bottom w:val="none" w:sz="0" w:space="0" w:color="auto"/>
        <w:right w:val="none" w:sz="0" w:space="0" w:color="auto"/>
      </w:divBdr>
    </w:div>
    <w:div w:id="1726368357">
      <w:bodyDiv w:val="1"/>
      <w:marLeft w:val="0"/>
      <w:marRight w:val="0"/>
      <w:marTop w:val="0"/>
      <w:marBottom w:val="0"/>
      <w:divBdr>
        <w:top w:val="none" w:sz="0" w:space="0" w:color="auto"/>
        <w:left w:val="none" w:sz="0" w:space="0" w:color="auto"/>
        <w:bottom w:val="none" w:sz="0" w:space="0" w:color="auto"/>
        <w:right w:val="none" w:sz="0" w:space="0" w:color="auto"/>
      </w:divBdr>
    </w:div>
    <w:div w:id="1737897393">
      <w:bodyDiv w:val="1"/>
      <w:marLeft w:val="0"/>
      <w:marRight w:val="0"/>
      <w:marTop w:val="0"/>
      <w:marBottom w:val="0"/>
      <w:divBdr>
        <w:top w:val="none" w:sz="0" w:space="0" w:color="auto"/>
        <w:left w:val="none" w:sz="0" w:space="0" w:color="auto"/>
        <w:bottom w:val="none" w:sz="0" w:space="0" w:color="auto"/>
        <w:right w:val="none" w:sz="0" w:space="0" w:color="auto"/>
      </w:divBdr>
    </w:div>
    <w:div w:id="1752311645">
      <w:bodyDiv w:val="1"/>
      <w:marLeft w:val="0"/>
      <w:marRight w:val="0"/>
      <w:marTop w:val="0"/>
      <w:marBottom w:val="0"/>
      <w:divBdr>
        <w:top w:val="none" w:sz="0" w:space="0" w:color="auto"/>
        <w:left w:val="none" w:sz="0" w:space="0" w:color="auto"/>
        <w:bottom w:val="none" w:sz="0" w:space="0" w:color="auto"/>
        <w:right w:val="none" w:sz="0" w:space="0" w:color="auto"/>
      </w:divBdr>
    </w:div>
    <w:div w:id="1777671841">
      <w:bodyDiv w:val="1"/>
      <w:marLeft w:val="0"/>
      <w:marRight w:val="0"/>
      <w:marTop w:val="0"/>
      <w:marBottom w:val="0"/>
      <w:divBdr>
        <w:top w:val="none" w:sz="0" w:space="0" w:color="auto"/>
        <w:left w:val="none" w:sz="0" w:space="0" w:color="auto"/>
        <w:bottom w:val="none" w:sz="0" w:space="0" w:color="auto"/>
        <w:right w:val="none" w:sz="0" w:space="0" w:color="auto"/>
      </w:divBdr>
    </w:div>
    <w:div w:id="1812214366">
      <w:bodyDiv w:val="1"/>
      <w:marLeft w:val="0"/>
      <w:marRight w:val="0"/>
      <w:marTop w:val="0"/>
      <w:marBottom w:val="0"/>
      <w:divBdr>
        <w:top w:val="none" w:sz="0" w:space="0" w:color="auto"/>
        <w:left w:val="none" w:sz="0" w:space="0" w:color="auto"/>
        <w:bottom w:val="none" w:sz="0" w:space="0" w:color="auto"/>
        <w:right w:val="none" w:sz="0" w:space="0" w:color="auto"/>
      </w:divBdr>
    </w:div>
    <w:div w:id="1883907742">
      <w:bodyDiv w:val="1"/>
      <w:marLeft w:val="0"/>
      <w:marRight w:val="0"/>
      <w:marTop w:val="0"/>
      <w:marBottom w:val="0"/>
      <w:divBdr>
        <w:top w:val="none" w:sz="0" w:space="0" w:color="auto"/>
        <w:left w:val="none" w:sz="0" w:space="0" w:color="auto"/>
        <w:bottom w:val="none" w:sz="0" w:space="0" w:color="auto"/>
        <w:right w:val="none" w:sz="0" w:space="0" w:color="auto"/>
      </w:divBdr>
    </w:div>
    <w:div w:id="1967809637">
      <w:bodyDiv w:val="1"/>
      <w:marLeft w:val="0"/>
      <w:marRight w:val="0"/>
      <w:marTop w:val="0"/>
      <w:marBottom w:val="0"/>
      <w:divBdr>
        <w:top w:val="none" w:sz="0" w:space="0" w:color="auto"/>
        <w:left w:val="none" w:sz="0" w:space="0" w:color="auto"/>
        <w:bottom w:val="none" w:sz="0" w:space="0" w:color="auto"/>
        <w:right w:val="none" w:sz="0" w:space="0" w:color="auto"/>
      </w:divBdr>
    </w:div>
    <w:div w:id="1969897903">
      <w:bodyDiv w:val="1"/>
      <w:marLeft w:val="0"/>
      <w:marRight w:val="0"/>
      <w:marTop w:val="0"/>
      <w:marBottom w:val="0"/>
      <w:divBdr>
        <w:top w:val="none" w:sz="0" w:space="0" w:color="auto"/>
        <w:left w:val="none" w:sz="0" w:space="0" w:color="auto"/>
        <w:bottom w:val="none" w:sz="0" w:space="0" w:color="auto"/>
        <w:right w:val="none" w:sz="0" w:space="0" w:color="auto"/>
      </w:divBdr>
    </w:div>
    <w:div w:id="200431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jiu.org/sites/www.unjiu.org/files/jiu_rep_2020_3_english_0.pdf" TargetMode="External"/><Relationship Id="rId18" Type="http://schemas.openxmlformats.org/officeDocument/2006/relationships/header" Target="header2.xml"/><Relationship Id="rId26" Type="http://schemas.openxmlformats.org/officeDocument/2006/relationships/hyperlink" Target="https://eur03.safelinks.protection.outlook.com/?url=https%3A%2F%2Fwww.unjiu.org%2Fsites%2Fwww.unjiu.org%2Ffiles%2Fa_75_719_add1_english.pdf&amp;data=04%7C01%7Cemiliana.zhivkova%40undp.org%7Cdb9b9fba20564e3235f108d8cfa1684b%7Cb3e5db5e2944483799f57488ace54319%7C0%7C0%7C637487639463818782%7CUnknown%7CTWFpbGZsb3d8eyJWIjoiMC4wLjAwMDAiLCJQIjoiV2luMzIiLCJBTiI6Ik1haWwiLCJXVCI6Mn0%3D%7C1000&amp;sdata=oF5b5Z3zdcKcpHUNkcNFwu9%2Fwkycyk9YYyGyrSTkT2o%3D&amp;reserved=0" TargetMode="External"/><Relationship Id="rId39" Type="http://schemas.openxmlformats.org/officeDocument/2006/relationships/hyperlink" Target="https://www.unjiu.org/sites/www.unjiu.org/files/jiu_rep_2019_3_en.pdf" TargetMode="External"/><Relationship Id="rId21" Type="http://schemas.openxmlformats.org/officeDocument/2006/relationships/header" Target="header3.xml"/><Relationship Id="rId34" Type="http://schemas.openxmlformats.org/officeDocument/2006/relationships/header" Target="header4.xml"/><Relationship Id="rId42" Type="http://schemas.openxmlformats.org/officeDocument/2006/relationships/hyperlink" Target="https://www.unjiu.org/sites/www.unjiu.org/files/jiu_rep_2019_4_english.pdf" TargetMode="External"/><Relationship Id="rId47" Type="http://schemas.openxmlformats.org/officeDocument/2006/relationships/hyperlink" Target="https://www.unjiu.org/sites/www.unjiu.org/files/jiu_rep_2019_8_english_1.pdf" TargetMode="External"/><Relationship Id="rId50" Type="http://schemas.openxmlformats.org/officeDocument/2006/relationships/hyperlink" Target="https://www.unjiu.org/sites/www.unjiu.org/files/jiu_rep_2019_1_english.pdf" TargetMode="External"/><Relationship Id="rId55" Type="http://schemas.openxmlformats.org/officeDocument/2006/relationships/hyperlink" Target="https://www.unjiu.org/sites/www.unjiu.org/files/jiu_rep_2018_4_english_0.pdf" TargetMode="External"/><Relationship Id="rId63"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jiu.org/sites/www.unjiu.org/files/jiu_rep_2020_4_english.pdf" TargetMode="External"/><Relationship Id="rId20" Type="http://schemas.openxmlformats.org/officeDocument/2006/relationships/footer" Target="footer2.xml"/><Relationship Id="rId29" Type="http://schemas.openxmlformats.org/officeDocument/2006/relationships/hyperlink" Target="https://www.unjiu.org/sites/www.unjiu.org/files/jiu_rep_2020_3_english_0.pdf" TargetMode="External"/><Relationship Id="rId41" Type="http://schemas.openxmlformats.org/officeDocument/2006/relationships/hyperlink" Target="https://www.unjiu.org/sites/www.unjiu.org/files/jiu_rep_2019_4_english.pdf" TargetMode="External"/><Relationship Id="rId54" Type="http://schemas.openxmlformats.org/officeDocument/2006/relationships/hyperlink" Target="https://www.unjiu.org/sites/www.unjiu.org/files/jiu_rep_2018_1_english.pdf"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jiu.org/sites/www.unjiu.org/files/jiu_rep_2020_1_english_0.pdf" TargetMode="External"/><Relationship Id="rId24" Type="http://schemas.openxmlformats.org/officeDocument/2006/relationships/hyperlink" Target="https://www.unjiu.org/sites/www.unjiu.org/files/jiu_rep_2020_1_english_0.pdf" TargetMode="External"/><Relationship Id="rId32" Type="http://schemas.openxmlformats.org/officeDocument/2006/relationships/hyperlink" Target="https://www.unjiu.org/sites/www.unjiu.org/files/jiu_rep_2020_6_english.pdf" TargetMode="External"/><Relationship Id="rId37" Type="http://schemas.openxmlformats.org/officeDocument/2006/relationships/footer" Target="footer4.xml"/><Relationship Id="rId40" Type="http://schemas.openxmlformats.org/officeDocument/2006/relationships/hyperlink" Target="https://www.unjiu.org/sites/www.unjiu.org/files/jiu_rep_2019_3_en.pdf" TargetMode="External"/><Relationship Id="rId45" Type="http://schemas.openxmlformats.org/officeDocument/2006/relationships/hyperlink" Target="https://www.unjiu.org/sites/www.unjiu.org/files/jiu_rep_2019_6_english_0.pdf" TargetMode="External"/><Relationship Id="rId53" Type="http://schemas.openxmlformats.org/officeDocument/2006/relationships/hyperlink" Target="https://www.unjiu.org/sites/www.unjiu.org/files/jiu_rep_2019_7_english.pdf" TargetMode="External"/><Relationship Id="rId58" Type="http://schemas.openxmlformats.org/officeDocument/2006/relationships/hyperlink" Target="https://www.unjiu.org/sites/www.unjiu.org/files/jiu_rep_2018_7_english_0.pdf"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jiu.org/sites/www.unjiu.org/files/jiu_rep_2020_6_english.pdf" TargetMode="External"/><Relationship Id="rId23" Type="http://schemas.openxmlformats.org/officeDocument/2006/relationships/hyperlink" Target="https://eur03.safelinks.protection.outlook.com/?url=https%3A%2F%2Fwww.ungm.org%2FShared%2FKnowledgeCenter%2FPages%2Fasr_data_supplier&amp;data=04%7C01%7Cemiliana.zhivkova%40undp.org%7C0c75f648d05a4ca9308208d8d1e6daea%7Cb3e5db5e2944483799f57488ace54319%7C0%7C0%7C637490136734058599%7CUnknown%7CTWFpbGZsb3d8eyJWIjoiMC4wLjAwMDAiLCJQIjoiV2luMzIiLCJBTiI6Ik1haWwiLCJXVCI6Mn0%3D%7C1000&amp;sdata=wuSQ2AAnybQJeO3JIir3fYEwrqqFhQLUm%2BdVj%2Ff%2BFjk%3D&amp;reserved=0" TargetMode="External"/><Relationship Id="rId28" Type="http://schemas.openxmlformats.org/officeDocument/2006/relationships/hyperlink" Target="https://eur03.safelinks.protection.outlook.com/?url=https%3A%2F%2Fwww.unjiu.org%2Fsites%2Fwww.unjiu.org%2Ffiles%2Fa_75_713_add1_english_0.pdf&amp;data=04%7C01%7Cemiliana.zhivkova%40undp.org%7Ca3e6c0d398f44adea20008d8d3906886%7Cb3e5db5e2944483799f57488ace54319%7C0%7C0%7C637491964511818712%7CUnknown%7CTWFpbGZsb3d8eyJWIjoiMC4wLjAwMDAiLCJQIjoiV2luMzIiLCJBTiI6Ik1haWwiLCJXVCI6Mn0%3D%7C1000&amp;sdata=OCZWZ9QoPnKEV%2BisXLH4kRUyeCUvN%2FrOUsbp9TBA%2Bn0%3D&amp;reserved=0" TargetMode="External"/><Relationship Id="rId36" Type="http://schemas.openxmlformats.org/officeDocument/2006/relationships/footer" Target="footer3.xml"/><Relationship Id="rId49" Type="http://schemas.openxmlformats.org/officeDocument/2006/relationships/hyperlink" Target="https://www.unjiu.org/sites/www.unjiu.org/files/jiu_rep_2019_9_english.pdf" TargetMode="External"/><Relationship Id="rId57" Type="http://schemas.openxmlformats.org/officeDocument/2006/relationships/hyperlink" Target="https://www.unjiu.org/sites/www.unjiu.org/files/jiu_rep_2018_6.pdf" TargetMode="External"/><Relationship Id="rId61" Type="http://schemas.openxmlformats.org/officeDocument/2006/relationships/hyperlink" Target="https://www.unjiu.org/sites/www.unjiu.org/files/jiu_rep_2018_3_re-issued_english.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eur03.safelinks.protection.outlook.com/?url=https%3A%2F%2Fwww.undp.org%2Fcontent%2Fdam%2Fundp%2Flibrary%2Fcorporate%2FTransparency%2FUNDP%2520Accountability%2520framework.pdf&amp;data=04%7C01%7Cemiliana.zhivkova%40undp.org%7Cdc27f79d9f1941cbaae308d8cd3101b4%7Cb3e5db5e2944483799f57488ace54319%7C0%7C0%7C637484957657142154%7CUnknown%7CTWFpbGZsb3d8eyJWIjoiMC4wLjAwMDAiLCJQIjoiV2luMzIiLCJBTiI6Ik1haWwiLCJXVCI6Mn0%3D%7C1000&amp;sdata=z3OlNv7aHE%2FCHnEbIPR%2BtTQfeijamvR23aCkqSPIvP4%3D&amp;reserved=0" TargetMode="External"/><Relationship Id="rId44" Type="http://schemas.openxmlformats.org/officeDocument/2006/relationships/hyperlink" Target="https://www.unjiu.org/sites/www.unjiu.org/files/jiu_rep_2019_5_final.pdf" TargetMode="External"/><Relationship Id="rId52" Type="http://schemas.openxmlformats.org/officeDocument/2006/relationships/hyperlink" Target="https://www.unjiu.org/sites/www.unjiu.org/files/jiu_rep_2019_7_english.pdf" TargetMode="External"/><Relationship Id="rId60" Type="http://schemas.openxmlformats.org/officeDocument/2006/relationships/hyperlink" Target="https://www.unjiu.org/sites/www.unjiu.org/files/jiu_rep_2018_2_english_0.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_rep_2020_5_english.pdf" TargetMode="External"/><Relationship Id="rId22" Type="http://schemas.openxmlformats.org/officeDocument/2006/relationships/hyperlink" Target="https://www.unjiu.org/sites/www.unjiu.org/files/jiu_rep_2019_9_english.pdf" TargetMode="External"/><Relationship Id="rId27" Type="http://schemas.openxmlformats.org/officeDocument/2006/relationships/hyperlink" Target="https://www.unjiu.org/sites/www.unjiu.org/files/jiu_rep_2020_2_english_0.pdf" TargetMode="External"/><Relationship Id="rId30" Type="http://schemas.openxmlformats.org/officeDocument/2006/relationships/hyperlink" Target="https://www.unjiu.org/sites/www.unjiu.org/files/jiu_rep_2020_5_english.pdf" TargetMode="External"/><Relationship Id="rId35" Type="http://schemas.openxmlformats.org/officeDocument/2006/relationships/header" Target="header5.xml"/><Relationship Id="rId43" Type="http://schemas.openxmlformats.org/officeDocument/2006/relationships/hyperlink" Target="https://www.unjiu.org/sites/www.unjiu.org/files/jiu_rep_2019_5_final.pdf" TargetMode="External"/><Relationship Id="rId48" Type="http://schemas.openxmlformats.org/officeDocument/2006/relationships/hyperlink" Target="https://www.unjiu.org/sites/www.unjiu.org/files/jiu_rep_2019_8_english_1.pdf" TargetMode="External"/><Relationship Id="rId56" Type="http://schemas.openxmlformats.org/officeDocument/2006/relationships/hyperlink" Target="https://www.unjiu.org/sites/www.unjiu.org/files/jiu_rep_2018_5_english_0.pdf" TargetMode="External"/><Relationship Id="rId64"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unjiu.org/sites/www.unjiu.org/files/jiu_rep_2019_1_english.pdf" TargetMode="External"/><Relationship Id="rId3" Type="http://schemas.openxmlformats.org/officeDocument/2006/relationships/customXml" Target="../customXml/item3.xml"/><Relationship Id="rId12" Type="http://schemas.openxmlformats.org/officeDocument/2006/relationships/hyperlink" Target="https://www.unjiu.org/sites/www.unjiu.org/files/jiu_rep_2020_2_english_0.pdf" TargetMode="External"/><Relationship Id="rId17" Type="http://schemas.openxmlformats.org/officeDocument/2006/relationships/header" Target="header1.xml"/><Relationship Id="rId25" Type="http://schemas.openxmlformats.org/officeDocument/2006/relationships/hyperlink" Target="https://eur03.safelinks.protection.outlook.com/?url=https%3A%2F%2Fwww.undp.org%2Fcontent%2Fdam%2Fundp%2Flibrary%2Fcorporate%2FTransparency%2FOAI_Charter_2017.pdf&amp;data=04%7C01%7Cemiliana.zhivkova%40undp.org%7Cdb9b9fba20564e3235f108d8cfa1684b%7Cb3e5db5e2944483799f57488ace54319%7C0%7C0%7C637487639463818782%7CUnknown%7CTWFpbGZsb3d8eyJWIjoiMC4wLjAwMDAiLCJQIjoiV2luMzIiLCJBTiI6Ik1haWwiLCJXVCI6Mn0%3D%7C1000&amp;sdata=Ugv8Lk103x9gxknUtffCad%2FyaFW6F07xpVZMF7oaXqI%3D&amp;reserved=0" TargetMode="External"/><Relationship Id="rId33" Type="http://schemas.openxmlformats.org/officeDocument/2006/relationships/hyperlink" Target="https://www.unjiu.org/sites/www.unjiu.org/files/jiu_rep_2020_8_english.pdf" TargetMode="External"/><Relationship Id="rId38" Type="http://schemas.openxmlformats.org/officeDocument/2006/relationships/hyperlink" Target="https://www.unjiu.org/sites/www.unjiu.org/files/jiu_rep_2019_2_english_0.pdf" TargetMode="External"/><Relationship Id="rId46" Type="http://schemas.openxmlformats.org/officeDocument/2006/relationships/hyperlink" Target="https://www.unjiu.org/sites/www.unjiu.org/files/jiu_rep_2019_6_english_0.pdf" TargetMode="External"/><Relationship Id="rId59" Type="http://schemas.openxmlformats.org/officeDocument/2006/relationships/hyperlink" Target="https://www.unjiu.org/sites/www.unjiu.org/files/jiu_rep_2018_7_english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sites/www.unjiu.org/files/jiu_rep_2019_9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63D54-2857-4647-9475-907CCD890934}">
  <ds:schemaRefs>
    <ds:schemaRef ds:uri="http://schemas.openxmlformats.org/officeDocument/2006/bibliography"/>
  </ds:schemaRefs>
</ds:datastoreItem>
</file>

<file path=customXml/itemProps2.xml><?xml version="1.0" encoding="utf-8"?>
<ds:datastoreItem xmlns:ds="http://schemas.openxmlformats.org/officeDocument/2006/customXml" ds:itemID="{D0E5FB11-40E7-46E5-90DF-FF673876AF54}">
  <ds:schemaRefs>
    <ds:schemaRef ds:uri="http://schemas.microsoft.com/sharepoint/v3/contenttype/forms"/>
  </ds:schemaRefs>
</ds:datastoreItem>
</file>

<file path=customXml/itemProps3.xml><?xml version="1.0" encoding="utf-8"?>
<ds:datastoreItem xmlns:ds="http://schemas.openxmlformats.org/officeDocument/2006/customXml" ds:itemID="{B7220EDB-2658-4175-868C-D90A9A5A3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220EF-B532-4A3C-8E17-18F378E2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4578</Words>
  <Characters>26101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DP/2006/17/Add.1</vt:lpstr>
    </vt:vector>
  </TitlesOfParts>
  <Company>UNDP</Company>
  <LinksUpToDate>false</LinksUpToDate>
  <CharactersWithSpaces>30618</CharactersWithSpaces>
  <SharedDoc>false</SharedDoc>
  <HLinks>
    <vt:vector size="6" baseType="variant">
      <vt:variant>
        <vt:i4>2228338</vt:i4>
      </vt:variant>
      <vt:variant>
        <vt:i4>0</vt:i4>
      </vt:variant>
      <vt:variant>
        <vt:i4>0</vt:i4>
      </vt:variant>
      <vt:variant>
        <vt:i4>5</vt:i4>
      </vt:variant>
      <vt:variant>
        <vt:lpwstr>https://www.unjiu.org/en/reports-notes/Pages/Reports-and-Notes.aspx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DP/2006/17/Add.1</dc:title>
  <dc:subject>DP/FPA/2006/2 (Part II)</dc:subject>
  <dc:creator>Joyce Raphail</dc:creator>
  <cp:keywords>7 pp FINAL</cp:keywords>
  <dc:description/>
  <cp:lastModifiedBy>Svetlana Iazykova</cp:lastModifiedBy>
  <cp:revision>2</cp:revision>
  <cp:lastPrinted>2020-03-13T14:57:00Z</cp:lastPrinted>
  <dcterms:created xsi:type="dcterms:W3CDTF">2021-05-11T15:31:00Z</dcterms:created>
  <dcterms:modified xsi:type="dcterms:W3CDTF">2021-05-11T15:31:00Z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 Date">
    <vt:lpwstr>120417</vt:lpwstr>
  </property>
  <property fmtid="{D5CDD505-2E9C-101B-9397-08002B2CF9AE}" pid="3" name="JobNo">
    <vt:lpwstr>1905900E</vt:lpwstr>
  </property>
  <property fmtid="{D5CDD505-2E9C-101B-9397-08002B2CF9AE}" pid="4" name="ODSRefJobNo">
    <vt:lpwstr>1910301E</vt:lpwstr>
  </property>
  <property fmtid="{D5CDD505-2E9C-101B-9397-08002B2CF9AE}" pid="5" name="Symbol1">
    <vt:lpwstr>DP/2019/10/Add.1</vt:lpwstr>
  </property>
  <property fmtid="{D5CDD505-2E9C-101B-9397-08002B2CF9AE}" pid="6" name="Symbol2">
    <vt:lpwstr/>
  </property>
  <property fmtid="{D5CDD505-2E9C-101B-9397-08002B2CF9AE}" pid="7" name="ContentTypeId">
    <vt:lpwstr>0x010100FCD96E04E1A5D04F96FEB4D973A9C492</vt:lpwstr>
  </property>
</Properties>
</file>