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41CF4" w14:textId="5D73F53F" w:rsidR="00AA365B" w:rsidRPr="00D543D4" w:rsidRDefault="00DF38E7" w:rsidP="005F6B26">
      <w:pPr>
        <w:pStyle w:val="Heading1"/>
        <w:rPr>
          <w:rFonts w:ascii="Times New Roman" w:hAnsi="Times New Roman" w:cs="Times New Roman"/>
        </w:rPr>
      </w:pPr>
      <w:r w:rsidRPr="00D543D4">
        <w:rPr>
          <w:rFonts w:ascii="Times New Roman" w:hAnsi="Times New Roman" w:cs="Times New Roman"/>
        </w:rPr>
        <w:t>Analysis of factors c</w:t>
      </w:r>
      <w:r w:rsidR="265EDCC9" w:rsidRPr="00D543D4">
        <w:rPr>
          <w:rFonts w:ascii="Times New Roman" w:hAnsi="Times New Roman" w:cs="Times New Roman"/>
        </w:rPr>
        <w:t xml:space="preserve">ausing </w:t>
      </w:r>
      <w:r w:rsidRPr="00D543D4">
        <w:rPr>
          <w:rFonts w:ascii="Times New Roman" w:hAnsi="Times New Roman" w:cs="Times New Roman"/>
        </w:rPr>
        <w:t>a decline in regular resource</w:t>
      </w:r>
      <w:r w:rsidR="6223C85C" w:rsidRPr="00D543D4">
        <w:rPr>
          <w:rFonts w:ascii="Times New Roman" w:hAnsi="Times New Roman" w:cs="Times New Roman"/>
        </w:rPr>
        <w:t>s (“core”)</w:t>
      </w:r>
    </w:p>
    <w:p w14:paraId="3BAF62BF" w14:textId="262B7356" w:rsidR="007D19FE" w:rsidRPr="00D543D4" w:rsidRDefault="00603C71" w:rsidP="265576A8">
      <w:pPr>
        <w:pStyle w:val="Heading1"/>
        <w:rPr>
          <w:rFonts w:ascii="Times New Roman" w:hAnsi="Times New Roman" w:cs="Times New Roman"/>
          <w:sz w:val="28"/>
          <w:szCs w:val="28"/>
        </w:rPr>
      </w:pPr>
      <w:r w:rsidRPr="00D543D4">
        <w:rPr>
          <w:rFonts w:ascii="Times New Roman" w:hAnsi="Times New Roman" w:cs="Times New Roman"/>
          <w:sz w:val="28"/>
          <w:szCs w:val="28"/>
        </w:rPr>
        <w:t>Introduction</w:t>
      </w:r>
    </w:p>
    <w:p w14:paraId="0C2064ED" w14:textId="5511D4C0" w:rsidR="007D19FE" w:rsidRPr="00D543D4" w:rsidRDefault="007D19FE" w:rsidP="265576A8">
      <w:pPr>
        <w:spacing w:after="0" w:line="240" w:lineRule="auto"/>
        <w:jc w:val="both"/>
        <w:textAlignment w:val="baseline"/>
        <w:rPr>
          <w:rFonts w:ascii="Times New Roman" w:eastAsia="Times New Roman" w:hAnsi="Times New Roman" w:cs="Times New Roman"/>
          <w:color w:val="000000" w:themeColor="text1"/>
        </w:rPr>
      </w:pPr>
      <w:r w:rsidRPr="00D543D4">
        <w:rPr>
          <w:rFonts w:ascii="Times New Roman" w:eastAsia="Times New Roman" w:hAnsi="Times New Roman" w:cs="Times New Roman"/>
          <w:color w:val="000000"/>
          <w:shd w:val="clear" w:color="auto" w:fill="FFFFFF"/>
        </w:rPr>
        <w:t xml:space="preserve">In the </w:t>
      </w:r>
      <w:r w:rsidR="7387E0DE" w:rsidRPr="00D543D4">
        <w:rPr>
          <w:rFonts w:ascii="Times New Roman" w:eastAsia="Times New Roman" w:hAnsi="Times New Roman" w:cs="Times New Roman"/>
          <w:color w:val="000000"/>
          <w:shd w:val="clear" w:color="auto" w:fill="FFFFFF"/>
        </w:rPr>
        <w:t xml:space="preserve">multilateral system, </w:t>
      </w:r>
      <w:r w:rsidR="2A8C3F54" w:rsidRPr="00D543D4">
        <w:rPr>
          <w:rFonts w:ascii="Times New Roman" w:eastAsia="Times New Roman" w:hAnsi="Times New Roman" w:cs="Times New Roman"/>
          <w:color w:val="000000"/>
          <w:shd w:val="clear" w:color="auto" w:fill="FFFFFF"/>
        </w:rPr>
        <w:t>regular resources or “</w:t>
      </w:r>
      <w:r w:rsidRPr="00D543D4">
        <w:rPr>
          <w:rFonts w:ascii="Times New Roman" w:eastAsia="Times New Roman" w:hAnsi="Times New Roman" w:cs="Times New Roman"/>
          <w:color w:val="000000"/>
          <w:shd w:val="clear" w:color="auto" w:fill="FFFFFF"/>
        </w:rPr>
        <w:t>core</w:t>
      </w:r>
      <w:r w:rsidR="76872F91" w:rsidRPr="00D543D4">
        <w:rPr>
          <w:rFonts w:ascii="Times New Roman" w:eastAsia="Times New Roman" w:hAnsi="Times New Roman" w:cs="Times New Roman"/>
          <w:color w:val="000000"/>
          <w:shd w:val="clear" w:color="auto" w:fill="FFFFFF"/>
        </w:rPr>
        <w:t>”</w:t>
      </w:r>
      <w:r w:rsidRPr="00D543D4">
        <w:rPr>
          <w:rFonts w:ascii="Times New Roman" w:eastAsia="Times New Roman" w:hAnsi="Times New Roman" w:cs="Times New Roman"/>
          <w:color w:val="000000"/>
          <w:shd w:val="clear" w:color="auto" w:fill="FFFFFF"/>
        </w:rPr>
        <w:t xml:space="preserve"> has </w:t>
      </w:r>
      <w:r w:rsidR="02FB19C5" w:rsidRPr="00D543D4">
        <w:rPr>
          <w:rFonts w:ascii="Times New Roman" w:eastAsia="Times New Roman" w:hAnsi="Times New Roman" w:cs="Times New Roman"/>
          <w:color w:val="000000"/>
          <w:shd w:val="clear" w:color="auto" w:fill="FFFFFF"/>
        </w:rPr>
        <w:t>always</w:t>
      </w:r>
      <w:r w:rsidRPr="00D543D4">
        <w:rPr>
          <w:rFonts w:ascii="Times New Roman" w:eastAsia="Times New Roman" w:hAnsi="Times New Roman" w:cs="Times New Roman"/>
          <w:color w:val="000000"/>
          <w:shd w:val="clear" w:color="auto" w:fill="FFFFFF"/>
        </w:rPr>
        <w:t xml:space="preserve"> been the </w:t>
      </w:r>
      <w:r w:rsidR="00517F69" w:rsidRPr="00D543D4">
        <w:rPr>
          <w:rFonts w:ascii="Times New Roman" w:eastAsia="Times New Roman" w:hAnsi="Times New Roman" w:cs="Times New Roman"/>
          <w:color w:val="000000"/>
          <w:shd w:val="clear" w:color="auto" w:fill="FFFFFF"/>
        </w:rPr>
        <w:t>most</w:t>
      </w:r>
      <w:r w:rsidR="3AA362FF" w:rsidRPr="00D543D4">
        <w:rPr>
          <w:rFonts w:ascii="Times New Roman" w:eastAsia="Times New Roman" w:hAnsi="Times New Roman" w:cs="Times New Roman"/>
          <w:color w:val="000000"/>
          <w:shd w:val="clear" w:color="auto" w:fill="FFFFFF"/>
        </w:rPr>
        <w:t xml:space="preserve"> indispensable and</w:t>
      </w:r>
      <w:r w:rsidR="00517F69" w:rsidRPr="00D543D4">
        <w:rPr>
          <w:rFonts w:ascii="Times New Roman" w:eastAsia="Times New Roman" w:hAnsi="Times New Roman" w:cs="Times New Roman"/>
          <w:color w:val="000000"/>
          <w:shd w:val="clear" w:color="auto" w:fill="FFFFFF"/>
        </w:rPr>
        <w:t xml:space="preserve"> </w:t>
      </w:r>
      <w:r w:rsidR="00BF7DF7" w:rsidRPr="00D543D4">
        <w:rPr>
          <w:rFonts w:ascii="Times New Roman" w:eastAsia="Times New Roman" w:hAnsi="Times New Roman" w:cs="Times New Roman"/>
          <w:color w:val="000000"/>
          <w:shd w:val="clear" w:color="auto" w:fill="FFFFFF"/>
        </w:rPr>
        <w:t xml:space="preserve">flexible </w:t>
      </w:r>
      <w:r w:rsidR="72EA14B8" w:rsidRPr="00D543D4">
        <w:rPr>
          <w:rFonts w:ascii="Times New Roman" w:eastAsia="Times New Roman" w:hAnsi="Times New Roman" w:cs="Times New Roman"/>
          <w:color w:val="000000"/>
          <w:shd w:val="clear" w:color="auto" w:fill="FFFFFF"/>
        </w:rPr>
        <w:t xml:space="preserve">funding </w:t>
      </w:r>
      <w:r w:rsidR="2E4943E5" w:rsidRPr="00D543D4">
        <w:rPr>
          <w:rFonts w:ascii="Times New Roman" w:eastAsia="Times New Roman" w:hAnsi="Times New Roman" w:cs="Times New Roman"/>
          <w:color w:val="000000"/>
          <w:shd w:val="clear" w:color="auto" w:fill="FFFFFF"/>
        </w:rPr>
        <w:t xml:space="preserve">source </w:t>
      </w:r>
      <w:r w:rsidR="00667A35" w:rsidRPr="00D543D4">
        <w:rPr>
          <w:rFonts w:ascii="Times New Roman" w:eastAsia="Times New Roman" w:hAnsi="Times New Roman" w:cs="Times New Roman"/>
          <w:color w:val="000000"/>
          <w:shd w:val="clear" w:color="auto" w:fill="FFFFFF"/>
        </w:rPr>
        <w:t xml:space="preserve">that ensures </w:t>
      </w:r>
      <w:r w:rsidR="007F34B0" w:rsidRPr="00D543D4">
        <w:rPr>
          <w:rFonts w:ascii="Times New Roman" w:eastAsia="Times New Roman" w:hAnsi="Times New Roman" w:cs="Times New Roman"/>
          <w:color w:val="000000"/>
          <w:shd w:val="clear" w:color="auto" w:fill="FFFFFF"/>
        </w:rPr>
        <w:t xml:space="preserve">the independence, </w:t>
      </w:r>
      <w:r w:rsidR="00C82D4A" w:rsidRPr="00D543D4">
        <w:rPr>
          <w:rFonts w:ascii="Times New Roman" w:eastAsia="Times New Roman" w:hAnsi="Times New Roman" w:cs="Times New Roman"/>
          <w:color w:val="000000"/>
          <w:shd w:val="clear" w:color="auto" w:fill="FFFFFF"/>
        </w:rPr>
        <w:t>effecti</w:t>
      </w:r>
      <w:r w:rsidR="007F34B0" w:rsidRPr="00D543D4">
        <w:rPr>
          <w:rFonts w:ascii="Times New Roman" w:eastAsia="Times New Roman" w:hAnsi="Times New Roman" w:cs="Times New Roman"/>
          <w:color w:val="000000"/>
          <w:shd w:val="clear" w:color="auto" w:fill="FFFFFF"/>
        </w:rPr>
        <w:t>veness</w:t>
      </w:r>
      <w:r w:rsidR="00886963" w:rsidRPr="00D543D4">
        <w:rPr>
          <w:rFonts w:ascii="Times New Roman" w:eastAsia="Times New Roman" w:hAnsi="Times New Roman" w:cs="Times New Roman"/>
          <w:color w:val="000000"/>
          <w:shd w:val="clear" w:color="auto" w:fill="FFFFFF"/>
        </w:rPr>
        <w:t>,</w:t>
      </w:r>
      <w:r w:rsidR="00517F69" w:rsidRPr="00D543D4">
        <w:rPr>
          <w:rFonts w:ascii="Times New Roman" w:eastAsia="Times New Roman" w:hAnsi="Times New Roman" w:cs="Times New Roman"/>
          <w:color w:val="000000"/>
          <w:shd w:val="clear" w:color="auto" w:fill="FFFFFF"/>
        </w:rPr>
        <w:t xml:space="preserve"> and resilien</w:t>
      </w:r>
      <w:r w:rsidR="007F34B0" w:rsidRPr="00D543D4">
        <w:rPr>
          <w:rFonts w:ascii="Times New Roman" w:eastAsia="Times New Roman" w:hAnsi="Times New Roman" w:cs="Times New Roman"/>
          <w:color w:val="000000"/>
          <w:shd w:val="clear" w:color="auto" w:fill="FFFFFF"/>
        </w:rPr>
        <w:t xml:space="preserve">cy of development </w:t>
      </w:r>
      <w:r w:rsidR="00974757" w:rsidRPr="00D543D4">
        <w:rPr>
          <w:rFonts w:ascii="Times New Roman" w:eastAsia="Times New Roman" w:hAnsi="Times New Roman" w:cs="Times New Roman"/>
          <w:color w:val="000000"/>
          <w:shd w:val="clear" w:color="auto" w:fill="FFFFFF"/>
        </w:rPr>
        <w:t>agencies</w:t>
      </w:r>
      <w:r w:rsidR="00667A35" w:rsidRPr="00D543D4">
        <w:rPr>
          <w:rFonts w:ascii="Times New Roman" w:eastAsia="Times New Roman" w:hAnsi="Times New Roman" w:cs="Times New Roman"/>
          <w:color w:val="000000"/>
          <w:shd w:val="clear" w:color="auto" w:fill="FFFFFF"/>
        </w:rPr>
        <w:t xml:space="preserve">. </w:t>
      </w:r>
      <w:r w:rsidR="00B70D4A" w:rsidRPr="00D543D4">
        <w:rPr>
          <w:rFonts w:ascii="Times New Roman" w:eastAsia="Times New Roman" w:hAnsi="Times New Roman" w:cs="Times New Roman"/>
          <w:color w:val="000000"/>
          <w:shd w:val="clear" w:color="auto" w:fill="FFFFFF"/>
        </w:rPr>
        <w:t>Th</w:t>
      </w:r>
      <w:r w:rsidR="06CFA599" w:rsidRPr="00D543D4">
        <w:rPr>
          <w:rFonts w:ascii="Times New Roman" w:eastAsia="Times New Roman" w:hAnsi="Times New Roman" w:cs="Times New Roman"/>
          <w:color w:val="000000"/>
          <w:shd w:val="clear" w:color="auto" w:fill="FFFFFF"/>
        </w:rPr>
        <w:t xml:space="preserve">is form of </w:t>
      </w:r>
      <w:r w:rsidR="00B70D4A" w:rsidRPr="00D543D4">
        <w:rPr>
          <w:rFonts w:ascii="Times New Roman" w:eastAsia="Times New Roman" w:hAnsi="Times New Roman" w:cs="Times New Roman"/>
          <w:color w:val="000000"/>
          <w:shd w:val="clear" w:color="auto" w:fill="FFFFFF"/>
        </w:rPr>
        <w:t xml:space="preserve">voluntary </w:t>
      </w:r>
      <w:r w:rsidR="00C7681F" w:rsidRPr="00D543D4">
        <w:rPr>
          <w:rFonts w:ascii="Times New Roman" w:eastAsia="Times New Roman" w:hAnsi="Times New Roman" w:cs="Times New Roman"/>
          <w:color w:val="000000"/>
          <w:shd w:val="clear" w:color="auto" w:fill="FFFFFF"/>
        </w:rPr>
        <w:t>funding represent</w:t>
      </w:r>
      <w:r w:rsidR="3FFFD503" w:rsidRPr="00D543D4">
        <w:rPr>
          <w:rFonts w:ascii="Times New Roman" w:eastAsia="Times New Roman" w:hAnsi="Times New Roman" w:cs="Times New Roman"/>
          <w:color w:val="000000"/>
          <w:shd w:val="clear" w:color="auto" w:fill="FFFFFF"/>
        </w:rPr>
        <w:t>s</w:t>
      </w:r>
      <w:r w:rsidR="00C7681F" w:rsidRPr="00D543D4">
        <w:rPr>
          <w:rFonts w:ascii="Times New Roman" w:eastAsia="Times New Roman" w:hAnsi="Times New Roman" w:cs="Times New Roman"/>
          <w:color w:val="000000"/>
          <w:shd w:val="clear" w:color="auto" w:fill="FFFFFF"/>
        </w:rPr>
        <w:t xml:space="preserve"> an expression of trust and </w:t>
      </w:r>
      <w:r w:rsidR="00A90D8C" w:rsidRPr="00D543D4">
        <w:rPr>
          <w:rFonts w:ascii="Times New Roman" w:eastAsia="Times New Roman" w:hAnsi="Times New Roman" w:cs="Times New Roman"/>
          <w:color w:val="000000"/>
          <w:shd w:val="clear" w:color="auto" w:fill="FFFFFF"/>
        </w:rPr>
        <w:t>investment by contributing partners</w:t>
      </w:r>
      <w:r w:rsidR="00ED5A14" w:rsidRPr="00D543D4">
        <w:rPr>
          <w:rFonts w:ascii="Times New Roman" w:eastAsia="Times New Roman" w:hAnsi="Times New Roman" w:cs="Times New Roman"/>
          <w:color w:val="000000"/>
          <w:shd w:val="clear" w:color="auto" w:fill="FFFFFF"/>
        </w:rPr>
        <w:t xml:space="preserve"> to </w:t>
      </w:r>
      <w:r w:rsidR="00974757" w:rsidRPr="00D543D4">
        <w:rPr>
          <w:rFonts w:ascii="Times New Roman" w:eastAsia="Times New Roman" w:hAnsi="Times New Roman" w:cs="Times New Roman"/>
          <w:color w:val="000000"/>
          <w:shd w:val="clear" w:color="auto" w:fill="FFFFFF"/>
        </w:rPr>
        <w:t>agencies</w:t>
      </w:r>
      <w:r w:rsidR="00ED5A14" w:rsidRPr="00D543D4">
        <w:rPr>
          <w:rFonts w:ascii="Times New Roman" w:eastAsia="Times New Roman" w:hAnsi="Times New Roman" w:cs="Times New Roman"/>
          <w:color w:val="000000"/>
          <w:shd w:val="clear" w:color="auto" w:fill="FFFFFF"/>
        </w:rPr>
        <w:t xml:space="preserve">. </w:t>
      </w:r>
      <w:r w:rsidR="2848D478" w:rsidRPr="00D543D4">
        <w:rPr>
          <w:rFonts w:ascii="Times New Roman" w:eastAsia="Times New Roman" w:hAnsi="Times New Roman" w:cs="Times New Roman"/>
          <w:color w:val="000000"/>
          <w:shd w:val="clear" w:color="auto" w:fill="FFFFFF"/>
        </w:rPr>
        <w:t>R</w:t>
      </w:r>
      <w:r w:rsidRPr="00D543D4">
        <w:rPr>
          <w:rFonts w:ascii="Times New Roman" w:eastAsia="Times New Roman" w:hAnsi="Times New Roman" w:cs="Times New Roman"/>
          <w:color w:val="000000"/>
          <w:shd w:val="clear" w:color="auto" w:fill="FFFFFF"/>
        </w:rPr>
        <w:t>ecent trends</w:t>
      </w:r>
      <w:r w:rsidR="49528690" w:rsidRPr="00D543D4">
        <w:rPr>
          <w:rFonts w:ascii="Times New Roman" w:eastAsia="Times New Roman" w:hAnsi="Times New Roman" w:cs="Times New Roman"/>
          <w:color w:val="000000"/>
          <w:shd w:val="clear" w:color="auto" w:fill="FFFFFF"/>
        </w:rPr>
        <w:t>, however,</w:t>
      </w:r>
      <w:r w:rsidRPr="00D543D4">
        <w:rPr>
          <w:rFonts w:ascii="Times New Roman" w:eastAsia="Times New Roman" w:hAnsi="Times New Roman" w:cs="Times New Roman"/>
          <w:color w:val="000000"/>
          <w:shd w:val="clear" w:color="auto" w:fill="FFFFFF"/>
        </w:rPr>
        <w:t xml:space="preserve"> have shown a decline in the </w:t>
      </w:r>
      <w:r w:rsidR="497A9401" w:rsidRPr="00D543D4">
        <w:rPr>
          <w:rFonts w:ascii="Times New Roman" w:eastAsia="Times New Roman" w:hAnsi="Times New Roman" w:cs="Times New Roman"/>
          <w:color w:val="000000"/>
          <w:shd w:val="clear" w:color="auto" w:fill="FFFFFF"/>
        </w:rPr>
        <w:t>volume</w:t>
      </w:r>
      <w:r w:rsidRPr="00D543D4">
        <w:rPr>
          <w:rFonts w:ascii="Times New Roman" w:eastAsia="Times New Roman" w:hAnsi="Times New Roman" w:cs="Times New Roman"/>
          <w:color w:val="000000"/>
          <w:shd w:val="clear" w:color="auto" w:fill="FFFFFF"/>
        </w:rPr>
        <w:t xml:space="preserve"> and proportion of core funding</w:t>
      </w:r>
      <w:r w:rsidR="00974757" w:rsidRPr="00D543D4">
        <w:rPr>
          <w:rFonts w:ascii="Times New Roman" w:hAnsi="Times New Roman" w:cs="Times New Roman"/>
        </w:rPr>
        <w:t xml:space="preserve"> </w:t>
      </w:r>
      <w:r w:rsidR="00974757" w:rsidRPr="00D543D4">
        <w:rPr>
          <w:rFonts w:ascii="Times New Roman" w:eastAsia="Times New Roman" w:hAnsi="Times New Roman" w:cs="Times New Roman"/>
          <w:color w:val="000000"/>
          <w:shd w:val="clear" w:color="auto" w:fill="FFFFFF"/>
        </w:rPr>
        <w:t xml:space="preserve">within agencies' overall resource allocation. </w:t>
      </w:r>
      <w:r w:rsidR="009E0784" w:rsidRPr="009E0784">
        <w:rPr>
          <w:rFonts w:ascii="Times New Roman" w:eastAsia="Times New Roman" w:hAnsi="Times New Roman" w:cs="Times New Roman"/>
          <w:color w:val="000000"/>
          <w:shd w:val="clear" w:color="auto" w:fill="FFFFFF"/>
        </w:rPr>
        <w:t>Project-specific and earmarked funding</w:t>
      </w:r>
      <w:r w:rsidR="00F75708">
        <w:rPr>
          <w:rFonts w:ascii="Times New Roman" w:eastAsia="Times New Roman" w:hAnsi="Times New Roman" w:cs="Times New Roman"/>
          <w:color w:val="000000"/>
          <w:shd w:val="clear" w:color="auto" w:fill="FFFFFF"/>
        </w:rPr>
        <w:t xml:space="preserve"> practices</w:t>
      </w:r>
      <w:r w:rsidR="009E0784" w:rsidRPr="009E0784">
        <w:rPr>
          <w:rFonts w:ascii="Times New Roman" w:eastAsia="Times New Roman" w:hAnsi="Times New Roman" w:cs="Times New Roman"/>
          <w:color w:val="000000"/>
          <w:shd w:val="clear" w:color="auto" w:fill="FFFFFF"/>
        </w:rPr>
        <w:t xml:space="preserve">, which </w:t>
      </w:r>
      <w:r w:rsidR="00F75708">
        <w:rPr>
          <w:rFonts w:ascii="Times New Roman" w:eastAsia="Times New Roman" w:hAnsi="Times New Roman" w:cs="Times New Roman"/>
          <w:color w:val="000000"/>
          <w:shd w:val="clear" w:color="auto" w:fill="FFFFFF"/>
        </w:rPr>
        <w:t>have</w:t>
      </w:r>
      <w:r w:rsidR="009E0784" w:rsidRPr="009E0784">
        <w:rPr>
          <w:rFonts w:ascii="Times New Roman" w:eastAsia="Times New Roman" w:hAnsi="Times New Roman" w:cs="Times New Roman"/>
          <w:color w:val="000000"/>
          <w:shd w:val="clear" w:color="auto" w:fill="FFFFFF"/>
        </w:rPr>
        <w:t xml:space="preserve"> increasingly been supported by many donor countries, are leaving agencies with limited flexibility to address complex and multifaceted development issues.</w:t>
      </w:r>
    </w:p>
    <w:p w14:paraId="74D5FE15" w14:textId="49B9B9FC" w:rsidR="265576A8" w:rsidRPr="00D543D4" w:rsidRDefault="265576A8" w:rsidP="265576A8">
      <w:pPr>
        <w:spacing w:after="0" w:line="240" w:lineRule="auto"/>
        <w:jc w:val="both"/>
        <w:rPr>
          <w:rFonts w:ascii="Times New Roman" w:eastAsia="Times New Roman" w:hAnsi="Times New Roman" w:cs="Times New Roman"/>
          <w:color w:val="000000" w:themeColor="text1"/>
        </w:rPr>
      </w:pPr>
    </w:p>
    <w:p w14:paraId="4D371D2F" w14:textId="5C58B45E" w:rsidR="00F12F1C" w:rsidRPr="00D543D4" w:rsidRDefault="00F12F1C" w:rsidP="265576A8">
      <w:pPr>
        <w:spacing w:after="0" w:line="240" w:lineRule="auto"/>
        <w:jc w:val="both"/>
        <w:textAlignment w:val="baseline"/>
        <w:rPr>
          <w:rFonts w:ascii="Times New Roman" w:eastAsia="Times New Roman" w:hAnsi="Times New Roman" w:cs="Times New Roman"/>
          <w:color w:val="000000" w:themeColor="text1"/>
        </w:rPr>
      </w:pPr>
      <w:r w:rsidRPr="00D543D4">
        <w:rPr>
          <w:rFonts w:ascii="Times New Roman" w:eastAsia="Times New Roman" w:hAnsi="Times New Roman" w:cs="Times New Roman"/>
          <w:color w:val="000000"/>
          <w:shd w:val="clear" w:color="auto" w:fill="FFFFFF"/>
        </w:rPr>
        <w:t>Th</w:t>
      </w:r>
      <w:r w:rsidR="224411DB" w:rsidRPr="00D543D4">
        <w:rPr>
          <w:rFonts w:ascii="Times New Roman" w:eastAsia="Times New Roman" w:hAnsi="Times New Roman" w:cs="Times New Roman"/>
          <w:color w:val="000000"/>
          <w:shd w:val="clear" w:color="auto" w:fill="FFFFFF"/>
        </w:rPr>
        <w:t>e</w:t>
      </w:r>
      <w:r w:rsidRPr="00D543D4">
        <w:rPr>
          <w:rFonts w:ascii="Times New Roman" w:eastAsia="Times New Roman" w:hAnsi="Times New Roman" w:cs="Times New Roman"/>
          <w:color w:val="000000"/>
          <w:shd w:val="clear" w:color="auto" w:fill="FFFFFF"/>
        </w:rPr>
        <w:t xml:space="preserve"> imbalance </w:t>
      </w:r>
      <w:r w:rsidR="04ECADE5" w:rsidRPr="00D543D4">
        <w:rPr>
          <w:rFonts w:ascii="Times New Roman" w:eastAsia="Times New Roman" w:hAnsi="Times New Roman" w:cs="Times New Roman"/>
          <w:color w:val="000000"/>
          <w:shd w:val="clear" w:color="auto" w:fill="FFFFFF"/>
        </w:rPr>
        <w:t>i</w:t>
      </w:r>
      <w:r w:rsidRPr="00D543D4">
        <w:rPr>
          <w:rFonts w:ascii="Times New Roman" w:eastAsia="Times New Roman" w:hAnsi="Times New Roman" w:cs="Times New Roman"/>
          <w:color w:val="000000"/>
          <w:shd w:val="clear" w:color="auto" w:fill="FFFFFF"/>
        </w:rPr>
        <w:t>n core and non-core funding is more pro</w:t>
      </w:r>
      <w:r w:rsidR="00C62A6F" w:rsidRPr="00D543D4">
        <w:rPr>
          <w:rFonts w:ascii="Times New Roman" w:eastAsia="Times New Roman" w:hAnsi="Times New Roman" w:cs="Times New Roman"/>
          <w:color w:val="000000"/>
          <w:shd w:val="clear" w:color="auto" w:fill="FFFFFF"/>
        </w:rPr>
        <w:t xml:space="preserve">nounced in the UN development system. </w:t>
      </w:r>
      <w:r w:rsidR="00D94D52" w:rsidRPr="00D543D4">
        <w:rPr>
          <w:rFonts w:ascii="Times New Roman" w:eastAsia="Times New Roman" w:hAnsi="Times New Roman" w:cs="Times New Roman"/>
          <w:color w:val="000000"/>
          <w:shd w:val="clear" w:color="auto" w:fill="FFFFFF"/>
        </w:rPr>
        <w:t>Compared</w:t>
      </w:r>
      <w:r w:rsidR="00C62A6F" w:rsidRPr="00D543D4">
        <w:rPr>
          <w:rFonts w:ascii="Times New Roman" w:eastAsia="Times New Roman" w:hAnsi="Times New Roman" w:cs="Times New Roman"/>
          <w:color w:val="000000"/>
          <w:shd w:val="clear" w:color="auto" w:fill="FFFFFF"/>
        </w:rPr>
        <w:t xml:space="preserve"> to other multilateral ins</w:t>
      </w:r>
      <w:r w:rsidR="00D94D52" w:rsidRPr="00D543D4">
        <w:rPr>
          <w:rFonts w:ascii="Times New Roman" w:eastAsia="Times New Roman" w:hAnsi="Times New Roman" w:cs="Times New Roman"/>
          <w:color w:val="000000"/>
          <w:shd w:val="clear" w:color="auto" w:fill="FFFFFF"/>
        </w:rPr>
        <w:t xml:space="preserve">titutions, the UN development system receives </w:t>
      </w:r>
      <w:r w:rsidR="007808A4" w:rsidRPr="00D543D4">
        <w:rPr>
          <w:rFonts w:ascii="Times New Roman" w:eastAsia="Times New Roman" w:hAnsi="Times New Roman" w:cs="Times New Roman"/>
          <w:color w:val="000000"/>
          <w:shd w:val="clear" w:color="auto" w:fill="FFFFFF"/>
        </w:rPr>
        <w:t>most of</w:t>
      </w:r>
      <w:r w:rsidR="00D94D52" w:rsidRPr="00D543D4">
        <w:rPr>
          <w:rFonts w:ascii="Times New Roman" w:eastAsia="Times New Roman" w:hAnsi="Times New Roman" w:cs="Times New Roman"/>
          <w:color w:val="000000"/>
          <w:shd w:val="clear" w:color="auto" w:fill="FFFFFF"/>
        </w:rPr>
        <w:t xml:space="preserve"> its funding as earmarked contributions. T</w:t>
      </w:r>
      <w:r w:rsidR="007808A4" w:rsidRPr="00D543D4">
        <w:rPr>
          <w:rFonts w:ascii="Times New Roman" w:eastAsia="Times New Roman" w:hAnsi="Times New Roman" w:cs="Times New Roman"/>
          <w:color w:val="000000"/>
          <w:shd w:val="clear" w:color="auto" w:fill="FFFFFF"/>
        </w:rPr>
        <w:t>he</w:t>
      </w:r>
      <w:r w:rsidRPr="00D543D4">
        <w:rPr>
          <w:rFonts w:ascii="Times New Roman" w:eastAsia="Times New Roman" w:hAnsi="Times New Roman" w:cs="Times New Roman"/>
          <w:color w:val="000000"/>
          <w:shd w:val="clear" w:color="auto" w:fill="FFFFFF"/>
        </w:rPr>
        <w:t xml:space="preserve"> trend to earmark contributions to the UNDS has steadily grown since the early 2000s, reaching a striking 83% of all revenues in 2020 (a higher share than the 62% seen for the total UN system)</w:t>
      </w:r>
      <w:r w:rsidR="00567CB1" w:rsidRPr="00D543D4">
        <w:rPr>
          <w:rStyle w:val="FootnoteReference"/>
          <w:rFonts w:ascii="Times New Roman" w:eastAsia="Times New Roman" w:hAnsi="Times New Roman" w:cs="Times New Roman"/>
          <w:color w:val="000000"/>
          <w:shd w:val="clear" w:color="auto" w:fill="FFFFFF"/>
        </w:rPr>
        <w:footnoteReference w:id="2"/>
      </w:r>
      <w:r w:rsidRPr="00D543D4">
        <w:rPr>
          <w:rFonts w:ascii="Times New Roman" w:eastAsia="Times New Roman" w:hAnsi="Times New Roman" w:cs="Times New Roman"/>
          <w:color w:val="000000"/>
          <w:shd w:val="clear" w:color="auto" w:fill="FFFFFF"/>
        </w:rPr>
        <w:t xml:space="preserve">. Since UN organizations </w:t>
      </w:r>
      <w:r w:rsidR="51A8F22E" w:rsidRPr="00D543D4">
        <w:rPr>
          <w:rFonts w:ascii="Times New Roman" w:eastAsia="Times New Roman" w:hAnsi="Times New Roman" w:cs="Times New Roman"/>
          <w:color w:val="000000"/>
          <w:shd w:val="clear" w:color="auto" w:fill="FFFFFF"/>
        </w:rPr>
        <w:t xml:space="preserve">were </w:t>
      </w:r>
      <w:r w:rsidRPr="00D543D4">
        <w:rPr>
          <w:rFonts w:ascii="Times New Roman" w:eastAsia="Times New Roman" w:hAnsi="Times New Roman" w:cs="Times New Roman"/>
          <w:color w:val="000000"/>
          <w:shd w:val="clear" w:color="auto" w:fill="FFFFFF"/>
        </w:rPr>
        <w:t xml:space="preserve">designed to </w:t>
      </w:r>
      <w:r w:rsidR="6055E675" w:rsidRPr="00D543D4">
        <w:rPr>
          <w:rFonts w:ascii="Times New Roman" w:eastAsia="Times New Roman" w:hAnsi="Times New Roman" w:cs="Times New Roman"/>
          <w:color w:val="000000"/>
          <w:shd w:val="clear" w:color="auto" w:fill="FFFFFF"/>
        </w:rPr>
        <w:t xml:space="preserve">operate with </w:t>
      </w:r>
      <w:r w:rsidRPr="00D543D4">
        <w:rPr>
          <w:rFonts w:ascii="Times New Roman" w:eastAsia="Times New Roman" w:hAnsi="Times New Roman" w:cs="Times New Roman"/>
          <w:color w:val="000000"/>
          <w:shd w:val="clear" w:color="auto" w:fill="FFFFFF"/>
        </w:rPr>
        <w:t>core</w:t>
      </w:r>
      <w:r w:rsidR="50D56E56" w:rsidRPr="00D543D4">
        <w:rPr>
          <w:rFonts w:ascii="Times New Roman" w:eastAsia="Times New Roman" w:hAnsi="Times New Roman" w:cs="Times New Roman"/>
          <w:color w:val="000000"/>
          <w:shd w:val="clear" w:color="auto" w:fill="FFFFFF"/>
        </w:rPr>
        <w:t xml:space="preserve"> funding support</w:t>
      </w:r>
      <w:r w:rsidRPr="00D543D4">
        <w:rPr>
          <w:rFonts w:ascii="Times New Roman" w:eastAsia="Times New Roman" w:hAnsi="Times New Roman" w:cs="Times New Roman"/>
          <w:color w:val="000000"/>
          <w:shd w:val="clear" w:color="auto" w:fill="FFFFFF"/>
        </w:rPr>
        <w:t>, such high levels of earmarking “</w:t>
      </w:r>
      <w:r w:rsidR="00E54B98" w:rsidRPr="00D543D4">
        <w:rPr>
          <w:rFonts w:ascii="Times New Roman" w:eastAsia="Times New Roman" w:hAnsi="Times New Roman" w:cs="Times New Roman"/>
          <w:color w:val="000000"/>
          <w:shd w:val="clear" w:color="auto" w:fill="FFFFFF"/>
        </w:rPr>
        <w:t>create</w:t>
      </w:r>
      <w:r w:rsidRPr="00D543D4">
        <w:rPr>
          <w:rFonts w:ascii="Times New Roman" w:eastAsia="Times New Roman" w:hAnsi="Times New Roman" w:cs="Times New Roman"/>
          <w:color w:val="000000"/>
          <w:shd w:val="clear" w:color="auto" w:fill="FFFFFF"/>
        </w:rPr>
        <w:t xml:space="preserve"> high transaction costs, drives fragmentation, makes the UN less strategic and impactful, and damages the multilateralism that should carry the UN and its development work”.</w:t>
      </w:r>
      <w:r w:rsidR="00567CB1" w:rsidRPr="00D543D4">
        <w:rPr>
          <w:rStyle w:val="FootnoteReference"/>
          <w:rFonts w:ascii="Times New Roman" w:eastAsia="Times New Roman" w:hAnsi="Times New Roman" w:cs="Times New Roman"/>
          <w:color w:val="000000"/>
          <w:shd w:val="clear" w:color="auto" w:fill="FFFFFF"/>
        </w:rPr>
        <w:footnoteReference w:id="3"/>
      </w:r>
      <w:r w:rsidRPr="00D543D4">
        <w:rPr>
          <w:rFonts w:ascii="Times New Roman" w:eastAsia="Times New Roman" w:hAnsi="Times New Roman" w:cs="Times New Roman"/>
          <w:color w:val="000000"/>
        </w:rPr>
        <w:t> </w:t>
      </w:r>
      <w:r w:rsidR="12CEE890" w:rsidRPr="00D543D4">
        <w:rPr>
          <w:rFonts w:ascii="Times New Roman" w:eastAsia="Times New Roman" w:hAnsi="Times New Roman" w:cs="Times New Roman"/>
          <w:color w:val="000000"/>
        </w:rPr>
        <w:t xml:space="preserve"> </w:t>
      </w:r>
    </w:p>
    <w:p w14:paraId="0E4F0CFC" w14:textId="2291DD48" w:rsidR="265576A8" w:rsidRPr="00D543D4" w:rsidRDefault="265576A8" w:rsidP="265576A8">
      <w:pPr>
        <w:spacing w:after="0" w:line="240" w:lineRule="auto"/>
        <w:jc w:val="both"/>
        <w:rPr>
          <w:rFonts w:ascii="Times New Roman" w:eastAsia="Times New Roman" w:hAnsi="Times New Roman" w:cs="Times New Roman"/>
          <w:color w:val="000000" w:themeColor="text1"/>
        </w:rPr>
      </w:pPr>
    </w:p>
    <w:p w14:paraId="48C75493" w14:textId="5997F303" w:rsidR="00F12F1C" w:rsidRPr="00D543D4" w:rsidRDefault="36A8A49C" w:rsidP="265576A8">
      <w:pPr>
        <w:spacing w:after="0" w:line="240" w:lineRule="auto"/>
        <w:jc w:val="both"/>
        <w:textAlignment w:val="baseline"/>
        <w:rPr>
          <w:rFonts w:ascii="Times New Roman" w:eastAsia="Times New Roman" w:hAnsi="Times New Roman" w:cs="Times New Roman"/>
          <w:color w:val="000000" w:themeColor="text1"/>
        </w:rPr>
      </w:pPr>
      <w:r w:rsidRPr="00D543D4">
        <w:rPr>
          <w:rFonts w:ascii="Times New Roman" w:eastAsia="Times New Roman" w:hAnsi="Times New Roman" w:cs="Times New Roman"/>
          <w:color w:val="000000"/>
          <w:shd w:val="clear" w:color="auto" w:fill="FFFFFF"/>
        </w:rPr>
        <w:t xml:space="preserve">Over the last two decades, </w:t>
      </w:r>
      <w:r w:rsidR="00F12F1C" w:rsidRPr="00D543D4">
        <w:rPr>
          <w:rFonts w:ascii="Times New Roman" w:eastAsia="Times New Roman" w:hAnsi="Times New Roman" w:cs="Times New Roman"/>
          <w:color w:val="000000"/>
          <w:shd w:val="clear" w:color="auto" w:fill="FFFFFF"/>
        </w:rPr>
        <w:t xml:space="preserve">Member </w:t>
      </w:r>
      <w:r w:rsidR="791B3098" w:rsidRPr="00D543D4">
        <w:rPr>
          <w:rFonts w:ascii="Times New Roman" w:eastAsia="Times New Roman" w:hAnsi="Times New Roman" w:cs="Times New Roman"/>
          <w:color w:val="000000"/>
          <w:shd w:val="clear" w:color="auto" w:fill="FFFFFF"/>
        </w:rPr>
        <w:t>S</w:t>
      </w:r>
      <w:r w:rsidR="00F12F1C" w:rsidRPr="00D543D4">
        <w:rPr>
          <w:rFonts w:ascii="Times New Roman" w:eastAsia="Times New Roman" w:hAnsi="Times New Roman" w:cs="Times New Roman"/>
          <w:color w:val="000000"/>
          <w:shd w:val="clear" w:color="auto" w:fill="FFFFFF"/>
        </w:rPr>
        <w:t>tates and UN organizations have been r</w:t>
      </w:r>
      <w:r w:rsidR="2FB22515" w:rsidRPr="00D543D4">
        <w:rPr>
          <w:rFonts w:ascii="Times New Roman" w:eastAsia="Times New Roman" w:hAnsi="Times New Roman" w:cs="Times New Roman"/>
          <w:color w:val="000000"/>
          <w:shd w:val="clear" w:color="auto" w:fill="FFFFFF"/>
        </w:rPr>
        <w:t>aising the alarm</w:t>
      </w:r>
      <w:r w:rsidR="00F12F1C" w:rsidRPr="00D543D4">
        <w:rPr>
          <w:rFonts w:ascii="Times New Roman" w:eastAsia="Times New Roman" w:hAnsi="Times New Roman" w:cs="Times New Roman"/>
          <w:color w:val="000000"/>
          <w:shd w:val="clear" w:color="auto" w:fill="FFFFFF"/>
        </w:rPr>
        <w:t xml:space="preserve"> on this perilous trend</w:t>
      </w:r>
      <w:r w:rsidR="009F6322">
        <w:rPr>
          <w:rFonts w:ascii="Times New Roman" w:eastAsia="Times New Roman" w:hAnsi="Times New Roman" w:cs="Times New Roman"/>
          <w:color w:val="000000"/>
          <w:shd w:val="clear" w:color="auto" w:fill="FFFFFF"/>
        </w:rPr>
        <w:t xml:space="preserve"> in core funding</w:t>
      </w:r>
      <w:r w:rsidR="00F12F1C" w:rsidRPr="00D543D4">
        <w:rPr>
          <w:rFonts w:ascii="Times New Roman" w:eastAsia="Times New Roman" w:hAnsi="Times New Roman" w:cs="Times New Roman"/>
          <w:color w:val="000000"/>
          <w:shd w:val="clear" w:color="auto" w:fill="FFFFFF"/>
        </w:rPr>
        <w:t>, resulting in the Funding Compact as a concrete effort to address th</w:t>
      </w:r>
      <w:r w:rsidR="308813E6" w:rsidRPr="00D543D4">
        <w:rPr>
          <w:rFonts w:ascii="Times New Roman" w:eastAsia="Times New Roman" w:hAnsi="Times New Roman" w:cs="Times New Roman"/>
          <w:color w:val="000000"/>
          <w:shd w:val="clear" w:color="auto" w:fill="FFFFFF"/>
        </w:rPr>
        <w:t>e</w:t>
      </w:r>
      <w:r w:rsidR="00F12F1C" w:rsidRPr="00D543D4">
        <w:rPr>
          <w:rFonts w:ascii="Times New Roman" w:eastAsia="Times New Roman" w:hAnsi="Times New Roman" w:cs="Times New Roman"/>
          <w:color w:val="000000"/>
          <w:shd w:val="clear" w:color="auto" w:fill="FFFFFF"/>
        </w:rPr>
        <w:t xml:space="preserve"> imbalance. The Compact’s </w:t>
      </w:r>
      <w:r w:rsidR="3618BB79" w:rsidRPr="00D543D4">
        <w:rPr>
          <w:rFonts w:ascii="Times New Roman" w:eastAsia="Times New Roman" w:hAnsi="Times New Roman" w:cs="Times New Roman"/>
          <w:color w:val="000000"/>
          <w:shd w:val="clear" w:color="auto" w:fill="FFFFFF"/>
        </w:rPr>
        <w:t xml:space="preserve">rationale relies on </w:t>
      </w:r>
      <w:r w:rsidR="00F12F1C" w:rsidRPr="00D543D4">
        <w:rPr>
          <w:rFonts w:ascii="Times New Roman" w:eastAsia="Times New Roman" w:hAnsi="Times New Roman" w:cs="Times New Roman"/>
          <w:color w:val="000000"/>
          <w:shd w:val="clear" w:color="auto" w:fill="FFFFFF"/>
        </w:rPr>
        <w:t xml:space="preserve">reciprocity between the UNDS and </w:t>
      </w:r>
      <w:r w:rsidR="70FF987D" w:rsidRPr="00D543D4">
        <w:rPr>
          <w:rFonts w:ascii="Times New Roman" w:eastAsia="Times New Roman" w:hAnsi="Times New Roman" w:cs="Times New Roman"/>
          <w:color w:val="000000"/>
          <w:shd w:val="clear" w:color="auto" w:fill="FFFFFF"/>
        </w:rPr>
        <w:t>M</w:t>
      </w:r>
      <w:r w:rsidR="00F12F1C" w:rsidRPr="00D543D4">
        <w:rPr>
          <w:rFonts w:ascii="Times New Roman" w:eastAsia="Times New Roman" w:hAnsi="Times New Roman" w:cs="Times New Roman"/>
          <w:color w:val="000000"/>
          <w:shd w:val="clear" w:color="auto" w:fill="FFFFFF"/>
        </w:rPr>
        <w:t xml:space="preserve">ember </w:t>
      </w:r>
      <w:r w:rsidR="1E36244B" w:rsidRPr="00D543D4">
        <w:rPr>
          <w:rFonts w:ascii="Times New Roman" w:eastAsia="Times New Roman" w:hAnsi="Times New Roman" w:cs="Times New Roman"/>
          <w:color w:val="000000"/>
          <w:shd w:val="clear" w:color="auto" w:fill="FFFFFF"/>
        </w:rPr>
        <w:t>S</w:t>
      </w:r>
      <w:r w:rsidR="00F12F1C" w:rsidRPr="00D543D4">
        <w:rPr>
          <w:rFonts w:ascii="Times New Roman" w:eastAsia="Times New Roman" w:hAnsi="Times New Roman" w:cs="Times New Roman"/>
          <w:color w:val="000000"/>
          <w:shd w:val="clear" w:color="auto" w:fill="FFFFFF"/>
        </w:rPr>
        <w:t xml:space="preserve">tates: </w:t>
      </w:r>
      <w:r w:rsidR="5ED43995" w:rsidRPr="00D543D4">
        <w:rPr>
          <w:rFonts w:ascii="Times New Roman" w:eastAsia="Times New Roman" w:hAnsi="Times New Roman" w:cs="Times New Roman"/>
          <w:color w:val="000000"/>
          <w:shd w:val="clear" w:color="auto" w:fill="FFFFFF"/>
        </w:rPr>
        <w:t xml:space="preserve">while </w:t>
      </w:r>
      <w:r w:rsidR="00F12F1C" w:rsidRPr="00D543D4">
        <w:rPr>
          <w:rFonts w:ascii="Times New Roman" w:eastAsia="Times New Roman" w:hAnsi="Times New Roman" w:cs="Times New Roman"/>
          <w:color w:val="000000"/>
          <w:shd w:val="clear" w:color="auto" w:fill="FFFFFF"/>
        </w:rPr>
        <w:t xml:space="preserve">the UNDS commits to improving its accountability, efficiency, and coherence, </w:t>
      </w:r>
      <w:r w:rsidR="1E06D1D4" w:rsidRPr="00D543D4">
        <w:rPr>
          <w:rFonts w:ascii="Times New Roman" w:eastAsia="Times New Roman" w:hAnsi="Times New Roman" w:cs="Times New Roman"/>
          <w:color w:val="000000"/>
          <w:shd w:val="clear" w:color="auto" w:fill="FFFFFF"/>
        </w:rPr>
        <w:t>M</w:t>
      </w:r>
      <w:r w:rsidR="00F12F1C" w:rsidRPr="00D543D4">
        <w:rPr>
          <w:rFonts w:ascii="Times New Roman" w:eastAsia="Times New Roman" w:hAnsi="Times New Roman" w:cs="Times New Roman"/>
          <w:color w:val="000000"/>
          <w:shd w:val="clear" w:color="auto" w:fill="FFFFFF"/>
        </w:rPr>
        <w:t xml:space="preserve">ember </w:t>
      </w:r>
      <w:r w:rsidR="5527172D" w:rsidRPr="00D543D4">
        <w:rPr>
          <w:rFonts w:ascii="Times New Roman" w:eastAsia="Times New Roman" w:hAnsi="Times New Roman" w:cs="Times New Roman"/>
          <w:color w:val="000000"/>
          <w:shd w:val="clear" w:color="auto" w:fill="FFFFFF"/>
        </w:rPr>
        <w:t>S</w:t>
      </w:r>
      <w:r w:rsidR="00F12F1C" w:rsidRPr="00D543D4">
        <w:rPr>
          <w:rFonts w:ascii="Times New Roman" w:eastAsia="Times New Roman" w:hAnsi="Times New Roman" w:cs="Times New Roman"/>
          <w:color w:val="000000"/>
          <w:shd w:val="clear" w:color="auto" w:fill="FFFFFF"/>
        </w:rPr>
        <w:t>tates commit to earmark a smaller share of their funding. Despite these efforts</w:t>
      </w:r>
      <w:r w:rsidR="156B2E12" w:rsidRPr="00D543D4">
        <w:rPr>
          <w:rFonts w:ascii="Times New Roman" w:eastAsia="Times New Roman" w:hAnsi="Times New Roman" w:cs="Times New Roman"/>
          <w:color w:val="000000"/>
          <w:shd w:val="clear" w:color="auto" w:fill="FFFFFF"/>
        </w:rPr>
        <w:t xml:space="preserve">, however, </w:t>
      </w:r>
      <w:r w:rsidR="00F12F1C" w:rsidRPr="00D543D4">
        <w:rPr>
          <w:rFonts w:ascii="Times New Roman" w:eastAsia="Times New Roman" w:hAnsi="Times New Roman" w:cs="Times New Roman"/>
          <w:color w:val="000000"/>
          <w:shd w:val="clear" w:color="auto" w:fill="FFFFFF"/>
        </w:rPr>
        <w:t xml:space="preserve">the trend </w:t>
      </w:r>
      <w:r w:rsidR="6874A604" w:rsidRPr="00D543D4">
        <w:rPr>
          <w:rFonts w:ascii="Times New Roman" w:eastAsia="Times New Roman" w:hAnsi="Times New Roman" w:cs="Times New Roman"/>
          <w:color w:val="000000"/>
          <w:shd w:val="clear" w:color="auto" w:fill="FFFFFF"/>
        </w:rPr>
        <w:t xml:space="preserve">of </w:t>
      </w:r>
      <w:r w:rsidR="4510E300" w:rsidRPr="00D543D4">
        <w:rPr>
          <w:rFonts w:ascii="Times New Roman" w:eastAsia="Times New Roman" w:hAnsi="Times New Roman" w:cs="Times New Roman"/>
          <w:color w:val="000000"/>
          <w:shd w:val="clear" w:color="auto" w:fill="FFFFFF"/>
        </w:rPr>
        <w:t xml:space="preserve">declining core and </w:t>
      </w:r>
      <w:r w:rsidR="00F12F1C" w:rsidRPr="00D543D4">
        <w:rPr>
          <w:rFonts w:ascii="Times New Roman" w:eastAsia="Times New Roman" w:hAnsi="Times New Roman" w:cs="Times New Roman"/>
          <w:color w:val="000000"/>
          <w:shd w:val="clear" w:color="auto" w:fill="FFFFFF"/>
        </w:rPr>
        <w:t>increas</w:t>
      </w:r>
      <w:r w:rsidR="6C7826B0" w:rsidRPr="00D543D4">
        <w:rPr>
          <w:rFonts w:ascii="Times New Roman" w:eastAsia="Times New Roman" w:hAnsi="Times New Roman" w:cs="Times New Roman"/>
          <w:color w:val="000000"/>
          <w:shd w:val="clear" w:color="auto" w:fill="FFFFFF"/>
        </w:rPr>
        <w:t xml:space="preserve">ed </w:t>
      </w:r>
      <w:r w:rsidR="00F12F1C" w:rsidRPr="00D543D4">
        <w:rPr>
          <w:rFonts w:ascii="Times New Roman" w:eastAsia="Times New Roman" w:hAnsi="Times New Roman" w:cs="Times New Roman"/>
          <w:color w:val="000000"/>
          <w:shd w:val="clear" w:color="auto" w:fill="FFFFFF"/>
        </w:rPr>
        <w:t>earmark</w:t>
      </w:r>
      <w:r w:rsidR="4406DA7F" w:rsidRPr="00D543D4">
        <w:rPr>
          <w:rFonts w:ascii="Times New Roman" w:eastAsia="Times New Roman" w:hAnsi="Times New Roman" w:cs="Times New Roman"/>
          <w:color w:val="000000"/>
          <w:shd w:val="clear" w:color="auto" w:fill="FFFFFF"/>
        </w:rPr>
        <w:t xml:space="preserve">ing </w:t>
      </w:r>
      <w:r w:rsidR="00F12F1C" w:rsidRPr="00D543D4">
        <w:rPr>
          <w:rFonts w:ascii="Times New Roman" w:eastAsia="Times New Roman" w:hAnsi="Times New Roman" w:cs="Times New Roman"/>
          <w:color w:val="000000"/>
          <w:shd w:val="clear" w:color="auto" w:fill="FFFFFF"/>
        </w:rPr>
        <w:t>has not been reversed</w:t>
      </w:r>
      <w:r w:rsidR="0043195C">
        <w:rPr>
          <w:rFonts w:ascii="Times New Roman" w:eastAsia="Times New Roman" w:hAnsi="Times New Roman" w:cs="Times New Roman"/>
          <w:color w:val="000000"/>
          <w:shd w:val="clear" w:color="auto" w:fill="FFFFFF"/>
        </w:rPr>
        <w:t xml:space="preserve">. </w:t>
      </w:r>
      <w:r w:rsidR="006467A7">
        <w:rPr>
          <w:rFonts w:ascii="Times New Roman" w:eastAsia="Times New Roman" w:hAnsi="Times New Roman" w:cs="Times New Roman"/>
          <w:color w:val="000000"/>
          <w:shd w:val="clear" w:color="auto" w:fill="FFFFFF"/>
        </w:rPr>
        <w:t xml:space="preserve">This paper responds to a call by Member States to </w:t>
      </w:r>
      <w:r w:rsidR="005F5033">
        <w:rPr>
          <w:rFonts w:ascii="Times New Roman" w:eastAsia="Times New Roman" w:hAnsi="Times New Roman" w:cs="Times New Roman"/>
          <w:color w:val="000000"/>
          <w:shd w:val="clear" w:color="auto" w:fill="FFFFFF"/>
        </w:rPr>
        <w:t xml:space="preserve">conduct </w:t>
      </w:r>
      <w:r w:rsidR="005F5033" w:rsidRPr="005F5033">
        <w:rPr>
          <w:rFonts w:ascii="Times New Roman" w:eastAsia="Times New Roman" w:hAnsi="Times New Roman" w:cs="Times New Roman"/>
          <w:color w:val="000000"/>
          <w:shd w:val="clear" w:color="auto" w:fill="FFFFFF"/>
        </w:rPr>
        <w:t>a detailed analysis of the factors contributing to the decline of core resources and the potential implications on the ability of UNDP to deliver on its Strategic Plan, 2022-2025, and identify measures to address this, which should be taken by UNDP and considered by Member States</w:t>
      </w:r>
      <w:r w:rsidR="005F5033">
        <w:rPr>
          <w:rFonts w:ascii="Times New Roman" w:eastAsia="Times New Roman" w:hAnsi="Times New Roman" w:cs="Times New Roman"/>
          <w:color w:val="000000"/>
          <w:shd w:val="clear" w:color="auto" w:fill="FFFFFF"/>
        </w:rPr>
        <w:t>.</w:t>
      </w:r>
    </w:p>
    <w:p w14:paraId="1A9614CE" w14:textId="77777777" w:rsidR="00C9057A" w:rsidRPr="00D543D4" w:rsidRDefault="00C9057A" w:rsidP="009A7C09">
      <w:pPr>
        <w:spacing w:after="0" w:line="240" w:lineRule="auto"/>
        <w:jc w:val="both"/>
        <w:textAlignment w:val="baseline"/>
        <w:rPr>
          <w:rFonts w:ascii="Times New Roman" w:eastAsia="Times New Roman" w:hAnsi="Times New Roman" w:cs="Times New Roman"/>
          <w:color w:val="000000"/>
          <w:shd w:val="clear" w:color="auto" w:fill="FFFFFF"/>
        </w:rPr>
      </w:pPr>
    </w:p>
    <w:p w14:paraId="13E92EAC" w14:textId="2600EE98" w:rsidR="004A2C58" w:rsidRPr="00D543D4" w:rsidRDefault="0067430C" w:rsidP="265576A8">
      <w:pPr>
        <w:pStyle w:val="Heading1"/>
        <w:rPr>
          <w:rFonts w:ascii="Times New Roman" w:eastAsia="Times New Roman" w:hAnsi="Times New Roman" w:cs="Times New Roman"/>
          <w:sz w:val="28"/>
          <w:szCs w:val="28"/>
          <w:shd w:val="clear" w:color="auto" w:fill="FFFFFF"/>
        </w:rPr>
      </w:pPr>
      <w:r w:rsidRPr="00D543D4">
        <w:rPr>
          <w:rFonts w:ascii="Times New Roman" w:eastAsia="Times New Roman" w:hAnsi="Times New Roman" w:cs="Times New Roman"/>
          <w:sz w:val="28"/>
          <w:szCs w:val="28"/>
          <w:shd w:val="clear" w:color="auto" w:fill="FFFFFF"/>
        </w:rPr>
        <w:t>The trend</w:t>
      </w:r>
      <w:r w:rsidR="006C27BB" w:rsidRPr="00D543D4">
        <w:rPr>
          <w:rFonts w:ascii="Times New Roman" w:eastAsia="Times New Roman" w:hAnsi="Times New Roman" w:cs="Times New Roman"/>
          <w:sz w:val="28"/>
          <w:szCs w:val="28"/>
          <w:shd w:val="clear" w:color="auto" w:fill="FFFFFF"/>
        </w:rPr>
        <w:t xml:space="preserve"> of core funding to UNDP</w:t>
      </w:r>
    </w:p>
    <w:p w14:paraId="7CA324F2" w14:textId="52136664" w:rsidR="00091C52" w:rsidRPr="00D543D4" w:rsidRDefault="0067430C" w:rsidP="009A7C09">
      <w:pPr>
        <w:spacing w:after="0" w:line="240" w:lineRule="auto"/>
        <w:jc w:val="both"/>
        <w:textAlignment w:val="baseline"/>
        <w:rPr>
          <w:rFonts w:ascii="Times New Roman" w:eastAsia="Times New Roman" w:hAnsi="Times New Roman" w:cs="Times New Roman"/>
          <w:color w:val="000000"/>
          <w:shd w:val="clear" w:color="auto" w:fill="FFFFFF"/>
        </w:rPr>
      </w:pPr>
      <w:r w:rsidRPr="00D543D4">
        <w:rPr>
          <w:rFonts w:ascii="Times New Roman" w:eastAsia="Times New Roman" w:hAnsi="Times New Roman" w:cs="Times New Roman"/>
          <w:color w:val="000000"/>
          <w:shd w:val="clear" w:color="auto" w:fill="FFFFFF"/>
        </w:rPr>
        <w:t xml:space="preserve">UNDP has enjoyed long-standing and </w:t>
      </w:r>
      <w:r w:rsidR="00EB0173" w:rsidRPr="00D543D4">
        <w:rPr>
          <w:rFonts w:ascii="Times New Roman" w:eastAsia="Times New Roman" w:hAnsi="Times New Roman" w:cs="Times New Roman"/>
          <w:color w:val="000000"/>
          <w:shd w:val="clear" w:color="auto" w:fill="FFFFFF"/>
        </w:rPr>
        <w:t>broad support from</w:t>
      </w:r>
      <w:r w:rsidR="696ED12E" w:rsidRPr="00D543D4">
        <w:rPr>
          <w:rFonts w:ascii="Times New Roman" w:eastAsia="Times New Roman" w:hAnsi="Times New Roman" w:cs="Times New Roman"/>
          <w:color w:val="000000"/>
          <w:shd w:val="clear" w:color="auto" w:fill="FFFFFF"/>
        </w:rPr>
        <w:t xml:space="preserve"> its</w:t>
      </w:r>
      <w:r w:rsidR="00EB0173" w:rsidRPr="00D543D4">
        <w:rPr>
          <w:rFonts w:ascii="Times New Roman" w:eastAsia="Times New Roman" w:hAnsi="Times New Roman" w:cs="Times New Roman"/>
          <w:color w:val="000000"/>
          <w:shd w:val="clear" w:color="auto" w:fill="FFFFFF"/>
        </w:rPr>
        <w:t xml:space="preserve"> </w:t>
      </w:r>
      <w:r w:rsidR="181A5AF3" w:rsidRPr="00D543D4">
        <w:rPr>
          <w:rFonts w:ascii="Times New Roman" w:eastAsia="Times New Roman" w:hAnsi="Times New Roman" w:cs="Times New Roman"/>
          <w:color w:val="000000"/>
          <w:shd w:val="clear" w:color="auto" w:fill="FFFFFF"/>
        </w:rPr>
        <w:t xml:space="preserve">core contributing </w:t>
      </w:r>
      <w:r w:rsidR="00EB0173" w:rsidRPr="00D543D4">
        <w:rPr>
          <w:rFonts w:ascii="Times New Roman" w:eastAsia="Times New Roman" w:hAnsi="Times New Roman" w:cs="Times New Roman"/>
          <w:color w:val="000000"/>
          <w:shd w:val="clear" w:color="auto" w:fill="FFFFFF"/>
        </w:rPr>
        <w:t xml:space="preserve">partners. </w:t>
      </w:r>
      <w:r w:rsidR="2B8B0B63" w:rsidRPr="00D543D4">
        <w:rPr>
          <w:rFonts w:ascii="Times New Roman" w:eastAsia="Times New Roman" w:hAnsi="Times New Roman" w:cs="Times New Roman"/>
          <w:color w:val="000000"/>
          <w:shd w:val="clear" w:color="auto" w:fill="FFFFFF"/>
        </w:rPr>
        <w:t>F</w:t>
      </w:r>
      <w:r w:rsidR="008E669A" w:rsidRPr="00D543D4">
        <w:rPr>
          <w:rFonts w:ascii="Times New Roman" w:eastAsia="Times New Roman" w:hAnsi="Times New Roman" w:cs="Times New Roman"/>
          <w:color w:val="000000"/>
          <w:shd w:val="clear" w:color="auto" w:fill="FFFFFF"/>
        </w:rPr>
        <w:t>rom 1992 to 2022</w:t>
      </w:r>
      <w:r w:rsidR="00A9483A" w:rsidRPr="00D543D4">
        <w:rPr>
          <w:rFonts w:ascii="Times New Roman" w:eastAsia="Times New Roman" w:hAnsi="Times New Roman" w:cs="Times New Roman"/>
          <w:color w:val="000000"/>
          <w:shd w:val="clear" w:color="auto" w:fill="FFFFFF"/>
        </w:rPr>
        <w:t xml:space="preserve">, </w:t>
      </w:r>
      <w:r w:rsidR="00A65952" w:rsidRPr="00D543D4">
        <w:rPr>
          <w:rFonts w:ascii="Times New Roman" w:eastAsia="Times New Roman" w:hAnsi="Times New Roman" w:cs="Times New Roman"/>
          <w:color w:val="000000"/>
          <w:shd w:val="clear" w:color="auto" w:fill="FFFFFF"/>
        </w:rPr>
        <w:t>funding t</w:t>
      </w:r>
      <w:r w:rsidR="3C784921" w:rsidRPr="00D543D4">
        <w:rPr>
          <w:rFonts w:ascii="Times New Roman" w:eastAsia="Times New Roman" w:hAnsi="Times New Roman" w:cs="Times New Roman"/>
          <w:color w:val="000000"/>
          <w:shd w:val="clear" w:color="auto" w:fill="FFFFFF"/>
        </w:rPr>
        <w:t>o</w:t>
      </w:r>
      <w:r w:rsidR="00A65952" w:rsidRPr="00D543D4">
        <w:rPr>
          <w:rFonts w:ascii="Times New Roman" w:eastAsia="Times New Roman" w:hAnsi="Times New Roman" w:cs="Times New Roman"/>
          <w:color w:val="000000"/>
          <w:shd w:val="clear" w:color="auto" w:fill="FFFFFF"/>
        </w:rPr>
        <w:t xml:space="preserve"> UNDP ha</w:t>
      </w:r>
      <w:r w:rsidR="187854A4" w:rsidRPr="00D543D4">
        <w:rPr>
          <w:rFonts w:ascii="Times New Roman" w:eastAsia="Times New Roman" w:hAnsi="Times New Roman" w:cs="Times New Roman"/>
          <w:color w:val="000000"/>
          <w:shd w:val="clear" w:color="auto" w:fill="FFFFFF"/>
        </w:rPr>
        <w:t>s</w:t>
      </w:r>
      <w:r w:rsidR="00A65952" w:rsidRPr="00D543D4">
        <w:rPr>
          <w:rFonts w:ascii="Times New Roman" w:eastAsia="Times New Roman" w:hAnsi="Times New Roman" w:cs="Times New Roman"/>
          <w:color w:val="000000"/>
          <w:shd w:val="clear" w:color="auto" w:fill="FFFFFF"/>
        </w:rPr>
        <w:t xml:space="preserve"> grow</w:t>
      </w:r>
      <w:r w:rsidR="74B697EE" w:rsidRPr="00D543D4">
        <w:rPr>
          <w:rFonts w:ascii="Times New Roman" w:eastAsia="Times New Roman" w:hAnsi="Times New Roman" w:cs="Times New Roman"/>
          <w:color w:val="000000"/>
          <w:shd w:val="clear" w:color="auto" w:fill="FFFFFF"/>
        </w:rPr>
        <w:t>n</w:t>
      </w:r>
      <w:r w:rsidR="0040190E" w:rsidRPr="00D543D4">
        <w:rPr>
          <w:rFonts w:ascii="Times New Roman" w:eastAsia="Times New Roman" w:hAnsi="Times New Roman" w:cs="Times New Roman"/>
          <w:color w:val="000000"/>
          <w:shd w:val="clear" w:color="auto" w:fill="FFFFFF"/>
        </w:rPr>
        <w:t xml:space="preserve"> from US$1.6 billion </w:t>
      </w:r>
      <w:r w:rsidR="4A89C3AE" w:rsidRPr="00D543D4">
        <w:rPr>
          <w:rFonts w:ascii="Times New Roman" w:eastAsia="Times New Roman" w:hAnsi="Times New Roman" w:cs="Times New Roman"/>
          <w:color w:val="000000"/>
          <w:shd w:val="clear" w:color="auto" w:fill="FFFFFF"/>
        </w:rPr>
        <w:t xml:space="preserve">in 1992 </w:t>
      </w:r>
      <w:r w:rsidR="0040190E" w:rsidRPr="00D543D4">
        <w:rPr>
          <w:rFonts w:ascii="Times New Roman" w:eastAsia="Times New Roman" w:hAnsi="Times New Roman" w:cs="Times New Roman"/>
          <w:color w:val="000000"/>
          <w:shd w:val="clear" w:color="auto" w:fill="FFFFFF"/>
        </w:rPr>
        <w:t>to</w:t>
      </w:r>
      <w:r w:rsidR="008132A1" w:rsidRPr="00D543D4">
        <w:rPr>
          <w:rFonts w:ascii="Times New Roman" w:eastAsia="Times New Roman" w:hAnsi="Times New Roman" w:cs="Times New Roman"/>
          <w:color w:val="000000"/>
          <w:shd w:val="clear" w:color="auto" w:fill="FFFFFF"/>
        </w:rPr>
        <w:t xml:space="preserve"> US$4.8 billion in 2022</w:t>
      </w:r>
      <w:r w:rsidR="000C5731" w:rsidRPr="00D543D4">
        <w:rPr>
          <w:rFonts w:ascii="Times New Roman" w:eastAsia="Times New Roman" w:hAnsi="Times New Roman" w:cs="Times New Roman"/>
          <w:color w:val="000000"/>
          <w:shd w:val="clear" w:color="auto" w:fill="FFFFFF"/>
        </w:rPr>
        <w:t xml:space="preserve"> (</w:t>
      </w:r>
      <w:r w:rsidR="7B1D2E52" w:rsidRPr="00D543D4">
        <w:rPr>
          <w:rFonts w:ascii="Times New Roman" w:eastAsia="Times New Roman" w:hAnsi="Times New Roman" w:cs="Times New Roman"/>
          <w:color w:val="000000"/>
          <w:shd w:val="clear" w:color="auto" w:fill="FFFFFF"/>
        </w:rPr>
        <w:t xml:space="preserve">as shown in </w:t>
      </w:r>
      <w:r w:rsidR="000C5731" w:rsidRPr="00D543D4">
        <w:rPr>
          <w:rFonts w:ascii="Times New Roman" w:eastAsia="Times New Roman" w:hAnsi="Times New Roman" w:cs="Times New Roman"/>
          <w:color w:val="000000"/>
          <w:shd w:val="clear" w:color="auto" w:fill="FFFFFF"/>
        </w:rPr>
        <w:t>Figure 1)</w:t>
      </w:r>
      <w:r w:rsidR="00A65952" w:rsidRPr="00D543D4">
        <w:rPr>
          <w:rFonts w:ascii="Times New Roman" w:eastAsia="Times New Roman" w:hAnsi="Times New Roman" w:cs="Times New Roman"/>
          <w:color w:val="000000"/>
          <w:shd w:val="clear" w:color="auto" w:fill="FFFFFF"/>
        </w:rPr>
        <w:t xml:space="preserve">. </w:t>
      </w:r>
      <w:r w:rsidR="1C0B129C" w:rsidRPr="00D543D4">
        <w:rPr>
          <w:rFonts w:ascii="Times New Roman" w:eastAsia="Times New Roman" w:hAnsi="Times New Roman" w:cs="Times New Roman"/>
          <w:color w:val="000000"/>
          <w:shd w:val="clear" w:color="auto" w:fill="FFFFFF"/>
        </w:rPr>
        <w:t xml:space="preserve">Prior to 1996, </w:t>
      </w:r>
      <w:r w:rsidR="00A04DAD" w:rsidRPr="00D543D4">
        <w:rPr>
          <w:rFonts w:ascii="Times New Roman" w:eastAsia="Times New Roman" w:hAnsi="Times New Roman" w:cs="Times New Roman"/>
          <w:color w:val="000000"/>
          <w:shd w:val="clear" w:color="auto" w:fill="FFFFFF"/>
        </w:rPr>
        <w:t xml:space="preserve">UNDP </w:t>
      </w:r>
      <w:r w:rsidR="00A00F18" w:rsidRPr="00D543D4">
        <w:rPr>
          <w:rFonts w:ascii="Times New Roman" w:eastAsia="Times New Roman" w:hAnsi="Times New Roman" w:cs="Times New Roman"/>
          <w:color w:val="000000"/>
          <w:shd w:val="clear" w:color="auto" w:fill="FFFFFF"/>
        </w:rPr>
        <w:t>received more core than non-core</w:t>
      </w:r>
      <w:r w:rsidR="0008398A" w:rsidRPr="00D543D4">
        <w:rPr>
          <w:rFonts w:ascii="Times New Roman" w:eastAsia="Times New Roman" w:hAnsi="Times New Roman" w:cs="Times New Roman"/>
          <w:color w:val="000000"/>
          <w:shd w:val="clear" w:color="auto" w:fill="FFFFFF"/>
        </w:rPr>
        <w:t xml:space="preserve"> </w:t>
      </w:r>
      <w:r w:rsidR="757B20F2" w:rsidRPr="00D543D4">
        <w:rPr>
          <w:rFonts w:ascii="Times New Roman" w:eastAsia="Times New Roman" w:hAnsi="Times New Roman" w:cs="Times New Roman"/>
          <w:color w:val="000000"/>
          <w:shd w:val="clear" w:color="auto" w:fill="FFFFFF"/>
        </w:rPr>
        <w:t>funding</w:t>
      </w:r>
      <w:r w:rsidR="00A00F18" w:rsidRPr="00D543D4">
        <w:rPr>
          <w:rFonts w:ascii="Times New Roman" w:eastAsia="Times New Roman" w:hAnsi="Times New Roman" w:cs="Times New Roman"/>
          <w:color w:val="000000"/>
          <w:shd w:val="clear" w:color="auto" w:fill="FFFFFF"/>
        </w:rPr>
        <w:t xml:space="preserve">. </w:t>
      </w:r>
      <w:r w:rsidR="1F328BC7" w:rsidRPr="00D543D4">
        <w:rPr>
          <w:rFonts w:ascii="Times New Roman" w:eastAsia="Times New Roman" w:hAnsi="Times New Roman" w:cs="Times New Roman"/>
          <w:color w:val="000000"/>
          <w:shd w:val="clear" w:color="auto" w:fill="FFFFFF"/>
        </w:rPr>
        <w:t xml:space="preserve">Following the Rio </w:t>
      </w:r>
      <w:r w:rsidR="454A3126" w:rsidRPr="00D543D4">
        <w:rPr>
          <w:rFonts w:ascii="Times New Roman" w:eastAsia="Times New Roman" w:hAnsi="Times New Roman" w:cs="Times New Roman"/>
          <w:color w:val="000000"/>
          <w:shd w:val="clear" w:color="auto" w:fill="FFFFFF"/>
        </w:rPr>
        <w:t>C</w:t>
      </w:r>
      <w:r w:rsidR="1F328BC7" w:rsidRPr="00D543D4">
        <w:rPr>
          <w:rFonts w:ascii="Times New Roman" w:eastAsia="Times New Roman" w:hAnsi="Times New Roman" w:cs="Times New Roman"/>
          <w:color w:val="000000"/>
          <w:shd w:val="clear" w:color="auto" w:fill="FFFFFF"/>
        </w:rPr>
        <w:t xml:space="preserve">onference and </w:t>
      </w:r>
      <w:r w:rsidR="00E54B98" w:rsidRPr="00D543D4">
        <w:rPr>
          <w:rFonts w:ascii="Times New Roman" w:eastAsia="Times New Roman" w:hAnsi="Times New Roman" w:cs="Times New Roman"/>
          <w:color w:val="000000"/>
          <w:shd w:val="clear" w:color="auto" w:fill="FFFFFF"/>
        </w:rPr>
        <w:t xml:space="preserve">the </w:t>
      </w:r>
      <w:r w:rsidR="1F328BC7" w:rsidRPr="00D543D4">
        <w:rPr>
          <w:rFonts w:ascii="Times New Roman" w:eastAsia="Times New Roman" w:hAnsi="Times New Roman" w:cs="Times New Roman"/>
          <w:color w:val="000000"/>
          <w:shd w:val="clear" w:color="auto" w:fill="FFFFFF"/>
        </w:rPr>
        <w:t xml:space="preserve">establishment of </w:t>
      </w:r>
      <w:r w:rsidR="00AA1F44" w:rsidRPr="00D543D4">
        <w:rPr>
          <w:rFonts w:ascii="Times New Roman" w:eastAsia="Times New Roman" w:hAnsi="Times New Roman" w:cs="Times New Roman"/>
          <w:color w:val="000000"/>
          <w:shd w:val="clear" w:color="auto" w:fill="FFFFFF"/>
        </w:rPr>
        <w:t>environment-related vertical funds</w:t>
      </w:r>
      <w:r w:rsidR="2DB96FC0" w:rsidRPr="00D543D4">
        <w:rPr>
          <w:rFonts w:ascii="Times New Roman" w:eastAsia="Times New Roman" w:hAnsi="Times New Roman" w:cs="Times New Roman"/>
          <w:color w:val="000000"/>
          <w:shd w:val="clear" w:color="auto" w:fill="FFFFFF"/>
        </w:rPr>
        <w:t>,</w:t>
      </w:r>
      <w:r w:rsidR="00A00F18" w:rsidRPr="00D543D4">
        <w:rPr>
          <w:rFonts w:ascii="Times New Roman" w:eastAsia="Times New Roman" w:hAnsi="Times New Roman" w:cs="Times New Roman"/>
          <w:color w:val="000000"/>
          <w:shd w:val="clear" w:color="auto" w:fill="FFFFFF"/>
        </w:rPr>
        <w:t xml:space="preserve"> </w:t>
      </w:r>
      <w:r w:rsidR="249CA3BF" w:rsidRPr="00D543D4">
        <w:rPr>
          <w:rFonts w:ascii="Times New Roman" w:eastAsia="Times New Roman" w:hAnsi="Times New Roman" w:cs="Times New Roman"/>
          <w:color w:val="000000"/>
          <w:shd w:val="clear" w:color="auto" w:fill="FFFFFF"/>
        </w:rPr>
        <w:t xml:space="preserve">and </w:t>
      </w:r>
      <w:r w:rsidR="00356E78" w:rsidRPr="00D543D4">
        <w:rPr>
          <w:rFonts w:ascii="Times New Roman" w:eastAsia="Times New Roman" w:hAnsi="Times New Roman" w:cs="Times New Roman"/>
          <w:color w:val="000000"/>
          <w:shd w:val="clear" w:color="auto" w:fill="FFFFFF"/>
        </w:rPr>
        <w:t xml:space="preserve">combined with the </w:t>
      </w:r>
      <w:r w:rsidR="00A61E16" w:rsidRPr="00D543D4">
        <w:rPr>
          <w:rFonts w:ascii="Times New Roman" w:eastAsia="Times New Roman" w:hAnsi="Times New Roman" w:cs="Times New Roman"/>
          <w:color w:val="000000"/>
          <w:shd w:val="clear" w:color="auto" w:fill="FFFFFF"/>
        </w:rPr>
        <w:t>growing preference for earmark</w:t>
      </w:r>
      <w:r w:rsidR="1954DCFF" w:rsidRPr="00D543D4">
        <w:rPr>
          <w:rFonts w:ascii="Times New Roman" w:eastAsia="Times New Roman" w:hAnsi="Times New Roman" w:cs="Times New Roman"/>
          <w:color w:val="000000"/>
          <w:shd w:val="clear" w:color="auto" w:fill="FFFFFF"/>
        </w:rPr>
        <w:t>ing</w:t>
      </w:r>
      <w:r w:rsidR="00AA1F44" w:rsidRPr="00D543D4">
        <w:rPr>
          <w:rFonts w:ascii="Times New Roman" w:eastAsia="Times New Roman" w:hAnsi="Times New Roman" w:cs="Times New Roman"/>
          <w:color w:val="000000"/>
          <w:shd w:val="clear" w:color="auto" w:fill="FFFFFF"/>
        </w:rPr>
        <w:t xml:space="preserve">, </w:t>
      </w:r>
      <w:r w:rsidR="584C179B" w:rsidRPr="00D543D4">
        <w:rPr>
          <w:rFonts w:ascii="Times New Roman" w:eastAsia="Times New Roman" w:hAnsi="Times New Roman" w:cs="Times New Roman"/>
          <w:color w:val="000000"/>
          <w:shd w:val="clear" w:color="auto" w:fill="FFFFFF"/>
        </w:rPr>
        <w:t xml:space="preserve">UNDP’s </w:t>
      </w:r>
      <w:r w:rsidR="00D97497" w:rsidRPr="00D543D4">
        <w:rPr>
          <w:rFonts w:ascii="Times New Roman" w:eastAsia="Times New Roman" w:hAnsi="Times New Roman" w:cs="Times New Roman"/>
          <w:color w:val="000000"/>
          <w:shd w:val="clear" w:color="auto" w:fill="FFFFFF"/>
        </w:rPr>
        <w:t xml:space="preserve">non-core </w:t>
      </w:r>
      <w:r w:rsidR="006323B6" w:rsidRPr="00D543D4">
        <w:rPr>
          <w:rFonts w:ascii="Times New Roman" w:eastAsia="Times New Roman" w:hAnsi="Times New Roman" w:cs="Times New Roman"/>
          <w:color w:val="000000"/>
          <w:shd w:val="clear" w:color="auto" w:fill="FFFFFF"/>
        </w:rPr>
        <w:t xml:space="preserve">funding </w:t>
      </w:r>
      <w:r w:rsidR="0BF096B6" w:rsidRPr="00D543D4">
        <w:rPr>
          <w:rFonts w:ascii="Times New Roman" w:eastAsia="Times New Roman" w:hAnsi="Times New Roman" w:cs="Times New Roman"/>
          <w:color w:val="000000"/>
          <w:shd w:val="clear" w:color="auto" w:fill="FFFFFF"/>
        </w:rPr>
        <w:t>climbed</w:t>
      </w:r>
      <w:r w:rsidR="00D97497" w:rsidRPr="00D543D4">
        <w:rPr>
          <w:rFonts w:ascii="Times New Roman" w:eastAsia="Times New Roman" w:hAnsi="Times New Roman" w:cs="Times New Roman"/>
          <w:color w:val="000000"/>
          <w:shd w:val="clear" w:color="auto" w:fill="FFFFFF"/>
        </w:rPr>
        <w:t xml:space="preserve"> while core volumes stagnated. </w:t>
      </w:r>
      <w:r w:rsidR="196B1BAA" w:rsidRPr="00D543D4">
        <w:rPr>
          <w:rFonts w:ascii="Times New Roman" w:eastAsia="Times New Roman" w:hAnsi="Times New Roman" w:cs="Times New Roman"/>
          <w:color w:val="000000"/>
          <w:shd w:val="clear" w:color="auto" w:fill="FFFFFF"/>
        </w:rPr>
        <w:t xml:space="preserve">In 1992, core made up </w:t>
      </w:r>
      <w:r w:rsidR="00A67757" w:rsidRPr="00D543D4">
        <w:rPr>
          <w:rFonts w:ascii="Times New Roman" w:eastAsia="Times New Roman" w:hAnsi="Times New Roman" w:cs="Times New Roman"/>
          <w:color w:val="000000"/>
          <w:shd w:val="clear" w:color="auto" w:fill="FFFFFF"/>
        </w:rPr>
        <w:t xml:space="preserve">75% of </w:t>
      </w:r>
      <w:r w:rsidR="0847664D" w:rsidRPr="00D543D4">
        <w:rPr>
          <w:rFonts w:ascii="Times New Roman" w:eastAsia="Times New Roman" w:hAnsi="Times New Roman" w:cs="Times New Roman"/>
          <w:color w:val="000000"/>
          <w:shd w:val="clear" w:color="auto" w:fill="FFFFFF"/>
        </w:rPr>
        <w:t xml:space="preserve">UNDP’s </w:t>
      </w:r>
      <w:r w:rsidR="00A67757" w:rsidRPr="00D543D4">
        <w:rPr>
          <w:rFonts w:ascii="Times New Roman" w:eastAsia="Times New Roman" w:hAnsi="Times New Roman" w:cs="Times New Roman"/>
          <w:color w:val="000000"/>
          <w:shd w:val="clear" w:color="auto" w:fill="FFFFFF"/>
        </w:rPr>
        <w:t xml:space="preserve">total funding. </w:t>
      </w:r>
      <w:r w:rsidR="003E4446" w:rsidRPr="00D543D4">
        <w:rPr>
          <w:rFonts w:ascii="Times New Roman" w:eastAsia="Times New Roman" w:hAnsi="Times New Roman" w:cs="Times New Roman"/>
          <w:color w:val="000000"/>
          <w:shd w:val="clear" w:color="auto" w:fill="FFFFFF"/>
        </w:rPr>
        <w:t xml:space="preserve">Since then, </w:t>
      </w:r>
      <w:r w:rsidR="0067073D" w:rsidRPr="00D543D4">
        <w:rPr>
          <w:rFonts w:ascii="Times New Roman" w:eastAsia="Times New Roman" w:hAnsi="Times New Roman" w:cs="Times New Roman"/>
          <w:color w:val="000000"/>
          <w:shd w:val="clear" w:color="auto" w:fill="FFFFFF"/>
        </w:rPr>
        <w:t xml:space="preserve">the </w:t>
      </w:r>
      <w:r w:rsidR="61B774A3" w:rsidRPr="00D543D4">
        <w:rPr>
          <w:rFonts w:ascii="Times New Roman" w:eastAsia="Times New Roman" w:hAnsi="Times New Roman" w:cs="Times New Roman"/>
          <w:color w:val="000000"/>
          <w:shd w:val="clear" w:color="auto" w:fill="FFFFFF"/>
        </w:rPr>
        <w:t xml:space="preserve">share of core </w:t>
      </w:r>
      <w:r w:rsidR="00052E3B">
        <w:rPr>
          <w:rFonts w:ascii="Times New Roman" w:eastAsia="Times New Roman" w:hAnsi="Times New Roman" w:cs="Times New Roman"/>
          <w:color w:val="000000"/>
          <w:shd w:val="clear" w:color="auto" w:fill="FFFFFF"/>
        </w:rPr>
        <w:t xml:space="preserve">funding </w:t>
      </w:r>
      <w:r w:rsidR="2BEFDB1C" w:rsidRPr="00D543D4">
        <w:rPr>
          <w:rFonts w:ascii="Times New Roman" w:eastAsia="Times New Roman" w:hAnsi="Times New Roman" w:cs="Times New Roman"/>
          <w:color w:val="000000"/>
          <w:shd w:val="clear" w:color="auto" w:fill="FFFFFF"/>
        </w:rPr>
        <w:t xml:space="preserve">has been </w:t>
      </w:r>
      <w:r w:rsidR="6E72BC13" w:rsidRPr="00D543D4">
        <w:rPr>
          <w:rFonts w:ascii="Times New Roman" w:eastAsia="Times New Roman" w:hAnsi="Times New Roman" w:cs="Times New Roman"/>
          <w:color w:val="000000"/>
          <w:shd w:val="clear" w:color="auto" w:fill="FFFFFF"/>
        </w:rPr>
        <w:t xml:space="preserve">on a </w:t>
      </w:r>
      <w:r w:rsidR="0067073D" w:rsidRPr="00D543D4">
        <w:rPr>
          <w:rFonts w:ascii="Times New Roman" w:eastAsia="Times New Roman" w:hAnsi="Times New Roman" w:cs="Times New Roman"/>
          <w:color w:val="000000"/>
          <w:shd w:val="clear" w:color="auto" w:fill="FFFFFF"/>
        </w:rPr>
        <w:t>declin</w:t>
      </w:r>
      <w:r w:rsidR="3BD0112B" w:rsidRPr="00D543D4">
        <w:rPr>
          <w:rFonts w:ascii="Times New Roman" w:eastAsia="Times New Roman" w:hAnsi="Times New Roman" w:cs="Times New Roman"/>
          <w:color w:val="000000"/>
          <w:shd w:val="clear" w:color="auto" w:fill="FFFFFF"/>
        </w:rPr>
        <w:t>e</w:t>
      </w:r>
      <w:r w:rsidR="0067073D" w:rsidRPr="00D543D4">
        <w:rPr>
          <w:rFonts w:ascii="Times New Roman" w:eastAsia="Times New Roman" w:hAnsi="Times New Roman" w:cs="Times New Roman"/>
          <w:color w:val="000000"/>
          <w:shd w:val="clear" w:color="auto" w:fill="FFFFFF"/>
        </w:rPr>
        <w:t xml:space="preserve"> reaching</w:t>
      </w:r>
      <w:r w:rsidR="03CC3F63" w:rsidRPr="00D543D4">
        <w:rPr>
          <w:rFonts w:ascii="Times New Roman" w:eastAsia="Times New Roman" w:hAnsi="Times New Roman" w:cs="Times New Roman"/>
          <w:color w:val="000000"/>
          <w:shd w:val="clear" w:color="auto" w:fill="FFFFFF"/>
        </w:rPr>
        <w:t xml:space="preserve"> a meager</w:t>
      </w:r>
      <w:r w:rsidR="0067073D" w:rsidRPr="00D543D4">
        <w:rPr>
          <w:rFonts w:ascii="Times New Roman" w:eastAsia="Times New Roman" w:hAnsi="Times New Roman" w:cs="Times New Roman"/>
          <w:color w:val="000000"/>
          <w:shd w:val="clear" w:color="auto" w:fill="FFFFFF"/>
        </w:rPr>
        <w:t xml:space="preserve"> 12% in 2022.</w:t>
      </w:r>
      <w:r w:rsidR="009C5CFB" w:rsidRPr="00D543D4">
        <w:rPr>
          <w:rFonts w:ascii="Times New Roman" w:eastAsia="Times New Roman" w:hAnsi="Times New Roman" w:cs="Times New Roman"/>
          <w:color w:val="000000"/>
          <w:shd w:val="clear" w:color="auto" w:fill="FFFFFF"/>
        </w:rPr>
        <w:t xml:space="preserve"> </w:t>
      </w:r>
    </w:p>
    <w:p w14:paraId="75A62979" w14:textId="77777777" w:rsidR="00091C52" w:rsidRPr="00D543D4" w:rsidRDefault="00091C52" w:rsidP="007D19FE">
      <w:pPr>
        <w:spacing w:after="0" w:line="240" w:lineRule="auto"/>
        <w:textAlignment w:val="baseline"/>
        <w:rPr>
          <w:rFonts w:ascii="Times New Roman" w:eastAsia="Times New Roman" w:hAnsi="Times New Roman" w:cs="Times New Roman"/>
          <w:color w:val="000000"/>
          <w:shd w:val="clear" w:color="auto" w:fill="FFFFFF"/>
        </w:rPr>
      </w:pPr>
    </w:p>
    <w:p w14:paraId="0FEB49E5" w14:textId="7C0544FE" w:rsidR="265576A8" w:rsidRPr="00D543D4" w:rsidRDefault="265576A8" w:rsidP="265576A8">
      <w:pPr>
        <w:spacing w:after="0" w:line="240" w:lineRule="auto"/>
        <w:rPr>
          <w:rFonts w:ascii="Times New Roman" w:eastAsia="Times New Roman" w:hAnsi="Times New Roman" w:cs="Times New Roman"/>
          <w:color w:val="000000" w:themeColor="text1"/>
        </w:rPr>
      </w:pPr>
    </w:p>
    <w:p w14:paraId="3AB317AC" w14:textId="1BE9755E" w:rsidR="265576A8" w:rsidRPr="00D543D4" w:rsidRDefault="265576A8" w:rsidP="265576A8">
      <w:pPr>
        <w:spacing w:after="0" w:line="240" w:lineRule="auto"/>
        <w:rPr>
          <w:rFonts w:ascii="Times New Roman" w:eastAsia="Times New Roman" w:hAnsi="Times New Roman" w:cs="Times New Roman"/>
          <w:color w:val="000000" w:themeColor="text1"/>
        </w:rPr>
      </w:pPr>
    </w:p>
    <w:p w14:paraId="664865BF" w14:textId="4D4BFBD8" w:rsidR="006E51BE" w:rsidRDefault="006E51BE" w:rsidP="265576A8">
      <w:pPr>
        <w:spacing w:after="0" w:line="240" w:lineRule="auto"/>
        <w:rPr>
          <w:rFonts w:ascii="Times New Roman" w:eastAsia="Times New Roman" w:hAnsi="Times New Roman" w:cs="Times New Roman"/>
          <w:color w:val="000000" w:themeColor="text1"/>
        </w:rPr>
      </w:pPr>
    </w:p>
    <w:p w14:paraId="77096E6C" w14:textId="3FDE2716" w:rsidR="00052E3B" w:rsidRDefault="00052E3B" w:rsidP="265576A8">
      <w:pPr>
        <w:spacing w:after="0" w:line="240" w:lineRule="auto"/>
        <w:rPr>
          <w:rFonts w:ascii="Times New Roman" w:eastAsia="Times New Roman" w:hAnsi="Times New Roman" w:cs="Times New Roman"/>
          <w:color w:val="000000" w:themeColor="text1"/>
        </w:rPr>
      </w:pPr>
    </w:p>
    <w:p w14:paraId="488E4897" w14:textId="15839B48" w:rsidR="00052E3B" w:rsidRDefault="00052E3B" w:rsidP="265576A8">
      <w:pPr>
        <w:spacing w:after="0" w:line="240" w:lineRule="auto"/>
        <w:rPr>
          <w:rFonts w:ascii="Times New Roman" w:eastAsia="Times New Roman" w:hAnsi="Times New Roman" w:cs="Times New Roman"/>
          <w:color w:val="000000" w:themeColor="text1"/>
        </w:rPr>
      </w:pPr>
    </w:p>
    <w:p w14:paraId="47432DE4" w14:textId="08D30326" w:rsidR="1D7E1693" w:rsidRPr="00D543D4" w:rsidRDefault="1D7E1693" w:rsidP="265576A8">
      <w:pPr>
        <w:spacing w:after="0" w:line="240" w:lineRule="auto"/>
        <w:rPr>
          <w:rFonts w:ascii="Times New Roman" w:eastAsia="Times New Roman" w:hAnsi="Times New Roman" w:cs="Times New Roman"/>
          <w:b/>
          <w:bCs/>
          <w:color w:val="000000" w:themeColor="text1"/>
        </w:rPr>
      </w:pPr>
      <w:r w:rsidRPr="00D543D4">
        <w:rPr>
          <w:rFonts w:ascii="Times New Roman" w:eastAsia="Times New Roman" w:hAnsi="Times New Roman" w:cs="Times New Roman"/>
          <w:b/>
          <w:bCs/>
          <w:color w:val="000000" w:themeColor="text1"/>
        </w:rPr>
        <w:lastRenderedPageBreak/>
        <w:t>Figure 1</w:t>
      </w:r>
    </w:p>
    <w:p w14:paraId="0B68532F" w14:textId="6185DCE3" w:rsidR="265576A8" w:rsidRPr="00D543D4" w:rsidRDefault="265576A8" w:rsidP="265576A8">
      <w:pPr>
        <w:spacing w:after="0" w:line="240" w:lineRule="auto"/>
        <w:rPr>
          <w:rFonts w:ascii="Times New Roman" w:eastAsia="Times New Roman" w:hAnsi="Times New Roman" w:cs="Times New Roman"/>
          <w:color w:val="000000" w:themeColor="text1"/>
        </w:rPr>
      </w:pPr>
    </w:p>
    <w:p w14:paraId="7151A737" w14:textId="73B5364B" w:rsidR="00091C52" w:rsidRPr="00D543D4" w:rsidRDefault="00091C52" w:rsidP="00A46397">
      <w:pPr>
        <w:spacing w:after="0" w:line="240" w:lineRule="auto"/>
        <w:jc w:val="center"/>
        <w:textAlignment w:val="baseline"/>
        <w:rPr>
          <w:rFonts w:ascii="Times New Roman" w:eastAsia="Times New Roman" w:hAnsi="Times New Roman" w:cs="Times New Roman"/>
          <w:color w:val="000000"/>
          <w:shd w:val="clear" w:color="auto" w:fill="FFFFFF"/>
        </w:rPr>
      </w:pPr>
      <w:r w:rsidRPr="00D543D4">
        <w:rPr>
          <w:rFonts w:ascii="Times New Roman" w:hAnsi="Times New Roman" w:cs="Times New Roman"/>
          <w:noProof/>
        </w:rPr>
        <w:drawing>
          <wp:inline distT="0" distB="0" distL="0" distR="0" wp14:anchorId="09F0DD8D" wp14:editId="494C5DCC">
            <wp:extent cx="4566742" cy="2487168"/>
            <wp:effectExtent l="0" t="0" r="5715" b="8890"/>
            <wp:docPr id="4" name="Chart 4">
              <a:extLst xmlns:a="http://schemas.openxmlformats.org/drawingml/2006/main">
                <a:ext uri="{FF2B5EF4-FFF2-40B4-BE49-F238E27FC236}">
                  <a16:creationId xmlns:a16="http://schemas.microsoft.com/office/drawing/2014/main" id="{DD1448EE-7025-F2F6-091C-F3EAE80FF2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5AB32EB" w14:textId="77777777" w:rsidR="00091C52" w:rsidRPr="00D543D4" w:rsidRDefault="00091C52" w:rsidP="007D19FE">
      <w:pPr>
        <w:spacing w:after="0" w:line="240" w:lineRule="auto"/>
        <w:textAlignment w:val="baseline"/>
        <w:rPr>
          <w:rFonts w:ascii="Times New Roman" w:eastAsia="Times New Roman" w:hAnsi="Times New Roman" w:cs="Times New Roman"/>
          <w:color w:val="000000"/>
          <w:shd w:val="clear" w:color="auto" w:fill="FFFFFF"/>
        </w:rPr>
      </w:pPr>
    </w:p>
    <w:p w14:paraId="68B60668" w14:textId="5A101098" w:rsidR="00C005CD" w:rsidRPr="00D543D4" w:rsidRDefault="00C005CD" w:rsidP="00C005CD">
      <w:pPr>
        <w:spacing w:after="0" w:line="240" w:lineRule="auto"/>
        <w:jc w:val="both"/>
        <w:textAlignment w:val="baseline"/>
        <w:rPr>
          <w:rFonts w:ascii="Times New Roman" w:eastAsia="Times New Roman" w:hAnsi="Times New Roman" w:cs="Times New Roman"/>
          <w:color w:val="000000"/>
          <w:shd w:val="clear" w:color="auto" w:fill="FFFFFF"/>
        </w:rPr>
      </w:pPr>
      <w:r w:rsidRPr="00D543D4">
        <w:rPr>
          <w:rFonts w:ascii="Times New Roman" w:eastAsia="Times New Roman" w:hAnsi="Times New Roman" w:cs="Times New Roman"/>
          <w:color w:val="000000"/>
          <w:shd w:val="clear" w:color="auto" w:fill="FFFFFF"/>
        </w:rPr>
        <w:t xml:space="preserve">Looking </w:t>
      </w:r>
      <w:r w:rsidR="1254B829" w:rsidRPr="00D543D4">
        <w:rPr>
          <w:rFonts w:ascii="Times New Roman" w:eastAsia="Times New Roman" w:hAnsi="Times New Roman" w:cs="Times New Roman"/>
          <w:color w:val="000000"/>
          <w:shd w:val="clear" w:color="auto" w:fill="FFFFFF"/>
        </w:rPr>
        <w:t xml:space="preserve">more closely </w:t>
      </w:r>
      <w:r w:rsidRPr="00D543D4">
        <w:rPr>
          <w:rFonts w:ascii="Times New Roman" w:eastAsia="Times New Roman" w:hAnsi="Times New Roman" w:cs="Times New Roman"/>
          <w:color w:val="000000"/>
          <w:shd w:val="clear" w:color="auto" w:fill="FFFFFF"/>
        </w:rPr>
        <w:t xml:space="preserve">at the </w:t>
      </w:r>
      <w:r w:rsidR="43F18610" w:rsidRPr="00D543D4">
        <w:rPr>
          <w:rFonts w:ascii="Times New Roman" w:eastAsia="Times New Roman" w:hAnsi="Times New Roman" w:cs="Times New Roman"/>
          <w:color w:val="000000"/>
          <w:shd w:val="clear" w:color="auto" w:fill="FFFFFF"/>
        </w:rPr>
        <w:t xml:space="preserve">declining core </w:t>
      </w:r>
      <w:r w:rsidRPr="00D543D4">
        <w:rPr>
          <w:rFonts w:ascii="Times New Roman" w:eastAsia="Times New Roman" w:hAnsi="Times New Roman" w:cs="Times New Roman"/>
          <w:color w:val="000000"/>
          <w:shd w:val="clear" w:color="auto" w:fill="FFFFFF"/>
        </w:rPr>
        <w:t>trend</w:t>
      </w:r>
      <w:r w:rsidR="22511C1F" w:rsidRPr="00D543D4">
        <w:rPr>
          <w:rFonts w:ascii="Times New Roman" w:eastAsia="Times New Roman" w:hAnsi="Times New Roman" w:cs="Times New Roman"/>
          <w:color w:val="000000"/>
          <w:shd w:val="clear" w:color="auto" w:fill="FFFFFF"/>
        </w:rPr>
        <w:t xml:space="preserve">, </w:t>
      </w:r>
      <w:r w:rsidRPr="00D543D4">
        <w:rPr>
          <w:rFonts w:ascii="Times New Roman" w:eastAsia="Times New Roman" w:hAnsi="Times New Roman" w:cs="Times New Roman"/>
          <w:color w:val="000000"/>
          <w:shd w:val="clear" w:color="auto" w:fill="FFFFFF"/>
        </w:rPr>
        <w:t>a cyclical pattern</w:t>
      </w:r>
      <w:r w:rsidR="59153575" w:rsidRPr="00D543D4">
        <w:rPr>
          <w:rFonts w:ascii="Times New Roman" w:eastAsia="Times New Roman" w:hAnsi="Times New Roman" w:cs="Times New Roman"/>
          <w:color w:val="000000"/>
          <w:shd w:val="clear" w:color="auto" w:fill="FFFFFF"/>
        </w:rPr>
        <w:t xml:space="preserve"> can be seen</w:t>
      </w:r>
      <w:r w:rsidR="34A4DDA1" w:rsidRPr="00D543D4">
        <w:rPr>
          <w:rFonts w:ascii="Times New Roman" w:eastAsia="Times New Roman" w:hAnsi="Times New Roman" w:cs="Times New Roman"/>
          <w:color w:val="000000"/>
          <w:shd w:val="clear" w:color="auto" w:fill="FFFFFF"/>
        </w:rPr>
        <w:t xml:space="preserve"> in Figure 2</w:t>
      </w:r>
      <w:r w:rsidRPr="00D543D4">
        <w:rPr>
          <w:rFonts w:ascii="Times New Roman" w:eastAsia="Times New Roman" w:hAnsi="Times New Roman" w:cs="Times New Roman"/>
          <w:color w:val="000000"/>
          <w:shd w:val="clear" w:color="auto" w:fill="FFFFFF"/>
        </w:rPr>
        <w:t>. In the eight years between 1992 and 2000, the volume of core funding revealed a negative growth, followed by a reversal and positive trend in the next eight years (from 2000 to 2008). Since the global financial crisis of 2008/9, core funding went into another cycle of decline, and for the first time, falling below the US$600 million mark in 2022.</w:t>
      </w:r>
    </w:p>
    <w:p w14:paraId="7763A4CC" w14:textId="2A20C2C9" w:rsidR="006C27BB" w:rsidRPr="00D543D4" w:rsidRDefault="006C27BB" w:rsidP="009A7C09">
      <w:pPr>
        <w:spacing w:after="0" w:line="240" w:lineRule="auto"/>
        <w:jc w:val="both"/>
        <w:textAlignment w:val="baseline"/>
        <w:rPr>
          <w:rFonts w:ascii="Times New Roman" w:eastAsia="Times New Roman" w:hAnsi="Times New Roman" w:cs="Times New Roman"/>
          <w:color w:val="000000"/>
          <w:shd w:val="clear" w:color="auto" w:fill="FFFFFF"/>
        </w:rPr>
      </w:pPr>
    </w:p>
    <w:p w14:paraId="7E0D9CF6" w14:textId="456B6F82" w:rsidR="1BA3EF6E" w:rsidRPr="00D543D4" w:rsidRDefault="1BA3EF6E" w:rsidP="265576A8">
      <w:pPr>
        <w:spacing w:after="0" w:line="240" w:lineRule="auto"/>
        <w:jc w:val="both"/>
        <w:rPr>
          <w:rFonts w:ascii="Times New Roman" w:eastAsia="Times New Roman" w:hAnsi="Times New Roman" w:cs="Times New Roman"/>
          <w:b/>
          <w:bCs/>
          <w:color w:val="000000" w:themeColor="text1"/>
        </w:rPr>
      </w:pPr>
      <w:r w:rsidRPr="00D543D4">
        <w:rPr>
          <w:rFonts w:ascii="Times New Roman" w:eastAsia="Times New Roman" w:hAnsi="Times New Roman" w:cs="Times New Roman"/>
          <w:b/>
          <w:bCs/>
          <w:color w:val="000000" w:themeColor="text1"/>
        </w:rPr>
        <w:t>Figure 2</w:t>
      </w:r>
    </w:p>
    <w:p w14:paraId="75361E51" w14:textId="77777777" w:rsidR="00F26491" w:rsidRPr="00D543D4" w:rsidRDefault="00F26491" w:rsidP="007D19FE">
      <w:pPr>
        <w:spacing w:after="0" w:line="240" w:lineRule="auto"/>
        <w:textAlignment w:val="baseline"/>
        <w:rPr>
          <w:rFonts w:ascii="Times New Roman" w:eastAsia="Times New Roman" w:hAnsi="Times New Roman" w:cs="Times New Roman"/>
          <w:color w:val="000000"/>
          <w:shd w:val="clear" w:color="auto" w:fill="FFFFFF"/>
        </w:rPr>
      </w:pPr>
    </w:p>
    <w:p w14:paraId="650A0426" w14:textId="064135DE" w:rsidR="007D19FE" w:rsidRPr="00D543D4" w:rsidRDefault="00312D12" w:rsidP="00A46397">
      <w:pPr>
        <w:spacing w:after="0" w:line="240" w:lineRule="auto"/>
        <w:jc w:val="center"/>
        <w:textAlignment w:val="baseline"/>
        <w:rPr>
          <w:rFonts w:ascii="Times New Roman" w:eastAsia="Times New Roman" w:hAnsi="Times New Roman" w:cs="Times New Roman"/>
          <w:b/>
          <w:bCs/>
          <w:color w:val="C45911"/>
          <w:sz w:val="32"/>
          <w:szCs w:val="32"/>
        </w:rPr>
      </w:pPr>
      <w:r w:rsidRPr="00D543D4">
        <w:rPr>
          <w:rFonts w:ascii="Times New Roman" w:hAnsi="Times New Roman" w:cs="Times New Roman"/>
          <w:noProof/>
        </w:rPr>
        <w:drawing>
          <wp:inline distT="0" distB="0" distL="0" distR="0" wp14:anchorId="0EBC30F6" wp14:editId="64AF0064">
            <wp:extent cx="4352544" cy="2428646"/>
            <wp:effectExtent l="0" t="0" r="10160" b="10160"/>
            <wp:docPr id="5" name="Chart 5">
              <a:extLst xmlns:a="http://schemas.openxmlformats.org/drawingml/2006/main">
                <a:ext uri="{FF2B5EF4-FFF2-40B4-BE49-F238E27FC236}">
                  <a16:creationId xmlns:a16="http://schemas.microsoft.com/office/drawing/2014/main" id="{08B7CE48-3820-5602-C030-6A61EA5554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A652EA0" w14:textId="27CB6534" w:rsidR="001507B3" w:rsidRPr="00D543D4" w:rsidRDefault="00C4008D" w:rsidP="265576A8">
      <w:pPr>
        <w:pStyle w:val="Heading1"/>
        <w:rPr>
          <w:rFonts w:ascii="Times New Roman" w:eastAsia="Times New Roman" w:hAnsi="Times New Roman" w:cs="Times New Roman"/>
        </w:rPr>
      </w:pPr>
      <w:r w:rsidRPr="00D543D4">
        <w:rPr>
          <w:rFonts w:ascii="Times New Roman" w:eastAsia="Times New Roman" w:hAnsi="Times New Roman" w:cs="Times New Roman"/>
          <w:sz w:val="28"/>
          <w:szCs w:val="28"/>
        </w:rPr>
        <w:t xml:space="preserve">Analysis of </w:t>
      </w:r>
      <w:r w:rsidR="0043195C">
        <w:rPr>
          <w:rFonts w:ascii="Times New Roman" w:eastAsia="Times New Roman" w:hAnsi="Times New Roman" w:cs="Times New Roman"/>
          <w:sz w:val="28"/>
          <w:szCs w:val="28"/>
        </w:rPr>
        <w:t>factors contributing to the d</w:t>
      </w:r>
      <w:r w:rsidR="0043195C" w:rsidRPr="00D543D4">
        <w:rPr>
          <w:rFonts w:ascii="Times New Roman" w:eastAsia="Times New Roman" w:hAnsi="Times New Roman" w:cs="Times New Roman"/>
          <w:sz w:val="28"/>
          <w:szCs w:val="28"/>
        </w:rPr>
        <w:t>eclin</w:t>
      </w:r>
      <w:r w:rsidR="0043195C">
        <w:rPr>
          <w:rFonts w:ascii="Times New Roman" w:eastAsia="Times New Roman" w:hAnsi="Times New Roman" w:cs="Times New Roman"/>
          <w:sz w:val="28"/>
          <w:szCs w:val="28"/>
        </w:rPr>
        <w:t>e</w:t>
      </w:r>
      <w:r w:rsidR="0043195C" w:rsidRPr="00D543D4">
        <w:rPr>
          <w:rFonts w:ascii="Times New Roman" w:eastAsia="Times New Roman" w:hAnsi="Times New Roman" w:cs="Times New Roman"/>
          <w:sz w:val="28"/>
          <w:szCs w:val="28"/>
        </w:rPr>
        <w:t xml:space="preserve"> </w:t>
      </w:r>
      <w:r w:rsidRPr="00D543D4">
        <w:rPr>
          <w:rFonts w:ascii="Times New Roman" w:eastAsia="Times New Roman" w:hAnsi="Times New Roman" w:cs="Times New Roman"/>
          <w:sz w:val="28"/>
          <w:szCs w:val="28"/>
        </w:rPr>
        <w:t>in Core Funding</w:t>
      </w:r>
      <w:r w:rsidR="001507B3" w:rsidRPr="00D543D4">
        <w:rPr>
          <w:rFonts w:ascii="Times New Roman" w:eastAsia="Times New Roman" w:hAnsi="Times New Roman" w:cs="Times New Roman"/>
          <w:sz w:val="28"/>
          <w:szCs w:val="28"/>
        </w:rPr>
        <w:t> </w:t>
      </w:r>
    </w:p>
    <w:p w14:paraId="207B253F" w14:textId="3A4EBDCC" w:rsidR="001507B3" w:rsidRPr="00D543D4" w:rsidRDefault="00543AED" w:rsidP="265576A8">
      <w:pPr>
        <w:spacing w:after="0" w:line="240" w:lineRule="auto"/>
        <w:jc w:val="both"/>
        <w:textAlignment w:val="baseline"/>
        <w:rPr>
          <w:rFonts w:ascii="Times New Roman" w:eastAsia="Times New Roman" w:hAnsi="Times New Roman" w:cs="Times New Roman"/>
          <w:color w:val="000000" w:themeColor="text1"/>
        </w:rPr>
      </w:pPr>
      <w:r w:rsidRPr="00D543D4">
        <w:rPr>
          <w:rFonts w:ascii="Times New Roman" w:eastAsia="Times New Roman" w:hAnsi="Times New Roman" w:cs="Times New Roman"/>
          <w:color w:val="000000"/>
          <w:shd w:val="clear" w:color="auto" w:fill="FFFFFF"/>
        </w:rPr>
        <w:t xml:space="preserve">This section </w:t>
      </w:r>
      <w:r w:rsidR="008926A8" w:rsidRPr="00D543D4">
        <w:rPr>
          <w:rFonts w:ascii="Times New Roman" w:eastAsia="Times New Roman" w:hAnsi="Times New Roman" w:cs="Times New Roman"/>
          <w:color w:val="000000"/>
          <w:shd w:val="clear" w:color="auto" w:fill="FFFFFF"/>
        </w:rPr>
        <w:t xml:space="preserve">attempts to identify the </w:t>
      </w:r>
      <w:r w:rsidR="428625AE" w:rsidRPr="00D543D4">
        <w:rPr>
          <w:rFonts w:ascii="Times New Roman" w:eastAsia="Times New Roman" w:hAnsi="Times New Roman" w:cs="Times New Roman"/>
          <w:color w:val="000000"/>
          <w:shd w:val="clear" w:color="auto" w:fill="FFFFFF"/>
        </w:rPr>
        <w:t xml:space="preserve">factors </w:t>
      </w:r>
      <w:r w:rsidR="004C0793" w:rsidRPr="00D543D4">
        <w:rPr>
          <w:rFonts w:ascii="Times New Roman" w:eastAsia="Times New Roman" w:hAnsi="Times New Roman" w:cs="Times New Roman"/>
          <w:color w:val="000000"/>
          <w:shd w:val="clear" w:color="auto" w:fill="FFFFFF"/>
        </w:rPr>
        <w:t xml:space="preserve">behind the </w:t>
      </w:r>
      <w:r w:rsidR="00AC421C" w:rsidRPr="00D543D4">
        <w:rPr>
          <w:rFonts w:ascii="Times New Roman" w:eastAsia="Times New Roman" w:hAnsi="Times New Roman" w:cs="Times New Roman"/>
          <w:color w:val="000000"/>
          <w:shd w:val="clear" w:color="auto" w:fill="FFFFFF"/>
        </w:rPr>
        <w:t xml:space="preserve">funding patterns observed over the last three decades. </w:t>
      </w:r>
      <w:r w:rsidR="00971CBD" w:rsidRPr="00D543D4">
        <w:rPr>
          <w:rFonts w:ascii="Times New Roman" w:eastAsia="Times New Roman" w:hAnsi="Times New Roman" w:cs="Times New Roman"/>
          <w:color w:val="000000"/>
        </w:rPr>
        <w:t xml:space="preserve"> The </w:t>
      </w:r>
      <w:r w:rsidR="00ED36B7" w:rsidRPr="00D543D4">
        <w:rPr>
          <w:rFonts w:ascii="Times New Roman" w:eastAsia="Times New Roman" w:hAnsi="Times New Roman" w:cs="Times New Roman"/>
          <w:color w:val="000000"/>
        </w:rPr>
        <w:t>“</w:t>
      </w:r>
      <w:r w:rsidR="00971CBD" w:rsidRPr="00D543D4">
        <w:rPr>
          <w:rFonts w:ascii="Times New Roman" w:eastAsia="Times New Roman" w:hAnsi="Times New Roman" w:cs="Times New Roman"/>
          <w:color w:val="000000"/>
        </w:rPr>
        <w:t>Fishbone</w:t>
      </w:r>
      <w:r w:rsidR="00ED36B7" w:rsidRPr="00D543D4">
        <w:rPr>
          <w:rFonts w:ascii="Times New Roman" w:eastAsia="Times New Roman" w:hAnsi="Times New Roman" w:cs="Times New Roman"/>
          <w:color w:val="000000"/>
        </w:rPr>
        <w:t>” or Ishikawa Diagram</w:t>
      </w:r>
      <w:r w:rsidR="00932F0C" w:rsidRPr="00D543D4">
        <w:rPr>
          <w:rFonts w:ascii="Times New Roman" w:eastAsia="Times New Roman" w:hAnsi="Times New Roman" w:cs="Times New Roman"/>
          <w:color w:val="000000"/>
        </w:rPr>
        <w:t>,</w:t>
      </w:r>
      <w:r w:rsidR="00971CBD" w:rsidRPr="00D543D4">
        <w:rPr>
          <w:rFonts w:ascii="Times New Roman" w:eastAsia="Times New Roman" w:hAnsi="Times New Roman" w:cs="Times New Roman"/>
          <w:color w:val="000000"/>
        </w:rPr>
        <w:t xml:space="preserve"> </w:t>
      </w:r>
      <w:r w:rsidR="75FFF86F" w:rsidRPr="00D543D4">
        <w:rPr>
          <w:rFonts w:ascii="Times New Roman" w:eastAsia="Times New Roman" w:hAnsi="Times New Roman" w:cs="Times New Roman"/>
          <w:color w:val="000000"/>
        </w:rPr>
        <w:t>illustrated</w:t>
      </w:r>
      <w:r w:rsidR="158F9DA1" w:rsidRPr="00D543D4">
        <w:rPr>
          <w:rFonts w:ascii="Times New Roman" w:eastAsia="Times New Roman" w:hAnsi="Times New Roman" w:cs="Times New Roman"/>
          <w:color w:val="000000"/>
        </w:rPr>
        <w:t xml:space="preserve"> in Figure </w:t>
      </w:r>
      <w:r w:rsidR="675BE728" w:rsidRPr="00D543D4">
        <w:rPr>
          <w:rFonts w:ascii="Times New Roman" w:eastAsia="Times New Roman" w:hAnsi="Times New Roman" w:cs="Times New Roman"/>
          <w:color w:val="000000"/>
        </w:rPr>
        <w:t>3</w:t>
      </w:r>
      <w:r w:rsidR="00932F0C" w:rsidRPr="00D543D4">
        <w:rPr>
          <w:rFonts w:ascii="Times New Roman" w:eastAsia="Times New Roman" w:hAnsi="Times New Roman" w:cs="Times New Roman"/>
          <w:color w:val="000000"/>
        </w:rPr>
        <w:t xml:space="preserve">, is used to </w:t>
      </w:r>
      <w:proofErr w:type="gramStart"/>
      <w:r w:rsidR="00D77346" w:rsidRPr="00D543D4">
        <w:rPr>
          <w:rFonts w:ascii="Times New Roman" w:eastAsia="Times New Roman" w:hAnsi="Times New Roman" w:cs="Times New Roman"/>
          <w:color w:val="000000"/>
        </w:rPr>
        <w:t>identify</w:t>
      </w:r>
      <w:proofErr w:type="gramEnd"/>
      <w:r w:rsidR="00932F0C" w:rsidRPr="00D543D4">
        <w:rPr>
          <w:rFonts w:ascii="Times New Roman" w:eastAsia="Times New Roman" w:hAnsi="Times New Roman" w:cs="Times New Roman"/>
          <w:color w:val="000000"/>
        </w:rPr>
        <w:t xml:space="preserve"> and understand the underlying causes </w:t>
      </w:r>
      <w:r w:rsidR="00ED36B7" w:rsidRPr="00D543D4">
        <w:rPr>
          <w:rFonts w:ascii="Times New Roman" w:eastAsia="Times New Roman" w:hAnsi="Times New Roman" w:cs="Times New Roman"/>
          <w:color w:val="000000"/>
        </w:rPr>
        <w:t xml:space="preserve">behind the decline in core funding. </w:t>
      </w:r>
      <w:r w:rsidR="2FBFF2F5" w:rsidRPr="00D543D4">
        <w:rPr>
          <w:rFonts w:ascii="Times New Roman" w:eastAsia="Times New Roman" w:hAnsi="Times New Roman" w:cs="Times New Roman"/>
          <w:color w:val="000000"/>
        </w:rPr>
        <w:t xml:space="preserve"> </w:t>
      </w:r>
      <w:r w:rsidR="00A4078A" w:rsidRPr="00D543D4">
        <w:rPr>
          <w:rFonts w:ascii="Times New Roman" w:eastAsia="Times New Roman" w:hAnsi="Times New Roman" w:cs="Times New Roman"/>
          <w:color w:val="000000"/>
        </w:rPr>
        <w:t xml:space="preserve">The method is based on the idea that a problem or effect can be broken down into its individual causes, which can be grouped into broader categories </w:t>
      </w:r>
      <w:r w:rsidR="00A2711F" w:rsidRPr="00D543D4">
        <w:rPr>
          <w:rFonts w:ascii="Times New Roman" w:eastAsia="Times New Roman" w:hAnsi="Times New Roman" w:cs="Times New Roman"/>
          <w:color w:val="000000"/>
        </w:rPr>
        <w:t>–</w:t>
      </w:r>
      <w:r w:rsidR="00A4078A" w:rsidRPr="00D543D4">
        <w:rPr>
          <w:rFonts w:ascii="Times New Roman" w:eastAsia="Times New Roman" w:hAnsi="Times New Roman" w:cs="Times New Roman"/>
          <w:color w:val="000000"/>
        </w:rPr>
        <w:t xml:space="preserve"> </w:t>
      </w:r>
      <w:r w:rsidR="00052E3B">
        <w:rPr>
          <w:rFonts w:ascii="Times New Roman" w:eastAsia="Times New Roman" w:hAnsi="Times New Roman" w:cs="Times New Roman"/>
          <w:color w:val="000000"/>
        </w:rPr>
        <w:t>political, economic</w:t>
      </w:r>
      <w:r w:rsidR="00A2711F" w:rsidRPr="00D543D4">
        <w:rPr>
          <w:rFonts w:ascii="Times New Roman" w:eastAsia="Times New Roman" w:hAnsi="Times New Roman" w:cs="Times New Roman"/>
          <w:color w:val="000000"/>
        </w:rPr>
        <w:t>, policy, systemic, institutional, etc</w:t>
      </w:r>
      <w:r w:rsidR="00A4078A" w:rsidRPr="00D543D4">
        <w:rPr>
          <w:rFonts w:ascii="Times New Roman" w:eastAsia="Times New Roman" w:hAnsi="Times New Roman" w:cs="Times New Roman"/>
          <w:color w:val="000000"/>
        </w:rPr>
        <w:t>.</w:t>
      </w:r>
    </w:p>
    <w:p w14:paraId="1557AA34" w14:textId="39967A10" w:rsidR="001507B3" w:rsidRDefault="001507B3" w:rsidP="265576A8">
      <w:pPr>
        <w:spacing w:after="0" w:line="240" w:lineRule="auto"/>
        <w:jc w:val="both"/>
        <w:textAlignment w:val="baseline"/>
        <w:rPr>
          <w:rFonts w:ascii="Times New Roman" w:eastAsia="Times New Roman" w:hAnsi="Times New Roman" w:cs="Times New Roman"/>
          <w:color w:val="000000" w:themeColor="text1"/>
        </w:rPr>
      </w:pPr>
    </w:p>
    <w:p w14:paraId="5CD586A3" w14:textId="77777777" w:rsidR="00052E3B" w:rsidRPr="00D543D4" w:rsidRDefault="00052E3B" w:rsidP="265576A8">
      <w:pPr>
        <w:spacing w:after="0" w:line="240" w:lineRule="auto"/>
        <w:jc w:val="both"/>
        <w:textAlignment w:val="baseline"/>
        <w:rPr>
          <w:rFonts w:ascii="Times New Roman" w:eastAsia="Times New Roman" w:hAnsi="Times New Roman" w:cs="Times New Roman"/>
          <w:color w:val="000000" w:themeColor="text1"/>
        </w:rPr>
      </w:pPr>
    </w:p>
    <w:p w14:paraId="67A1AC06" w14:textId="7DD95C3E" w:rsidR="001507B3" w:rsidRPr="00D543D4" w:rsidRDefault="0EB74DAE" w:rsidP="265576A8">
      <w:pPr>
        <w:spacing w:after="0" w:line="240" w:lineRule="auto"/>
        <w:jc w:val="both"/>
        <w:textAlignment w:val="baseline"/>
        <w:rPr>
          <w:rFonts w:ascii="Times New Roman" w:eastAsia="Times New Roman" w:hAnsi="Times New Roman" w:cs="Times New Roman"/>
          <w:b/>
          <w:bCs/>
          <w:color w:val="000000"/>
        </w:rPr>
      </w:pPr>
      <w:r w:rsidRPr="00D543D4">
        <w:rPr>
          <w:rFonts w:ascii="Times New Roman" w:eastAsia="Times New Roman" w:hAnsi="Times New Roman" w:cs="Times New Roman"/>
          <w:b/>
          <w:bCs/>
          <w:color w:val="000000" w:themeColor="text1"/>
        </w:rPr>
        <w:lastRenderedPageBreak/>
        <w:t xml:space="preserve">Figure </w:t>
      </w:r>
      <w:r w:rsidR="2BB82CB5" w:rsidRPr="00D543D4">
        <w:rPr>
          <w:rFonts w:ascii="Times New Roman" w:eastAsia="Times New Roman" w:hAnsi="Times New Roman" w:cs="Times New Roman"/>
          <w:b/>
          <w:bCs/>
          <w:color w:val="000000" w:themeColor="text1"/>
        </w:rPr>
        <w:t>3</w:t>
      </w:r>
    </w:p>
    <w:p w14:paraId="7FEDE899" w14:textId="77777777" w:rsidR="00C752B0" w:rsidRDefault="00C752B0" w:rsidP="001507B3">
      <w:pPr>
        <w:spacing w:after="0" w:line="240" w:lineRule="auto"/>
        <w:jc w:val="both"/>
        <w:textAlignment w:val="baseline"/>
        <w:rPr>
          <w:rFonts w:ascii="Times New Roman" w:eastAsia="Times New Roman" w:hAnsi="Times New Roman" w:cs="Times New Roman"/>
          <w:color w:val="000000"/>
        </w:rPr>
      </w:pPr>
    </w:p>
    <w:p w14:paraId="10EFBFC7" w14:textId="001CEEF1" w:rsidR="00C649E2" w:rsidRPr="00D543D4" w:rsidRDefault="00C649E2" w:rsidP="001507B3">
      <w:pPr>
        <w:spacing w:after="0" w:line="240" w:lineRule="auto"/>
        <w:jc w:val="both"/>
        <w:textAlignment w:val="baseline"/>
        <w:rPr>
          <w:rFonts w:ascii="Times New Roman" w:eastAsia="Times New Roman" w:hAnsi="Times New Roman" w:cs="Times New Roman"/>
          <w:color w:val="000000"/>
        </w:rPr>
      </w:pPr>
      <w:r>
        <w:rPr>
          <w:noProof/>
        </w:rPr>
        <w:drawing>
          <wp:inline distT="0" distB="0" distL="0" distR="0" wp14:anchorId="71075363" wp14:editId="6FA8EA7F">
            <wp:extent cx="5943600" cy="3356610"/>
            <wp:effectExtent l="0" t="0" r="0" b="0"/>
            <wp:docPr id="2046274363"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274363" name="Picture 1" descr="A diagram of a diagram&#10;&#10;Description automatically generated"/>
                    <pic:cNvPicPr/>
                  </pic:nvPicPr>
                  <pic:blipFill>
                    <a:blip r:embed="rId10"/>
                    <a:stretch>
                      <a:fillRect/>
                    </a:stretch>
                  </pic:blipFill>
                  <pic:spPr>
                    <a:xfrm>
                      <a:off x="0" y="0"/>
                      <a:ext cx="5943600" cy="3356610"/>
                    </a:xfrm>
                    <a:prstGeom prst="rect">
                      <a:avLst/>
                    </a:prstGeom>
                  </pic:spPr>
                </pic:pic>
              </a:graphicData>
            </a:graphic>
          </wp:inline>
        </w:drawing>
      </w:r>
    </w:p>
    <w:p w14:paraId="792BC0C4" w14:textId="7164A184" w:rsidR="00C752B0" w:rsidRPr="00D543D4" w:rsidRDefault="00C752B0" w:rsidP="001507B3">
      <w:pPr>
        <w:spacing w:after="0" w:line="240" w:lineRule="auto"/>
        <w:jc w:val="both"/>
        <w:textAlignment w:val="baseline"/>
        <w:rPr>
          <w:rFonts w:ascii="Times New Roman" w:eastAsia="Times New Roman" w:hAnsi="Times New Roman" w:cs="Times New Roman"/>
          <w:sz w:val="18"/>
          <w:szCs w:val="18"/>
        </w:rPr>
      </w:pPr>
    </w:p>
    <w:p w14:paraId="23364F20" w14:textId="7BCE60BF" w:rsidR="001507B3" w:rsidRPr="00D543D4" w:rsidRDefault="001507B3" w:rsidP="001507B3">
      <w:pPr>
        <w:spacing w:after="0" w:line="240" w:lineRule="auto"/>
        <w:jc w:val="both"/>
        <w:textAlignment w:val="baseline"/>
        <w:rPr>
          <w:rFonts w:ascii="Times New Roman" w:eastAsia="Times New Roman" w:hAnsi="Times New Roman" w:cs="Times New Roman"/>
          <w:sz w:val="18"/>
          <w:szCs w:val="18"/>
        </w:rPr>
      </w:pPr>
      <w:r w:rsidRPr="00D543D4">
        <w:rPr>
          <w:rFonts w:ascii="Times New Roman" w:eastAsia="Times New Roman" w:hAnsi="Times New Roman" w:cs="Times New Roman"/>
        </w:rPr>
        <w:t> </w:t>
      </w:r>
    </w:p>
    <w:p w14:paraId="309CD973" w14:textId="77777777" w:rsidR="009D170B" w:rsidRPr="00D543D4" w:rsidRDefault="009D170B" w:rsidP="00B76573">
      <w:pPr>
        <w:spacing w:after="0" w:line="240" w:lineRule="auto"/>
        <w:textAlignment w:val="baseline"/>
        <w:rPr>
          <w:rFonts w:ascii="Times New Roman" w:eastAsia="Times New Roman" w:hAnsi="Times New Roman" w:cs="Times New Roman"/>
          <w:b/>
          <w:bCs/>
          <w:color w:val="2F5496"/>
          <w:sz w:val="28"/>
          <w:szCs w:val="28"/>
        </w:rPr>
      </w:pPr>
    </w:p>
    <w:p w14:paraId="3911978C" w14:textId="4901ABFD" w:rsidR="001507B3" w:rsidRPr="00D543D4" w:rsidRDefault="001507B3" w:rsidP="001507B3">
      <w:pPr>
        <w:spacing w:after="0" w:line="240" w:lineRule="auto"/>
        <w:textAlignment w:val="baseline"/>
        <w:rPr>
          <w:rFonts w:ascii="Times New Roman" w:eastAsia="Times New Roman" w:hAnsi="Times New Roman" w:cs="Times New Roman"/>
          <w:color w:val="1F3763"/>
          <w:sz w:val="18"/>
          <w:szCs w:val="18"/>
        </w:rPr>
      </w:pPr>
      <w:r w:rsidRPr="00D543D4">
        <w:rPr>
          <w:rFonts w:ascii="Times New Roman" w:eastAsia="Times New Roman" w:hAnsi="Times New Roman" w:cs="Times New Roman"/>
          <w:color w:val="1F3763"/>
          <w:sz w:val="24"/>
          <w:szCs w:val="24"/>
        </w:rPr>
        <w:t xml:space="preserve">1) Political </w:t>
      </w:r>
      <w:r w:rsidR="00B63503" w:rsidRPr="00D543D4">
        <w:rPr>
          <w:rFonts w:ascii="Times New Roman" w:eastAsia="Times New Roman" w:hAnsi="Times New Roman" w:cs="Times New Roman"/>
          <w:color w:val="1F3763"/>
          <w:sz w:val="24"/>
          <w:szCs w:val="24"/>
        </w:rPr>
        <w:t>Factors</w:t>
      </w:r>
      <w:r w:rsidRPr="00D543D4">
        <w:rPr>
          <w:rFonts w:ascii="Times New Roman" w:eastAsia="Times New Roman" w:hAnsi="Times New Roman" w:cs="Times New Roman"/>
          <w:color w:val="1F3763"/>
          <w:sz w:val="24"/>
          <w:szCs w:val="24"/>
        </w:rPr>
        <w:t>:  </w:t>
      </w:r>
    </w:p>
    <w:p w14:paraId="5587BF61" w14:textId="434CF299" w:rsidR="0049669C" w:rsidRPr="00D543D4" w:rsidRDefault="00C45023" w:rsidP="001507B3">
      <w:pPr>
        <w:spacing w:after="0" w:line="240" w:lineRule="auto"/>
        <w:jc w:val="both"/>
        <w:textAlignment w:val="baseline"/>
        <w:rPr>
          <w:rFonts w:ascii="Times New Roman" w:eastAsia="Times New Roman" w:hAnsi="Times New Roman" w:cs="Times New Roman"/>
          <w:color w:val="000000"/>
          <w:shd w:val="clear" w:color="auto" w:fill="FFFFFF"/>
        </w:rPr>
      </w:pPr>
      <w:r w:rsidRPr="00D543D4">
        <w:rPr>
          <w:rFonts w:ascii="Times New Roman" w:eastAsia="Times New Roman" w:hAnsi="Times New Roman" w:cs="Times New Roman"/>
          <w:color w:val="000000"/>
          <w:shd w:val="clear" w:color="auto" w:fill="FFFFFF"/>
        </w:rPr>
        <w:t xml:space="preserve">Donor countries' </w:t>
      </w:r>
      <w:r w:rsidR="00CEA509" w:rsidRPr="00D543D4">
        <w:rPr>
          <w:rFonts w:ascii="Times New Roman" w:eastAsia="Times New Roman" w:hAnsi="Times New Roman" w:cs="Times New Roman"/>
          <w:color w:val="000000"/>
          <w:shd w:val="clear" w:color="auto" w:fill="FFFFFF"/>
        </w:rPr>
        <w:t xml:space="preserve">changing </w:t>
      </w:r>
      <w:r w:rsidRPr="00D543D4">
        <w:rPr>
          <w:rFonts w:ascii="Times New Roman" w:eastAsia="Times New Roman" w:hAnsi="Times New Roman" w:cs="Times New Roman"/>
          <w:color w:val="000000"/>
          <w:shd w:val="clear" w:color="auto" w:fill="FFFFFF"/>
        </w:rPr>
        <w:t>political priorities influenc</w:t>
      </w:r>
      <w:r w:rsidR="3EE967BA" w:rsidRPr="00D543D4">
        <w:rPr>
          <w:rFonts w:ascii="Times New Roman" w:eastAsia="Times New Roman" w:hAnsi="Times New Roman" w:cs="Times New Roman"/>
          <w:color w:val="000000"/>
          <w:shd w:val="clear" w:color="auto" w:fill="FFFFFF"/>
        </w:rPr>
        <w:t>e</w:t>
      </w:r>
      <w:r w:rsidRPr="00D543D4">
        <w:rPr>
          <w:rFonts w:ascii="Times New Roman" w:eastAsia="Times New Roman" w:hAnsi="Times New Roman" w:cs="Times New Roman"/>
          <w:color w:val="000000"/>
          <w:shd w:val="clear" w:color="auto" w:fill="FFFFFF"/>
        </w:rPr>
        <w:t xml:space="preserve"> their</w:t>
      </w:r>
      <w:r w:rsidR="78429F95" w:rsidRPr="00D543D4">
        <w:rPr>
          <w:rFonts w:ascii="Times New Roman" w:eastAsia="Times New Roman" w:hAnsi="Times New Roman" w:cs="Times New Roman"/>
          <w:color w:val="000000"/>
          <w:shd w:val="clear" w:color="auto" w:fill="FFFFFF"/>
        </w:rPr>
        <w:t xml:space="preserve"> decisions to </w:t>
      </w:r>
      <w:r w:rsidRPr="00D543D4">
        <w:rPr>
          <w:rFonts w:ascii="Times New Roman" w:eastAsia="Times New Roman" w:hAnsi="Times New Roman" w:cs="Times New Roman"/>
          <w:color w:val="000000"/>
          <w:shd w:val="clear" w:color="auto" w:fill="FFFFFF"/>
        </w:rPr>
        <w:t>allocat</w:t>
      </w:r>
      <w:r w:rsidR="631B6DA0" w:rsidRPr="00D543D4">
        <w:rPr>
          <w:rFonts w:ascii="Times New Roman" w:eastAsia="Times New Roman" w:hAnsi="Times New Roman" w:cs="Times New Roman"/>
          <w:color w:val="000000"/>
          <w:shd w:val="clear" w:color="auto" w:fill="FFFFFF"/>
        </w:rPr>
        <w:t xml:space="preserve">e core </w:t>
      </w:r>
      <w:r w:rsidRPr="00D543D4">
        <w:rPr>
          <w:rFonts w:ascii="Times New Roman" w:eastAsia="Times New Roman" w:hAnsi="Times New Roman" w:cs="Times New Roman"/>
          <w:color w:val="000000"/>
          <w:shd w:val="clear" w:color="auto" w:fill="FFFFFF"/>
        </w:rPr>
        <w:t xml:space="preserve">funding. </w:t>
      </w:r>
      <w:r w:rsidR="007C38ED" w:rsidRPr="00D543D4">
        <w:rPr>
          <w:rFonts w:ascii="Times New Roman" w:eastAsia="Times New Roman" w:hAnsi="Times New Roman" w:cs="Times New Roman"/>
          <w:color w:val="000000"/>
          <w:shd w:val="clear" w:color="auto" w:fill="FFFFFF"/>
        </w:rPr>
        <w:t>Domestic</w:t>
      </w:r>
      <w:r w:rsidRPr="00D543D4">
        <w:rPr>
          <w:rFonts w:ascii="Times New Roman" w:eastAsia="Times New Roman" w:hAnsi="Times New Roman" w:cs="Times New Roman"/>
          <w:color w:val="000000"/>
          <w:shd w:val="clear" w:color="auto" w:fill="FFFFFF"/>
        </w:rPr>
        <w:t xml:space="preserve"> concerns, national security issues, or domestic political dynamics lead to a re</w:t>
      </w:r>
      <w:r w:rsidR="0C166BC9" w:rsidRPr="00D543D4">
        <w:rPr>
          <w:rFonts w:ascii="Times New Roman" w:eastAsia="Times New Roman" w:hAnsi="Times New Roman" w:cs="Times New Roman"/>
          <w:color w:val="000000"/>
          <w:shd w:val="clear" w:color="auto" w:fill="FFFFFF"/>
        </w:rPr>
        <w:t>-</w:t>
      </w:r>
      <w:r w:rsidRPr="00D543D4">
        <w:rPr>
          <w:rFonts w:ascii="Times New Roman" w:eastAsia="Times New Roman" w:hAnsi="Times New Roman" w:cs="Times New Roman"/>
          <w:color w:val="000000"/>
          <w:shd w:val="clear" w:color="auto" w:fill="FFFFFF"/>
        </w:rPr>
        <w:t xml:space="preserve">evaluation of international development as a priority area. </w:t>
      </w:r>
      <w:r w:rsidR="00DC3610" w:rsidRPr="00D543D4">
        <w:rPr>
          <w:rFonts w:ascii="Times New Roman" w:eastAsia="Times New Roman" w:hAnsi="Times New Roman" w:cs="Times New Roman"/>
          <w:color w:val="000000"/>
          <w:shd w:val="clear" w:color="auto" w:fill="FFFFFF"/>
        </w:rPr>
        <w:t xml:space="preserve">Changes in </w:t>
      </w:r>
      <w:r w:rsidR="0BF19F50" w:rsidRPr="00D543D4">
        <w:rPr>
          <w:rFonts w:ascii="Times New Roman" w:eastAsia="Times New Roman" w:hAnsi="Times New Roman" w:cs="Times New Roman"/>
          <w:color w:val="000000"/>
          <w:shd w:val="clear" w:color="auto" w:fill="FFFFFF"/>
        </w:rPr>
        <w:t>focus</w:t>
      </w:r>
      <w:r w:rsidR="20563211" w:rsidRPr="00D543D4">
        <w:rPr>
          <w:rFonts w:ascii="Times New Roman" w:eastAsia="Times New Roman" w:hAnsi="Times New Roman" w:cs="Times New Roman"/>
          <w:color w:val="000000"/>
          <w:shd w:val="clear" w:color="auto" w:fill="FFFFFF"/>
        </w:rPr>
        <w:t xml:space="preserve">, </w:t>
      </w:r>
      <w:r w:rsidR="00DC3610" w:rsidRPr="00D543D4">
        <w:rPr>
          <w:rFonts w:ascii="Times New Roman" w:eastAsia="Times New Roman" w:hAnsi="Times New Roman" w:cs="Times New Roman"/>
          <w:color w:val="000000"/>
          <w:shd w:val="clear" w:color="auto" w:fill="FFFFFF"/>
        </w:rPr>
        <w:t>political leadership</w:t>
      </w:r>
      <w:r w:rsidR="00052E3B">
        <w:rPr>
          <w:rFonts w:ascii="Times New Roman" w:eastAsia="Times New Roman" w:hAnsi="Times New Roman" w:cs="Times New Roman"/>
          <w:color w:val="000000"/>
          <w:shd w:val="clear" w:color="auto" w:fill="FFFFFF"/>
        </w:rPr>
        <w:t>,</w:t>
      </w:r>
      <w:r w:rsidR="00DC3610" w:rsidRPr="00D543D4">
        <w:rPr>
          <w:rFonts w:ascii="Times New Roman" w:eastAsia="Times New Roman" w:hAnsi="Times New Roman" w:cs="Times New Roman"/>
          <w:color w:val="000000"/>
          <w:shd w:val="clear" w:color="auto" w:fill="FFFFFF"/>
        </w:rPr>
        <w:t xml:space="preserve"> or ideolog</w:t>
      </w:r>
      <w:r w:rsidR="3C02CC2E" w:rsidRPr="00D543D4">
        <w:rPr>
          <w:rFonts w:ascii="Times New Roman" w:eastAsia="Times New Roman" w:hAnsi="Times New Roman" w:cs="Times New Roman"/>
          <w:color w:val="000000"/>
          <w:shd w:val="clear" w:color="auto" w:fill="FFFFFF"/>
        </w:rPr>
        <w:t xml:space="preserve">y </w:t>
      </w:r>
      <w:r w:rsidR="00DC3610" w:rsidRPr="00D543D4">
        <w:rPr>
          <w:rFonts w:ascii="Times New Roman" w:eastAsia="Times New Roman" w:hAnsi="Times New Roman" w:cs="Times New Roman"/>
          <w:color w:val="000000"/>
          <w:shd w:val="clear" w:color="auto" w:fill="FFFFFF"/>
        </w:rPr>
        <w:t xml:space="preserve">in donor countries </w:t>
      </w:r>
      <w:r w:rsidR="00052E3B">
        <w:rPr>
          <w:rFonts w:ascii="Times New Roman" w:eastAsia="Times New Roman" w:hAnsi="Times New Roman" w:cs="Times New Roman"/>
          <w:color w:val="000000"/>
          <w:shd w:val="clear" w:color="auto" w:fill="FFFFFF"/>
        </w:rPr>
        <w:t>impact</w:t>
      </w:r>
      <w:r w:rsidR="00DC3610" w:rsidRPr="00D543D4">
        <w:rPr>
          <w:rFonts w:ascii="Times New Roman" w:eastAsia="Times New Roman" w:hAnsi="Times New Roman" w:cs="Times New Roman"/>
          <w:color w:val="000000"/>
          <w:shd w:val="clear" w:color="auto" w:fill="FFFFFF"/>
        </w:rPr>
        <w:t xml:space="preserve"> aid policies and funding priorities.</w:t>
      </w:r>
    </w:p>
    <w:p w14:paraId="4E09C2D8" w14:textId="77777777" w:rsidR="00C45023" w:rsidRPr="00D543D4" w:rsidRDefault="00C45023" w:rsidP="001507B3">
      <w:pPr>
        <w:spacing w:after="0" w:line="240" w:lineRule="auto"/>
        <w:jc w:val="both"/>
        <w:textAlignment w:val="baseline"/>
        <w:rPr>
          <w:rFonts w:ascii="Times New Roman" w:eastAsia="Times New Roman" w:hAnsi="Times New Roman" w:cs="Times New Roman"/>
          <w:color w:val="000000"/>
          <w:shd w:val="clear" w:color="auto" w:fill="FFFFFF"/>
        </w:rPr>
      </w:pPr>
    </w:p>
    <w:p w14:paraId="72EFB132" w14:textId="7338C4E0" w:rsidR="001507B3" w:rsidRPr="00D543D4" w:rsidRDefault="3F2394BA" w:rsidP="001507B3">
      <w:pPr>
        <w:spacing w:after="0" w:line="240" w:lineRule="auto"/>
        <w:jc w:val="both"/>
        <w:textAlignment w:val="baseline"/>
        <w:rPr>
          <w:rFonts w:ascii="Times New Roman" w:eastAsia="Times New Roman" w:hAnsi="Times New Roman" w:cs="Times New Roman"/>
          <w:color w:val="000000"/>
        </w:rPr>
      </w:pPr>
      <w:r w:rsidRPr="00D543D4">
        <w:rPr>
          <w:rFonts w:ascii="Times New Roman" w:eastAsia="Times New Roman" w:hAnsi="Times New Roman" w:cs="Times New Roman"/>
          <w:color w:val="000000"/>
          <w:shd w:val="clear" w:color="auto" w:fill="FFFFFF"/>
        </w:rPr>
        <w:t xml:space="preserve">Deciding to contribute core </w:t>
      </w:r>
      <w:r w:rsidR="458A2B1E" w:rsidRPr="00D543D4">
        <w:rPr>
          <w:rFonts w:ascii="Times New Roman" w:eastAsia="Times New Roman" w:hAnsi="Times New Roman" w:cs="Times New Roman"/>
          <w:color w:val="000000"/>
          <w:shd w:val="clear" w:color="auto" w:fill="FFFFFF"/>
        </w:rPr>
        <w:t xml:space="preserve">funding </w:t>
      </w:r>
      <w:r w:rsidR="00B406EA" w:rsidRPr="00D543D4">
        <w:rPr>
          <w:rFonts w:ascii="Times New Roman" w:eastAsia="Times New Roman" w:hAnsi="Times New Roman" w:cs="Times New Roman"/>
          <w:color w:val="000000"/>
          <w:shd w:val="clear" w:color="auto" w:fill="FFFFFF"/>
        </w:rPr>
        <w:t>requires significant political consideration</w:t>
      </w:r>
      <w:r w:rsidR="23A26CEC" w:rsidRPr="00D543D4">
        <w:rPr>
          <w:rFonts w:ascii="Times New Roman" w:eastAsia="Times New Roman" w:hAnsi="Times New Roman" w:cs="Times New Roman"/>
          <w:color w:val="000000"/>
          <w:shd w:val="clear" w:color="auto" w:fill="FFFFFF"/>
        </w:rPr>
        <w:t xml:space="preserve">s on the part of </w:t>
      </w:r>
      <w:r w:rsidR="00B406EA" w:rsidRPr="00D543D4">
        <w:rPr>
          <w:rFonts w:ascii="Times New Roman" w:eastAsia="Times New Roman" w:hAnsi="Times New Roman" w:cs="Times New Roman"/>
          <w:color w:val="000000"/>
          <w:shd w:val="clear" w:color="auto" w:fill="FFFFFF"/>
        </w:rPr>
        <w:t xml:space="preserve">governments. One of the main considerations is political accountability towards </w:t>
      </w:r>
      <w:r w:rsidR="24DC9DB7" w:rsidRPr="00D543D4">
        <w:rPr>
          <w:rFonts w:ascii="Times New Roman" w:eastAsia="Times New Roman" w:hAnsi="Times New Roman" w:cs="Times New Roman"/>
          <w:color w:val="000000"/>
          <w:shd w:val="clear" w:color="auto" w:fill="FFFFFF"/>
        </w:rPr>
        <w:t xml:space="preserve">their </w:t>
      </w:r>
      <w:r w:rsidR="00B406EA" w:rsidRPr="00D543D4">
        <w:rPr>
          <w:rFonts w:ascii="Times New Roman" w:eastAsia="Times New Roman" w:hAnsi="Times New Roman" w:cs="Times New Roman"/>
          <w:color w:val="000000"/>
          <w:shd w:val="clear" w:color="auto" w:fill="FFFFFF"/>
        </w:rPr>
        <w:t xml:space="preserve">constituency. </w:t>
      </w:r>
      <w:r w:rsidR="042F1050" w:rsidRPr="00D543D4">
        <w:rPr>
          <w:rFonts w:ascii="Times New Roman" w:eastAsia="Times New Roman" w:hAnsi="Times New Roman" w:cs="Times New Roman"/>
          <w:color w:val="000000"/>
          <w:shd w:val="clear" w:color="auto" w:fill="FFFFFF"/>
        </w:rPr>
        <w:t xml:space="preserve">An </w:t>
      </w:r>
      <w:r w:rsidR="00052E3B">
        <w:rPr>
          <w:rFonts w:ascii="Times New Roman" w:eastAsia="Times New Roman" w:hAnsi="Times New Roman" w:cs="Times New Roman"/>
          <w:color w:val="000000"/>
          <w:shd w:val="clear" w:color="auto" w:fill="FFFFFF"/>
        </w:rPr>
        <w:t>oft</w:t>
      </w:r>
      <w:r w:rsidR="00FC2786">
        <w:rPr>
          <w:rFonts w:ascii="Times New Roman" w:eastAsia="Times New Roman" w:hAnsi="Times New Roman" w:cs="Times New Roman"/>
          <w:color w:val="000000"/>
          <w:shd w:val="clear" w:color="auto" w:fill="FFFFFF"/>
        </w:rPr>
        <w:t>en</w:t>
      </w:r>
      <w:r w:rsidR="00052E3B">
        <w:rPr>
          <w:rFonts w:ascii="Times New Roman" w:eastAsia="Times New Roman" w:hAnsi="Times New Roman" w:cs="Times New Roman"/>
          <w:color w:val="000000"/>
          <w:shd w:val="clear" w:color="auto" w:fill="FFFFFF"/>
        </w:rPr>
        <w:t>-heard</w:t>
      </w:r>
      <w:r w:rsidR="042F1050" w:rsidRPr="00D543D4">
        <w:rPr>
          <w:rFonts w:ascii="Times New Roman" w:eastAsia="Times New Roman" w:hAnsi="Times New Roman" w:cs="Times New Roman"/>
          <w:color w:val="000000"/>
          <w:shd w:val="clear" w:color="auto" w:fill="FFFFFF"/>
        </w:rPr>
        <w:t xml:space="preserve"> </w:t>
      </w:r>
      <w:r w:rsidR="00B406EA" w:rsidRPr="00D543D4">
        <w:rPr>
          <w:rFonts w:ascii="Times New Roman" w:eastAsia="Times New Roman" w:hAnsi="Times New Roman" w:cs="Times New Roman"/>
          <w:color w:val="000000"/>
          <w:shd w:val="clear" w:color="auto" w:fill="FFFFFF"/>
        </w:rPr>
        <w:t xml:space="preserve">argument in the aid </w:t>
      </w:r>
      <w:r w:rsidR="6FCA7D8E" w:rsidRPr="00D543D4">
        <w:rPr>
          <w:rFonts w:ascii="Times New Roman" w:eastAsia="Times New Roman" w:hAnsi="Times New Roman" w:cs="Times New Roman"/>
          <w:color w:val="000000"/>
          <w:shd w:val="clear" w:color="auto" w:fill="FFFFFF"/>
        </w:rPr>
        <w:t xml:space="preserve">arena </w:t>
      </w:r>
      <w:r w:rsidR="00B406EA" w:rsidRPr="00D543D4">
        <w:rPr>
          <w:rFonts w:ascii="Times New Roman" w:eastAsia="Times New Roman" w:hAnsi="Times New Roman" w:cs="Times New Roman"/>
          <w:color w:val="000000"/>
          <w:shd w:val="clear" w:color="auto" w:fill="FFFFFF"/>
        </w:rPr>
        <w:t>is that</w:t>
      </w:r>
      <w:r w:rsidR="368AFADB" w:rsidRPr="00D543D4">
        <w:rPr>
          <w:rFonts w:ascii="Times New Roman" w:eastAsia="Times New Roman" w:hAnsi="Times New Roman" w:cs="Times New Roman"/>
          <w:color w:val="000000"/>
          <w:shd w:val="clear" w:color="auto" w:fill="FFFFFF"/>
        </w:rPr>
        <w:t xml:space="preserve"> </w:t>
      </w:r>
      <w:r w:rsidR="00B406EA" w:rsidRPr="00D543D4">
        <w:rPr>
          <w:rFonts w:ascii="Times New Roman" w:eastAsia="Times New Roman" w:hAnsi="Times New Roman" w:cs="Times New Roman"/>
          <w:color w:val="000000"/>
          <w:shd w:val="clear" w:color="auto" w:fill="FFFFFF"/>
        </w:rPr>
        <w:t xml:space="preserve">donor governments </w:t>
      </w:r>
      <w:r w:rsidR="58185913" w:rsidRPr="00D543D4">
        <w:rPr>
          <w:rFonts w:ascii="Times New Roman" w:eastAsia="Times New Roman" w:hAnsi="Times New Roman" w:cs="Times New Roman"/>
          <w:color w:val="000000"/>
          <w:shd w:val="clear" w:color="auto" w:fill="FFFFFF"/>
        </w:rPr>
        <w:t>prefer</w:t>
      </w:r>
      <w:r w:rsidR="00B406EA" w:rsidRPr="00D543D4">
        <w:rPr>
          <w:rFonts w:ascii="Times New Roman" w:eastAsia="Times New Roman" w:hAnsi="Times New Roman" w:cs="Times New Roman"/>
          <w:color w:val="000000"/>
          <w:shd w:val="clear" w:color="auto" w:fill="FFFFFF"/>
        </w:rPr>
        <w:t xml:space="preserve"> earmarked funding</w:t>
      </w:r>
      <w:r w:rsidR="493A8BE5" w:rsidRPr="00D543D4">
        <w:rPr>
          <w:rFonts w:ascii="Times New Roman" w:eastAsia="Times New Roman" w:hAnsi="Times New Roman" w:cs="Times New Roman"/>
          <w:color w:val="000000"/>
          <w:shd w:val="clear" w:color="auto" w:fill="FFFFFF"/>
        </w:rPr>
        <w:t>,</w:t>
      </w:r>
      <w:r w:rsidR="00B406EA" w:rsidRPr="00D543D4">
        <w:rPr>
          <w:rFonts w:ascii="Times New Roman" w:eastAsia="Times New Roman" w:hAnsi="Times New Roman" w:cs="Times New Roman"/>
          <w:color w:val="000000"/>
          <w:shd w:val="clear" w:color="auto" w:fill="FFFFFF"/>
        </w:rPr>
        <w:t xml:space="preserve"> to the detriment of core</w:t>
      </w:r>
      <w:r w:rsidR="79E10352" w:rsidRPr="00D543D4">
        <w:rPr>
          <w:rFonts w:ascii="Times New Roman" w:eastAsia="Times New Roman" w:hAnsi="Times New Roman" w:cs="Times New Roman"/>
          <w:color w:val="000000"/>
          <w:shd w:val="clear" w:color="auto" w:fill="FFFFFF"/>
        </w:rPr>
        <w:t>,</w:t>
      </w:r>
      <w:r w:rsidR="00B406EA" w:rsidRPr="00D543D4">
        <w:rPr>
          <w:rFonts w:ascii="Times New Roman" w:eastAsia="Times New Roman" w:hAnsi="Times New Roman" w:cs="Times New Roman"/>
          <w:color w:val="000000"/>
          <w:shd w:val="clear" w:color="auto" w:fill="FFFFFF"/>
        </w:rPr>
        <w:t xml:space="preserve"> because it </w:t>
      </w:r>
      <w:r w:rsidR="58A9CDC6" w:rsidRPr="00D543D4">
        <w:rPr>
          <w:rFonts w:ascii="Times New Roman" w:eastAsia="Times New Roman" w:hAnsi="Times New Roman" w:cs="Times New Roman"/>
          <w:color w:val="000000"/>
          <w:shd w:val="clear" w:color="auto" w:fill="FFFFFF"/>
        </w:rPr>
        <w:t xml:space="preserve">is </w:t>
      </w:r>
      <w:r w:rsidR="00B406EA" w:rsidRPr="00D543D4">
        <w:rPr>
          <w:rFonts w:ascii="Times New Roman" w:eastAsia="Times New Roman" w:hAnsi="Times New Roman" w:cs="Times New Roman"/>
          <w:color w:val="000000"/>
          <w:shd w:val="clear" w:color="auto" w:fill="FFFFFF"/>
        </w:rPr>
        <w:t>easier to justify to the</w:t>
      </w:r>
      <w:r w:rsidR="00241317">
        <w:rPr>
          <w:rFonts w:ascii="Times New Roman" w:eastAsia="Times New Roman" w:hAnsi="Times New Roman" w:cs="Times New Roman"/>
          <w:color w:val="000000"/>
          <w:shd w:val="clear" w:color="auto" w:fill="FFFFFF"/>
        </w:rPr>
        <w:t>ir constituencies</w:t>
      </w:r>
      <w:r w:rsidR="00B406EA" w:rsidRPr="00D543D4">
        <w:rPr>
          <w:rFonts w:ascii="Times New Roman" w:eastAsia="Times New Roman" w:hAnsi="Times New Roman" w:cs="Times New Roman"/>
          <w:color w:val="000000"/>
          <w:shd w:val="clear" w:color="auto" w:fill="FFFFFF"/>
        </w:rPr>
        <w:t xml:space="preserve"> that </w:t>
      </w:r>
      <w:r w:rsidR="00241317">
        <w:rPr>
          <w:rFonts w:ascii="Times New Roman" w:eastAsia="Times New Roman" w:hAnsi="Times New Roman" w:cs="Times New Roman"/>
          <w:color w:val="000000"/>
          <w:shd w:val="clear" w:color="auto" w:fill="FFFFFF"/>
        </w:rPr>
        <w:t xml:space="preserve">taxpayers’ </w:t>
      </w:r>
      <w:r w:rsidR="00B406EA" w:rsidRPr="00D543D4">
        <w:rPr>
          <w:rFonts w:ascii="Times New Roman" w:eastAsia="Times New Roman" w:hAnsi="Times New Roman" w:cs="Times New Roman"/>
          <w:color w:val="000000"/>
          <w:shd w:val="clear" w:color="auto" w:fill="FFFFFF"/>
        </w:rPr>
        <w:t>money is being spent on a specific project</w:t>
      </w:r>
      <w:r w:rsidR="288CFE7E" w:rsidRPr="00D543D4">
        <w:rPr>
          <w:rFonts w:ascii="Times New Roman" w:eastAsia="Times New Roman" w:hAnsi="Times New Roman" w:cs="Times New Roman"/>
          <w:color w:val="000000"/>
          <w:shd w:val="clear" w:color="auto" w:fill="FFFFFF"/>
        </w:rPr>
        <w:t>/</w:t>
      </w:r>
      <w:r w:rsidR="00B406EA" w:rsidRPr="00D543D4">
        <w:rPr>
          <w:rFonts w:ascii="Times New Roman" w:eastAsia="Times New Roman" w:hAnsi="Times New Roman" w:cs="Times New Roman"/>
          <w:color w:val="000000"/>
          <w:shd w:val="clear" w:color="auto" w:fill="FFFFFF"/>
        </w:rPr>
        <w:t>country, align</w:t>
      </w:r>
      <w:r w:rsidR="39B72980" w:rsidRPr="00D543D4">
        <w:rPr>
          <w:rFonts w:ascii="Times New Roman" w:eastAsia="Times New Roman" w:hAnsi="Times New Roman" w:cs="Times New Roman"/>
          <w:color w:val="000000"/>
          <w:shd w:val="clear" w:color="auto" w:fill="FFFFFF"/>
        </w:rPr>
        <w:t xml:space="preserve">ed </w:t>
      </w:r>
      <w:r w:rsidR="00B406EA" w:rsidRPr="00D543D4">
        <w:rPr>
          <w:rFonts w:ascii="Times New Roman" w:eastAsia="Times New Roman" w:hAnsi="Times New Roman" w:cs="Times New Roman"/>
          <w:color w:val="000000"/>
          <w:shd w:val="clear" w:color="auto" w:fill="FFFFFF"/>
        </w:rPr>
        <w:t>with the</w:t>
      </w:r>
      <w:r w:rsidR="3283D775" w:rsidRPr="00D543D4">
        <w:rPr>
          <w:rFonts w:ascii="Times New Roman" w:eastAsia="Times New Roman" w:hAnsi="Times New Roman" w:cs="Times New Roman"/>
          <w:color w:val="000000"/>
          <w:shd w:val="clear" w:color="auto" w:fill="FFFFFF"/>
        </w:rPr>
        <w:t>ir</w:t>
      </w:r>
      <w:r w:rsidR="00B406EA" w:rsidRPr="00D543D4">
        <w:rPr>
          <w:rFonts w:ascii="Times New Roman" w:eastAsia="Times New Roman" w:hAnsi="Times New Roman" w:cs="Times New Roman"/>
          <w:color w:val="000000"/>
          <w:shd w:val="clear" w:color="auto" w:fill="FFFFFF"/>
        </w:rPr>
        <w:t xml:space="preserve"> international agenda</w:t>
      </w:r>
      <w:r w:rsidR="0CBD97AC" w:rsidRPr="00D543D4">
        <w:rPr>
          <w:rFonts w:ascii="Times New Roman" w:eastAsia="Times New Roman" w:hAnsi="Times New Roman" w:cs="Times New Roman"/>
          <w:color w:val="000000"/>
          <w:shd w:val="clear" w:color="auto" w:fill="FFFFFF"/>
        </w:rPr>
        <w:t xml:space="preserve"> or national priorities</w:t>
      </w:r>
      <w:r w:rsidR="00596D12" w:rsidRPr="00D543D4">
        <w:rPr>
          <w:rFonts w:ascii="Times New Roman" w:eastAsia="Times New Roman" w:hAnsi="Times New Roman" w:cs="Times New Roman"/>
          <w:color w:val="000000"/>
          <w:shd w:val="clear" w:color="auto" w:fill="FFFFFF"/>
        </w:rPr>
        <w:t xml:space="preserve">. </w:t>
      </w:r>
      <w:r w:rsidR="001507B3" w:rsidRPr="00D543D4">
        <w:rPr>
          <w:rFonts w:ascii="Times New Roman" w:eastAsia="Times New Roman" w:hAnsi="Times New Roman" w:cs="Times New Roman"/>
          <w:color w:val="000000"/>
          <w:shd w:val="clear" w:color="auto" w:fill="FFFFFF"/>
        </w:rPr>
        <w:t>On the contrary, a</w:t>
      </w:r>
      <w:r w:rsidR="6731E3AF" w:rsidRPr="00D543D4">
        <w:rPr>
          <w:rFonts w:ascii="Times New Roman" w:eastAsia="Times New Roman" w:hAnsi="Times New Roman" w:cs="Times New Roman"/>
          <w:color w:val="000000"/>
          <w:shd w:val="clear" w:color="auto" w:fill="FFFFFF"/>
        </w:rPr>
        <w:t xml:space="preserve">n </w:t>
      </w:r>
      <w:r w:rsidR="001507B3" w:rsidRPr="00D543D4">
        <w:rPr>
          <w:rFonts w:ascii="Times New Roman" w:eastAsia="Times New Roman" w:hAnsi="Times New Roman" w:cs="Times New Roman"/>
          <w:color w:val="000000"/>
          <w:shd w:val="clear" w:color="auto" w:fill="FFFFFF"/>
        </w:rPr>
        <w:t xml:space="preserve">investment </w:t>
      </w:r>
      <w:r w:rsidR="00554176" w:rsidRPr="00D543D4">
        <w:rPr>
          <w:rFonts w:ascii="Times New Roman" w:eastAsia="Times New Roman" w:hAnsi="Times New Roman" w:cs="Times New Roman"/>
          <w:color w:val="000000"/>
          <w:shd w:val="clear" w:color="auto" w:fill="FFFFFF"/>
        </w:rPr>
        <w:t>in</w:t>
      </w:r>
      <w:r w:rsidR="001507B3" w:rsidRPr="00D543D4">
        <w:rPr>
          <w:rFonts w:ascii="Times New Roman" w:eastAsia="Times New Roman" w:hAnsi="Times New Roman" w:cs="Times New Roman"/>
          <w:color w:val="000000"/>
          <w:shd w:val="clear" w:color="auto" w:fill="FFFFFF"/>
        </w:rPr>
        <w:t xml:space="preserve"> an organization’s general mandate t</w:t>
      </w:r>
      <w:r w:rsidR="203270AD" w:rsidRPr="00D543D4">
        <w:rPr>
          <w:rFonts w:ascii="Times New Roman" w:eastAsia="Times New Roman" w:hAnsi="Times New Roman" w:cs="Times New Roman"/>
          <w:color w:val="000000"/>
          <w:shd w:val="clear" w:color="auto" w:fill="FFFFFF"/>
        </w:rPr>
        <w:t>o</w:t>
      </w:r>
      <w:r w:rsidR="001507B3" w:rsidRPr="00D543D4">
        <w:rPr>
          <w:rFonts w:ascii="Times New Roman" w:eastAsia="Times New Roman" w:hAnsi="Times New Roman" w:cs="Times New Roman"/>
          <w:color w:val="000000"/>
          <w:shd w:val="clear" w:color="auto" w:fill="FFFFFF"/>
        </w:rPr>
        <w:t xml:space="preserve"> achiev</w:t>
      </w:r>
      <w:r w:rsidR="02E863DA" w:rsidRPr="00D543D4">
        <w:rPr>
          <w:rFonts w:ascii="Times New Roman" w:eastAsia="Times New Roman" w:hAnsi="Times New Roman" w:cs="Times New Roman"/>
          <w:color w:val="000000"/>
          <w:shd w:val="clear" w:color="auto" w:fill="FFFFFF"/>
        </w:rPr>
        <w:t>e</w:t>
      </w:r>
      <w:r w:rsidR="001507B3" w:rsidRPr="00D543D4">
        <w:rPr>
          <w:rFonts w:ascii="Times New Roman" w:eastAsia="Times New Roman" w:hAnsi="Times New Roman" w:cs="Times New Roman"/>
          <w:color w:val="000000"/>
          <w:shd w:val="clear" w:color="auto" w:fill="FFFFFF"/>
        </w:rPr>
        <w:t xml:space="preserve"> “longer-term, more systematic, complex and harder to measure results”, is much more difficult to convey to constituencies</w:t>
      </w:r>
      <w:r w:rsidR="00910F65" w:rsidRPr="00D543D4">
        <w:rPr>
          <w:rFonts w:ascii="Times New Roman" w:eastAsia="Times New Roman" w:hAnsi="Times New Roman" w:cs="Times New Roman"/>
          <w:color w:val="000000"/>
          <w:shd w:val="clear" w:color="auto" w:fill="FFFFFF"/>
        </w:rPr>
        <w:t>.</w:t>
      </w:r>
      <w:r w:rsidR="0039337C" w:rsidRPr="00D543D4">
        <w:rPr>
          <w:rStyle w:val="FootnoteReference"/>
          <w:rFonts w:ascii="Times New Roman" w:eastAsia="Times New Roman" w:hAnsi="Times New Roman" w:cs="Times New Roman"/>
          <w:color w:val="000000"/>
          <w:shd w:val="clear" w:color="auto" w:fill="FFFFFF"/>
        </w:rPr>
        <w:footnoteReference w:id="4"/>
      </w:r>
    </w:p>
    <w:p w14:paraId="4699831C" w14:textId="77777777" w:rsidR="00465F9A" w:rsidRPr="00D543D4" w:rsidRDefault="00465F9A" w:rsidP="001507B3">
      <w:pPr>
        <w:spacing w:after="0" w:line="240" w:lineRule="auto"/>
        <w:jc w:val="both"/>
        <w:textAlignment w:val="baseline"/>
        <w:rPr>
          <w:rFonts w:ascii="Times New Roman" w:eastAsia="Times New Roman" w:hAnsi="Times New Roman" w:cs="Times New Roman"/>
          <w:sz w:val="18"/>
          <w:szCs w:val="18"/>
        </w:rPr>
      </w:pPr>
    </w:p>
    <w:p w14:paraId="5EB44BDD" w14:textId="2E87A483" w:rsidR="001507B3" w:rsidRPr="00D543D4" w:rsidRDefault="00DB7D98" w:rsidP="001507B3">
      <w:pPr>
        <w:spacing w:after="0" w:line="240" w:lineRule="auto"/>
        <w:jc w:val="both"/>
        <w:textAlignment w:val="baseline"/>
        <w:rPr>
          <w:rFonts w:ascii="Times New Roman" w:eastAsia="Times New Roman" w:hAnsi="Times New Roman" w:cs="Times New Roman"/>
          <w:color w:val="000000"/>
        </w:rPr>
      </w:pPr>
      <w:r w:rsidRPr="00D543D4">
        <w:rPr>
          <w:rFonts w:ascii="Times New Roman" w:eastAsia="Times New Roman" w:hAnsi="Times New Roman" w:cs="Times New Roman"/>
          <w:color w:val="000000"/>
          <w:shd w:val="clear" w:color="auto" w:fill="FFFFFF"/>
        </w:rPr>
        <w:t xml:space="preserve">The political dynamics </w:t>
      </w:r>
      <w:r w:rsidR="2D6D1462" w:rsidRPr="00D543D4">
        <w:rPr>
          <w:rFonts w:ascii="Times New Roman" w:eastAsia="Times New Roman" w:hAnsi="Times New Roman" w:cs="Times New Roman"/>
          <w:color w:val="000000"/>
          <w:shd w:val="clear" w:color="auto" w:fill="FFFFFF"/>
        </w:rPr>
        <w:t xml:space="preserve">among </w:t>
      </w:r>
      <w:r w:rsidR="00B7446C" w:rsidRPr="00D543D4">
        <w:rPr>
          <w:rFonts w:ascii="Times New Roman" w:eastAsia="Times New Roman" w:hAnsi="Times New Roman" w:cs="Times New Roman"/>
          <w:color w:val="000000"/>
          <w:shd w:val="clear" w:color="auto" w:fill="FFFFFF"/>
        </w:rPr>
        <w:t xml:space="preserve">institutions that </w:t>
      </w:r>
      <w:r w:rsidR="004D5A9D" w:rsidRPr="00D543D4">
        <w:rPr>
          <w:rFonts w:ascii="Times New Roman" w:eastAsia="Times New Roman" w:hAnsi="Times New Roman" w:cs="Times New Roman"/>
          <w:color w:val="000000"/>
          <w:shd w:val="clear" w:color="auto" w:fill="FFFFFF"/>
        </w:rPr>
        <w:t>oversee</w:t>
      </w:r>
      <w:r w:rsidR="00C5085C" w:rsidRPr="00D543D4">
        <w:rPr>
          <w:rFonts w:ascii="Times New Roman" w:eastAsia="Times New Roman" w:hAnsi="Times New Roman" w:cs="Times New Roman"/>
          <w:color w:val="000000"/>
          <w:shd w:val="clear" w:color="auto" w:fill="FFFFFF"/>
        </w:rPr>
        <w:t xml:space="preserve"> </w:t>
      </w:r>
      <w:r w:rsidR="00B7446C" w:rsidRPr="00D543D4">
        <w:rPr>
          <w:rFonts w:ascii="Times New Roman" w:eastAsia="Times New Roman" w:hAnsi="Times New Roman" w:cs="Times New Roman"/>
          <w:color w:val="000000"/>
          <w:shd w:val="clear" w:color="auto" w:fill="FFFFFF"/>
        </w:rPr>
        <w:t xml:space="preserve">ODA </w:t>
      </w:r>
      <w:r w:rsidR="007F7734" w:rsidRPr="00D543D4">
        <w:rPr>
          <w:rFonts w:ascii="Times New Roman" w:eastAsia="Times New Roman" w:hAnsi="Times New Roman" w:cs="Times New Roman"/>
          <w:color w:val="000000"/>
          <w:shd w:val="clear" w:color="auto" w:fill="FFFFFF"/>
        </w:rPr>
        <w:t xml:space="preserve">also </w:t>
      </w:r>
      <w:r w:rsidR="62CFA172" w:rsidRPr="00D543D4">
        <w:rPr>
          <w:rFonts w:ascii="Times New Roman" w:eastAsia="Times New Roman" w:hAnsi="Times New Roman" w:cs="Times New Roman"/>
          <w:color w:val="000000"/>
          <w:shd w:val="clear" w:color="auto" w:fill="FFFFFF"/>
        </w:rPr>
        <w:t xml:space="preserve">affect how core funding is allocated. </w:t>
      </w:r>
      <w:r w:rsidR="001507B3" w:rsidRPr="00D543D4">
        <w:rPr>
          <w:rFonts w:ascii="Times New Roman" w:eastAsia="Times New Roman" w:hAnsi="Times New Roman" w:cs="Times New Roman"/>
          <w:color w:val="000000"/>
          <w:shd w:val="clear" w:color="auto" w:fill="FFFFFF"/>
        </w:rPr>
        <w:t>Whil</w:t>
      </w:r>
      <w:r w:rsidR="784C050F" w:rsidRPr="00D543D4">
        <w:rPr>
          <w:rFonts w:ascii="Times New Roman" w:eastAsia="Times New Roman" w:hAnsi="Times New Roman" w:cs="Times New Roman"/>
          <w:color w:val="000000"/>
          <w:shd w:val="clear" w:color="auto" w:fill="FFFFFF"/>
        </w:rPr>
        <w:t>e</w:t>
      </w:r>
      <w:r w:rsidR="001507B3" w:rsidRPr="00D543D4">
        <w:rPr>
          <w:rFonts w:ascii="Times New Roman" w:eastAsia="Times New Roman" w:hAnsi="Times New Roman" w:cs="Times New Roman"/>
          <w:color w:val="000000"/>
          <w:shd w:val="clear" w:color="auto" w:fill="FFFFFF"/>
        </w:rPr>
        <w:t xml:space="preserve"> </w:t>
      </w:r>
      <w:r w:rsidR="770B20E8" w:rsidRPr="00D543D4">
        <w:rPr>
          <w:rFonts w:ascii="Times New Roman" w:eastAsia="Times New Roman" w:hAnsi="Times New Roman" w:cs="Times New Roman"/>
          <w:color w:val="000000"/>
          <w:shd w:val="clear" w:color="auto" w:fill="FFFFFF"/>
        </w:rPr>
        <w:t xml:space="preserve">several </w:t>
      </w:r>
      <w:r w:rsidR="4BAD4B9B" w:rsidRPr="00D543D4">
        <w:rPr>
          <w:rFonts w:ascii="Times New Roman" w:eastAsia="Times New Roman" w:hAnsi="Times New Roman" w:cs="Times New Roman"/>
          <w:color w:val="000000"/>
          <w:shd w:val="clear" w:color="auto" w:fill="FFFFFF"/>
        </w:rPr>
        <w:t xml:space="preserve">line </w:t>
      </w:r>
      <w:r w:rsidR="001507B3" w:rsidRPr="00D543D4">
        <w:rPr>
          <w:rFonts w:ascii="Times New Roman" w:eastAsia="Times New Roman" w:hAnsi="Times New Roman" w:cs="Times New Roman"/>
          <w:color w:val="000000"/>
          <w:shd w:val="clear" w:color="auto" w:fill="FFFFFF"/>
        </w:rPr>
        <w:t xml:space="preserve">ministries </w:t>
      </w:r>
      <w:r w:rsidR="00F42132" w:rsidRPr="00D543D4">
        <w:rPr>
          <w:rFonts w:ascii="Times New Roman" w:eastAsia="Times New Roman" w:hAnsi="Times New Roman" w:cs="Times New Roman"/>
          <w:color w:val="000000"/>
          <w:shd w:val="clear" w:color="auto" w:fill="FFFFFF"/>
        </w:rPr>
        <w:t xml:space="preserve">are responsible for disbursing ODA, often UN agencies receive core resources from </w:t>
      </w:r>
      <w:r w:rsidR="004F3069" w:rsidRPr="00D543D4">
        <w:rPr>
          <w:rFonts w:ascii="Times New Roman" w:eastAsia="Times New Roman" w:hAnsi="Times New Roman" w:cs="Times New Roman"/>
          <w:color w:val="000000"/>
          <w:shd w:val="clear" w:color="auto" w:fill="FFFFFF"/>
        </w:rPr>
        <w:t xml:space="preserve">a single </w:t>
      </w:r>
      <w:r w:rsidR="00F42132" w:rsidRPr="00D543D4">
        <w:rPr>
          <w:rFonts w:ascii="Times New Roman" w:eastAsia="Times New Roman" w:hAnsi="Times New Roman" w:cs="Times New Roman"/>
          <w:color w:val="000000"/>
          <w:shd w:val="clear" w:color="auto" w:fill="FFFFFF"/>
        </w:rPr>
        <w:t>ministry (most often the Ministry of Foreign Affairs), while</w:t>
      </w:r>
      <w:r w:rsidR="001507B3" w:rsidRPr="00D543D4">
        <w:rPr>
          <w:rFonts w:ascii="Times New Roman" w:eastAsia="Times New Roman" w:hAnsi="Times New Roman" w:cs="Times New Roman"/>
          <w:color w:val="000000"/>
          <w:shd w:val="clear" w:color="auto" w:fill="FFFFFF"/>
        </w:rPr>
        <w:t xml:space="preserve"> others provide earmarked funding. In addition, it has been found that “the recent phenomenon of amalgamation of previously independent national development agencies into line Ministries has also contributed to the shift toward more earmarked funding”</w:t>
      </w:r>
      <w:r w:rsidR="00AA42AA" w:rsidRPr="00D543D4">
        <w:rPr>
          <w:rStyle w:val="FootnoteReference"/>
          <w:rFonts w:ascii="Times New Roman" w:eastAsia="Times New Roman" w:hAnsi="Times New Roman" w:cs="Times New Roman"/>
          <w:color w:val="000000"/>
          <w:shd w:val="clear" w:color="auto" w:fill="FFFFFF"/>
        </w:rPr>
        <w:footnoteReference w:id="5"/>
      </w:r>
      <w:r w:rsidR="001507B3" w:rsidRPr="00D543D4">
        <w:rPr>
          <w:rFonts w:ascii="Times New Roman" w:eastAsia="Times New Roman" w:hAnsi="Times New Roman" w:cs="Times New Roman"/>
          <w:color w:val="000000"/>
          <w:shd w:val="clear" w:color="auto" w:fill="FFFFFF"/>
        </w:rPr>
        <w:t>. OECD</w:t>
      </w:r>
      <w:r w:rsidR="00AA42AA" w:rsidRPr="00D543D4">
        <w:rPr>
          <w:rFonts w:ascii="Times New Roman" w:eastAsia="Times New Roman" w:hAnsi="Times New Roman" w:cs="Times New Roman"/>
          <w:color w:val="000000"/>
          <w:shd w:val="clear" w:color="auto" w:fill="FFFFFF"/>
        </w:rPr>
        <w:t xml:space="preserve"> </w:t>
      </w:r>
      <w:r w:rsidR="001507B3" w:rsidRPr="00D543D4">
        <w:rPr>
          <w:rFonts w:ascii="Times New Roman" w:eastAsia="Times New Roman" w:hAnsi="Times New Roman" w:cs="Times New Roman"/>
          <w:color w:val="000000"/>
          <w:shd w:val="clear" w:color="auto" w:fill="FFFFFF"/>
        </w:rPr>
        <w:t xml:space="preserve">recommends that line ministries, other than those directly responsible </w:t>
      </w:r>
      <w:r w:rsidR="001507B3" w:rsidRPr="00D543D4">
        <w:rPr>
          <w:rFonts w:ascii="Times New Roman" w:eastAsia="Times New Roman" w:hAnsi="Times New Roman" w:cs="Times New Roman"/>
          <w:color w:val="000000"/>
          <w:shd w:val="clear" w:color="auto" w:fill="FFFFFF"/>
        </w:rPr>
        <w:lastRenderedPageBreak/>
        <w:t>for development</w:t>
      </w:r>
      <w:r w:rsidR="4B557D02" w:rsidRPr="00D543D4">
        <w:rPr>
          <w:rFonts w:ascii="Times New Roman" w:eastAsia="Times New Roman" w:hAnsi="Times New Roman" w:cs="Times New Roman"/>
          <w:color w:val="000000"/>
          <w:shd w:val="clear" w:color="auto" w:fill="FFFFFF"/>
        </w:rPr>
        <w:t xml:space="preserve"> funding</w:t>
      </w:r>
      <w:r w:rsidR="001507B3" w:rsidRPr="00D543D4">
        <w:rPr>
          <w:rFonts w:ascii="Times New Roman" w:eastAsia="Times New Roman" w:hAnsi="Times New Roman" w:cs="Times New Roman"/>
          <w:color w:val="000000"/>
          <w:shd w:val="clear" w:color="auto" w:fill="FFFFFF"/>
        </w:rPr>
        <w:t xml:space="preserve">, </w:t>
      </w:r>
      <w:r w:rsidR="004624A7">
        <w:rPr>
          <w:rFonts w:ascii="Times New Roman" w:eastAsia="Times New Roman" w:hAnsi="Times New Roman" w:cs="Times New Roman"/>
          <w:color w:val="000000"/>
          <w:shd w:val="clear" w:color="auto" w:fill="FFFFFF"/>
        </w:rPr>
        <w:t xml:space="preserve">further </w:t>
      </w:r>
      <w:r w:rsidR="00B46EAA" w:rsidRPr="00D543D4">
        <w:rPr>
          <w:rFonts w:ascii="Times New Roman" w:eastAsia="Times New Roman" w:hAnsi="Times New Roman" w:cs="Times New Roman"/>
          <w:color w:val="000000"/>
          <w:shd w:val="clear" w:color="auto" w:fill="FFFFFF"/>
        </w:rPr>
        <w:t>understand</w:t>
      </w:r>
      <w:r w:rsidR="001507B3" w:rsidRPr="00D543D4">
        <w:rPr>
          <w:rFonts w:ascii="Times New Roman" w:eastAsia="Times New Roman" w:hAnsi="Times New Roman" w:cs="Times New Roman"/>
          <w:color w:val="000000"/>
          <w:shd w:val="clear" w:color="auto" w:fill="FFFFFF"/>
        </w:rPr>
        <w:t xml:space="preserve"> their responsibility </w:t>
      </w:r>
      <w:r w:rsidR="00971764">
        <w:rPr>
          <w:rFonts w:ascii="Times New Roman" w:eastAsia="Times New Roman" w:hAnsi="Times New Roman" w:cs="Times New Roman"/>
          <w:color w:val="000000"/>
          <w:shd w:val="clear" w:color="auto" w:fill="FFFFFF"/>
        </w:rPr>
        <w:t>vis-a-vis</w:t>
      </w:r>
      <w:r w:rsidR="001507B3" w:rsidRPr="00D543D4">
        <w:rPr>
          <w:rFonts w:ascii="Times New Roman" w:eastAsia="Times New Roman" w:hAnsi="Times New Roman" w:cs="Times New Roman"/>
          <w:color w:val="000000"/>
          <w:shd w:val="clear" w:color="auto" w:fill="FFFFFF"/>
        </w:rPr>
        <w:t xml:space="preserve"> global sustainable development and the importance of core funding.</w:t>
      </w:r>
      <w:r w:rsidR="00AA42AA" w:rsidRPr="00D543D4">
        <w:rPr>
          <w:rStyle w:val="FootnoteReference"/>
          <w:rFonts w:ascii="Times New Roman" w:eastAsia="Times New Roman" w:hAnsi="Times New Roman" w:cs="Times New Roman"/>
          <w:color w:val="000000"/>
          <w:shd w:val="clear" w:color="auto" w:fill="FFFFFF"/>
        </w:rPr>
        <w:t xml:space="preserve"> </w:t>
      </w:r>
      <w:r w:rsidR="00AA42AA" w:rsidRPr="00D543D4">
        <w:rPr>
          <w:rStyle w:val="FootnoteReference"/>
          <w:rFonts w:ascii="Times New Roman" w:eastAsia="Times New Roman" w:hAnsi="Times New Roman" w:cs="Times New Roman"/>
          <w:color w:val="000000"/>
          <w:shd w:val="clear" w:color="auto" w:fill="FFFFFF"/>
        </w:rPr>
        <w:footnoteReference w:id="6"/>
      </w:r>
      <w:r w:rsidR="001507B3" w:rsidRPr="00D543D4">
        <w:rPr>
          <w:rFonts w:ascii="Times New Roman" w:eastAsia="Times New Roman" w:hAnsi="Times New Roman" w:cs="Times New Roman"/>
          <w:color w:val="000000"/>
          <w:shd w:val="clear" w:color="auto" w:fill="FFFFFF"/>
        </w:rPr>
        <w:t> </w:t>
      </w:r>
      <w:r w:rsidR="001507B3" w:rsidRPr="00D543D4">
        <w:rPr>
          <w:rFonts w:ascii="Times New Roman" w:eastAsia="Times New Roman" w:hAnsi="Times New Roman" w:cs="Times New Roman"/>
          <w:color w:val="000000"/>
        </w:rPr>
        <w:t> </w:t>
      </w:r>
    </w:p>
    <w:p w14:paraId="5D379F94" w14:textId="77777777" w:rsidR="001438F0" w:rsidRPr="00D543D4" w:rsidRDefault="001438F0" w:rsidP="001507B3">
      <w:pPr>
        <w:spacing w:after="0" w:line="240" w:lineRule="auto"/>
        <w:jc w:val="both"/>
        <w:textAlignment w:val="baseline"/>
        <w:rPr>
          <w:rFonts w:ascii="Times New Roman" w:eastAsia="Times New Roman" w:hAnsi="Times New Roman" w:cs="Times New Roman"/>
          <w:color w:val="000000"/>
        </w:rPr>
      </w:pPr>
    </w:p>
    <w:p w14:paraId="01DB256E" w14:textId="4288F336" w:rsidR="006F20EB" w:rsidRPr="00D543D4" w:rsidRDefault="524D3398" w:rsidP="265576A8">
      <w:pPr>
        <w:spacing w:after="0" w:line="240" w:lineRule="auto"/>
        <w:jc w:val="both"/>
        <w:textAlignment w:val="baseline"/>
        <w:rPr>
          <w:rFonts w:ascii="Times New Roman" w:eastAsia="Times New Roman" w:hAnsi="Times New Roman" w:cs="Times New Roman"/>
          <w:color w:val="000000"/>
        </w:rPr>
      </w:pPr>
      <w:r w:rsidRPr="00D543D4">
        <w:rPr>
          <w:rFonts w:ascii="Times New Roman" w:eastAsia="Times New Roman" w:hAnsi="Times New Roman" w:cs="Times New Roman"/>
          <w:color w:val="000000" w:themeColor="text1"/>
        </w:rPr>
        <w:t xml:space="preserve">While </w:t>
      </w:r>
      <w:r w:rsidR="001438F0" w:rsidRPr="00D543D4">
        <w:rPr>
          <w:rFonts w:ascii="Times New Roman" w:eastAsia="Times New Roman" w:hAnsi="Times New Roman" w:cs="Times New Roman"/>
          <w:color w:val="000000" w:themeColor="text1"/>
        </w:rPr>
        <w:t xml:space="preserve">the UNDS remains the largest channel for multilateral </w:t>
      </w:r>
      <w:r w:rsidR="00620E3D" w:rsidRPr="00D543D4">
        <w:rPr>
          <w:rFonts w:ascii="Times New Roman" w:eastAsia="Times New Roman" w:hAnsi="Times New Roman" w:cs="Times New Roman"/>
          <w:color w:val="000000" w:themeColor="text1"/>
        </w:rPr>
        <w:t>aid</w:t>
      </w:r>
      <w:r w:rsidR="00F77760" w:rsidRPr="00D543D4">
        <w:rPr>
          <w:rFonts w:ascii="Times New Roman" w:eastAsia="Times New Roman" w:hAnsi="Times New Roman" w:cs="Times New Roman"/>
          <w:color w:val="000000" w:themeColor="text1"/>
        </w:rPr>
        <w:t xml:space="preserve">, </w:t>
      </w:r>
      <w:r w:rsidR="5D4D509C" w:rsidRPr="00D543D4">
        <w:rPr>
          <w:rFonts w:ascii="Times New Roman" w:eastAsia="Times New Roman" w:hAnsi="Times New Roman" w:cs="Times New Roman"/>
          <w:color w:val="000000" w:themeColor="text1"/>
        </w:rPr>
        <w:t xml:space="preserve">compared to other multilateral institutions such as banks and vertical funds, </w:t>
      </w:r>
      <w:r w:rsidR="0043195C">
        <w:rPr>
          <w:rFonts w:ascii="Times New Roman" w:eastAsia="Times New Roman" w:hAnsi="Times New Roman" w:cs="Times New Roman"/>
          <w:color w:val="000000" w:themeColor="text1"/>
        </w:rPr>
        <w:t>it</w:t>
      </w:r>
      <w:r w:rsidR="5D4D509C" w:rsidRPr="00D543D4">
        <w:rPr>
          <w:rFonts w:ascii="Times New Roman" w:eastAsia="Times New Roman" w:hAnsi="Times New Roman" w:cs="Times New Roman"/>
          <w:color w:val="000000" w:themeColor="text1"/>
        </w:rPr>
        <w:t xml:space="preserve"> is the only channel that receives </w:t>
      </w:r>
      <w:r w:rsidR="16EEF808" w:rsidRPr="00D543D4">
        <w:rPr>
          <w:rFonts w:ascii="Times New Roman" w:eastAsia="Times New Roman" w:hAnsi="Times New Roman" w:cs="Times New Roman"/>
          <w:color w:val="000000" w:themeColor="text1"/>
        </w:rPr>
        <w:t xml:space="preserve">less </w:t>
      </w:r>
      <w:r w:rsidR="5D4D509C" w:rsidRPr="00D543D4">
        <w:rPr>
          <w:rFonts w:ascii="Times New Roman" w:eastAsia="Times New Roman" w:hAnsi="Times New Roman" w:cs="Times New Roman"/>
          <w:color w:val="000000" w:themeColor="text1"/>
        </w:rPr>
        <w:t xml:space="preserve">core resources with </w:t>
      </w:r>
      <w:r w:rsidR="5F1A6060" w:rsidRPr="00D543D4">
        <w:rPr>
          <w:rFonts w:ascii="Times New Roman" w:eastAsia="Times New Roman" w:hAnsi="Times New Roman" w:cs="Times New Roman"/>
          <w:color w:val="000000" w:themeColor="text1"/>
        </w:rPr>
        <w:t xml:space="preserve">majority of the </w:t>
      </w:r>
      <w:r w:rsidR="00F77760" w:rsidRPr="00D543D4">
        <w:rPr>
          <w:rFonts w:ascii="Times New Roman" w:eastAsia="Times New Roman" w:hAnsi="Times New Roman" w:cs="Times New Roman"/>
          <w:color w:val="000000" w:themeColor="text1"/>
        </w:rPr>
        <w:t>funding earm</w:t>
      </w:r>
      <w:r w:rsidR="00B2795E" w:rsidRPr="00D543D4">
        <w:rPr>
          <w:rFonts w:ascii="Times New Roman" w:eastAsia="Times New Roman" w:hAnsi="Times New Roman" w:cs="Times New Roman"/>
          <w:color w:val="000000" w:themeColor="text1"/>
        </w:rPr>
        <w:t xml:space="preserve">arked for specific projects. </w:t>
      </w:r>
      <w:r w:rsidR="7CA80104" w:rsidRPr="00D543D4">
        <w:rPr>
          <w:rFonts w:ascii="Times New Roman" w:eastAsia="Times New Roman" w:hAnsi="Times New Roman" w:cs="Times New Roman"/>
          <w:color w:val="000000" w:themeColor="text1"/>
        </w:rPr>
        <w:t>C</w:t>
      </w:r>
      <w:r w:rsidR="001B08D2" w:rsidRPr="00D543D4">
        <w:rPr>
          <w:rFonts w:ascii="Times New Roman" w:eastAsia="Times New Roman" w:hAnsi="Times New Roman" w:cs="Times New Roman"/>
          <w:color w:val="000000" w:themeColor="text1"/>
        </w:rPr>
        <w:t>hannel</w:t>
      </w:r>
      <w:r w:rsidR="51C80174" w:rsidRPr="00D543D4">
        <w:rPr>
          <w:rFonts w:ascii="Times New Roman" w:eastAsia="Times New Roman" w:hAnsi="Times New Roman" w:cs="Times New Roman"/>
          <w:color w:val="000000" w:themeColor="text1"/>
        </w:rPr>
        <w:t>ing</w:t>
      </w:r>
      <w:r w:rsidR="003B6A5A" w:rsidRPr="00D543D4">
        <w:rPr>
          <w:rFonts w:ascii="Times New Roman" w:eastAsia="Times New Roman" w:hAnsi="Times New Roman" w:cs="Times New Roman"/>
          <w:color w:val="000000" w:themeColor="text1"/>
        </w:rPr>
        <w:t xml:space="preserve"> less core </w:t>
      </w:r>
      <w:r w:rsidR="0D4EEF88" w:rsidRPr="00D543D4">
        <w:rPr>
          <w:rFonts w:ascii="Times New Roman" w:eastAsia="Times New Roman" w:hAnsi="Times New Roman" w:cs="Times New Roman"/>
          <w:color w:val="000000" w:themeColor="text1"/>
        </w:rPr>
        <w:t xml:space="preserve">with </w:t>
      </w:r>
      <w:r w:rsidR="003B6A5A" w:rsidRPr="00D543D4">
        <w:rPr>
          <w:rFonts w:ascii="Times New Roman" w:eastAsia="Times New Roman" w:hAnsi="Times New Roman" w:cs="Times New Roman"/>
          <w:color w:val="000000" w:themeColor="text1"/>
        </w:rPr>
        <w:t>short-term commitment</w:t>
      </w:r>
      <w:r w:rsidR="00B85EF5" w:rsidRPr="00D543D4">
        <w:rPr>
          <w:rFonts w:ascii="Times New Roman" w:eastAsia="Times New Roman" w:hAnsi="Times New Roman" w:cs="Times New Roman"/>
          <w:color w:val="000000" w:themeColor="text1"/>
        </w:rPr>
        <w:t>s</w:t>
      </w:r>
      <w:r w:rsidR="003B6A5A" w:rsidRPr="00D543D4">
        <w:rPr>
          <w:rFonts w:ascii="Times New Roman" w:eastAsia="Times New Roman" w:hAnsi="Times New Roman" w:cs="Times New Roman"/>
          <w:color w:val="000000" w:themeColor="text1"/>
        </w:rPr>
        <w:t xml:space="preserve"> </w:t>
      </w:r>
      <w:r w:rsidR="00EA3793" w:rsidRPr="00D543D4">
        <w:rPr>
          <w:rFonts w:ascii="Times New Roman" w:eastAsia="Times New Roman" w:hAnsi="Times New Roman" w:cs="Times New Roman"/>
          <w:color w:val="000000" w:themeColor="text1"/>
        </w:rPr>
        <w:t xml:space="preserve">to the UNDS while </w:t>
      </w:r>
      <w:r w:rsidR="09ADE9DB" w:rsidRPr="00D543D4">
        <w:rPr>
          <w:rFonts w:ascii="Times New Roman" w:eastAsia="Times New Roman" w:hAnsi="Times New Roman" w:cs="Times New Roman"/>
          <w:color w:val="000000" w:themeColor="text1"/>
        </w:rPr>
        <w:t xml:space="preserve">maintaining </w:t>
      </w:r>
      <w:r w:rsidR="5BFA739D" w:rsidRPr="00D543D4">
        <w:rPr>
          <w:rFonts w:ascii="Times New Roman" w:eastAsia="Times New Roman" w:hAnsi="Times New Roman" w:cs="Times New Roman"/>
          <w:color w:val="000000" w:themeColor="text1"/>
        </w:rPr>
        <w:t xml:space="preserve">their </w:t>
      </w:r>
      <w:r w:rsidR="09ADE9DB" w:rsidRPr="00D543D4">
        <w:rPr>
          <w:rFonts w:ascii="Times New Roman" w:eastAsia="Times New Roman" w:hAnsi="Times New Roman" w:cs="Times New Roman"/>
          <w:color w:val="000000" w:themeColor="text1"/>
        </w:rPr>
        <w:t xml:space="preserve">core contribution levels to </w:t>
      </w:r>
      <w:r w:rsidR="00EA3793" w:rsidRPr="00D543D4">
        <w:rPr>
          <w:rFonts w:ascii="Times New Roman" w:eastAsia="Times New Roman" w:hAnsi="Times New Roman" w:cs="Times New Roman"/>
          <w:color w:val="000000" w:themeColor="text1"/>
        </w:rPr>
        <w:t>other institutions</w:t>
      </w:r>
      <w:r w:rsidR="00B85EF5" w:rsidRPr="00D543D4">
        <w:rPr>
          <w:rFonts w:ascii="Times New Roman" w:eastAsia="Times New Roman" w:hAnsi="Times New Roman" w:cs="Times New Roman"/>
          <w:color w:val="000000" w:themeColor="text1"/>
        </w:rPr>
        <w:t xml:space="preserve"> is </w:t>
      </w:r>
      <w:r w:rsidR="0307670B" w:rsidRPr="00D543D4">
        <w:rPr>
          <w:rFonts w:ascii="Times New Roman" w:eastAsia="Times New Roman" w:hAnsi="Times New Roman" w:cs="Times New Roman"/>
          <w:color w:val="000000" w:themeColor="text1"/>
        </w:rPr>
        <w:t>a</w:t>
      </w:r>
      <w:r w:rsidR="144AE26C" w:rsidRPr="00D543D4">
        <w:rPr>
          <w:rFonts w:ascii="Times New Roman" w:eastAsia="Times New Roman" w:hAnsi="Times New Roman" w:cs="Times New Roman"/>
          <w:color w:val="000000" w:themeColor="text1"/>
        </w:rPr>
        <w:t>nother</w:t>
      </w:r>
      <w:r w:rsidR="0307670B" w:rsidRPr="00D543D4">
        <w:rPr>
          <w:rFonts w:ascii="Times New Roman" w:eastAsia="Times New Roman" w:hAnsi="Times New Roman" w:cs="Times New Roman"/>
          <w:color w:val="000000" w:themeColor="text1"/>
        </w:rPr>
        <w:t xml:space="preserve"> </w:t>
      </w:r>
      <w:r w:rsidR="00B85EF5" w:rsidRPr="00D543D4">
        <w:rPr>
          <w:rFonts w:ascii="Times New Roman" w:eastAsia="Times New Roman" w:hAnsi="Times New Roman" w:cs="Times New Roman"/>
          <w:color w:val="000000" w:themeColor="text1"/>
        </w:rPr>
        <w:t>political decision</w:t>
      </w:r>
      <w:r w:rsidR="0A9E0370" w:rsidRPr="00D543D4">
        <w:rPr>
          <w:rFonts w:ascii="Times New Roman" w:eastAsia="Times New Roman" w:hAnsi="Times New Roman" w:cs="Times New Roman"/>
          <w:color w:val="000000" w:themeColor="text1"/>
        </w:rPr>
        <w:t xml:space="preserve"> taken by </w:t>
      </w:r>
      <w:r w:rsidR="004624A7">
        <w:rPr>
          <w:rFonts w:ascii="Times New Roman" w:eastAsia="Times New Roman" w:hAnsi="Times New Roman" w:cs="Times New Roman"/>
          <w:color w:val="000000" w:themeColor="text1"/>
        </w:rPr>
        <w:t xml:space="preserve">many </w:t>
      </w:r>
      <w:r w:rsidR="0A9E0370" w:rsidRPr="00D543D4">
        <w:rPr>
          <w:rFonts w:ascii="Times New Roman" w:eastAsia="Times New Roman" w:hAnsi="Times New Roman" w:cs="Times New Roman"/>
          <w:color w:val="000000" w:themeColor="text1"/>
        </w:rPr>
        <w:t>donors</w:t>
      </w:r>
      <w:r w:rsidR="00B85EF5" w:rsidRPr="00D543D4">
        <w:rPr>
          <w:rFonts w:ascii="Times New Roman" w:eastAsia="Times New Roman" w:hAnsi="Times New Roman" w:cs="Times New Roman"/>
          <w:color w:val="000000" w:themeColor="text1"/>
        </w:rPr>
        <w:t xml:space="preserve">. </w:t>
      </w:r>
    </w:p>
    <w:p w14:paraId="2E538AB6" w14:textId="77777777" w:rsidR="00411B7F" w:rsidRPr="00D543D4" w:rsidRDefault="00411B7F" w:rsidP="001507B3">
      <w:pPr>
        <w:spacing w:after="0" w:line="240" w:lineRule="auto"/>
        <w:jc w:val="both"/>
        <w:textAlignment w:val="baseline"/>
        <w:rPr>
          <w:rFonts w:ascii="Times New Roman" w:eastAsia="Times New Roman" w:hAnsi="Times New Roman" w:cs="Times New Roman"/>
          <w:color w:val="000000"/>
        </w:rPr>
      </w:pPr>
    </w:p>
    <w:p w14:paraId="5626E801" w14:textId="77777777" w:rsidR="00465F9A" w:rsidRPr="00D543D4" w:rsidRDefault="00465F9A" w:rsidP="001507B3">
      <w:pPr>
        <w:spacing w:after="0" w:line="240" w:lineRule="auto"/>
        <w:jc w:val="both"/>
        <w:textAlignment w:val="baseline"/>
        <w:rPr>
          <w:rFonts w:ascii="Times New Roman" w:eastAsia="Times New Roman" w:hAnsi="Times New Roman" w:cs="Times New Roman"/>
          <w:sz w:val="18"/>
          <w:szCs w:val="18"/>
        </w:rPr>
      </w:pPr>
    </w:p>
    <w:p w14:paraId="45CF5625" w14:textId="4ACC723B" w:rsidR="001507B3" w:rsidRPr="00D543D4" w:rsidRDefault="001507B3" w:rsidP="001507B3">
      <w:pPr>
        <w:spacing w:after="0" w:line="240" w:lineRule="auto"/>
        <w:jc w:val="both"/>
        <w:textAlignment w:val="baseline"/>
        <w:rPr>
          <w:rFonts w:ascii="Times New Roman" w:eastAsia="Times New Roman" w:hAnsi="Times New Roman" w:cs="Times New Roman"/>
          <w:sz w:val="18"/>
          <w:szCs w:val="18"/>
        </w:rPr>
      </w:pPr>
      <w:r w:rsidRPr="00D543D4">
        <w:rPr>
          <w:rFonts w:ascii="Times New Roman" w:eastAsia="Times New Roman" w:hAnsi="Times New Roman" w:cs="Times New Roman"/>
          <w:color w:val="1F3763"/>
          <w:sz w:val="24"/>
          <w:szCs w:val="24"/>
        </w:rPr>
        <w:t xml:space="preserve">2) Economic </w:t>
      </w:r>
      <w:r w:rsidR="00B63503" w:rsidRPr="00D543D4">
        <w:rPr>
          <w:rFonts w:ascii="Times New Roman" w:eastAsia="Times New Roman" w:hAnsi="Times New Roman" w:cs="Times New Roman"/>
          <w:color w:val="1F3763"/>
          <w:sz w:val="24"/>
          <w:szCs w:val="24"/>
        </w:rPr>
        <w:t>Factors</w:t>
      </w:r>
      <w:r w:rsidRPr="00D543D4">
        <w:rPr>
          <w:rFonts w:ascii="Times New Roman" w:eastAsia="Times New Roman" w:hAnsi="Times New Roman" w:cs="Times New Roman"/>
          <w:color w:val="1F3763"/>
          <w:sz w:val="24"/>
          <w:szCs w:val="24"/>
        </w:rPr>
        <w:t>:  </w:t>
      </w:r>
    </w:p>
    <w:p w14:paraId="27F4EA18" w14:textId="193D014D" w:rsidR="00E03302" w:rsidRPr="00D543D4" w:rsidRDefault="7B5E99B0" w:rsidP="265576A8">
      <w:pPr>
        <w:spacing w:after="0" w:line="240" w:lineRule="auto"/>
        <w:jc w:val="both"/>
        <w:rPr>
          <w:rFonts w:ascii="Times New Roman" w:eastAsia="Times New Roman" w:hAnsi="Times New Roman" w:cs="Times New Roman"/>
          <w:color w:val="000000" w:themeColor="text1"/>
        </w:rPr>
      </w:pPr>
      <w:r w:rsidRPr="00D543D4">
        <w:rPr>
          <w:rFonts w:ascii="Times New Roman" w:eastAsia="Times New Roman" w:hAnsi="Times New Roman" w:cs="Times New Roman"/>
          <w:color w:val="000000"/>
          <w:shd w:val="clear" w:color="auto" w:fill="FFFFFF"/>
        </w:rPr>
        <w:t>E</w:t>
      </w:r>
      <w:r w:rsidR="00C32B07" w:rsidRPr="00D543D4">
        <w:rPr>
          <w:rFonts w:ascii="Times New Roman" w:eastAsia="Times New Roman" w:hAnsi="Times New Roman" w:cs="Times New Roman"/>
          <w:color w:val="000000"/>
          <w:shd w:val="clear" w:color="auto" w:fill="FFFFFF"/>
        </w:rPr>
        <w:t xml:space="preserve">conomic </w:t>
      </w:r>
      <w:r w:rsidR="410BE6EF" w:rsidRPr="00D543D4">
        <w:rPr>
          <w:rFonts w:ascii="Times New Roman" w:eastAsia="Times New Roman" w:hAnsi="Times New Roman" w:cs="Times New Roman"/>
          <w:color w:val="000000"/>
          <w:shd w:val="clear" w:color="auto" w:fill="FFFFFF"/>
        </w:rPr>
        <w:t xml:space="preserve">conditions </w:t>
      </w:r>
      <w:r w:rsidR="0084539E">
        <w:rPr>
          <w:rFonts w:ascii="Times New Roman" w:eastAsia="Times New Roman" w:hAnsi="Times New Roman" w:cs="Times New Roman"/>
          <w:color w:val="000000"/>
          <w:shd w:val="clear" w:color="auto" w:fill="FFFFFF"/>
        </w:rPr>
        <w:t xml:space="preserve">in general </w:t>
      </w:r>
      <w:r w:rsidR="00C32B07" w:rsidRPr="00D543D4">
        <w:rPr>
          <w:rFonts w:ascii="Times New Roman" w:eastAsia="Times New Roman" w:hAnsi="Times New Roman" w:cs="Times New Roman"/>
          <w:color w:val="000000"/>
          <w:shd w:val="clear" w:color="auto" w:fill="FFFFFF"/>
        </w:rPr>
        <w:t>ha</w:t>
      </w:r>
      <w:r w:rsidR="0CA8B5F1" w:rsidRPr="00D543D4">
        <w:rPr>
          <w:rFonts w:ascii="Times New Roman" w:eastAsia="Times New Roman" w:hAnsi="Times New Roman" w:cs="Times New Roman"/>
          <w:color w:val="000000"/>
          <w:shd w:val="clear" w:color="auto" w:fill="FFFFFF"/>
        </w:rPr>
        <w:t>ve</w:t>
      </w:r>
      <w:r w:rsidR="00C32B07" w:rsidRPr="00D543D4">
        <w:rPr>
          <w:rFonts w:ascii="Times New Roman" w:eastAsia="Times New Roman" w:hAnsi="Times New Roman" w:cs="Times New Roman"/>
          <w:color w:val="000000"/>
          <w:shd w:val="clear" w:color="auto" w:fill="FFFFFF"/>
        </w:rPr>
        <w:t xml:space="preserve"> a bearing on the volume of aid</w:t>
      </w:r>
      <w:r w:rsidR="1EB600A9" w:rsidRPr="00D543D4">
        <w:rPr>
          <w:rFonts w:ascii="Times New Roman" w:eastAsia="Times New Roman" w:hAnsi="Times New Roman" w:cs="Times New Roman"/>
          <w:color w:val="000000"/>
          <w:shd w:val="clear" w:color="auto" w:fill="FFFFFF"/>
        </w:rPr>
        <w:t xml:space="preserve">. </w:t>
      </w:r>
      <w:r w:rsidR="00542428">
        <w:rPr>
          <w:rFonts w:ascii="Times New Roman" w:eastAsia="Times New Roman" w:hAnsi="Times New Roman" w:cs="Times New Roman"/>
          <w:color w:val="000000"/>
          <w:shd w:val="clear" w:color="auto" w:fill="FFFFFF"/>
        </w:rPr>
        <w:t>ODA commitment</w:t>
      </w:r>
      <w:r w:rsidR="00202578">
        <w:rPr>
          <w:rFonts w:ascii="Times New Roman" w:eastAsia="Times New Roman" w:hAnsi="Times New Roman" w:cs="Times New Roman"/>
          <w:color w:val="000000"/>
          <w:shd w:val="clear" w:color="auto" w:fill="FFFFFF"/>
        </w:rPr>
        <w:t>s</w:t>
      </w:r>
      <w:r w:rsidR="00542428">
        <w:rPr>
          <w:rFonts w:ascii="Times New Roman" w:eastAsia="Times New Roman" w:hAnsi="Times New Roman" w:cs="Times New Roman"/>
          <w:color w:val="000000"/>
          <w:shd w:val="clear" w:color="auto" w:fill="FFFFFF"/>
        </w:rPr>
        <w:t xml:space="preserve"> </w:t>
      </w:r>
      <w:r w:rsidR="00202578">
        <w:rPr>
          <w:rFonts w:ascii="Times New Roman" w:eastAsia="Times New Roman" w:hAnsi="Times New Roman" w:cs="Times New Roman"/>
          <w:color w:val="000000"/>
          <w:shd w:val="clear" w:color="auto" w:fill="FFFFFF"/>
        </w:rPr>
        <w:t>are</w:t>
      </w:r>
      <w:r w:rsidR="00542428">
        <w:rPr>
          <w:rFonts w:ascii="Times New Roman" w:eastAsia="Times New Roman" w:hAnsi="Times New Roman" w:cs="Times New Roman"/>
          <w:color w:val="000000"/>
          <w:shd w:val="clear" w:color="auto" w:fill="FFFFFF"/>
        </w:rPr>
        <w:t xml:space="preserve"> often expressed as a percentage of gross national income (GNI)</w:t>
      </w:r>
      <w:r w:rsidR="00202578">
        <w:rPr>
          <w:rFonts w:ascii="Times New Roman" w:eastAsia="Times New Roman" w:hAnsi="Times New Roman" w:cs="Times New Roman"/>
          <w:color w:val="000000"/>
          <w:shd w:val="clear" w:color="auto" w:fill="FFFFFF"/>
        </w:rPr>
        <w:t xml:space="preserve"> and</w:t>
      </w:r>
      <w:r w:rsidR="00272129">
        <w:rPr>
          <w:rFonts w:ascii="Times New Roman" w:eastAsia="Times New Roman" w:hAnsi="Times New Roman" w:cs="Times New Roman"/>
          <w:color w:val="000000"/>
          <w:shd w:val="clear" w:color="auto" w:fill="FFFFFF"/>
        </w:rPr>
        <w:t xml:space="preserve"> since 1970,</w:t>
      </w:r>
      <w:r w:rsidR="00202578">
        <w:rPr>
          <w:rFonts w:ascii="Times New Roman" w:eastAsia="Times New Roman" w:hAnsi="Times New Roman" w:cs="Times New Roman"/>
          <w:color w:val="000000"/>
          <w:shd w:val="clear" w:color="auto" w:fill="FFFFFF"/>
        </w:rPr>
        <w:t xml:space="preserve"> </w:t>
      </w:r>
      <w:r w:rsidR="00E666BE">
        <w:rPr>
          <w:rFonts w:ascii="Times New Roman" w:eastAsia="Times New Roman" w:hAnsi="Times New Roman" w:cs="Times New Roman"/>
          <w:color w:val="000000"/>
          <w:shd w:val="clear" w:color="auto" w:fill="FFFFFF"/>
        </w:rPr>
        <w:t xml:space="preserve">the 0.7% ODA/GNI target </w:t>
      </w:r>
      <w:r w:rsidR="00272129">
        <w:rPr>
          <w:rFonts w:ascii="Times New Roman" w:eastAsia="Times New Roman" w:hAnsi="Times New Roman" w:cs="Times New Roman"/>
          <w:color w:val="000000"/>
          <w:shd w:val="clear" w:color="auto" w:fill="FFFFFF"/>
        </w:rPr>
        <w:t xml:space="preserve">has been repeatedly re-endorsed at the highest level at international aid and development conferences. </w:t>
      </w:r>
      <w:r w:rsidR="000A7805">
        <w:rPr>
          <w:rFonts w:ascii="Times New Roman" w:eastAsia="Times New Roman" w:hAnsi="Times New Roman" w:cs="Times New Roman"/>
          <w:color w:val="000000"/>
          <w:shd w:val="clear" w:color="auto" w:fill="FFFFFF"/>
        </w:rPr>
        <w:t>In 2022, only f</w:t>
      </w:r>
      <w:r w:rsidR="000A7805" w:rsidRPr="000A7805">
        <w:rPr>
          <w:rFonts w:ascii="Times New Roman" w:eastAsia="Times New Roman" w:hAnsi="Times New Roman" w:cs="Times New Roman"/>
          <w:color w:val="000000"/>
          <w:shd w:val="clear" w:color="auto" w:fill="FFFFFF"/>
        </w:rPr>
        <w:t>ive DAC members – Denmark, Germany, Luxembourg, Norway</w:t>
      </w:r>
      <w:r w:rsidR="005C745F">
        <w:rPr>
          <w:rFonts w:ascii="Times New Roman" w:eastAsia="Times New Roman" w:hAnsi="Times New Roman" w:cs="Times New Roman"/>
          <w:color w:val="000000"/>
          <w:shd w:val="clear" w:color="auto" w:fill="FFFFFF"/>
        </w:rPr>
        <w:t>,</w:t>
      </w:r>
      <w:r w:rsidR="000A7805" w:rsidRPr="000A7805">
        <w:rPr>
          <w:rFonts w:ascii="Times New Roman" w:eastAsia="Times New Roman" w:hAnsi="Times New Roman" w:cs="Times New Roman"/>
          <w:color w:val="000000"/>
          <w:shd w:val="clear" w:color="auto" w:fill="FFFFFF"/>
        </w:rPr>
        <w:t xml:space="preserve"> and Sweden – met or exceeded the 0.7% target</w:t>
      </w:r>
      <w:r w:rsidR="005C745F">
        <w:rPr>
          <w:rStyle w:val="FootnoteReference"/>
          <w:rFonts w:ascii="Times New Roman" w:eastAsia="Times New Roman" w:hAnsi="Times New Roman" w:cs="Times New Roman"/>
          <w:color w:val="000000"/>
          <w:shd w:val="clear" w:color="auto" w:fill="FFFFFF"/>
        </w:rPr>
        <w:footnoteReference w:id="7"/>
      </w:r>
      <w:r w:rsidR="000A7805">
        <w:rPr>
          <w:rFonts w:ascii="Times New Roman" w:eastAsia="Times New Roman" w:hAnsi="Times New Roman" w:cs="Times New Roman"/>
          <w:color w:val="000000"/>
          <w:shd w:val="clear" w:color="auto" w:fill="FFFFFF"/>
        </w:rPr>
        <w:t xml:space="preserve">. </w:t>
      </w:r>
      <w:r w:rsidR="00E03302" w:rsidRPr="00D543D4">
        <w:rPr>
          <w:rFonts w:ascii="Times New Roman" w:eastAsia="Times New Roman" w:hAnsi="Times New Roman" w:cs="Times New Roman"/>
          <w:color w:val="000000"/>
          <w:shd w:val="clear" w:color="auto" w:fill="FFFFFF"/>
        </w:rPr>
        <w:t>Even when governments decide to keep the</w:t>
      </w:r>
      <w:r w:rsidR="0DF99779" w:rsidRPr="00D543D4">
        <w:rPr>
          <w:rFonts w:ascii="Times New Roman" w:eastAsia="Times New Roman" w:hAnsi="Times New Roman" w:cs="Times New Roman"/>
          <w:color w:val="000000"/>
          <w:shd w:val="clear" w:color="auto" w:fill="FFFFFF"/>
        </w:rPr>
        <w:t>ir</w:t>
      </w:r>
      <w:r w:rsidR="00E03302" w:rsidRPr="00D543D4">
        <w:rPr>
          <w:rFonts w:ascii="Times New Roman" w:eastAsia="Times New Roman" w:hAnsi="Times New Roman" w:cs="Times New Roman"/>
          <w:color w:val="000000"/>
          <w:shd w:val="clear" w:color="auto" w:fill="FFFFFF"/>
        </w:rPr>
        <w:t xml:space="preserve"> ODA/GNI commitments, </w:t>
      </w:r>
      <w:r w:rsidR="00CB6F1D" w:rsidRPr="00D543D4">
        <w:rPr>
          <w:rFonts w:ascii="Times New Roman" w:eastAsia="Times New Roman" w:hAnsi="Times New Roman" w:cs="Times New Roman"/>
          <w:color w:val="000000"/>
          <w:shd w:val="clear" w:color="auto" w:fill="FFFFFF"/>
        </w:rPr>
        <w:t xml:space="preserve">a reduced economic output shrinks the </w:t>
      </w:r>
      <w:r w:rsidR="000427E6" w:rsidRPr="00D543D4">
        <w:rPr>
          <w:rFonts w:ascii="Times New Roman" w:eastAsia="Times New Roman" w:hAnsi="Times New Roman" w:cs="Times New Roman"/>
          <w:color w:val="000000"/>
          <w:shd w:val="clear" w:color="auto" w:fill="FFFFFF"/>
        </w:rPr>
        <w:t>amount of ODA</w:t>
      </w:r>
      <w:r w:rsidR="0000177E" w:rsidRPr="00D543D4">
        <w:rPr>
          <w:rFonts w:ascii="Times New Roman" w:eastAsia="Times New Roman" w:hAnsi="Times New Roman" w:cs="Times New Roman"/>
          <w:color w:val="000000"/>
          <w:shd w:val="clear" w:color="auto" w:fill="FFFFFF"/>
        </w:rPr>
        <w:t>, including funding for the multilateral system.</w:t>
      </w:r>
      <w:r w:rsidR="003827FF" w:rsidRPr="00D543D4">
        <w:rPr>
          <w:rFonts w:ascii="Times New Roman" w:eastAsia="Times New Roman" w:hAnsi="Times New Roman" w:cs="Times New Roman"/>
          <w:color w:val="000000"/>
          <w:shd w:val="clear" w:color="auto" w:fill="FFFFFF"/>
        </w:rPr>
        <w:t xml:space="preserve"> Volatility in global financial markets </w:t>
      </w:r>
      <w:r w:rsidR="7ADA1177" w:rsidRPr="00D543D4">
        <w:rPr>
          <w:rFonts w:ascii="Times New Roman" w:eastAsia="Times New Roman" w:hAnsi="Times New Roman" w:cs="Times New Roman"/>
          <w:color w:val="000000"/>
          <w:shd w:val="clear" w:color="auto" w:fill="FFFFFF"/>
        </w:rPr>
        <w:t>and currency f</w:t>
      </w:r>
      <w:r w:rsidR="003827FF" w:rsidRPr="00D543D4">
        <w:rPr>
          <w:rFonts w:ascii="Times New Roman" w:eastAsia="Times New Roman" w:hAnsi="Times New Roman" w:cs="Times New Roman"/>
          <w:color w:val="000000"/>
          <w:shd w:val="clear" w:color="auto" w:fill="FFFFFF"/>
        </w:rPr>
        <w:t xml:space="preserve">luctuations affect the value of contributions and impact the purchasing power of aid budgets. </w:t>
      </w:r>
      <w:r w:rsidR="004773D2" w:rsidRPr="00D543D4">
        <w:rPr>
          <w:rFonts w:ascii="Times New Roman" w:eastAsia="Times New Roman" w:hAnsi="Times New Roman" w:cs="Times New Roman"/>
          <w:color w:val="000000"/>
          <w:shd w:val="clear" w:color="auto" w:fill="FFFFFF"/>
        </w:rPr>
        <w:t xml:space="preserve">For instance, the depreciation of the Euro against the US dollar </w:t>
      </w:r>
      <w:r w:rsidR="0084539E">
        <w:rPr>
          <w:rFonts w:ascii="Times New Roman" w:eastAsia="Times New Roman" w:hAnsi="Times New Roman" w:cs="Times New Roman"/>
          <w:color w:val="000000"/>
          <w:shd w:val="clear" w:color="auto" w:fill="FFFFFF"/>
        </w:rPr>
        <w:t xml:space="preserve">in 2022 </w:t>
      </w:r>
      <w:r w:rsidR="004773D2" w:rsidRPr="00D543D4">
        <w:rPr>
          <w:rFonts w:ascii="Times New Roman" w:eastAsia="Times New Roman" w:hAnsi="Times New Roman" w:cs="Times New Roman"/>
          <w:color w:val="000000"/>
          <w:shd w:val="clear" w:color="auto" w:fill="FFFFFF"/>
        </w:rPr>
        <w:t xml:space="preserve">has affected the </w:t>
      </w:r>
      <w:r w:rsidR="1B0A9D1B" w:rsidRPr="00D543D4">
        <w:rPr>
          <w:rFonts w:ascii="Times New Roman" w:eastAsia="Times New Roman" w:hAnsi="Times New Roman" w:cs="Times New Roman"/>
          <w:color w:val="000000"/>
          <w:shd w:val="clear" w:color="auto" w:fill="FFFFFF"/>
        </w:rPr>
        <w:t>v</w:t>
      </w:r>
      <w:r w:rsidR="06A60A5A" w:rsidRPr="00D543D4">
        <w:rPr>
          <w:rFonts w:ascii="Times New Roman" w:eastAsia="Times New Roman" w:hAnsi="Times New Roman" w:cs="Times New Roman"/>
          <w:color w:val="000000"/>
          <w:shd w:val="clear" w:color="auto" w:fill="FFFFFF"/>
        </w:rPr>
        <w:t>olume</w:t>
      </w:r>
      <w:r w:rsidR="1B0A9D1B" w:rsidRPr="00D543D4">
        <w:rPr>
          <w:rFonts w:ascii="Times New Roman" w:eastAsia="Times New Roman" w:hAnsi="Times New Roman" w:cs="Times New Roman"/>
          <w:color w:val="000000"/>
          <w:shd w:val="clear" w:color="auto" w:fill="FFFFFF"/>
        </w:rPr>
        <w:t xml:space="preserve"> of </w:t>
      </w:r>
      <w:r w:rsidR="004773D2" w:rsidRPr="00D543D4">
        <w:rPr>
          <w:rFonts w:ascii="Times New Roman" w:eastAsia="Times New Roman" w:hAnsi="Times New Roman" w:cs="Times New Roman"/>
          <w:color w:val="000000"/>
          <w:shd w:val="clear" w:color="auto" w:fill="FFFFFF"/>
        </w:rPr>
        <w:t xml:space="preserve">core contributions </w:t>
      </w:r>
      <w:r w:rsidR="3E15C96B" w:rsidRPr="00D543D4">
        <w:rPr>
          <w:rFonts w:ascii="Times New Roman" w:eastAsia="Times New Roman" w:hAnsi="Times New Roman" w:cs="Times New Roman"/>
          <w:color w:val="000000"/>
          <w:shd w:val="clear" w:color="auto" w:fill="FFFFFF"/>
        </w:rPr>
        <w:t xml:space="preserve">to UN agencies, </w:t>
      </w:r>
      <w:r w:rsidR="667CAF14" w:rsidRPr="00D543D4">
        <w:rPr>
          <w:rFonts w:ascii="Times New Roman" w:eastAsia="Times New Roman" w:hAnsi="Times New Roman" w:cs="Times New Roman"/>
          <w:color w:val="000000" w:themeColor="text1"/>
        </w:rPr>
        <w:t xml:space="preserve">with a significant portion of their </w:t>
      </w:r>
      <w:r w:rsidR="004773D2" w:rsidRPr="00D543D4">
        <w:rPr>
          <w:rFonts w:ascii="Times New Roman" w:eastAsia="Times New Roman" w:hAnsi="Times New Roman" w:cs="Times New Roman"/>
          <w:color w:val="000000"/>
          <w:shd w:val="clear" w:color="auto" w:fill="FFFFFF"/>
        </w:rPr>
        <w:t>core portfolio</w:t>
      </w:r>
      <w:r w:rsidR="29A6EF7E" w:rsidRPr="00D543D4">
        <w:rPr>
          <w:rFonts w:ascii="Times New Roman" w:eastAsia="Times New Roman" w:hAnsi="Times New Roman" w:cs="Times New Roman"/>
          <w:color w:val="000000"/>
          <w:shd w:val="clear" w:color="auto" w:fill="FFFFFF"/>
        </w:rPr>
        <w:t>s received in</w:t>
      </w:r>
      <w:r w:rsidR="1C81CA09" w:rsidRPr="00D543D4">
        <w:rPr>
          <w:rFonts w:ascii="Times New Roman" w:eastAsia="Times New Roman" w:hAnsi="Times New Roman" w:cs="Times New Roman"/>
          <w:color w:val="000000"/>
          <w:shd w:val="clear" w:color="auto" w:fill="FFFFFF"/>
        </w:rPr>
        <w:t xml:space="preserve"> Euros</w:t>
      </w:r>
      <w:r w:rsidR="1C81CA09" w:rsidRPr="00D543D4">
        <w:rPr>
          <w:rFonts w:ascii="Times New Roman" w:eastAsia="Times New Roman" w:hAnsi="Times New Roman" w:cs="Times New Roman"/>
          <w:color w:val="000000" w:themeColor="text1"/>
        </w:rPr>
        <w:t>.</w:t>
      </w:r>
    </w:p>
    <w:p w14:paraId="1D09AE68" w14:textId="77777777" w:rsidR="00E03302" w:rsidRPr="00D543D4" w:rsidRDefault="00E03302" w:rsidP="001507B3">
      <w:pPr>
        <w:spacing w:after="0" w:line="240" w:lineRule="auto"/>
        <w:jc w:val="both"/>
        <w:textAlignment w:val="baseline"/>
        <w:rPr>
          <w:rFonts w:ascii="Times New Roman" w:eastAsia="Times New Roman" w:hAnsi="Times New Roman" w:cs="Times New Roman"/>
          <w:color w:val="000000"/>
          <w:shd w:val="clear" w:color="auto" w:fill="FFFFFF"/>
        </w:rPr>
      </w:pPr>
    </w:p>
    <w:p w14:paraId="1A17631A" w14:textId="7A54E33F" w:rsidR="002F7B6C" w:rsidRPr="00D543D4" w:rsidRDefault="00AB3FC7" w:rsidP="001507B3">
      <w:pPr>
        <w:spacing w:after="0" w:line="240" w:lineRule="auto"/>
        <w:jc w:val="both"/>
        <w:textAlignment w:val="baseline"/>
        <w:rPr>
          <w:rFonts w:ascii="Times New Roman" w:eastAsia="Times New Roman" w:hAnsi="Times New Roman" w:cs="Times New Roman"/>
          <w:color w:val="000000"/>
          <w:shd w:val="clear" w:color="auto" w:fill="FFFFFF"/>
        </w:rPr>
      </w:pPr>
      <w:r w:rsidRPr="00D543D4">
        <w:rPr>
          <w:rFonts w:ascii="Times New Roman" w:eastAsia="Times New Roman" w:hAnsi="Times New Roman" w:cs="Times New Roman"/>
          <w:color w:val="000000"/>
          <w:shd w:val="clear" w:color="auto" w:fill="FFFFFF"/>
        </w:rPr>
        <w:t xml:space="preserve">Economic downturns, budgetary constraints, or austerity measures in donor countries impact their ability to provide substantial funding for international development. When faced with economic challenges, </w:t>
      </w:r>
      <w:r w:rsidR="00105682" w:rsidRPr="00D543D4">
        <w:rPr>
          <w:rFonts w:ascii="Times New Roman" w:eastAsia="Times New Roman" w:hAnsi="Times New Roman" w:cs="Times New Roman"/>
          <w:color w:val="000000"/>
          <w:shd w:val="clear" w:color="auto" w:fill="FFFFFF"/>
        </w:rPr>
        <w:t xml:space="preserve">including rising public debt, rising costs of essential services, or competing policy priorities, </w:t>
      </w:r>
      <w:r w:rsidR="00FE6BA1" w:rsidRPr="00D543D4">
        <w:rPr>
          <w:rFonts w:ascii="Times New Roman" w:eastAsia="Times New Roman" w:hAnsi="Times New Roman" w:cs="Times New Roman"/>
          <w:color w:val="000000"/>
          <w:shd w:val="clear" w:color="auto" w:fill="FFFFFF"/>
        </w:rPr>
        <w:t>donor</w:t>
      </w:r>
      <w:r w:rsidR="63C67977" w:rsidRPr="00D543D4">
        <w:rPr>
          <w:rFonts w:ascii="Times New Roman" w:eastAsia="Times New Roman" w:hAnsi="Times New Roman" w:cs="Times New Roman"/>
          <w:color w:val="000000"/>
          <w:shd w:val="clear" w:color="auto" w:fill="FFFFFF"/>
        </w:rPr>
        <w:t>s</w:t>
      </w:r>
      <w:r w:rsidR="00FE6BA1" w:rsidRPr="00D543D4">
        <w:rPr>
          <w:rFonts w:ascii="Times New Roman" w:eastAsia="Times New Roman" w:hAnsi="Times New Roman" w:cs="Times New Roman"/>
          <w:color w:val="000000"/>
          <w:shd w:val="clear" w:color="auto" w:fill="FFFFFF"/>
        </w:rPr>
        <w:t xml:space="preserve"> experience reduced fiscal capacity and </w:t>
      </w:r>
      <w:r w:rsidR="047406DF" w:rsidRPr="00D543D4">
        <w:rPr>
          <w:rFonts w:ascii="Times New Roman" w:eastAsia="Times New Roman" w:hAnsi="Times New Roman" w:cs="Times New Roman"/>
          <w:color w:val="000000"/>
          <w:shd w:val="clear" w:color="auto" w:fill="FFFFFF"/>
        </w:rPr>
        <w:t xml:space="preserve">tend to </w:t>
      </w:r>
      <w:r w:rsidR="00FE6BA1" w:rsidRPr="00D543D4">
        <w:rPr>
          <w:rFonts w:ascii="Times New Roman" w:eastAsia="Times New Roman" w:hAnsi="Times New Roman" w:cs="Times New Roman"/>
          <w:color w:val="000000"/>
          <w:shd w:val="clear" w:color="auto" w:fill="FFFFFF"/>
        </w:rPr>
        <w:t>prioritize domestic concerns over international assistance</w:t>
      </w:r>
      <w:r w:rsidR="231EC931" w:rsidRPr="00D543D4">
        <w:rPr>
          <w:rFonts w:ascii="Times New Roman" w:eastAsia="Times New Roman" w:hAnsi="Times New Roman" w:cs="Times New Roman"/>
          <w:color w:val="000000"/>
          <w:shd w:val="clear" w:color="auto" w:fill="FFFFFF"/>
        </w:rPr>
        <w:t xml:space="preserve"> resulting in </w:t>
      </w:r>
      <w:r w:rsidR="00AD2761" w:rsidRPr="00D543D4">
        <w:rPr>
          <w:rFonts w:ascii="Times New Roman" w:eastAsia="Times New Roman" w:hAnsi="Times New Roman" w:cs="Times New Roman"/>
          <w:color w:val="000000"/>
          <w:shd w:val="clear" w:color="auto" w:fill="FFFFFF"/>
        </w:rPr>
        <w:t>aid budget cuts</w:t>
      </w:r>
      <w:r w:rsidR="0FBBCD9F" w:rsidRPr="00D543D4">
        <w:rPr>
          <w:rFonts w:ascii="Times New Roman" w:eastAsia="Times New Roman" w:hAnsi="Times New Roman" w:cs="Times New Roman"/>
          <w:color w:val="000000"/>
          <w:shd w:val="clear" w:color="auto" w:fill="FFFFFF"/>
        </w:rPr>
        <w:t xml:space="preserve">. </w:t>
      </w:r>
      <w:r w:rsidR="00933A25" w:rsidRPr="00D543D4">
        <w:rPr>
          <w:rFonts w:ascii="Times New Roman" w:eastAsia="Times New Roman" w:hAnsi="Times New Roman" w:cs="Times New Roman"/>
          <w:color w:val="000000"/>
          <w:shd w:val="clear" w:color="auto" w:fill="FFFFFF"/>
        </w:rPr>
        <w:t xml:space="preserve">Several donors have </w:t>
      </w:r>
      <w:r w:rsidR="004624A7">
        <w:rPr>
          <w:rFonts w:ascii="Times New Roman" w:eastAsia="Times New Roman" w:hAnsi="Times New Roman" w:cs="Times New Roman"/>
          <w:color w:val="000000"/>
          <w:shd w:val="clear" w:color="auto" w:fill="FFFFFF"/>
        </w:rPr>
        <w:t xml:space="preserve">cited </w:t>
      </w:r>
      <w:r w:rsidR="00C32B07" w:rsidRPr="00D543D4">
        <w:rPr>
          <w:rFonts w:ascii="Times New Roman" w:eastAsia="Times New Roman" w:hAnsi="Times New Roman" w:cs="Times New Roman"/>
          <w:color w:val="000000"/>
          <w:shd w:val="clear" w:color="auto" w:fill="FFFFFF"/>
        </w:rPr>
        <w:t xml:space="preserve">domestic budget constraints </w:t>
      </w:r>
      <w:r w:rsidR="07A03584" w:rsidRPr="00D543D4">
        <w:rPr>
          <w:rFonts w:ascii="Times New Roman" w:eastAsia="Times New Roman" w:hAnsi="Times New Roman" w:cs="Times New Roman"/>
          <w:color w:val="000000"/>
          <w:shd w:val="clear" w:color="auto" w:fill="FFFFFF"/>
        </w:rPr>
        <w:t xml:space="preserve">as a justification for </w:t>
      </w:r>
      <w:r w:rsidR="00C32B07" w:rsidRPr="00D543D4">
        <w:rPr>
          <w:rFonts w:ascii="Times New Roman" w:eastAsia="Times New Roman" w:hAnsi="Times New Roman" w:cs="Times New Roman"/>
          <w:color w:val="000000"/>
          <w:shd w:val="clear" w:color="auto" w:fill="FFFFFF"/>
        </w:rPr>
        <w:t>cut</w:t>
      </w:r>
      <w:r w:rsidR="154126D2" w:rsidRPr="00D543D4">
        <w:rPr>
          <w:rFonts w:ascii="Times New Roman" w:eastAsia="Times New Roman" w:hAnsi="Times New Roman" w:cs="Times New Roman"/>
          <w:color w:val="000000"/>
          <w:shd w:val="clear" w:color="auto" w:fill="FFFFFF"/>
        </w:rPr>
        <w:t xml:space="preserve">ting their </w:t>
      </w:r>
      <w:r w:rsidR="00C32B07" w:rsidRPr="00D543D4">
        <w:rPr>
          <w:rFonts w:ascii="Times New Roman" w:eastAsia="Times New Roman" w:hAnsi="Times New Roman" w:cs="Times New Roman"/>
          <w:color w:val="000000"/>
          <w:shd w:val="clear" w:color="auto" w:fill="FFFFFF"/>
        </w:rPr>
        <w:t xml:space="preserve">core </w:t>
      </w:r>
      <w:r w:rsidR="00933A25" w:rsidRPr="00D543D4">
        <w:rPr>
          <w:rFonts w:ascii="Times New Roman" w:eastAsia="Times New Roman" w:hAnsi="Times New Roman" w:cs="Times New Roman"/>
          <w:color w:val="000000"/>
          <w:shd w:val="clear" w:color="auto" w:fill="FFFFFF"/>
        </w:rPr>
        <w:t>contributions</w:t>
      </w:r>
      <w:r w:rsidR="00C32B07" w:rsidRPr="00D543D4">
        <w:rPr>
          <w:rFonts w:ascii="Times New Roman" w:eastAsia="Times New Roman" w:hAnsi="Times New Roman" w:cs="Times New Roman"/>
          <w:color w:val="000000"/>
          <w:shd w:val="clear" w:color="auto" w:fill="FFFFFF"/>
        </w:rPr>
        <w:t xml:space="preserve">. </w:t>
      </w:r>
    </w:p>
    <w:p w14:paraId="03694BDA" w14:textId="77777777" w:rsidR="002F7B6C" w:rsidRPr="00D543D4" w:rsidRDefault="002F7B6C" w:rsidP="001507B3">
      <w:pPr>
        <w:spacing w:after="0" w:line="240" w:lineRule="auto"/>
        <w:jc w:val="both"/>
        <w:textAlignment w:val="baseline"/>
        <w:rPr>
          <w:rFonts w:ascii="Times New Roman" w:eastAsia="Times New Roman" w:hAnsi="Times New Roman" w:cs="Times New Roman"/>
          <w:color w:val="000000"/>
          <w:shd w:val="clear" w:color="auto" w:fill="FFFFFF"/>
        </w:rPr>
      </w:pPr>
    </w:p>
    <w:p w14:paraId="00601E39" w14:textId="4CF0EF6C" w:rsidR="007A1000" w:rsidRPr="00D543D4" w:rsidRDefault="339589AB" w:rsidP="001507B3">
      <w:pPr>
        <w:spacing w:after="0" w:line="240" w:lineRule="auto"/>
        <w:jc w:val="both"/>
        <w:textAlignment w:val="baseline"/>
        <w:rPr>
          <w:rFonts w:ascii="Times New Roman" w:eastAsia="Times New Roman" w:hAnsi="Times New Roman" w:cs="Times New Roman"/>
          <w:color w:val="000000"/>
          <w:shd w:val="clear" w:color="auto" w:fill="FFFFFF"/>
        </w:rPr>
      </w:pPr>
      <w:r w:rsidRPr="00D543D4">
        <w:rPr>
          <w:rFonts w:ascii="Times New Roman" w:eastAsia="Times New Roman" w:hAnsi="Times New Roman" w:cs="Times New Roman"/>
          <w:color w:val="000000"/>
          <w:shd w:val="clear" w:color="auto" w:fill="FFFFFF"/>
        </w:rPr>
        <w:t xml:space="preserve">Donors’ </w:t>
      </w:r>
      <w:r w:rsidR="00E239C8" w:rsidRPr="00D543D4">
        <w:rPr>
          <w:rFonts w:ascii="Times New Roman" w:eastAsia="Times New Roman" w:hAnsi="Times New Roman" w:cs="Times New Roman"/>
          <w:color w:val="000000"/>
          <w:shd w:val="clear" w:color="auto" w:fill="FFFFFF"/>
        </w:rPr>
        <w:t>economic interests</w:t>
      </w:r>
      <w:r w:rsidR="19B5740E" w:rsidRPr="00D543D4">
        <w:rPr>
          <w:rFonts w:ascii="Times New Roman" w:eastAsia="Times New Roman" w:hAnsi="Times New Roman" w:cs="Times New Roman"/>
          <w:color w:val="000000"/>
          <w:shd w:val="clear" w:color="auto" w:fill="FFFFFF"/>
        </w:rPr>
        <w:t xml:space="preserve"> </w:t>
      </w:r>
      <w:r w:rsidR="00764869">
        <w:rPr>
          <w:rFonts w:ascii="Times New Roman" w:eastAsia="Times New Roman" w:hAnsi="Times New Roman" w:cs="Times New Roman"/>
          <w:color w:val="000000"/>
          <w:shd w:val="clear" w:color="auto" w:fill="FFFFFF"/>
        </w:rPr>
        <w:t xml:space="preserve">and commercial considerations could </w:t>
      </w:r>
      <w:r w:rsidR="00E239C8" w:rsidRPr="00D543D4">
        <w:rPr>
          <w:rFonts w:ascii="Times New Roman" w:eastAsia="Times New Roman" w:hAnsi="Times New Roman" w:cs="Times New Roman"/>
          <w:color w:val="000000"/>
          <w:shd w:val="clear" w:color="auto" w:fill="FFFFFF"/>
        </w:rPr>
        <w:t>play a role in their aid policies.</w:t>
      </w:r>
      <w:r w:rsidR="00641A36" w:rsidRPr="00D543D4">
        <w:rPr>
          <w:rFonts w:ascii="Times New Roman" w:eastAsia="Times New Roman" w:hAnsi="Times New Roman" w:cs="Times New Roman"/>
          <w:color w:val="000000"/>
          <w:shd w:val="clear" w:color="auto" w:fill="FFFFFF"/>
        </w:rPr>
        <w:t xml:space="preserve"> Donor countries often align their aid policies with their broader economic objectives, seeking to promote their economic interests while supporting development efforts.</w:t>
      </w:r>
      <w:r w:rsidR="007E62B0" w:rsidRPr="00D543D4">
        <w:rPr>
          <w:rFonts w:ascii="Times New Roman" w:eastAsia="Times New Roman" w:hAnsi="Times New Roman" w:cs="Times New Roman"/>
          <w:color w:val="000000"/>
          <w:shd w:val="clear" w:color="auto" w:fill="FFFFFF"/>
        </w:rPr>
        <w:t xml:space="preserve"> </w:t>
      </w:r>
      <w:r w:rsidR="00764869">
        <w:rPr>
          <w:rFonts w:ascii="Times New Roman" w:eastAsia="Times New Roman" w:hAnsi="Times New Roman" w:cs="Times New Roman"/>
          <w:color w:val="000000"/>
          <w:shd w:val="clear" w:color="auto" w:fill="FFFFFF"/>
        </w:rPr>
        <w:t xml:space="preserve">For </w:t>
      </w:r>
      <w:r w:rsidR="00264F70">
        <w:rPr>
          <w:rFonts w:ascii="Times New Roman" w:eastAsia="Times New Roman" w:hAnsi="Times New Roman" w:cs="Times New Roman"/>
          <w:color w:val="000000"/>
          <w:shd w:val="clear" w:color="auto" w:fill="FFFFFF"/>
        </w:rPr>
        <w:t>instance</w:t>
      </w:r>
      <w:r w:rsidR="00764869">
        <w:rPr>
          <w:rFonts w:ascii="Times New Roman" w:eastAsia="Times New Roman" w:hAnsi="Times New Roman" w:cs="Times New Roman"/>
          <w:color w:val="000000"/>
          <w:shd w:val="clear" w:color="auto" w:fill="FFFFFF"/>
        </w:rPr>
        <w:t xml:space="preserve">, some donors </w:t>
      </w:r>
      <w:r w:rsidR="00264F70">
        <w:rPr>
          <w:rFonts w:ascii="Times New Roman" w:eastAsia="Times New Roman" w:hAnsi="Times New Roman" w:cs="Times New Roman"/>
          <w:color w:val="000000"/>
          <w:shd w:val="clear" w:color="auto" w:fill="FFFFFF"/>
        </w:rPr>
        <w:t>do</w:t>
      </w:r>
      <w:r w:rsidR="00764869">
        <w:rPr>
          <w:rFonts w:ascii="Times New Roman" w:eastAsia="Times New Roman" w:hAnsi="Times New Roman" w:cs="Times New Roman"/>
          <w:color w:val="000000"/>
          <w:shd w:val="clear" w:color="auto" w:fill="FFFFFF"/>
        </w:rPr>
        <w:t xml:space="preserve"> allocate more aid to their important trading partners</w:t>
      </w:r>
      <w:r w:rsidR="00A50DCB">
        <w:rPr>
          <w:rStyle w:val="FootnoteReference"/>
          <w:rFonts w:ascii="Times New Roman" w:eastAsia="Times New Roman" w:hAnsi="Times New Roman" w:cs="Times New Roman"/>
          <w:color w:val="000000"/>
          <w:shd w:val="clear" w:color="auto" w:fill="FFFFFF"/>
        </w:rPr>
        <w:footnoteReference w:id="8"/>
      </w:r>
      <w:r w:rsidR="00764869">
        <w:rPr>
          <w:rFonts w:ascii="Times New Roman" w:eastAsia="Times New Roman" w:hAnsi="Times New Roman" w:cs="Times New Roman"/>
          <w:color w:val="000000"/>
          <w:shd w:val="clear" w:color="auto" w:fill="FFFFFF"/>
        </w:rPr>
        <w:t xml:space="preserve">. </w:t>
      </w:r>
      <w:r w:rsidR="007E62B0" w:rsidRPr="00D543D4">
        <w:rPr>
          <w:rFonts w:ascii="Times New Roman" w:eastAsia="Times New Roman" w:hAnsi="Times New Roman" w:cs="Times New Roman"/>
          <w:color w:val="000000"/>
          <w:shd w:val="clear" w:color="auto" w:fill="FFFFFF"/>
        </w:rPr>
        <w:t>Conditionalit</w:t>
      </w:r>
      <w:r w:rsidR="781CD31E" w:rsidRPr="00D543D4">
        <w:rPr>
          <w:rFonts w:ascii="Times New Roman" w:eastAsia="Times New Roman" w:hAnsi="Times New Roman" w:cs="Times New Roman"/>
          <w:color w:val="000000"/>
          <w:shd w:val="clear" w:color="auto" w:fill="FFFFFF"/>
        </w:rPr>
        <w:t>ies</w:t>
      </w:r>
      <w:r w:rsidR="007E62B0" w:rsidRPr="00D543D4">
        <w:rPr>
          <w:rFonts w:ascii="Times New Roman" w:eastAsia="Times New Roman" w:hAnsi="Times New Roman" w:cs="Times New Roman"/>
          <w:color w:val="000000"/>
          <w:shd w:val="clear" w:color="auto" w:fill="FFFFFF"/>
        </w:rPr>
        <w:t xml:space="preserve"> </w:t>
      </w:r>
      <w:r w:rsidR="3419BBCD" w:rsidRPr="00D543D4">
        <w:rPr>
          <w:rFonts w:ascii="Times New Roman" w:eastAsia="Times New Roman" w:hAnsi="Times New Roman" w:cs="Times New Roman"/>
          <w:color w:val="000000"/>
          <w:shd w:val="clear" w:color="auto" w:fill="FFFFFF"/>
        </w:rPr>
        <w:t xml:space="preserve">also </w:t>
      </w:r>
      <w:r w:rsidR="004624A7">
        <w:rPr>
          <w:rFonts w:ascii="Times New Roman" w:eastAsia="Times New Roman" w:hAnsi="Times New Roman" w:cs="Times New Roman"/>
          <w:color w:val="000000"/>
          <w:shd w:val="clear" w:color="auto" w:fill="FFFFFF"/>
        </w:rPr>
        <w:t xml:space="preserve">influence </w:t>
      </w:r>
      <w:r w:rsidR="007E62B0" w:rsidRPr="00D543D4">
        <w:rPr>
          <w:rFonts w:ascii="Times New Roman" w:eastAsia="Times New Roman" w:hAnsi="Times New Roman" w:cs="Times New Roman"/>
          <w:color w:val="000000"/>
          <w:shd w:val="clear" w:color="auto" w:fill="FFFFFF"/>
        </w:rPr>
        <w:t xml:space="preserve">the availability and utilization of core funding, as </w:t>
      </w:r>
      <w:r w:rsidR="57F377D9" w:rsidRPr="00D543D4">
        <w:rPr>
          <w:rFonts w:ascii="Times New Roman" w:eastAsia="Times New Roman" w:hAnsi="Times New Roman" w:cs="Times New Roman"/>
          <w:color w:val="000000"/>
          <w:shd w:val="clear" w:color="auto" w:fill="FFFFFF"/>
        </w:rPr>
        <w:t xml:space="preserve">agencies </w:t>
      </w:r>
      <w:r w:rsidR="007E62B0" w:rsidRPr="00D543D4">
        <w:rPr>
          <w:rFonts w:ascii="Times New Roman" w:eastAsia="Times New Roman" w:hAnsi="Times New Roman" w:cs="Times New Roman"/>
          <w:color w:val="000000"/>
          <w:shd w:val="clear" w:color="auto" w:fill="FFFFFF"/>
        </w:rPr>
        <w:t xml:space="preserve">that do not meet the conditions </w:t>
      </w:r>
      <w:r w:rsidR="004624A7">
        <w:rPr>
          <w:rFonts w:ascii="Times New Roman" w:eastAsia="Times New Roman" w:hAnsi="Times New Roman" w:cs="Times New Roman"/>
          <w:color w:val="000000"/>
          <w:shd w:val="clear" w:color="auto" w:fill="FFFFFF"/>
        </w:rPr>
        <w:t>face the possibility of</w:t>
      </w:r>
      <w:r w:rsidR="004624A7" w:rsidRPr="00D543D4">
        <w:rPr>
          <w:rFonts w:ascii="Times New Roman" w:eastAsia="Times New Roman" w:hAnsi="Times New Roman" w:cs="Times New Roman"/>
          <w:color w:val="000000"/>
          <w:shd w:val="clear" w:color="auto" w:fill="FFFFFF"/>
        </w:rPr>
        <w:t xml:space="preserve"> </w:t>
      </w:r>
      <w:r w:rsidR="005F6B26" w:rsidRPr="00D543D4">
        <w:rPr>
          <w:rFonts w:ascii="Times New Roman" w:eastAsia="Times New Roman" w:hAnsi="Times New Roman" w:cs="Times New Roman"/>
          <w:color w:val="000000"/>
          <w:shd w:val="clear" w:color="auto" w:fill="FFFFFF"/>
        </w:rPr>
        <w:t xml:space="preserve">losing </w:t>
      </w:r>
      <w:r w:rsidR="007E62B0" w:rsidRPr="00D543D4">
        <w:rPr>
          <w:rFonts w:ascii="Times New Roman" w:eastAsia="Times New Roman" w:hAnsi="Times New Roman" w:cs="Times New Roman"/>
          <w:color w:val="000000"/>
          <w:shd w:val="clear" w:color="auto" w:fill="FFFFFF"/>
        </w:rPr>
        <w:t>financial support</w:t>
      </w:r>
      <w:r w:rsidR="004624A7">
        <w:rPr>
          <w:rFonts w:ascii="Times New Roman" w:eastAsia="Times New Roman" w:hAnsi="Times New Roman" w:cs="Times New Roman"/>
          <w:color w:val="000000"/>
          <w:shd w:val="clear" w:color="auto" w:fill="FFFFFF"/>
        </w:rPr>
        <w:t>,</w:t>
      </w:r>
      <w:r w:rsidR="007E62B0" w:rsidRPr="00D543D4">
        <w:rPr>
          <w:rFonts w:ascii="Times New Roman" w:eastAsia="Times New Roman" w:hAnsi="Times New Roman" w:cs="Times New Roman"/>
          <w:color w:val="000000"/>
          <w:shd w:val="clear" w:color="auto" w:fill="FFFFFF"/>
        </w:rPr>
        <w:t xml:space="preserve"> impact</w:t>
      </w:r>
      <w:r w:rsidR="52111397" w:rsidRPr="00D543D4">
        <w:rPr>
          <w:rFonts w:ascii="Times New Roman" w:eastAsia="Times New Roman" w:hAnsi="Times New Roman" w:cs="Times New Roman"/>
          <w:color w:val="000000"/>
          <w:shd w:val="clear" w:color="auto" w:fill="FFFFFF"/>
        </w:rPr>
        <w:t>ing</w:t>
      </w:r>
      <w:r w:rsidR="007E62B0" w:rsidRPr="00D543D4">
        <w:rPr>
          <w:rFonts w:ascii="Times New Roman" w:eastAsia="Times New Roman" w:hAnsi="Times New Roman" w:cs="Times New Roman"/>
          <w:color w:val="000000"/>
          <w:shd w:val="clear" w:color="auto" w:fill="FFFFFF"/>
        </w:rPr>
        <w:t xml:space="preserve"> the stability and predictability of core funding for development.</w:t>
      </w:r>
      <w:r w:rsidR="000D00D4" w:rsidRPr="00D543D4">
        <w:rPr>
          <w:rFonts w:ascii="Times New Roman" w:eastAsia="Times New Roman" w:hAnsi="Times New Roman" w:cs="Times New Roman"/>
          <w:color w:val="000000"/>
          <w:shd w:val="clear" w:color="auto" w:fill="FFFFFF"/>
        </w:rPr>
        <w:t xml:space="preserve"> Balancing economic interests with development goals and ensuring aid effectiveness remain ongoing challenges in the formulation and implementation of aid policies.</w:t>
      </w:r>
    </w:p>
    <w:p w14:paraId="473A366A" w14:textId="77777777" w:rsidR="00E239C8" w:rsidRPr="00D543D4" w:rsidRDefault="00E239C8" w:rsidP="001507B3">
      <w:pPr>
        <w:spacing w:after="0" w:line="240" w:lineRule="auto"/>
        <w:jc w:val="both"/>
        <w:textAlignment w:val="baseline"/>
        <w:rPr>
          <w:rFonts w:ascii="Times New Roman" w:eastAsia="Times New Roman" w:hAnsi="Times New Roman" w:cs="Times New Roman"/>
          <w:color w:val="000000"/>
          <w:shd w:val="clear" w:color="auto" w:fill="FFFFFF"/>
        </w:rPr>
      </w:pPr>
    </w:p>
    <w:p w14:paraId="6FD6E105" w14:textId="77777777" w:rsidR="00465F9A" w:rsidRPr="00D543D4" w:rsidRDefault="00465F9A" w:rsidP="001507B3">
      <w:pPr>
        <w:spacing w:after="0" w:line="240" w:lineRule="auto"/>
        <w:jc w:val="both"/>
        <w:textAlignment w:val="baseline"/>
        <w:rPr>
          <w:rFonts w:ascii="Times New Roman" w:eastAsia="Times New Roman" w:hAnsi="Times New Roman" w:cs="Times New Roman"/>
          <w:sz w:val="18"/>
          <w:szCs w:val="18"/>
        </w:rPr>
      </w:pPr>
    </w:p>
    <w:p w14:paraId="57CDB0E5" w14:textId="3CF99540" w:rsidR="001507B3" w:rsidRPr="00D543D4" w:rsidRDefault="001507B3" w:rsidP="001507B3">
      <w:pPr>
        <w:spacing w:after="0" w:line="240" w:lineRule="auto"/>
        <w:jc w:val="both"/>
        <w:textAlignment w:val="baseline"/>
        <w:rPr>
          <w:rFonts w:ascii="Times New Roman" w:eastAsia="Times New Roman" w:hAnsi="Times New Roman" w:cs="Times New Roman"/>
          <w:sz w:val="18"/>
          <w:szCs w:val="18"/>
        </w:rPr>
      </w:pPr>
      <w:r w:rsidRPr="00D543D4">
        <w:rPr>
          <w:rFonts w:ascii="Times New Roman" w:eastAsia="Times New Roman" w:hAnsi="Times New Roman" w:cs="Times New Roman"/>
          <w:color w:val="1F3763"/>
          <w:sz w:val="24"/>
          <w:szCs w:val="24"/>
        </w:rPr>
        <w:t xml:space="preserve">3) Policy </w:t>
      </w:r>
      <w:r w:rsidR="00B63503" w:rsidRPr="00D543D4">
        <w:rPr>
          <w:rFonts w:ascii="Times New Roman" w:eastAsia="Times New Roman" w:hAnsi="Times New Roman" w:cs="Times New Roman"/>
          <w:color w:val="1F3763"/>
          <w:sz w:val="24"/>
          <w:szCs w:val="24"/>
        </w:rPr>
        <w:t>Factors</w:t>
      </w:r>
      <w:r w:rsidRPr="00D543D4">
        <w:rPr>
          <w:rFonts w:ascii="Times New Roman" w:eastAsia="Times New Roman" w:hAnsi="Times New Roman" w:cs="Times New Roman"/>
          <w:color w:val="1F3763"/>
          <w:sz w:val="24"/>
          <w:szCs w:val="24"/>
        </w:rPr>
        <w:t>:  </w:t>
      </w:r>
    </w:p>
    <w:p w14:paraId="2E62D7F2" w14:textId="5D777F95" w:rsidR="002C1AB7" w:rsidRPr="00D543D4" w:rsidRDefault="7651026B" w:rsidP="001507B3">
      <w:pPr>
        <w:spacing w:after="0" w:line="240" w:lineRule="auto"/>
        <w:jc w:val="both"/>
        <w:textAlignment w:val="baseline"/>
        <w:rPr>
          <w:rFonts w:ascii="Times New Roman" w:eastAsia="Times New Roman" w:hAnsi="Times New Roman" w:cs="Times New Roman"/>
          <w:color w:val="000000"/>
          <w:shd w:val="clear" w:color="auto" w:fill="FFFFFF"/>
        </w:rPr>
      </w:pPr>
      <w:r w:rsidRPr="00D543D4">
        <w:rPr>
          <w:rFonts w:ascii="Times New Roman" w:eastAsia="Times New Roman" w:hAnsi="Times New Roman" w:cs="Times New Roman"/>
          <w:color w:val="000000"/>
          <w:shd w:val="clear" w:color="auto" w:fill="FFFFFF"/>
        </w:rPr>
        <w:t xml:space="preserve">As donor </w:t>
      </w:r>
      <w:r w:rsidR="55028079" w:rsidRPr="00D543D4">
        <w:rPr>
          <w:rFonts w:ascii="Times New Roman" w:eastAsia="Times New Roman" w:hAnsi="Times New Roman" w:cs="Times New Roman"/>
          <w:color w:val="000000"/>
          <w:shd w:val="clear" w:color="auto" w:fill="FFFFFF"/>
        </w:rPr>
        <w:t xml:space="preserve">aid </w:t>
      </w:r>
      <w:r w:rsidRPr="00D543D4">
        <w:rPr>
          <w:rFonts w:ascii="Times New Roman" w:eastAsia="Times New Roman" w:hAnsi="Times New Roman" w:cs="Times New Roman"/>
          <w:color w:val="000000"/>
          <w:shd w:val="clear" w:color="auto" w:fill="FFFFFF"/>
        </w:rPr>
        <w:t>p</w:t>
      </w:r>
      <w:r w:rsidR="008E3BCF" w:rsidRPr="00D543D4">
        <w:rPr>
          <w:rFonts w:ascii="Times New Roman" w:eastAsia="Times New Roman" w:hAnsi="Times New Roman" w:cs="Times New Roman"/>
          <w:color w:val="000000"/>
          <w:shd w:val="clear" w:color="auto" w:fill="FFFFFF"/>
        </w:rPr>
        <w:t>olicy priorities</w:t>
      </w:r>
      <w:r w:rsidR="3E3280F4" w:rsidRPr="00D543D4">
        <w:rPr>
          <w:rFonts w:ascii="Times New Roman" w:eastAsia="Times New Roman" w:hAnsi="Times New Roman" w:cs="Times New Roman"/>
          <w:color w:val="000000"/>
          <w:shd w:val="clear" w:color="auto" w:fill="FFFFFF"/>
        </w:rPr>
        <w:t xml:space="preserve"> change over time</w:t>
      </w:r>
      <w:r w:rsidR="008E3BCF" w:rsidRPr="00D543D4">
        <w:rPr>
          <w:rFonts w:ascii="Times New Roman" w:eastAsia="Times New Roman" w:hAnsi="Times New Roman" w:cs="Times New Roman"/>
          <w:color w:val="000000"/>
          <w:shd w:val="clear" w:color="auto" w:fill="FFFFFF"/>
        </w:rPr>
        <w:t xml:space="preserve">, </w:t>
      </w:r>
      <w:r w:rsidR="002C1AB7" w:rsidRPr="00D543D4">
        <w:rPr>
          <w:rFonts w:ascii="Times New Roman" w:eastAsia="Times New Roman" w:hAnsi="Times New Roman" w:cs="Times New Roman"/>
          <w:color w:val="000000"/>
          <w:shd w:val="clear" w:color="auto" w:fill="FFFFFF"/>
        </w:rPr>
        <w:t>funding priorities</w:t>
      </w:r>
      <w:r w:rsidR="7CB798CF" w:rsidRPr="00D543D4">
        <w:rPr>
          <w:rFonts w:ascii="Times New Roman" w:eastAsia="Times New Roman" w:hAnsi="Times New Roman" w:cs="Times New Roman"/>
          <w:color w:val="000000"/>
          <w:shd w:val="clear" w:color="auto" w:fill="FFFFFF"/>
        </w:rPr>
        <w:t xml:space="preserve"> also shift </w:t>
      </w:r>
      <w:r w:rsidR="0001093C" w:rsidRPr="00D543D4">
        <w:rPr>
          <w:rFonts w:ascii="Times New Roman" w:eastAsia="Times New Roman" w:hAnsi="Times New Roman" w:cs="Times New Roman"/>
          <w:color w:val="000000"/>
          <w:shd w:val="clear" w:color="auto" w:fill="FFFFFF"/>
        </w:rPr>
        <w:t>affect</w:t>
      </w:r>
      <w:r w:rsidR="28ACECF7" w:rsidRPr="00D543D4">
        <w:rPr>
          <w:rFonts w:ascii="Times New Roman" w:eastAsia="Times New Roman" w:hAnsi="Times New Roman" w:cs="Times New Roman"/>
          <w:color w:val="000000"/>
          <w:shd w:val="clear" w:color="auto" w:fill="FFFFFF"/>
        </w:rPr>
        <w:t>ing</w:t>
      </w:r>
      <w:r w:rsidR="0001093C" w:rsidRPr="00D543D4">
        <w:rPr>
          <w:rFonts w:ascii="Times New Roman" w:eastAsia="Times New Roman" w:hAnsi="Times New Roman" w:cs="Times New Roman"/>
          <w:color w:val="000000"/>
          <w:shd w:val="clear" w:color="auto" w:fill="FFFFFF"/>
        </w:rPr>
        <w:t xml:space="preserve"> the availability, stability, and allocation of </w:t>
      </w:r>
      <w:r w:rsidR="0472AAB8" w:rsidRPr="00D543D4">
        <w:rPr>
          <w:rFonts w:ascii="Times New Roman" w:eastAsia="Times New Roman" w:hAnsi="Times New Roman" w:cs="Times New Roman"/>
          <w:color w:val="000000"/>
          <w:shd w:val="clear" w:color="auto" w:fill="FFFFFF"/>
        </w:rPr>
        <w:t xml:space="preserve">core </w:t>
      </w:r>
      <w:r w:rsidR="0001093C" w:rsidRPr="00D543D4">
        <w:rPr>
          <w:rFonts w:ascii="Times New Roman" w:eastAsia="Times New Roman" w:hAnsi="Times New Roman" w:cs="Times New Roman"/>
          <w:color w:val="000000"/>
          <w:shd w:val="clear" w:color="auto" w:fill="FFFFFF"/>
        </w:rPr>
        <w:t xml:space="preserve">resources. </w:t>
      </w:r>
      <w:r w:rsidR="00831A7C" w:rsidRPr="00D543D4">
        <w:rPr>
          <w:rFonts w:ascii="Times New Roman" w:eastAsia="Times New Roman" w:hAnsi="Times New Roman" w:cs="Times New Roman"/>
          <w:color w:val="000000"/>
          <w:shd w:val="clear" w:color="auto" w:fill="FFFFFF"/>
        </w:rPr>
        <w:t xml:space="preserve">For instance, as </w:t>
      </w:r>
      <w:r w:rsidR="00F718C6" w:rsidRPr="00D543D4">
        <w:rPr>
          <w:rFonts w:ascii="Times New Roman" w:eastAsia="Times New Roman" w:hAnsi="Times New Roman" w:cs="Times New Roman"/>
          <w:color w:val="000000"/>
          <w:shd w:val="clear" w:color="auto" w:fill="FFFFFF"/>
        </w:rPr>
        <w:t xml:space="preserve">media attention and </w:t>
      </w:r>
      <w:r w:rsidR="00831A7C" w:rsidRPr="00D543D4">
        <w:rPr>
          <w:rFonts w:ascii="Times New Roman" w:eastAsia="Times New Roman" w:hAnsi="Times New Roman" w:cs="Times New Roman"/>
          <w:color w:val="000000"/>
          <w:shd w:val="clear" w:color="auto" w:fill="FFFFFF"/>
        </w:rPr>
        <w:t xml:space="preserve">public </w:t>
      </w:r>
      <w:r w:rsidR="00F718C6" w:rsidRPr="00D543D4">
        <w:rPr>
          <w:rFonts w:ascii="Times New Roman" w:eastAsia="Times New Roman" w:hAnsi="Times New Roman" w:cs="Times New Roman"/>
          <w:color w:val="000000"/>
          <w:shd w:val="clear" w:color="auto" w:fill="FFFFFF"/>
        </w:rPr>
        <w:t xml:space="preserve">interest focus on </w:t>
      </w:r>
      <w:r w:rsidR="002C1AB7" w:rsidRPr="00D543D4">
        <w:rPr>
          <w:rFonts w:ascii="Times New Roman" w:eastAsia="Times New Roman" w:hAnsi="Times New Roman" w:cs="Times New Roman"/>
          <w:color w:val="000000"/>
          <w:shd w:val="clear" w:color="auto" w:fill="FFFFFF"/>
        </w:rPr>
        <w:t xml:space="preserve">emerging issues such as climate change, humanitarian crises, or security concerns, </w:t>
      </w:r>
      <w:r w:rsidR="00EC0431" w:rsidRPr="00D543D4">
        <w:rPr>
          <w:rFonts w:ascii="Times New Roman" w:eastAsia="Times New Roman" w:hAnsi="Times New Roman" w:cs="Times New Roman"/>
          <w:color w:val="000000"/>
          <w:shd w:val="clear" w:color="auto" w:fill="FFFFFF"/>
        </w:rPr>
        <w:t xml:space="preserve">government policies change </w:t>
      </w:r>
      <w:r w:rsidR="448800D5" w:rsidRPr="00D543D4">
        <w:rPr>
          <w:rFonts w:ascii="Times New Roman" w:eastAsia="Times New Roman" w:hAnsi="Times New Roman" w:cs="Times New Roman"/>
          <w:color w:val="000000"/>
          <w:shd w:val="clear" w:color="auto" w:fill="FFFFFF"/>
        </w:rPr>
        <w:t>as w</w:t>
      </w:r>
      <w:r w:rsidR="73A983A1" w:rsidRPr="00D543D4">
        <w:rPr>
          <w:rFonts w:ascii="Times New Roman" w:eastAsia="Times New Roman" w:hAnsi="Times New Roman" w:cs="Times New Roman"/>
          <w:color w:val="000000"/>
          <w:shd w:val="clear" w:color="auto" w:fill="FFFFFF"/>
        </w:rPr>
        <w:t>ell</w:t>
      </w:r>
      <w:r w:rsidR="002C1AB7" w:rsidRPr="00D543D4">
        <w:rPr>
          <w:rFonts w:ascii="Times New Roman" w:eastAsia="Times New Roman" w:hAnsi="Times New Roman" w:cs="Times New Roman"/>
          <w:color w:val="000000"/>
          <w:shd w:val="clear" w:color="auto" w:fill="FFFFFF"/>
        </w:rPr>
        <w:t xml:space="preserve">. </w:t>
      </w:r>
      <w:r w:rsidR="1A39754B" w:rsidRPr="00D543D4">
        <w:rPr>
          <w:rFonts w:ascii="Times New Roman" w:eastAsia="Times New Roman" w:hAnsi="Times New Roman" w:cs="Times New Roman"/>
          <w:color w:val="000000"/>
          <w:shd w:val="clear" w:color="auto" w:fill="FFFFFF"/>
        </w:rPr>
        <w:t xml:space="preserve">Complex and multiple </w:t>
      </w:r>
      <w:r w:rsidR="002C1AB7" w:rsidRPr="00D543D4">
        <w:rPr>
          <w:rFonts w:ascii="Times New Roman" w:eastAsia="Times New Roman" w:hAnsi="Times New Roman" w:cs="Times New Roman"/>
          <w:color w:val="000000"/>
          <w:shd w:val="clear" w:color="auto" w:fill="FFFFFF"/>
        </w:rPr>
        <w:t>global challenges divert attention and resources away from long-</w:t>
      </w:r>
      <w:r w:rsidR="002C1AB7" w:rsidRPr="00D543D4">
        <w:rPr>
          <w:rFonts w:ascii="Times New Roman" w:eastAsia="Times New Roman" w:hAnsi="Times New Roman" w:cs="Times New Roman"/>
          <w:color w:val="000000"/>
          <w:shd w:val="clear" w:color="auto" w:fill="FFFFFF"/>
        </w:rPr>
        <w:lastRenderedPageBreak/>
        <w:t xml:space="preserve">term development. </w:t>
      </w:r>
      <w:r w:rsidR="00963930" w:rsidRPr="00D543D4">
        <w:rPr>
          <w:rFonts w:ascii="Times New Roman" w:eastAsia="Times New Roman" w:hAnsi="Times New Roman" w:cs="Times New Roman"/>
          <w:color w:val="000000"/>
          <w:shd w:val="clear" w:color="auto" w:fill="FFFFFF"/>
        </w:rPr>
        <w:t xml:space="preserve">For instance, the ongoing war in Ukraine </w:t>
      </w:r>
      <w:r w:rsidR="003675DF" w:rsidRPr="00D543D4">
        <w:rPr>
          <w:rFonts w:ascii="Times New Roman" w:eastAsia="Times New Roman" w:hAnsi="Times New Roman" w:cs="Times New Roman"/>
          <w:color w:val="000000"/>
          <w:shd w:val="clear" w:color="auto" w:fill="FFFFFF"/>
        </w:rPr>
        <w:t xml:space="preserve">brought about major changes in ODA allocation and disbursement. </w:t>
      </w:r>
      <w:r w:rsidR="00642544" w:rsidRPr="00D543D4">
        <w:rPr>
          <w:rFonts w:ascii="Times New Roman" w:eastAsia="Times New Roman" w:hAnsi="Times New Roman" w:cs="Times New Roman"/>
          <w:color w:val="000000"/>
          <w:shd w:val="clear" w:color="auto" w:fill="FFFFFF"/>
        </w:rPr>
        <w:t>OECD-DAC donors spen</w:t>
      </w:r>
      <w:r w:rsidR="00485B0D" w:rsidRPr="00D543D4">
        <w:rPr>
          <w:rFonts w:ascii="Times New Roman" w:eastAsia="Times New Roman" w:hAnsi="Times New Roman" w:cs="Times New Roman"/>
          <w:color w:val="000000"/>
          <w:shd w:val="clear" w:color="auto" w:fill="FFFFFF"/>
        </w:rPr>
        <w:t>t US$</w:t>
      </w:r>
      <w:r w:rsidR="00E169D7" w:rsidRPr="00D543D4">
        <w:rPr>
          <w:rFonts w:ascii="Times New Roman" w:eastAsia="Times New Roman" w:hAnsi="Times New Roman" w:cs="Times New Roman"/>
          <w:color w:val="000000"/>
          <w:shd w:val="clear" w:color="auto" w:fill="FFFFFF"/>
        </w:rPr>
        <w:t>29</w:t>
      </w:r>
      <w:r w:rsidR="00485B0D" w:rsidRPr="00D543D4">
        <w:rPr>
          <w:rFonts w:ascii="Times New Roman" w:eastAsia="Times New Roman" w:hAnsi="Times New Roman" w:cs="Times New Roman"/>
          <w:color w:val="000000"/>
          <w:shd w:val="clear" w:color="auto" w:fill="FFFFFF"/>
        </w:rPr>
        <w:t xml:space="preserve"> billion (1</w:t>
      </w:r>
      <w:r w:rsidR="00E169D7" w:rsidRPr="00D543D4">
        <w:rPr>
          <w:rFonts w:ascii="Times New Roman" w:eastAsia="Times New Roman" w:hAnsi="Times New Roman" w:cs="Times New Roman"/>
          <w:color w:val="000000"/>
          <w:shd w:val="clear" w:color="auto" w:fill="FFFFFF"/>
        </w:rPr>
        <w:t>4</w:t>
      </w:r>
      <w:r w:rsidR="00485B0D" w:rsidRPr="00D543D4">
        <w:rPr>
          <w:rFonts w:ascii="Times New Roman" w:eastAsia="Times New Roman" w:hAnsi="Times New Roman" w:cs="Times New Roman"/>
          <w:color w:val="000000"/>
          <w:shd w:val="clear" w:color="auto" w:fill="FFFFFF"/>
        </w:rPr>
        <w:t xml:space="preserve">% of total </w:t>
      </w:r>
      <w:r w:rsidR="00E86065" w:rsidRPr="00D543D4">
        <w:rPr>
          <w:rFonts w:ascii="Times New Roman" w:eastAsia="Times New Roman" w:hAnsi="Times New Roman" w:cs="Times New Roman"/>
          <w:color w:val="000000"/>
          <w:shd w:val="clear" w:color="auto" w:fill="FFFFFF"/>
        </w:rPr>
        <w:t xml:space="preserve">ODA) to </w:t>
      </w:r>
      <w:r w:rsidR="009E0784">
        <w:rPr>
          <w:rFonts w:ascii="Times New Roman" w:eastAsia="Times New Roman" w:hAnsi="Times New Roman" w:cs="Times New Roman"/>
          <w:color w:val="000000"/>
          <w:shd w:val="clear" w:color="auto" w:fill="FFFFFF"/>
        </w:rPr>
        <w:t xml:space="preserve">address </w:t>
      </w:r>
      <w:r w:rsidR="00E86065" w:rsidRPr="00D543D4">
        <w:rPr>
          <w:rFonts w:ascii="Times New Roman" w:eastAsia="Times New Roman" w:hAnsi="Times New Roman" w:cs="Times New Roman"/>
          <w:color w:val="000000"/>
          <w:shd w:val="clear" w:color="auto" w:fill="FFFFFF"/>
        </w:rPr>
        <w:t>in-donor refugee costs. While some donors like Germany</w:t>
      </w:r>
      <w:r w:rsidR="003B232B" w:rsidRPr="00D543D4">
        <w:rPr>
          <w:rFonts w:ascii="Times New Roman" w:eastAsia="Times New Roman" w:hAnsi="Times New Roman" w:cs="Times New Roman"/>
          <w:color w:val="000000"/>
          <w:shd w:val="clear" w:color="auto" w:fill="FFFFFF"/>
        </w:rPr>
        <w:t>, the Netherlands, Japan</w:t>
      </w:r>
      <w:r w:rsidR="00000786" w:rsidRPr="00D543D4">
        <w:rPr>
          <w:rFonts w:ascii="Times New Roman" w:eastAsia="Times New Roman" w:hAnsi="Times New Roman" w:cs="Times New Roman"/>
          <w:color w:val="000000"/>
          <w:shd w:val="clear" w:color="auto" w:fill="FFFFFF"/>
        </w:rPr>
        <w:t>,</w:t>
      </w:r>
      <w:r w:rsidR="003B232B" w:rsidRPr="00D543D4">
        <w:rPr>
          <w:rFonts w:ascii="Times New Roman" w:eastAsia="Times New Roman" w:hAnsi="Times New Roman" w:cs="Times New Roman"/>
          <w:color w:val="000000"/>
          <w:shd w:val="clear" w:color="auto" w:fill="FFFFFF"/>
        </w:rPr>
        <w:t xml:space="preserve"> and others </w:t>
      </w:r>
      <w:r w:rsidR="00E86065" w:rsidRPr="00D543D4">
        <w:rPr>
          <w:rFonts w:ascii="Times New Roman" w:eastAsia="Times New Roman" w:hAnsi="Times New Roman" w:cs="Times New Roman"/>
          <w:color w:val="000000"/>
          <w:shd w:val="clear" w:color="auto" w:fill="FFFFFF"/>
        </w:rPr>
        <w:t>mobilized additional budget</w:t>
      </w:r>
      <w:r w:rsidR="003B232B" w:rsidRPr="00D543D4">
        <w:rPr>
          <w:rFonts w:ascii="Times New Roman" w:eastAsia="Times New Roman" w:hAnsi="Times New Roman" w:cs="Times New Roman"/>
          <w:color w:val="000000"/>
          <w:shd w:val="clear" w:color="auto" w:fill="FFFFFF"/>
        </w:rPr>
        <w:t>s</w:t>
      </w:r>
      <w:r w:rsidR="00E86065" w:rsidRPr="00D543D4">
        <w:rPr>
          <w:rFonts w:ascii="Times New Roman" w:eastAsia="Times New Roman" w:hAnsi="Times New Roman" w:cs="Times New Roman"/>
          <w:color w:val="000000"/>
          <w:shd w:val="clear" w:color="auto" w:fill="FFFFFF"/>
        </w:rPr>
        <w:t xml:space="preserve"> to offset in-donor refugee costs, many </w:t>
      </w:r>
      <w:r w:rsidR="003B232B" w:rsidRPr="00D543D4">
        <w:rPr>
          <w:rFonts w:ascii="Times New Roman" w:eastAsia="Times New Roman" w:hAnsi="Times New Roman" w:cs="Times New Roman"/>
          <w:color w:val="000000"/>
          <w:shd w:val="clear" w:color="auto" w:fill="FFFFFF"/>
        </w:rPr>
        <w:t>other</w:t>
      </w:r>
      <w:r w:rsidR="52FBF63A" w:rsidRPr="00D543D4">
        <w:rPr>
          <w:rFonts w:ascii="Times New Roman" w:eastAsia="Times New Roman" w:hAnsi="Times New Roman" w:cs="Times New Roman"/>
          <w:color w:val="000000"/>
          <w:shd w:val="clear" w:color="auto" w:fill="FFFFFF"/>
        </w:rPr>
        <w:t>s</w:t>
      </w:r>
      <w:r w:rsidR="003B232B" w:rsidRPr="00D543D4">
        <w:rPr>
          <w:rFonts w:ascii="Times New Roman" w:eastAsia="Times New Roman" w:hAnsi="Times New Roman" w:cs="Times New Roman"/>
          <w:color w:val="000000"/>
          <w:shd w:val="clear" w:color="auto" w:fill="FFFFFF"/>
        </w:rPr>
        <w:t xml:space="preserve"> </w:t>
      </w:r>
      <w:r w:rsidR="00E86065" w:rsidRPr="00D543D4">
        <w:rPr>
          <w:rFonts w:ascii="Times New Roman" w:eastAsia="Times New Roman" w:hAnsi="Times New Roman" w:cs="Times New Roman"/>
          <w:color w:val="000000"/>
          <w:shd w:val="clear" w:color="auto" w:fill="FFFFFF"/>
        </w:rPr>
        <w:t xml:space="preserve">decided to </w:t>
      </w:r>
      <w:r w:rsidR="009E0784">
        <w:rPr>
          <w:rFonts w:ascii="Times New Roman" w:eastAsia="Times New Roman" w:hAnsi="Times New Roman" w:cs="Times New Roman"/>
          <w:color w:val="000000"/>
          <w:shd w:val="clear" w:color="auto" w:fill="FFFFFF"/>
        </w:rPr>
        <w:t xml:space="preserve">utilize resources from </w:t>
      </w:r>
      <w:r w:rsidR="00682B17" w:rsidRPr="00D543D4">
        <w:rPr>
          <w:rFonts w:ascii="Times New Roman" w:eastAsia="Times New Roman" w:hAnsi="Times New Roman" w:cs="Times New Roman"/>
          <w:color w:val="000000"/>
          <w:shd w:val="clear" w:color="auto" w:fill="FFFFFF"/>
        </w:rPr>
        <w:t>their</w:t>
      </w:r>
      <w:r w:rsidR="00E86065" w:rsidRPr="00D543D4">
        <w:rPr>
          <w:rFonts w:ascii="Times New Roman" w:eastAsia="Times New Roman" w:hAnsi="Times New Roman" w:cs="Times New Roman"/>
          <w:color w:val="000000"/>
          <w:shd w:val="clear" w:color="auto" w:fill="FFFFFF"/>
        </w:rPr>
        <w:t xml:space="preserve"> existing ODA</w:t>
      </w:r>
      <w:r w:rsidR="00000786" w:rsidRPr="00D543D4">
        <w:rPr>
          <w:rFonts w:ascii="Times New Roman" w:eastAsia="Times New Roman" w:hAnsi="Times New Roman" w:cs="Times New Roman"/>
          <w:color w:val="000000"/>
          <w:shd w:val="clear" w:color="auto" w:fill="FFFFFF"/>
        </w:rPr>
        <w:t xml:space="preserve"> budget.</w:t>
      </w:r>
    </w:p>
    <w:p w14:paraId="0EF38BD9" w14:textId="77777777" w:rsidR="002C1AB7" w:rsidRPr="00D543D4" w:rsidRDefault="002C1AB7" w:rsidP="001507B3">
      <w:pPr>
        <w:spacing w:after="0" w:line="240" w:lineRule="auto"/>
        <w:jc w:val="both"/>
        <w:textAlignment w:val="baseline"/>
        <w:rPr>
          <w:rFonts w:ascii="Times New Roman" w:eastAsia="Times New Roman" w:hAnsi="Times New Roman" w:cs="Times New Roman"/>
          <w:color w:val="000000"/>
          <w:shd w:val="clear" w:color="auto" w:fill="FFFFFF"/>
        </w:rPr>
      </w:pPr>
    </w:p>
    <w:p w14:paraId="1777FC12" w14:textId="16AA7089" w:rsidR="00735955" w:rsidRPr="00D543D4" w:rsidRDefault="004D08E7" w:rsidP="001507B3">
      <w:pPr>
        <w:spacing w:after="0" w:line="240" w:lineRule="auto"/>
        <w:jc w:val="both"/>
        <w:textAlignment w:val="baseline"/>
        <w:rPr>
          <w:rFonts w:ascii="Times New Roman" w:eastAsia="Times New Roman" w:hAnsi="Times New Roman" w:cs="Times New Roman"/>
          <w:color w:val="000000"/>
          <w:shd w:val="clear" w:color="auto" w:fill="FFFFFF"/>
        </w:rPr>
      </w:pPr>
      <w:r w:rsidRPr="00D543D4">
        <w:rPr>
          <w:rFonts w:ascii="Times New Roman" w:eastAsia="Times New Roman" w:hAnsi="Times New Roman" w:cs="Times New Roman"/>
          <w:color w:val="000000"/>
          <w:shd w:val="clear" w:color="auto" w:fill="FFFFFF"/>
        </w:rPr>
        <w:t xml:space="preserve">Different governments have </w:t>
      </w:r>
      <w:r w:rsidR="37B16E5A" w:rsidRPr="00D543D4">
        <w:rPr>
          <w:rFonts w:ascii="Times New Roman" w:eastAsia="Times New Roman" w:hAnsi="Times New Roman" w:cs="Times New Roman"/>
          <w:color w:val="000000"/>
          <w:shd w:val="clear" w:color="auto" w:fill="FFFFFF"/>
        </w:rPr>
        <w:t>differing</w:t>
      </w:r>
      <w:r w:rsidRPr="00D543D4">
        <w:rPr>
          <w:rFonts w:ascii="Times New Roman" w:eastAsia="Times New Roman" w:hAnsi="Times New Roman" w:cs="Times New Roman"/>
          <w:color w:val="000000"/>
          <w:shd w:val="clear" w:color="auto" w:fill="FFFFFF"/>
        </w:rPr>
        <w:t xml:space="preserve"> views on the role of international development and the extent of their financial commitments. Shifting political ideologies can result in funding strateg</w:t>
      </w:r>
      <w:r w:rsidR="0076B06A" w:rsidRPr="00D543D4">
        <w:rPr>
          <w:rFonts w:ascii="Times New Roman" w:eastAsia="Times New Roman" w:hAnsi="Times New Roman" w:cs="Times New Roman"/>
          <w:color w:val="000000"/>
          <w:shd w:val="clear" w:color="auto" w:fill="FFFFFF"/>
        </w:rPr>
        <w:t>y adjustments</w:t>
      </w:r>
      <w:r w:rsidRPr="00D543D4">
        <w:rPr>
          <w:rFonts w:ascii="Times New Roman" w:eastAsia="Times New Roman" w:hAnsi="Times New Roman" w:cs="Times New Roman"/>
          <w:color w:val="000000"/>
          <w:shd w:val="clear" w:color="auto" w:fill="FFFFFF"/>
        </w:rPr>
        <w:t xml:space="preserve">, including </w:t>
      </w:r>
      <w:r w:rsidR="00682B17" w:rsidRPr="00D543D4">
        <w:rPr>
          <w:rFonts w:ascii="Times New Roman" w:eastAsia="Times New Roman" w:hAnsi="Times New Roman" w:cs="Times New Roman"/>
          <w:color w:val="000000"/>
          <w:shd w:val="clear" w:color="auto" w:fill="FFFFFF"/>
        </w:rPr>
        <w:t xml:space="preserve">a </w:t>
      </w:r>
      <w:r w:rsidRPr="00D543D4">
        <w:rPr>
          <w:rFonts w:ascii="Times New Roman" w:eastAsia="Times New Roman" w:hAnsi="Times New Roman" w:cs="Times New Roman"/>
          <w:color w:val="000000"/>
          <w:shd w:val="clear" w:color="auto" w:fill="FFFFFF"/>
        </w:rPr>
        <w:t>reduced emphasis on core funding</w:t>
      </w:r>
      <w:r w:rsidR="387BD8B3" w:rsidRPr="00D543D4">
        <w:rPr>
          <w:rFonts w:ascii="Times New Roman" w:eastAsia="Times New Roman" w:hAnsi="Times New Roman" w:cs="Times New Roman"/>
          <w:color w:val="000000"/>
          <w:shd w:val="clear" w:color="auto" w:fill="FFFFFF"/>
        </w:rPr>
        <w:t xml:space="preserve"> leading to </w:t>
      </w:r>
      <w:r w:rsidR="637B3FBC" w:rsidRPr="00D543D4">
        <w:rPr>
          <w:rFonts w:ascii="Times New Roman" w:eastAsia="Times New Roman" w:hAnsi="Times New Roman" w:cs="Times New Roman"/>
          <w:color w:val="000000"/>
          <w:shd w:val="clear" w:color="auto" w:fill="FFFFFF"/>
        </w:rPr>
        <w:t xml:space="preserve">future funding </w:t>
      </w:r>
      <w:r w:rsidR="006A3542" w:rsidRPr="00D543D4">
        <w:rPr>
          <w:rFonts w:ascii="Times New Roman" w:eastAsia="Times New Roman" w:hAnsi="Times New Roman" w:cs="Times New Roman"/>
          <w:color w:val="000000"/>
          <w:shd w:val="clear" w:color="auto" w:fill="FFFFFF"/>
        </w:rPr>
        <w:t>uncertainty</w:t>
      </w:r>
      <w:r w:rsidR="218F2C06" w:rsidRPr="00D543D4">
        <w:rPr>
          <w:rFonts w:ascii="Times New Roman" w:eastAsia="Times New Roman" w:hAnsi="Times New Roman" w:cs="Times New Roman"/>
          <w:color w:val="000000"/>
          <w:shd w:val="clear" w:color="auto" w:fill="FFFFFF"/>
        </w:rPr>
        <w:t>,</w:t>
      </w:r>
      <w:r w:rsidR="006A3542" w:rsidRPr="00D543D4">
        <w:rPr>
          <w:rFonts w:ascii="Times New Roman" w:eastAsia="Times New Roman" w:hAnsi="Times New Roman" w:cs="Times New Roman"/>
          <w:color w:val="000000"/>
          <w:shd w:val="clear" w:color="auto" w:fill="FFFFFF"/>
        </w:rPr>
        <w:t xml:space="preserve"> making it difficult for development agencies to plan and implement long-term initiatives effectively.</w:t>
      </w:r>
    </w:p>
    <w:p w14:paraId="78490714" w14:textId="77777777" w:rsidR="004D08E7" w:rsidRPr="00D543D4" w:rsidRDefault="004D08E7" w:rsidP="001507B3">
      <w:pPr>
        <w:spacing w:after="0" w:line="240" w:lineRule="auto"/>
        <w:jc w:val="both"/>
        <w:textAlignment w:val="baseline"/>
        <w:rPr>
          <w:rFonts w:ascii="Times New Roman" w:eastAsia="Times New Roman" w:hAnsi="Times New Roman" w:cs="Times New Roman"/>
          <w:color w:val="000000"/>
          <w:shd w:val="clear" w:color="auto" w:fill="FFFFFF"/>
        </w:rPr>
      </w:pPr>
    </w:p>
    <w:p w14:paraId="22FA1882" w14:textId="4D1B1D0C" w:rsidR="00297F62" w:rsidRPr="00D543D4" w:rsidRDefault="001507B3" w:rsidP="001507B3">
      <w:pPr>
        <w:spacing w:after="0" w:line="240" w:lineRule="auto"/>
        <w:jc w:val="both"/>
        <w:textAlignment w:val="baseline"/>
        <w:rPr>
          <w:rFonts w:ascii="Times New Roman" w:eastAsia="Times New Roman" w:hAnsi="Times New Roman" w:cs="Times New Roman"/>
          <w:color w:val="000000"/>
          <w:shd w:val="clear" w:color="auto" w:fill="FFFFFF"/>
        </w:rPr>
      </w:pPr>
      <w:r w:rsidRPr="00D543D4">
        <w:rPr>
          <w:rFonts w:ascii="Times New Roman" w:eastAsia="Times New Roman" w:hAnsi="Times New Roman" w:cs="Times New Roman"/>
          <w:color w:val="000000"/>
          <w:shd w:val="clear" w:color="auto" w:fill="FFFFFF"/>
        </w:rPr>
        <w:t xml:space="preserve">Another </w:t>
      </w:r>
      <w:r w:rsidR="1C883A3E" w:rsidRPr="00D543D4">
        <w:rPr>
          <w:rFonts w:ascii="Times New Roman" w:eastAsia="Times New Roman" w:hAnsi="Times New Roman" w:cs="Times New Roman"/>
          <w:color w:val="000000"/>
          <w:shd w:val="clear" w:color="auto" w:fill="FFFFFF"/>
        </w:rPr>
        <w:t>po</w:t>
      </w:r>
      <w:r w:rsidR="16A5D5FC" w:rsidRPr="00D543D4">
        <w:rPr>
          <w:rFonts w:ascii="Times New Roman" w:eastAsia="Times New Roman" w:hAnsi="Times New Roman" w:cs="Times New Roman"/>
          <w:color w:val="000000"/>
          <w:shd w:val="clear" w:color="auto" w:fill="FFFFFF"/>
        </w:rPr>
        <w:t xml:space="preserve">licy </w:t>
      </w:r>
      <w:r w:rsidR="1C883A3E" w:rsidRPr="00D543D4">
        <w:rPr>
          <w:rFonts w:ascii="Times New Roman" w:eastAsia="Times New Roman" w:hAnsi="Times New Roman" w:cs="Times New Roman"/>
          <w:color w:val="000000"/>
          <w:shd w:val="clear" w:color="auto" w:fill="FFFFFF"/>
        </w:rPr>
        <w:t xml:space="preserve">factor is </w:t>
      </w:r>
      <w:r w:rsidR="70D5724E" w:rsidRPr="00D543D4">
        <w:rPr>
          <w:rFonts w:ascii="Times New Roman" w:eastAsia="Times New Roman" w:hAnsi="Times New Roman" w:cs="Times New Roman"/>
          <w:color w:val="000000"/>
          <w:shd w:val="clear" w:color="auto" w:fill="FFFFFF"/>
        </w:rPr>
        <w:t xml:space="preserve">when </w:t>
      </w:r>
      <w:r w:rsidR="00F41147" w:rsidRPr="00D543D4">
        <w:rPr>
          <w:rFonts w:ascii="Times New Roman" w:eastAsia="Times New Roman" w:hAnsi="Times New Roman" w:cs="Times New Roman"/>
          <w:color w:val="000000"/>
          <w:shd w:val="clear" w:color="auto" w:fill="FFFFFF"/>
        </w:rPr>
        <w:t xml:space="preserve">some governments </w:t>
      </w:r>
      <w:r w:rsidR="028876A4" w:rsidRPr="00D543D4">
        <w:rPr>
          <w:rFonts w:ascii="Times New Roman" w:eastAsia="Times New Roman" w:hAnsi="Times New Roman" w:cs="Times New Roman"/>
          <w:color w:val="000000"/>
          <w:shd w:val="clear" w:color="auto" w:fill="FFFFFF"/>
        </w:rPr>
        <w:t>us</w:t>
      </w:r>
      <w:r w:rsidR="00F41147" w:rsidRPr="00D543D4">
        <w:rPr>
          <w:rFonts w:ascii="Times New Roman" w:eastAsia="Times New Roman" w:hAnsi="Times New Roman" w:cs="Times New Roman"/>
          <w:color w:val="000000"/>
          <w:shd w:val="clear" w:color="auto" w:fill="FFFFFF"/>
        </w:rPr>
        <w:t xml:space="preserve">e </w:t>
      </w:r>
      <w:r w:rsidRPr="00D543D4">
        <w:rPr>
          <w:rFonts w:ascii="Times New Roman" w:eastAsia="Times New Roman" w:hAnsi="Times New Roman" w:cs="Times New Roman"/>
          <w:color w:val="000000"/>
          <w:shd w:val="clear" w:color="auto" w:fill="FFFFFF"/>
        </w:rPr>
        <w:t xml:space="preserve">earmarking </w:t>
      </w:r>
      <w:r w:rsidR="00F41147" w:rsidRPr="00D543D4">
        <w:rPr>
          <w:rFonts w:ascii="Times New Roman" w:eastAsia="Times New Roman" w:hAnsi="Times New Roman" w:cs="Times New Roman"/>
          <w:color w:val="000000"/>
          <w:shd w:val="clear" w:color="auto" w:fill="FFFFFF"/>
        </w:rPr>
        <w:t>as</w:t>
      </w:r>
      <w:r w:rsidRPr="00D543D4">
        <w:rPr>
          <w:rFonts w:ascii="Times New Roman" w:eastAsia="Times New Roman" w:hAnsi="Times New Roman" w:cs="Times New Roman"/>
          <w:color w:val="000000"/>
          <w:shd w:val="clear" w:color="auto" w:fill="FFFFFF"/>
        </w:rPr>
        <w:t xml:space="preserve"> a strategy to indirectly influence the activities of partner agencies, </w:t>
      </w:r>
      <w:r w:rsidR="4420902B" w:rsidRPr="00D543D4">
        <w:rPr>
          <w:rFonts w:ascii="Times New Roman" w:eastAsia="Times New Roman" w:hAnsi="Times New Roman" w:cs="Times New Roman"/>
          <w:color w:val="000000"/>
          <w:shd w:val="clear" w:color="auto" w:fill="FFFFFF"/>
        </w:rPr>
        <w:t xml:space="preserve">to </w:t>
      </w:r>
      <w:r w:rsidRPr="00D543D4">
        <w:rPr>
          <w:rFonts w:ascii="Times New Roman" w:eastAsia="Times New Roman" w:hAnsi="Times New Roman" w:cs="Times New Roman"/>
          <w:color w:val="000000"/>
          <w:shd w:val="clear" w:color="auto" w:fill="FFFFFF"/>
        </w:rPr>
        <w:t xml:space="preserve">align with their own interests. </w:t>
      </w:r>
      <w:r w:rsidR="767C7AB6" w:rsidRPr="00D543D4">
        <w:rPr>
          <w:rFonts w:ascii="Times New Roman" w:eastAsia="Times New Roman" w:hAnsi="Times New Roman" w:cs="Times New Roman"/>
          <w:color w:val="000000"/>
          <w:shd w:val="clear" w:color="auto" w:fill="FFFFFF"/>
        </w:rPr>
        <w:t>Yet a</w:t>
      </w:r>
      <w:r w:rsidR="007E5D00" w:rsidRPr="00D543D4">
        <w:rPr>
          <w:rFonts w:ascii="Times New Roman" w:eastAsia="Times New Roman" w:hAnsi="Times New Roman" w:cs="Times New Roman"/>
          <w:color w:val="000000"/>
          <w:shd w:val="clear" w:color="auto" w:fill="FFFFFF"/>
        </w:rPr>
        <w:t>nother involves the choice between grants and concessional loans.</w:t>
      </w:r>
      <w:r w:rsidR="007E5D00" w:rsidRPr="00D543D4">
        <w:rPr>
          <w:rFonts w:ascii="Times New Roman" w:hAnsi="Times New Roman" w:cs="Times New Roman"/>
        </w:rPr>
        <w:t xml:space="preserve"> Although </w:t>
      </w:r>
      <w:r w:rsidR="007E5D00" w:rsidRPr="00D543D4">
        <w:rPr>
          <w:rFonts w:ascii="Times New Roman" w:eastAsia="Times New Roman" w:hAnsi="Times New Roman" w:cs="Times New Roman"/>
          <w:color w:val="000000"/>
          <w:shd w:val="clear" w:color="auto" w:fill="FFFFFF"/>
        </w:rPr>
        <w:t>both instruments</w:t>
      </w:r>
      <w:r w:rsidR="55CEED4F" w:rsidRPr="00D543D4">
        <w:rPr>
          <w:rFonts w:ascii="Times New Roman" w:eastAsia="Times New Roman" w:hAnsi="Times New Roman" w:cs="Times New Roman"/>
          <w:color w:val="000000"/>
          <w:shd w:val="clear" w:color="auto" w:fill="FFFFFF"/>
        </w:rPr>
        <w:t xml:space="preserve"> </w:t>
      </w:r>
      <w:r w:rsidR="007E5D00" w:rsidRPr="00D543D4">
        <w:rPr>
          <w:rFonts w:ascii="Times New Roman" w:eastAsia="Times New Roman" w:hAnsi="Times New Roman" w:cs="Times New Roman"/>
          <w:color w:val="000000"/>
          <w:shd w:val="clear" w:color="auto" w:fill="FFFFFF"/>
        </w:rPr>
        <w:t xml:space="preserve">have their own merits as transfer modalities, funding channeled through loans is not eligible </w:t>
      </w:r>
      <w:r w:rsidR="0E0D3C1D" w:rsidRPr="00D543D4">
        <w:rPr>
          <w:rFonts w:ascii="Times New Roman" w:eastAsia="Times New Roman" w:hAnsi="Times New Roman" w:cs="Times New Roman"/>
          <w:color w:val="000000"/>
          <w:shd w:val="clear" w:color="auto" w:fill="FFFFFF"/>
        </w:rPr>
        <w:t>as</w:t>
      </w:r>
      <w:r w:rsidR="007E5D00" w:rsidRPr="00D543D4">
        <w:rPr>
          <w:rFonts w:ascii="Times New Roman" w:eastAsia="Times New Roman" w:hAnsi="Times New Roman" w:cs="Times New Roman"/>
          <w:color w:val="000000"/>
          <w:shd w:val="clear" w:color="auto" w:fill="FFFFFF"/>
        </w:rPr>
        <w:t xml:space="preserve"> core resources, </w:t>
      </w:r>
      <w:r w:rsidR="003E1CEB" w:rsidRPr="00D543D4">
        <w:rPr>
          <w:rFonts w:ascii="Times New Roman" w:eastAsia="Times New Roman" w:hAnsi="Times New Roman" w:cs="Times New Roman"/>
          <w:color w:val="000000"/>
          <w:shd w:val="clear" w:color="auto" w:fill="FFFFFF"/>
        </w:rPr>
        <w:t>impact</w:t>
      </w:r>
      <w:r w:rsidR="50473B72" w:rsidRPr="00D543D4">
        <w:rPr>
          <w:rFonts w:ascii="Times New Roman" w:eastAsia="Times New Roman" w:hAnsi="Times New Roman" w:cs="Times New Roman"/>
          <w:color w:val="000000"/>
          <w:shd w:val="clear" w:color="auto" w:fill="FFFFFF"/>
        </w:rPr>
        <w:t>ing</w:t>
      </w:r>
      <w:r w:rsidR="003E1CEB" w:rsidRPr="00D543D4">
        <w:rPr>
          <w:rFonts w:ascii="Times New Roman" w:eastAsia="Times New Roman" w:hAnsi="Times New Roman" w:cs="Times New Roman"/>
          <w:color w:val="000000"/>
          <w:shd w:val="clear" w:color="auto" w:fill="FFFFFF"/>
        </w:rPr>
        <w:t xml:space="preserve"> </w:t>
      </w:r>
      <w:r w:rsidR="003A0D45" w:rsidRPr="00D543D4">
        <w:rPr>
          <w:rFonts w:ascii="Times New Roman" w:eastAsia="Times New Roman" w:hAnsi="Times New Roman" w:cs="Times New Roman"/>
          <w:color w:val="000000"/>
          <w:shd w:val="clear" w:color="auto" w:fill="FFFFFF"/>
        </w:rPr>
        <w:t>agencies that</w:t>
      </w:r>
      <w:r w:rsidR="4CB2214E" w:rsidRPr="00D543D4">
        <w:rPr>
          <w:rFonts w:ascii="Times New Roman" w:eastAsia="Times New Roman" w:hAnsi="Times New Roman" w:cs="Times New Roman"/>
          <w:color w:val="000000"/>
          <w:shd w:val="clear" w:color="auto" w:fill="FFFFFF"/>
        </w:rPr>
        <w:t xml:space="preserve"> highly</w:t>
      </w:r>
      <w:r w:rsidR="003A0D45" w:rsidRPr="00D543D4">
        <w:rPr>
          <w:rFonts w:ascii="Times New Roman" w:eastAsia="Times New Roman" w:hAnsi="Times New Roman" w:cs="Times New Roman"/>
          <w:color w:val="000000"/>
          <w:shd w:val="clear" w:color="auto" w:fill="FFFFFF"/>
        </w:rPr>
        <w:t xml:space="preserve"> depend on core funding.</w:t>
      </w:r>
    </w:p>
    <w:p w14:paraId="42A3EC51" w14:textId="77777777" w:rsidR="00297F62" w:rsidRPr="00D543D4" w:rsidRDefault="00297F62" w:rsidP="001507B3">
      <w:pPr>
        <w:spacing w:after="0" w:line="240" w:lineRule="auto"/>
        <w:jc w:val="both"/>
        <w:textAlignment w:val="baseline"/>
        <w:rPr>
          <w:rFonts w:ascii="Times New Roman" w:eastAsia="Times New Roman" w:hAnsi="Times New Roman" w:cs="Times New Roman"/>
          <w:color w:val="000000"/>
          <w:shd w:val="clear" w:color="auto" w:fill="FFFFFF"/>
        </w:rPr>
      </w:pPr>
    </w:p>
    <w:p w14:paraId="20DBEC1F" w14:textId="2F2277F6" w:rsidR="001507B3" w:rsidRPr="00D543D4" w:rsidRDefault="001507B3" w:rsidP="001507B3">
      <w:pPr>
        <w:spacing w:after="0" w:line="240" w:lineRule="auto"/>
        <w:jc w:val="both"/>
        <w:textAlignment w:val="baseline"/>
        <w:rPr>
          <w:rFonts w:ascii="Times New Roman" w:eastAsia="Times New Roman" w:hAnsi="Times New Roman" w:cs="Times New Roman"/>
          <w:sz w:val="18"/>
          <w:szCs w:val="18"/>
        </w:rPr>
      </w:pPr>
      <w:r w:rsidRPr="00D543D4">
        <w:rPr>
          <w:rFonts w:ascii="Times New Roman" w:eastAsia="Times New Roman" w:hAnsi="Times New Roman" w:cs="Times New Roman"/>
          <w:color w:val="1F3763"/>
          <w:sz w:val="24"/>
          <w:szCs w:val="24"/>
        </w:rPr>
        <w:t>4) Perception</w:t>
      </w:r>
      <w:r w:rsidR="00B63503" w:rsidRPr="00D543D4">
        <w:rPr>
          <w:rFonts w:ascii="Times New Roman" w:eastAsia="Times New Roman" w:hAnsi="Times New Roman" w:cs="Times New Roman"/>
          <w:color w:val="1F3763"/>
          <w:sz w:val="24"/>
          <w:szCs w:val="24"/>
        </w:rPr>
        <w:t xml:space="preserve">-related </w:t>
      </w:r>
      <w:r w:rsidR="00E52A64" w:rsidRPr="00D543D4">
        <w:rPr>
          <w:rFonts w:ascii="Times New Roman" w:eastAsia="Times New Roman" w:hAnsi="Times New Roman" w:cs="Times New Roman"/>
          <w:color w:val="1F3763"/>
          <w:sz w:val="24"/>
          <w:szCs w:val="24"/>
        </w:rPr>
        <w:t>Factors</w:t>
      </w:r>
      <w:r w:rsidRPr="00D543D4">
        <w:rPr>
          <w:rFonts w:ascii="Times New Roman" w:eastAsia="Times New Roman" w:hAnsi="Times New Roman" w:cs="Times New Roman"/>
          <w:color w:val="1F3763"/>
          <w:sz w:val="24"/>
          <w:szCs w:val="24"/>
        </w:rPr>
        <w:t>:  </w:t>
      </w:r>
    </w:p>
    <w:p w14:paraId="2FFE3781" w14:textId="66403C46" w:rsidR="001507B3" w:rsidRPr="00D543D4" w:rsidRDefault="00BF148A" w:rsidP="001507B3">
      <w:pPr>
        <w:spacing w:after="0" w:line="240" w:lineRule="auto"/>
        <w:jc w:val="both"/>
        <w:textAlignment w:val="baseline"/>
        <w:rPr>
          <w:rFonts w:ascii="Times New Roman" w:eastAsia="Times New Roman" w:hAnsi="Times New Roman" w:cs="Times New Roman"/>
          <w:color w:val="000000"/>
        </w:rPr>
      </w:pPr>
      <w:r w:rsidRPr="00D543D4">
        <w:rPr>
          <w:rFonts w:ascii="Times New Roman" w:eastAsia="Times New Roman" w:hAnsi="Times New Roman" w:cs="Times New Roman"/>
          <w:color w:val="000000"/>
          <w:shd w:val="clear" w:color="auto" w:fill="FFFFFF"/>
        </w:rPr>
        <w:t xml:space="preserve">The influence of public perceptions </w:t>
      </w:r>
      <w:r w:rsidR="5318B7B2" w:rsidRPr="00D543D4">
        <w:rPr>
          <w:rFonts w:ascii="Times New Roman" w:eastAsia="Times New Roman" w:hAnsi="Times New Roman" w:cs="Times New Roman"/>
          <w:color w:val="000000"/>
          <w:shd w:val="clear" w:color="auto" w:fill="FFFFFF"/>
        </w:rPr>
        <w:t>about</w:t>
      </w:r>
      <w:r w:rsidRPr="00D543D4">
        <w:rPr>
          <w:rFonts w:ascii="Times New Roman" w:eastAsia="Times New Roman" w:hAnsi="Times New Roman" w:cs="Times New Roman"/>
          <w:color w:val="000000"/>
          <w:shd w:val="clear" w:color="auto" w:fill="FFFFFF"/>
        </w:rPr>
        <w:t xml:space="preserve"> foreign aid or the link between aid and security/commercial interest</w:t>
      </w:r>
      <w:r w:rsidR="0048DA5E" w:rsidRPr="00D543D4">
        <w:rPr>
          <w:rFonts w:ascii="Times New Roman" w:eastAsia="Times New Roman" w:hAnsi="Times New Roman" w:cs="Times New Roman"/>
          <w:color w:val="000000"/>
          <w:shd w:val="clear" w:color="auto" w:fill="FFFFFF"/>
        </w:rPr>
        <w:t>s</w:t>
      </w:r>
      <w:r w:rsidRPr="00D543D4">
        <w:rPr>
          <w:rFonts w:ascii="Times New Roman" w:eastAsia="Times New Roman" w:hAnsi="Times New Roman" w:cs="Times New Roman"/>
          <w:color w:val="000000"/>
          <w:shd w:val="clear" w:color="auto" w:fill="FFFFFF"/>
        </w:rPr>
        <w:t xml:space="preserve"> </w:t>
      </w:r>
      <w:r w:rsidR="00825CC2" w:rsidRPr="00D543D4">
        <w:rPr>
          <w:rFonts w:ascii="Times New Roman" w:eastAsia="Times New Roman" w:hAnsi="Times New Roman" w:cs="Times New Roman"/>
          <w:color w:val="000000"/>
          <w:shd w:val="clear" w:color="auto" w:fill="FFFFFF"/>
        </w:rPr>
        <w:t>is</w:t>
      </w:r>
      <w:r w:rsidRPr="00D543D4">
        <w:rPr>
          <w:rFonts w:ascii="Times New Roman" w:eastAsia="Times New Roman" w:hAnsi="Times New Roman" w:cs="Times New Roman"/>
          <w:color w:val="000000"/>
          <w:shd w:val="clear" w:color="auto" w:fill="FFFFFF"/>
        </w:rPr>
        <w:t xml:space="preserve"> growing in intensity. In major partner countries, we are witnessing a growing trust deficit and skepticism toward public institutions, foreign aid, and multiculturalism, etc. These factors shape the narrative</w:t>
      </w:r>
      <w:r w:rsidR="1C37EEA7" w:rsidRPr="00D543D4">
        <w:rPr>
          <w:rFonts w:ascii="Times New Roman" w:eastAsia="Times New Roman" w:hAnsi="Times New Roman" w:cs="Times New Roman"/>
          <w:color w:val="000000"/>
          <w:shd w:val="clear" w:color="auto" w:fill="FFFFFF"/>
        </w:rPr>
        <w:t xml:space="preserve"> around aid, the levels</w:t>
      </w:r>
      <w:r w:rsidR="005F6B26" w:rsidRPr="00D543D4">
        <w:rPr>
          <w:rFonts w:ascii="Times New Roman" w:eastAsia="Times New Roman" w:hAnsi="Times New Roman" w:cs="Times New Roman"/>
          <w:color w:val="000000"/>
          <w:shd w:val="clear" w:color="auto" w:fill="FFFFFF"/>
        </w:rPr>
        <w:t>,</w:t>
      </w:r>
      <w:r w:rsidR="1C37EEA7" w:rsidRPr="00D543D4">
        <w:rPr>
          <w:rFonts w:ascii="Times New Roman" w:eastAsia="Times New Roman" w:hAnsi="Times New Roman" w:cs="Times New Roman"/>
          <w:color w:val="000000"/>
          <w:shd w:val="clear" w:color="auto" w:fill="FFFFFF"/>
        </w:rPr>
        <w:t xml:space="preserve"> and </w:t>
      </w:r>
      <w:r w:rsidRPr="00D543D4">
        <w:rPr>
          <w:rFonts w:ascii="Times New Roman" w:eastAsia="Times New Roman" w:hAnsi="Times New Roman" w:cs="Times New Roman"/>
          <w:color w:val="000000"/>
          <w:shd w:val="clear" w:color="auto" w:fill="FFFFFF"/>
        </w:rPr>
        <w:t xml:space="preserve">modalities of delivery, including the share of unearmarked funding to key multilateral institutions. </w:t>
      </w:r>
      <w:r w:rsidR="006F09C4" w:rsidRPr="00D543D4">
        <w:rPr>
          <w:rFonts w:ascii="Times New Roman" w:eastAsia="Times New Roman" w:hAnsi="Times New Roman" w:cs="Times New Roman"/>
          <w:color w:val="000000"/>
          <w:shd w:val="clear" w:color="auto" w:fill="FFFFFF"/>
        </w:rPr>
        <w:t xml:space="preserve">Responding to the growing </w:t>
      </w:r>
      <w:r w:rsidR="00E74B6B" w:rsidRPr="00D543D4">
        <w:rPr>
          <w:rFonts w:ascii="Times New Roman" w:eastAsia="Times New Roman" w:hAnsi="Times New Roman" w:cs="Times New Roman"/>
          <w:color w:val="000000"/>
          <w:shd w:val="clear" w:color="auto" w:fill="FFFFFF"/>
        </w:rPr>
        <w:t xml:space="preserve">trust deficit and retreat from multilateral commitments, </w:t>
      </w:r>
      <w:r w:rsidR="00BC6877" w:rsidRPr="00D543D4">
        <w:rPr>
          <w:rFonts w:ascii="Times New Roman" w:eastAsia="Times New Roman" w:hAnsi="Times New Roman" w:cs="Times New Roman"/>
          <w:color w:val="000000"/>
          <w:shd w:val="clear" w:color="auto" w:fill="FFFFFF"/>
        </w:rPr>
        <w:t>the UN</w:t>
      </w:r>
      <w:r w:rsidR="001507B3" w:rsidRPr="00D543D4">
        <w:rPr>
          <w:rFonts w:ascii="Times New Roman" w:eastAsia="Times New Roman" w:hAnsi="Times New Roman" w:cs="Times New Roman"/>
          <w:color w:val="000000"/>
          <w:shd w:val="clear" w:color="auto" w:fill="FFFFFF"/>
        </w:rPr>
        <w:t xml:space="preserve"> Secretary-General</w:t>
      </w:r>
      <w:r w:rsidR="79D55F88" w:rsidRPr="00D543D4">
        <w:rPr>
          <w:rFonts w:ascii="Times New Roman" w:eastAsia="Times New Roman" w:hAnsi="Times New Roman" w:cs="Times New Roman"/>
          <w:color w:val="000000"/>
          <w:shd w:val="clear" w:color="auto" w:fill="FFFFFF"/>
        </w:rPr>
        <w:t xml:space="preserve"> </w:t>
      </w:r>
      <w:r w:rsidR="001507B3" w:rsidRPr="00D543D4">
        <w:rPr>
          <w:rFonts w:ascii="Times New Roman" w:eastAsia="Times New Roman" w:hAnsi="Times New Roman" w:cs="Times New Roman"/>
          <w:color w:val="000000"/>
          <w:shd w:val="clear" w:color="auto" w:fill="FFFFFF"/>
        </w:rPr>
        <w:t>address</w:t>
      </w:r>
      <w:r w:rsidR="7DA275CB" w:rsidRPr="00D543D4">
        <w:rPr>
          <w:rFonts w:ascii="Times New Roman" w:eastAsia="Times New Roman" w:hAnsi="Times New Roman" w:cs="Times New Roman"/>
          <w:color w:val="000000"/>
          <w:shd w:val="clear" w:color="auto" w:fill="FFFFFF"/>
        </w:rPr>
        <w:t xml:space="preserve">ed </w:t>
      </w:r>
      <w:r w:rsidR="001507B3" w:rsidRPr="00D543D4">
        <w:rPr>
          <w:rFonts w:ascii="Times New Roman" w:eastAsia="Times New Roman" w:hAnsi="Times New Roman" w:cs="Times New Roman"/>
          <w:color w:val="000000"/>
          <w:shd w:val="clear" w:color="auto" w:fill="FFFFFF"/>
        </w:rPr>
        <w:t>the UN General Assembly in 2022, remark</w:t>
      </w:r>
      <w:r w:rsidR="0AD64425" w:rsidRPr="00D543D4">
        <w:rPr>
          <w:rFonts w:ascii="Times New Roman" w:eastAsia="Times New Roman" w:hAnsi="Times New Roman" w:cs="Times New Roman"/>
          <w:color w:val="000000"/>
          <w:shd w:val="clear" w:color="auto" w:fill="FFFFFF"/>
        </w:rPr>
        <w:t>ing</w:t>
      </w:r>
      <w:r w:rsidR="001507B3" w:rsidRPr="00D543D4">
        <w:rPr>
          <w:rFonts w:ascii="Times New Roman" w:eastAsia="Times New Roman" w:hAnsi="Times New Roman" w:cs="Times New Roman"/>
          <w:color w:val="000000"/>
          <w:shd w:val="clear" w:color="auto" w:fill="FFFFFF"/>
        </w:rPr>
        <w:t xml:space="preserve"> that the “lack of trust that poisons every area of global cooperation” is rooted in the “divergence between developed and developing countries – between North and South – between the privileged and the rest” and is becoming more dangerous day by day</w:t>
      </w:r>
      <w:r w:rsidR="00EA7E54" w:rsidRPr="00D543D4">
        <w:rPr>
          <w:rStyle w:val="FootnoteReference"/>
          <w:rFonts w:ascii="Times New Roman" w:eastAsia="Times New Roman" w:hAnsi="Times New Roman" w:cs="Times New Roman"/>
          <w:color w:val="000000"/>
          <w:shd w:val="clear" w:color="auto" w:fill="FFFFFF"/>
        </w:rPr>
        <w:footnoteReference w:id="9"/>
      </w:r>
      <w:r w:rsidR="001507B3" w:rsidRPr="00D543D4">
        <w:rPr>
          <w:rFonts w:ascii="Times New Roman" w:eastAsia="Times New Roman" w:hAnsi="Times New Roman" w:cs="Times New Roman"/>
          <w:color w:val="000000"/>
          <w:shd w:val="clear" w:color="auto" w:fill="FFFFFF"/>
        </w:rPr>
        <w:t>. </w:t>
      </w:r>
      <w:r w:rsidR="001507B3" w:rsidRPr="00D543D4">
        <w:rPr>
          <w:rFonts w:ascii="Times New Roman" w:eastAsia="Times New Roman" w:hAnsi="Times New Roman" w:cs="Times New Roman"/>
          <w:color w:val="000000"/>
        </w:rPr>
        <w:t> </w:t>
      </w:r>
    </w:p>
    <w:p w14:paraId="08346E57" w14:textId="77777777" w:rsidR="001C478A" w:rsidRPr="00D543D4" w:rsidRDefault="001C478A" w:rsidP="001507B3">
      <w:pPr>
        <w:spacing w:after="0" w:line="240" w:lineRule="auto"/>
        <w:jc w:val="both"/>
        <w:textAlignment w:val="baseline"/>
        <w:rPr>
          <w:rFonts w:ascii="Times New Roman" w:eastAsia="Times New Roman" w:hAnsi="Times New Roman" w:cs="Times New Roman"/>
          <w:sz w:val="18"/>
          <w:szCs w:val="18"/>
        </w:rPr>
      </w:pPr>
    </w:p>
    <w:p w14:paraId="421DCE97" w14:textId="5376FE95" w:rsidR="006C673B" w:rsidRPr="00D543D4" w:rsidRDefault="004D50CF" w:rsidP="00BA2AE7">
      <w:pPr>
        <w:spacing w:after="0" w:line="240" w:lineRule="auto"/>
        <w:jc w:val="both"/>
        <w:textAlignment w:val="baseline"/>
        <w:rPr>
          <w:rFonts w:ascii="Times New Roman" w:eastAsia="Times New Roman" w:hAnsi="Times New Roman" w:cs="Times New Roman"/>
          <w:color w:val="000000"/>
          <w:shd w:val="clear" w:color="auto" w:fill="FFFFFF"/>
        </w:rPr>
      </w:pPr>
      <w:r w:rsidRPr="00D543D4">
        <w:rPr>
          <w:rFonts w:ascii="Times New Roman" w:eastAsia="Times New Roman" w:hAnsi="Times New Roman" w:cs="Times New Roman"/>
          <w:color w:val="000000"/>
          <w:shd w:val="clear" w:color="auto" w:fill="FFFFFF"/>
        </w:rPr>
        <w:t xml:space="preserve">There has been growing skepticism and divergence of views among donor countries on the effectiveness of the multilateral system in achieving development goals. This </w:t>
      </w:r>
      <w:r w:rsidR="005E05AD" w:rsidRPr="00D543D4">
        <w:rPr>
          <w:rFonts w:ascii="Times New Roman" w:eastAsia="Times New Roman" w:hAnsi="Times New Roman" w:cs="Times New Roman"/>
          <w:color w:val="000000"/>
          <w:shd w:val="clear" w:color="auto" w:fill="FFFFFF"/>
        </w:rPr>
        <w:t>sentiment</w:t>
      </w:r>
      <w:r w:rsidR="00542C8F" w:rsidRPr="00D543D4">
        <w:rPr>
          <w:rFonts w:ascii="Times New Roman" w:eastAsia="Times New Roman" w:hAnsi="Times New Roman" w:cs="Times New Roman"/>
          <w:color w:val="000000"/>
          <w:shd w:val="clear" w:color="auto" w:fill="FFFFFF"/>
        </w:rPr>
        <w:t xml:space="preserve"> has </w:t>
      </w:r>
      <w:r w:rsidRPr="00D543D4">
        <w:rPr>
          <w:rFonts w:ascii="Times New Roman" w:eastAsia="Times New Roman" w:hAnsi="Times New Roman" w:cs="Times New Roman"/>
          <w:color w:val="000000"/>
          <w:shd w:val="clear" w:color="auto" w:fill="FFFFFF"/>
        </w:rPr>
        <w:t xml:space="preserve">led </w:t>
      </w:r>
      <w:r w:rsidR="00542C8F" w:rsidRPr="00D543D4">
        <w:rPr>
          <w:rFonts w:ascii="Times New Roman" w:eastAsia="Times New Roman" w:hAnsi="Times New Roman" w:cs="Times New Roman"/>
          <w:color w:val="000000"/>
          <w:shd w:val="clear" w:color="auto" w:fill="FFFFFF"/>
        </w:rPr>
        <w:t>to reduced enthusiasm for sustained core funding</w:t>
      </w:r>
      <w:r w:rsidR="3213AE56" w:rsidRPr="00D543D4">
        <w:rPr>
          <w:rFonts w:ascii="Times New Roman" w:eastAsia="Times New Roman" w:hAnsi="Times New Roman" w:cs="Times New Roman"/>
          <w:color w:val="000000"/>
          <w:shd w:val="clear" w:color="auto" w:fill="FFFFFF"/>
        </w:rPr>
        <w:t>,</w:t>
      </w:r>
      <w:r w:rsidR="00542C8F" w:rsidRPr="00D543D4">
        <w:rPr>
          <w:rFonts w:ascii="Times New Roman" w:eastAsia="Times New Roman" w:hAnsi="Times New Roman" w:cs="Times New Roman"/>
          <w:color w:val="000000"/>
          <w:shd w:val="clear" w:color="auto" w:fill="FFFFFF"/>
        </w:rPr>
        <w:t xml:space="preserve"> and a preference for more visible, short-term projects that demonstrate immediate impact. </w:t>
      </w:r>
      <w:r w:rsidR="00D92AE4" w:rsidRPr="00D543D4">
        <w:rPr>
          <w:rFonts w:ascii="Times New Roman" w:eastAsia="Times New Roman" w:hAnsi="Times New Roman" w:cs="Times New Roman"/>
          <w:color w:val="000000"/>
          <w:shd w:val="clear" w:color="auto" w:fill="FFFFFF"/>
        </w:rPr>
        <w:t xml:space="preserve">Accordingly, </w:t>
      </w:r>
      <w:r w:rsidRPr="00D543D4">
        <w:rPr>
          <w:rFonts w:ascii="Times New Roman" w:eastAsia="Times New Roman" w:hAnsi="Times New Roman" w:cs="Times New Roman"/>
          <w:color w:val="000000"/>
          <w:shd w:val="clear" w:color="auto" w:fill="FFFFFF"/>
        </w:rPr>
        <w:t>some countries reduce</w:t>
      </w:r>
      <w:r w:rsidR="00D92AE4" w:rsidRPr="00D543D4">
        <w:rPr>
          <w:rFonts w:ascii="Times New Roman" w:eastAsia="Times New Roman" w:hAnsi="Times New Roman" w:cs="Times New Roman"/>
          <w:color w:val="000000"/>
          <w:shd w:val="clear" w:color="auto" w:fill="FFFFFF"/>
        </w:rPr>
        <w:t>d</w:t>
      </w:r>
      <w:r w:rsidRPr="00D543D4">
        <w:rPr>
          <w:rFonts w:ascii="Times New Roman" w:eastAsia="Times New Roman" w:hAnsi="Times New Roman" w:cs="Times New Roman"/>
          <w:color w:val="000000"/>
          <w:shd w:val="clear" w:color="auto" w:fill="FFFFFF"/>
        </w:rPr>
        <w:t xml:space="preserve"> their funding or </w:t>
      </w:r>
      <w:r w:rsidR="00D92AE4" w:rsidRPr="00D543D4">
        <w:rPr>
          <w:rFonts w:ascii="Times New Roman" w:eastAsia="Times New Roman" w:hAnsi="Times New Roman" w:cs="Times New Roman"/>
          <w:color w:val="000000"/>
          <w:shd w:val="clear" w:color="auto" w:fill="FFFFFF"/>
        </w:rPr>
        <w:t xml:space="preserve">decided to </w:t>
      </w:r>
      <w:r w:rsidRPr="00D543D4">
        <w:rPr>
          <w:rFonts w:ascii="Times New Roman" w:eastAsia="Times New Roman" w:hAnsi="Times New Roman" w:cs="Times New Roman"/>
          <w:color w:val="000000"/>
          <w:shd w:val="clear" w:color="auto" w:fill="FFFFFF"/>
        </w:rPr>
        <w:t xml:space="preserve">redirect it towards other forms of development cooperation. </w:t>
      </w:r>
      <w:r w:rsidR="00BA2AE7">
        <w:rPr>
          <w:rFonts w:ascii="Times New Roman" w:eastAsia="Times New Roman" w:hAnsi="Times New Roman" w:cs="Times New Roman"/>
          <w:color w:val="000000"/>
          <w:shd w:val="clear" w:color="auto" w:fill="FFFFFF"/>
        </w:rPr>
        <w:t>S</w:t>
      </w:r>
      <w:r w:rsidRPr="00D543D4">
        <w:rPr>
          <w:rFonts w:ascii="Times New Roman" w:eastAsia="Times New Roman" w:hAnsi="Times New Roman" w:cs="Times New Roman"/>
          <w:color w:val="000000"/>
          <w:shd w:val="clear" w:color="auto" w:fill="FFFFFF"/>
        </w:rPr>
        <w:t xml:space="preserve">everal studies </w:t>
      </w:r>
      <w:r w:rsidR="21D94FD9" w:rsidRPr="00D543D4">
        <w:rPr>
          <w:rFonts w:ascii="Times New Roman" w:eastAsia="Times New Roman" w:hAnsi="Times New Roman" w:cs="Times New Roman"/>
          <w:color w:val="000000"/>
          <w:shd w:val="clear" w:color="auto" w:fill="FFFFFF"/>
        </w:rPr>
        <w:t xml:space="preserve">show </w:t>
      </w:r>
      <w:r w:rsidRPr="00D543D4">
        <w:rPr>
          <w:rFonts w:ascii="Times New Roman" w:eastAsia="Times New Roman" w:hAnsi="Times New Roman" w:cs="Times New Roman"/>
          <w:color w:val="000000"/>
          <w:shd w:val="clear" w:color="auto" w:fill="FFFFFF"/>
        </w:rPr>
        <w:t xml:space="preserve">the added value of multilateral </w:t>
      </w:r>
      <w:r w:rsidR="004E7087" w:rsidRPr="00D543D4">
        <w:rPr>
          <w:rFonts w:ascii="Times New Roman" w:eastAsia="Times New Roman" w:hAnsi="Times New Roman" w:cs="Times New Roman"/>
          <w:color w:val="000000"/>
          <w:shd w:val="clear" w:color="auto" w:fill="FFFFFF"/>
        </w:rPr>
        <w:t>aid as compared to bilateral aid</w:t>
      </w:r>
      <w:r w:rsidR="00BA2AE7">
        <w:rPr>
          <w:rFonts w:ascii="Times New Roman" w:eastAsia="Times New Roman" w:hAnsi="Times New Roman" w:cs="Times New Roman"/>
          <w:color w:val="000000"/>
          <w:shd w:val="clear" w:color="auto" w:fill="FFFFFF"/>
        </w:rPr>
        <w:t xml:space="preserve"> such as </w:t>
      </w:r>
      <w:r w:rsidR="00BA2AE7" w:rsidRPr="00BA2AE7">
        <w:rPr>
          <w:rFonts w:ascii="Times New Roman" w:eastAsia="Times New Roman" w:hAnsi="Times New Roman" w:cs="Times New Roman"/>
          <w:color w:val="000000"/>
          <w:shd w:val="clear" w:color="auto" w:fill="FFFFFF"/>
        </w:rPr>
        <w:t>their global reach, specific sectoral expertise,</w:t>
      </w:r>
      <w:r w:rsidR="00BA2AE7">
        <w:rPr>
          <w:rFonts w:ascii="Times New Roman" w:eastAsia="Times New Roman" w:hAnsi="Times New Roman" w:cs="Times New Roman"/>
          <w:color w:val="000000"/>
          <w:shd w:val="clear" w:color="auto" w:fill="FFFFFF"/>
        </w:rPr>
        <w:t xml:space="preserve"> </w:t>
      </w:r>
      <w:r w:rsidR="00BA2AE7" w:rsidRPr="00BA2AE7">
        <w:rPr>
          <w:rFonts w:ascii="Times New Roman" w:eastAsia="Times New Roman" w:hAnsi="Times New Roman" w:cs="Times New Roman"/>
          <w:color w:val="000000"/>
          <w:shd w:val="clear" w:color="auto" w:fill="FFFFFF"/>
        </w:rPr>
        <w:t>convening power, and diversity of financing instruments</w:t>
      </w:r>
      <w:r w:rsidR="00FC3051">
        <w:rPr>
          <w:rStyle w:val="FootnoteReference"/>
          <w:rFonts w:ascii="Times New Roman" w:eastAsia="Times New Roman" w:hAnsi="Times New Roman" w:cs="Times New Roman"/>
          <w:color w:val="000000"/>
          <w:shd w:val="clear" w:color="auto" w:fill="FFFFFF"/>
        </w:rPr>
        <w:footnoteReference w:id="10"/>
      </w:r>
      <w:r w:rsidR="00BA2AE7">
        <w:rPr>
          <w:rFonts w:ascii="Times New Roman" w:eastAsia="Times New Roman" w:hAnsi="Times New Roman" w:cs="Times New Roman"/>
          <w:color w:val="000000"/>
          <w:shd w:val="clear" w:color="auto" w:fill="FFFFFF"/>
        </w:rPr>
        <w:t xml:space="preserve">. </w:t>
      </w:r>
      <w:r w:rsidR="00FC3051">
        <w:rPr>
          <w:rFonts w:ascii="Times New Roman" w:eastAsia="Times New Roman" w:hAnsi="Times New Roman" w:cs="Times New Roman"/>
          <w:color w:val="000000"/>
          <w:shd w:val="clear" w:color="auto" w:fill="FFFFFF"/>
        </w:rPr>
        <w:t xml:space="preserve">It is critical that </w:t>
      </w:r>
      <w:r w:rsidR="005E7F5A" w:rsidRPr="00D543D4">
        <w:rPr>
          <w:rFonts w:ascii="Times New Roman" w:eastAsia="Times New Roman" w:hAnsi="Times New Roman" w:cs="Times New Roman"/>
          <w:color w:val="000000"/>
          <w:shd w:val="clear" w:color="auto" w:fill="FFFFFF"/>
        </w:rPr>
        <w:t>DAC countries</w:t>
      </w:r>
      <w:r w:rsidR="00FC3051">
        <w:rPr>
          <w:rFonts w:ascii="Times New Roman" w:eastAsia="Times New Roman" w:hAnsi="Times New Roman" w:cs="Times New Roman"/>
          <w:color w:val="000000"/>
          <w:shd w:val="clear" w:color="auto" w:fill="FFFFFF"/>
        </w:rPr>
        <w:t xml:space="preserve"> continue to protect their investment in multilateral ODA while ensuring complementarity with</w:t>
      </w:r>
      <w:r w:rsidR="005E7F5A" w:rsidRPr="00D543D4">
        <w:rPr>
          <w:rFonts w:ascii="Times New Roman" w:eastAsia="Times New Roman" w:hAnsi="Times New Roman" w:cs="Times New Roman"/>
          <w:color w:val="000000"/>
          <w:shd w:val="clear" w:color="auto" w:fill="FFFFFF"/>
        </w:rPr>
        <w:t xml:space="preserve"> bilateral ODA</w:t>
      </w:r>
      <w:r w:rsidR="00FC3051">
        <w:rPr>
          <w:rFonts w:ascii="Times New Roman" w:eastAsia="Times New Roman" w:hAnsi="Times New Roman" w:cs="Times New Roman"/>
          <w:color w:val="000000"/>
          <w:shd w:val="clear" w:color="auto" w:fill="FFFFFF"/>
        </w:rPr>
        <w:t xml:space="preserve">. </w:t>
      </w:r>
      <w:r w:rsidR="005E7F5A" w:rsidRPr="00D543D4">
        <w:rPr>
          <w:rFonts w:ascii="Times New Roman" w:eastAsia="Times New Roman" w:hAnsi="Times New Roman" w:cs="Times New Roman"/>
          <w:color w:val="000000"/>
          <w:shd w:val="clear" w:color="auto" w:fill="FFFFFF"/>
        </w:rPr>
        <w:t xml:space="preserve"> </w:t>
      </w:r>
    </w:p>
    <w:p w14:paraId="76F6F159" w14:textId="77777777" w:rsidR="004D50CF" w:rsidRPr="00D543D4" w:rsidRDefault="004D50CF" w:rsidP="001507B3">
      <w:pPr>
        <w:spacing w:after="0" w:line="240" w:lineRule="auto"/>
        <w:jc w:val="both"/>
        <w:textAlignment w:val="baseline"/>
        <w:rPr>
          <w:rFonts w:ascii="Times New Roman" w:eastAsia="Times New Roman" w:hAnsi="Times New Roman" w:cs="Times New Roman"/>
          <w:color w:val="000000"/>
          <w:shd w:val="clear" w:color="auto" w:fill="FFFFFF"/>
        </w:rPr>
      </w:pPr>
    </w:p>
    <w:p w14:paraId="79AA24E0" w14:textId="032BBEDE" w:rsidR="00BA393D" w:rsidRPr="00D543D4" w:rsidRDefault="00BA393D" w:rsidP="001507B3">
      <w:pPr>
        <w:spacing w:after="0" w:line="240" w:lineRule="auto"/>
        <w:jc w:val="both"/>
        <w:textAlignment w:val="baseline"/>
        <w:rPr>
          <w:rFonts w:ascii="Times New Roman" w:eastAsia="Times New Roman" w:hAnsi="Times New Roman" w:cs="Times New Roman"/>
          <w:color w:val="000000"/>
          <w:shd w:val="clear" w:color="auto" w:fill="FFFFFF"/>
        </w:rPr>
      </w:pPr>
      <w:r w:rsidRPr="00D543D4">
        <w:rPr>
          <w:rFonts w:ascii="Times New Roman" w:eastAsia="Times New Roman" w:hAnsi="Times New Roman" w:cs="Times New Roman"/>
          <w:color w:val="000000"/>
          <w:shd w:val="clear" w:color="auto" w:fill="FFFFFF"/>
        </w:rPr>
        <w:t>The importance of core funding and its impact on tackling complex development challenges may not always be widely understood or appreciated by policymakers, donors, and the</w:t>
      </w:r>
      <w:r w:rsidR="0012647A" w:rsidRPr="00D543D4">
        <w:rPr>
          <w:rFonts w:ascii="Times New Roman" w:eastAsia="Times New Roman" w:hAnsi="Times New Roman" w:cs="Times New Roman"/>
          <w:color w:val="000000"/>
          <w:shd w:val="clear" w:color="auto" w:fill="FFFFFF"/>
        </w:rPr>
        <w:t xml:space="preserve"> </w:t>
      </w:r>
      <w:r w:rsidRPr="00D543D4">
        <w:rPr>
          <w:rFonts w:ascii="Times New Roman" w:eastAsia="Times New Roman" w:hAnsi="Times New Roman" w:cs="Times New Roman"/>
          <w:color w:val="000000"/>
          <w:shd w:val="clear" w:color="auto" w:fill="FFFFFF"/>
        </w:rPr>
        <w:t>public</w:t>
      </w:r>
      <w:r w:rsidR="2D211699" w:rsidRPr="00D543D4">
        <w:rPr>
          <w:rFonts w:ascii="Times New Roman" w:eastAsia="Times New Roman" w:hAnsi="Times New Roman" w:cs="Times New Roman"/>
          <w:color w:val="000000"/>
          <w:shd w:val="clear" w:color="auto" w:fill="FFFFFF"/>
        </w:rPr>
        <w:t xml:space="preserve"> at large</w:t>
      </w:r>
      <w:r w:rsidRPr="00D543D4">
        <w:rPr>
          <w:rFonts w:ascii="Times New Roman" w:eastAsia="Times New Roman" w:hAnsi="Times New Roman" w:cs="Times New Roman"/>
          <w:color w:val="000000"/>
          <w:shd w:val="clear" w:color="auto" w:fill="FFFFFF"/>
        </w:rPr>
        <w:t xml:space="preserve">. </w:t>
      </w:r>
      <w:r w:rsidR="0C738932" w:rsidRPr="00D543D4">
        <w:rPr>
          <w:rFonts w:ascii="Times New Roman" w:eastAsia="Times New Roman" w:hAnsi="Times New Roman" w:cs="Times New Roman"/>
          <w:color w:val="000000"/>
          <w:shd w:val="clear" w:color="auto" w:fill="FFFFFF"/>
        </w:rPr>
        <w:t>A</w:t>
      </w:r>
      <w:r w:rsidRPr="00D543D4">
        <w:rPr>
          <w:rFonts w:ascii="Times New Roman" w:eastAsia="Times New Roman" w:hAnsi="Times New Roman" w:cs="Times New Roman"/>
          <w:color w:val="000000"/>
          <w:shd w:val="clear" w:color="auto" w:fill="FFFFFF"/>
        </w:rPr>
        <w:t xml:space="preserve"> lack of awareness about the need for sustained investments in building long-term capacit</w:t>
      </w:r>
      <w:r w:rsidR="46919B57" w:rsidRPr="00D543D4">
        <w:rPr>
          <w:rFonts w:ascii="Times New Roman" w:eastAsia="Times New Roman" w:hAnsi="Times New Roman" w:cs="Times New Roman"/>
          <w:color w:val="000000"/>
          <w:shd w:val="clear" w:color="auto" w:fill="FFFFFF"/>
        </w:rPr>
        <w:t>ies</w:t>
      </w:r>
      <w:r w:rsidRPr="00D543D4">
        <w:rPr>
          <w:rFonts w:ascii="Times New Roman" w:eastAsia="Times New Roman" w:hAnsi="Times New Roman" w:cs="Times New Roman"/>
          <w:color w:val="000000"/>
          <w:shd w:val="clear" w:color="auto" w:fill="FFFFFF"/>
        </w:rPr>
        <w:t xml:space="preserve"> and addressing systemic issues</w:t>
      </w:r>
      <w:r w:rsidR="4B45D773" w:rsidRPr="00D543D4">
        <w:rPr>
          <w:rFonts w:ascii="Times New Roman" w:eastAsia="Times New Roman" w:hAnsi="Times New Roman" w:cs="Times New Roman"/>
          <w:color w:val="000000"/>
          <w:shd w:val="clear" w:color="auto" w:fill="FFFFFF"/>
        </w:rPr>
        <w:t xml:space="preserve"> leads to </w:t>
      </w:r>
      <w:r w:rsidRPr="00D543D4">
        <w:rPr>
          <w:rFonts w:ascii="Times New Roman" w:eastAsia="Times New Roman" w:hAnsi="Times New Roman" w:cs="Times New Roman"/>
          <w:color w:val="000000"/>
          <w:shd w:val="clear" w:color="auto" w:fill="FFFFFF"/>
        </w:rPr>
        <w:t xml:space="preserve">reduced emphasis on core funding in favor of more </w:t>
      </w:r>
      <w:r w:rsidR="50FAD2A5" w:rsidRPr="00D543D4">
        <w:rPr>
          <w:rFonts w:ascii="Times New Roman" w:eastAsia="Times New Roman" w:hAnsi="Times New Roman" w:cs="Times New Roman"/>
          <w:color w:val="000000"/>
          <w:shd w:val="clear" w:color="auto" w:fill="FFFFFF"/>
        </w:rPr>
        <w:t xml:space="preserve">targeted and earmarked </w:t>
      </w:r>
      <w:r w:rsidRPr="00D543D4">
        <w:rPr>
          <w:rFonts w:ascii="Times New Roman" w:eastAsia="Times New Roman" w:hAnsi="Times New Roman" w:cs="Times New Roman"/>
          <w:color w:val="000000"/>
          <w:shd w:val="clear" w:color="auto" w:fill="FFFFFF"/>
        </w:rPr>
        <w:t>interventions.</w:t>
      </w:r>
    </w:p>
    <w:p w14:paraId="0FB8D962" w14:textId="77777777" w:rsidR="00BA393D" w:rsidRPr="00D543D4" w:rsidRDefault="00BA393D" w:rsidP="001507B3">
      <w:pPr>
        <w:spacing w:after="0" w:line="240" w:lineRule="auto"/>
        <w:jc w:val="both"/>
        <w:textAlignment w:val="baseline"/>
        <w:rPr>
          <w:rFonts w:ascii="Times New Roman" w:eastAsia="Times New Roman" w:hAnsi="Times New Roman" w:cs="Times New Roman"/>
          <w:color w:val="000000"/>
          <w:shd w:val="clear" w:color="auto" w:fill="FFFFFF"/>
        </w:rPr>
      </w:pPr>
    </w:p>
    <w:p w14:paraId="385246AB" w14:textId="77777777" w:rsidR="001C478A" w:rsidRPr="00D543D4" w:rsidRDefault="001C478A" w:rsidP="001507B3">
      <w:pPr>
        <w:spacing w:after="0" w:line="240" w:lineRule="auto"/>
        <w:jc w:val="both"/>
        <w:textAlignment w:val="baseline"/>
        <w:rPr>
          <w:rFonts w:ascii="Times New Roman" w:eastAsia="Times New Roman" w:hAnsi="Times New Roman" w:cs="Times New Roman"/>
          <w:sz w:val="18"/>
          <w:szCs w:val="18"/>
        </w:rPr>
      </w:pPr>
    </w:p>
    <w:p w14:paraId="346FA960" w14:textId="7770669B" w:rsidR="001507B3" w:rsidRPr="00D543D4" w:rsidRDefault="001507B3" w:rsidP="001507B3">
      <w:pPr>
        <w:spacing w:after="0" w:line="240" w:lineRule="auto"/>
        <w:jc w:val="both"/>
        <w:textAlignment w:val="baseline"/>
        <w:rPr>
          <w:rFonts w:ascii="Times New Roman" w:eastAsia="Times New Roman" w:hAnsi="Times New Roman" w:cs="Times New Roman"/>
          <w:sz w:val="18"/>
          <w:szCs w:val="18"/>
        </w:rPr>
      </w:pPr>
      <w:r w:rsidRPr="00D543D4">
        <w:rPr>
          <w:rFonts w:ascii="Times New Roman" w:eastAsia="Times New Roman" w:hAnsi="Times New Roman" w:cs="Times New Roman"/>
          <w:color w:val="1F3763"/>
          <w:sz w:val="24"/>
          <w:szCs w:val="24"/>
        </w:rPr>
        <w:t xml:space="preserve">5) System-wide </w:t>
      </w:r>
      <w:r w:rsidR="00B63503" w:rsidRPr="00D543D4">
        <w:rPr>
          <w:rFonts w:ascii="Times New Roman" w:eastAsia="Times New Roman" w:hAnsi="Times New Roman" w:cs="Times New Roman"/>
          <w:color w:val="1F3763"/>
          <w:sz w:val="24"/>
          <w:szCs w:val="24"/>
        </w:rPr>
        <w:t>Factors</w:t>
      </w:r>
      <w:r w:rsidRPr="00D543D4">
        <w:rPr>
          <w:rFonts w:ascii="Times New Roman" w:eastAsia="Times New Roman" w:hAnsi="Times New Roman" w:cs="Times New Roman"/>
          <w:color w:val="1F3763"/>
          <w:sz w:val="24"/>
          <w:szCs w:val="24"/>
        </w:rPr>
        <w:t>:  </w:t>
      </w:r>
    </w:p>
    <w:p w14:paraId="0914D8BD" w14:textId="765DE912" w:rsidR="004348C1" w:rsidRPr="00D543D4" w:rsidRDefault="3258C0A5" w:rsidP="001507B3">
      <w:pPr>
        <w:spacing w:after="0" w:line="240" w:lineRule="auto"/>
        <w:jc w:val="both"/>
        <w:textAlignment w:val="baseline"/>
        <w:rPr>
          <w:rFonts w:ascii="Times New Roman" w:eastAsia="Times New Roman" w:hAnsi="Times New Roman" w:cs="Times New Roman"/>
          <w:color w:val="000000"/>
          <w:shd w:val="clear" w:color="auto" w:fill="FFFFFF"/>
        </w:rPr>
      </w:pPr>
      <w:r w:rsidRPr="00D543D4">
        <w:rPr>
          <w:rFonts w:ascii="Times New Roman" w:eastAsia="Times New Roman" w:hAnsi="Times New Roman" w:cs="Times New Roman"/>
          <w:color w:val="000000"/>
          <w:shd w:val="clear" w:color="auto" w:fill="FFFFFF"/>
        </w:rPr>
        <w:t xml:space="preserve">With reduced core funding, </w:t>
      </w:r>
      <w:r w:rsidR="00965EB2" w:rsidRPr="00D543D4">
        <w:rPr>
          <w:rFonts w:ascii="Times New Roman" w:eastAsia="Times New Roman" w:hAnsi="Times New Roman" w:cs="Times New Roman"/>
          <w:color w:val="000000"/>
          <w:shd w:val="clear" w:color="auto" w:fill="FFFFFF"/>
        </w:rPr>
        <w:t>competition among development agencies</w:t>
      </w:r>
      <w:r w:rsidR="75AAF311" w:rsidRPr="00D543D4">
        <w:rPr>
          <w:rFonts w:ascii="Times New Roman" w:eastAsia="Times New Roman" w:hAnsi="Times New Roman" w:cs="Times New Roman"/>
          <w:color w:val="000000"/>
          <w:shd w:val="clear" w:color="auto" w:fill="FFFFFF"/>
        </w:rPr>
        <w:t xml:space="preserve"> has intensified</w:t>
      </w:r>
      <w:r w:rsidR="00965EB2" w:rsidRPr="00D543D4">
        <w:rPr>
          <w:rFonts w:ascii="Times New Roman" w:eastAsia="Times New Roman" w:hAnsi="Times New Roman" w:cs="Times New Roman"/>
          <w:color w:val="000000"/>
          <w:shd w:val="clear" w:color="auto" w:fill="FFFFFF"/>
        </w:rPr>
        <w:t xml:space="preserve">. </w:t>
      </w:r>
      <w:r w:rsidR="3C8FF07E" w:rsidRPr="00D543D4">
        <w:rPr>
          <w:rFonts w:ascii="Times New Roman" w:eastAsia="Times New Roman" w:hAnsi="Times New Roman" w:cs="Times New Roman"/>
          <w:color w:val="000000"/>
          <w:shd w:val="clear" w:color="auto" w:fill="FFFFFF"/>
        </w:rPr>
        <w:t>A</w:t>
      </w:r>
      <w:r w:rsidR="00965EB2" w:rsidRPr="00D543D4">
        <w:rPr>
          <w:rFonts w:ascii="Times New Roman" w:eastAsia="Times New Roman" w:hAnsi="Times New Roman" w:cs="Times New Roman"/>
          <w:color w:val="000000"/>
          <w:shd w:val="clear" w:color="auto" w:fill="FFFFFF"/>
        </w:rPr>
        <w:t xml:space="preserve">s agencies vie for project-specific grants, </w:t>
      </w:r>
      <w:r w:rsidR="005F6B26" w:rsidRPr="00D543D4">
        <w:rPr>
          <w:rFonts w:ascii="Times New Roman" w:eastAsia="Times New Roman" w:hAnsi="Times New Roman" w:cs="Times New Roman"/>
          <w:color w:val="000000"/>
          <w:shd w:val="clear" w:color="auto" w:fill="FFFFFF"/>
        </w:rPr>
        <w:t xml:space="preserve">the </w:t>
      </w:r>
      <w:r w:rsidR="343988A4" w:rsidRPr="00D543D4">
        <w:rPr>
          <w:rFonts w:ascii="Times New Roman" w:eastAsia="Times New Roman" w:hAnsi="Times New Roman" w:cs="Times New Roman"/>
          <w:color w:val="000000"/>
          <w:shd w:val="clear" w:color="auto" w:fill="FFFFFF"/>
        </w:rPr>
        <w:t xml:space="preserve">focus is taken away from </w:t>
      </w:r>
      <w:r w:rsidR="0374E42D" w:rsidRPr="00D543D4">
        <w:rPr>
          <w:rFonts w:ascii="Times New Roman" w:eastAsia="Times New Roman" w:hAnsi="Times New Roman" w:cs="Times New Roman"/>
          <w:color w:val="000000"/>
          <w:shd w:val="clear" w:color="auto" w:fill="FFFFFF"/>
        </w:rPr>
        <w:t xml:space="preserve">trying to secure more </w:t>
      </w:r>
      <w:r w:rsidR="41F228A2" w:rsidRPr="00D543D4">
        <w:rPr>
          <w:rFonts w:ascii="Times New Roman" w:eastAsia="Times New Roman" w:hAnsi="Times New Roman" w:cs="Times New Roman"/>
          <w:color w:val="000000"/>
          <w:shd w:val="clear" w:color="auto" w:fill="FFFFFF"/>
        </w:rPr>
        <w:t xml:space="preserve">flexible resources </w:t>
      </w:r>
      <w:r w:rsidR="00965EB2" w:rsidRPr="00D543D4">
        <w:rPr>
          <w:rFonts w:ascii="Times New Roman" w:eastAsia="Times New Roman" w:hAnsi="Times New Roman" w:cs="Times New Roman"/>
          <w:color w:val="000000"/>
          <w:shd w:val="clear" w:color="auto" w:fill="FFFFFF"/>
        </w:rPr>
        <w:t>for long-term development initiatives.</w:t>
      </w:r>
      <w:r w:rsidR="005F7F8E" w:rsidRPr="00D543D4">
        <w:rPr>
          <w:rFonts w:ascii="Times New Roman" w:eastAsia="Times New Roman" w:hAnsi="Times New Roman" w:cs="Times New Roman"/>
          <w:color w:val="000000"/>
          <w:shd w:val="clear" w:color="auto" w:fill="FFFFFF"/>
        </w:rPr>
        <w:t xml:space="preserve"> </w:t>
      </w:r>
      <w:r w:rsidR="09DB7A91" w:rsidRPr="00D543D4">
        <w:rPr>
          <w:rFonts w:ascii="Times New Roman" w:eastAsia="Times New Roman" w:hAnsi="Times New Roman" w:cs="Times New Roman"/>
          <w:color w:val="000000"/>
          <w:shd w:val="clear" w:color="auto" w:fill="FFFFFF"/>
        </w:rPr>
        <w:t>Additional funding mechanisms such as pooled and thematic funds</w:t>
      </w:r>
      <w:r w:rsidR="3C37651C" w:rsidRPr="00D543D4">
        <w:rPr>
          <w:rFonts w:ascii="Times New Roman" w:eastAsia="Times New Roman" w:hAnsi="Times New Roman" w:cs="Times New Roman"/>
          <w:color w:val="000000"/>
          <w:shd w:val="clear" w:color="auto" w:fill="FFFFFF"/>
        </w:rPr>
        <w:t xml:space="preserve"> may also </w:t>
      </w:r>
      <w:r w:rsidR="0014584D" w:rsidRPr="00D543D4">
        <w:rPr>
          <w:rFonts w:ascii="Times New Roman" w:eastAsia="Times New Roman" w:hAnsi="Times New Roman" w:cs="Times New Roman"/>
          <w:color w:val="000000"/>
          <w:shd w:val="clear" w:color="auto" w:fill="FFFFFF"/>
        </w:rPr>
        <w:lastRenderedPageBreak/>
        <w:t>compet</w:t>
      </w:r>
      <w:r w:rsidR="21C9D844" w:rsidRPr="00D543D4">
        <w:rPr>
          <w:rFonts w:ascii="Times New Roman" w:eastAsia="Times New Roman" w:hAnsi="Times New Roman" w:cs="Times New Roman"/>
          <w:color w:val="000000"/>
          <w:shd w:val="clear" w:color="auto" w:fill="FFFFFF"/>
        </w:rPr>
        <w:t xml:space="preserve">e </w:t>
      </w:r>
      <w:r w:rsidR="008E389E" w:rsidRPr="00D543D4">
        <w:rPr>
          <w:rFonts w:ascii="Times New Roman" w:eastAsia="Times New Roman" w:hAnsi="Times New Roman" w:cs="Times New Roman"/>
          <w:color w:val="000000"/>
          <w:shd w:val="clear" w:color="auto" w:fill="FFFFFF"/>
        </w:rPr>
        <w:t>with</w:t>
      </w:r>
      <w:r w:rsidR="00B5009C" w:rsidRPr="00D543D4">
        <w:rPr>
          <w:rFonts w:ascii="Times New Roman" w:eastAsia="Times New Roman" w:hAnsi="Times New Roman" w:cs="Times New Roman"/>
          <w:color w:val="000000"/>
          <w:shd w:val="clear" w:color="auto" w:fill="FFFFFF"/>
        </w:rPr>
        <w:t xml:space="preserve"> core funding</w:t>
      </w:r>
      <w:r w:rsidR="001507B3" w:rsidRPr="00D543D4">
        <w:rPr>
          <w:rFonts w:ascii="Times New Roman" w:eastAsia="Times New Roman" w:hAnsi="Times New Roman" w:cs="Times New Roman"/>
          <w:color w:val="000000"/>
          <w:shd w:val="clear" w:color="auto" w:fill="FFFFFF"/>
        </w:rPr>
        <w:t xml:space="preserve">. </w:t>
      </w:r>
      <w:r w:rsidR="004348C1" w:rsidRPr="00D543D4">
        <w:rPr>
          <w:rFonts w:ascii="Times New Roman" w:eastAsia="Times New Roman" w:hAnsi="Times New Roman" w:cs="Times New Roman"/>
          <w:color w:val="000000"/>
          <w:shd w:val="clear" w:color="auto" w:fill="FFFFFF"/>
        </w:rPr>
        <w:t>In the recent past, several</w:t>
      </w:r>
      <w:r w:rsidR="008E389E" w:rsidRPr="00D543D4">
        <w:rPr>
          <w:rFonts w:ascii="Times New Roman" w:eastAsia="Times New Roman" w:hAnsi="Times New Roman" w:cs="Times New Roman"/>
          <w:color w:val="000000"/>
          <w:shd w:val="clear" w:color="auto" w:fill="FFFFFF"/>
        </w:rPr>
        <w:t xml:space="preserve"> donors have shifted </w:t>
      </w:r>
      <w:r w:rsidR="004348C1" w:rsidRPr="00D543D4">
        <w:rPr>
          <w:rFonts w:ascii="Times New Roman" w:eastAsia="Times New Roman" w:hAnsi="Times New Roman" w:cs="Times New Roman"/>
          <w:color w:val="000000"/>
          <w:shd w:val="clear" w:color="auto" w:fill="FFFFFF"/>
        </w:rPr>
        <w:t xml:space="preserve">funding from core to thematic and pooled funds. </w:t>
      </w:r>
    </w:p>
    <w:p w14:paraId="3AB338E9" w14:textId="77777777" w:rsidR="004348C1" w:rsidRPr="00D543D4" w:rsidRDefault="004348C1" w:rsidP="001507B3">
      <w:pPr>
        <w:spacing w:after="0" w:line="240" w:lineRule="auto"/>
        <w:jc w:val="both"/>
        <w:textAlignment w:val="baseline"/>
        <w:rPr>
          <w:rFonts w:ascii="Times New Roman" w:eastAsia="Times New Roman" w:hAnsi="Times New Roman" w:cs="Times New Roman"/>
          <w:color w:val="000000"/>
          <w:shd w:val="clear" w:color="auto" w:fill="FFFFFF"/>
        </w:rPr>
      </w:pPr>
    </w:p>
    <w:p w14:paraId="319F3891" w14:textId="64B2F8CA" w:rsidR="001507B3" w:rsidRPr="00D543D4" w:rsidRDefault="001507B3" w:rsidP="265576A8">
      <w:pPr>
        <w:spacing w:after="0" w:line="240" w:lineRule="auto"/>
        <w:jc w:val="both"/>
        <w:textAlignment w:val="baseline"/>
        <w:rPr>
          <w:rFonts w:ascii="Times New Roman" w:eastAsia="Times New Roman" w:hAnsi="Times New Roman" w:cs="Times New Roman"/>
          <w:color w:val="000000"/>
        </w:rPr>
      </w:pPr>
      <w:r w:rsidRPr="00D543D4">
        <w:rPr>
          <w:rFonts w:ascii="Times New Roman" w:eastAsia="Times New Roman" w:hAnsi="Times New Roman" w:cs="Times New Roman"/>
          <w:color w:val="000000"/>
          <w:shd w:val="clear" w:color="auto" w:fill="FFFFFF"/>
        </w:rPr>
        <w:t xml:space="preserve">Another argument </w:t>
      </w:r>
      <w:r w:rsidR="209256A3" w:rsidRPr="00D543D4">
        <w:rPr>
          <w:rFonts w:ascii="Times New Roman" w:eastAsia="Times New Roman" w:hAnsi="Times New Roman" w:cs="Times New Roman"/>
          <w:color w:val="000000"/>
          <w:shd w:val="clear" w:color="auto" w:fill="FFFFFF"/>
        </w:rPr>
        <w:t xml:space="preserve">is that </w:t>
      </w:r>
      <w:r w:rsidR="03FF3740" w:rsidRPr="00D543D4">
        <w:rPr>
          <w:rFonts w:ascii="Times New Roman" w:eastAsia="Times New Roman" w:hAnsi="Times New Roman" w:cs="Times New Roman"/>
          <w:color w:val="000000"/>
          <w:shd w:val="clear" w:color="auto" w:fill="FFFFFF"/>
        </w:rPr>
        <w:t xml:space="preserve">perceived </w:t>
      </w:r>
      <w:r w:rsidRPr="00D543D4">
        <w:rPr>
          <w:rFonts w:ascii="Times New Roman" w:eastAsia="Times New Roman" w:hAnsi="Times New Roman" w:cs="Times New Roman"/>
          <w:color w:val="000000"/>
          <w:shd w:val="clear" w:color="auto" w:fill="FFFFFF"/>
        </w:rPr>
        <w:t xml:space="preserve">inefficiencies </w:t>
      </w:r>
      <w:r w:rsidR="12957E89" w:rsidRPr="00D543D4">
        <w:rPr>
          <w:rFonts w:ascii="Times New Roman" w:eastAsia="Times New Roman" w:hAnsi="Times New Roman" w:cs="Times New Roman"/>
          <w:color w:val="000000"/>
          <w:shd w:val="clear" w:color="auto" w:fill="FFFFFF"/>
        </w:rPr>
        <w:t>by</w:t>
      </w:r>
      <w:r w:rsidRPr="00D543D4">
        <w:rPr>
          <w:rFonts w:ascii="Times New Roman" w:eastAsia="Times New Roman" w:hAnsi="Times New Roman" w:cs="Times New Roman"/>
          <w:color w:val="000000"/>
          <w:shd w:val="clear" w:color="auto" w:fill="FFFFFF"/>
        </w:rPr>
        <w:t xml:space="preserve"> implementing organizations</w:t>
      </w:r>
      <w:r w:rsidR="1A2BC03F" w:rsidRPr="00D543D4">
        <w:rPr>
          <w:rFonts w:ascii="Times New Roman" w:eastAsia="Times New Roman" w:hAnsi="Times New Roman" w:cs="Times New Roman"/>
          <w:color w:val="000000"/>
          <w:shd w:val="clear" w:color="auto" w:fill="FFFFFF"/>
        </w:rPr>
        <w:t xml:space="preserve"> force </w:t>
      </w:r>
      <w:r w:rsidRPr="00D543D4">
        <w:rPr>
          <w:rFonts w:ascii="Times New Roman" w:eastAsia="Times New Roman" w:hAnsi="Times New Roman" w:cs="Times New Roman"/>
          <w:color w:val="000000"/>
          <w:shd w:val="clear" w:color="auto" w:fill="FFFFFF"/>
        </w:rPr>
        <w:t xml:space="preserve">donors </w:t>
      </w:r>
      <w:r w:rsidR="1534E0AA" w:rsidRPr="00D543D4">
        <w:rPr>
          <w:rFonts w:ascii="Times New Roman" w:eastAsia="Times New Roman" w:hAnsi="Times New Roman" w:cs="Times New Roman"/>
          <w:color w:val="000000"/>
          <w:shd w:val="clear" w:color="auto" w:fill="FFFFFF"/>
        </w:rPr>
        <w:t xml:space="preserve">to divert funding from core to </w:t>
      </w:r>
      <w:r w:rsidRPr="00D543D4">
        <w:rPr>
          <w:rFonts w:ascii="Times New Roman" w:eastAsia="Times New Roman" w:hAnsi="Times New Roman" w:cs="Times New Roman"/>
          <w:color w:val="000000"/>
          <w:shd w:val="clear" w:color="auto" w:fill="FFFFFF"/>
        </w:rPr>
        <w:t>earmark</w:t>
      </w:r>
      <w:r w:rsidR="17758AA2" w:rsidRPr="00D543D4">
        <w:rPr>
          <w:rFonts w:ascii="Times New Roman" w:eastAsia="Times New Roman" w:hAnsi="Times New Roman" w:cs="Times New Roman"/>
          <w:color w:val="000000"/>
          <w:shd w:val="clear" w:color="auto" w:fill="FFFFFF"/>
        </w:rPr>
        <w:t xml:space="preserve">ed, </w:t>
      </w:r>
      <w:r w:rsidR="0C2DC3E2" w:rsidRPr="00D543D4">
        <w:rPr>
          <w:rFonts w:ascii="Times New Roman" w:eastAsia="Times New Roman" w:hAnsi="Times New Roman" w:cs="Times New Roman"/>
          <w:color w:val="000000"/>
          <w:shd w:val="clear" w:color="auto" w:fill="FFFFFF"/>
        </w:rPr>
        <w:t xml:space="preserve">which can be better </w:t>
      </w:r>
      <w:r w:rsidRPr="00D543D4">
        <w:rPr>
          <w:rFonts w:ascii="Times New Roman" w:eastAsia="Times New Roman" w:hAnsi="Times New Roman" w:cs="Times New Roman"/>
          <w:color w:val="000000"/>
          <w:shd w:val="clear" w:color="auto" w:fill="FFFFFF"/>
        </w:rPr>
        <w:t>monitor</w:t>
      </w:r>
      <w:r w:rsidR="38231809" w:rsidRPr="00D543D4">
        <w:rPr>
          <w:rFonts w:ascii="Times New Roman" w:eastAsia="Times New Roman" w:hAnsi="Times New Roman" w:cs="Times New Roman"/>
          <w:color w:val="000000"/>
          <w:shd w:val="clear" w:color="auto" w:fill="FFFFFF"/>
        </w:rPr>
        <w:t xml:space="preserve">ed. </w:t>
      </w:r>
      <w:r w:rsidRPr="00D543D4">
        <w:rPr>
          <w:rFonts w:ascii="Times New Roman" w:eastAsia="Times New Roman" w:hAnsi="Times New Roman" w:cs="Times New Roman"/>
          <w:color w:val="000000"/>
          <w:shd w:val="clear" w:color="auto" w:fill="FFFFFF"/>
        </w:rPr>
        <w:t xml:space="preserve">In the past, </w:t>
      </w:r>
      <w:r w:rsidR="1F406488" w:rsidRPr="00D543D4">
        <w:rPr>
          <w:rFonts w:ascii="Times New Roman" w:eastAsia="Times New Roman" w:hAnsi="Times New Roman" w:cs="Times New Roman"/>
          <w:color w:val="000000"/>
          <w:shd w:val="clear" w:color="auto" w:fill="FFFFFF"/>
        </w:rPr>
        <w:t xml:space="preserve">donors </w:t>
      </w:r>
      <w:r w:rsidRPr="00D543D4">
        <w:rPr>
          <w:rFonts w:ascii="Times New Roman" w:eastAsia="Times New Roman" w:hAnsi="Times New Roman" w:cs="Times New Roman"/>
          <w:color w:val="000000"/>
          <w:shd w:val="clear" w:color="auto" w:fill="FFFFFF"/>
        </w:rPr>
        <w:t xml:space="preserve">have sanctioned </w:t>
      </w:r>
      <w:r w:rsidR="00DF06A3" w:rsidRPr="00D543D4">
        <w:rPr>
          <w:rFonts w:ascii="Times New Roman" w:eastAsia="Times New Roman" w:hAnsi="Times New Roman" w:cs="Times New Roman"/>
          <w:color w:val="000000"/>
          <w:shd w:val="clear" w:color="auto" w:fill="FFFFFF"/>
        </w:rPr>
        <w:t>underperforming</w:t>
      </w:r>
      <w:r w:rsidRPr="00D543D4">
        <w:rPr>
          <w:rFonts w:ascii="Times New Roman" w:eastAsia="Times New Roman" w:hAnsi="Times New Roman" w:cs="Times New Roman"/>
          <w:color w:val="000000"/>
          <w:shd w:val="clear" w:color="auto" w:fill="FFFFFF"/>
        </w:rPr>
        <w:t xml:space="preserve"> organizations by shifting to earmarked funding</w:t>
      </w:r>
      <w:r w:rsidR="005B016F" w:rsidRPr="00D543D4">
        <w:rPr>
          <w:rFonts w:ascii="Times New Roman" w:eastAsia="Times New Roman" w:hAnsi="Times New Roman" w:cs="Times New Roman"/>
          <w:color w:val="000000"/>
          <w:shd w:val="clear" w:color="auto" w:fill="FFFFFF"/>
        </w:rPr>
        <w:t xml:space="preserve"> or </w:t>
      </w:r>
      <w:r w:rsidR="0D8D687E" w:rsidRPr="00D543D4">
        <w:rPr>
          <w:rFonts w:ascii="Times New Roman" w:eastAsia="Times New Roman" w:hAnsi="Times New Roman" w:cs="Times New Roman"/>
          <w:color w:val="000000"/>
          <w:shd w:val="clear" w:color="auto" w:fill="FFFFFF"/>
        </w:rPr>
        <w:t>cutting</w:t>
      </w:r>
      <w:r w:rsidR="005B016F" w:rsidRPr="00D543D4">
        <w:rPr>
          <w:rFonts w:ascii="Times New Roman" w:eastAsia="Times New Roman" w:hAnsi="Times New Roman" w:cs="Times New Roman"/>
          <w:color w:val="000000"/>
          <w:shd w:val="clear" w:color="auto" w:fill="FFFFFF"/>
        </w:rPr>
        <w:t xml:space="preserve"> funding outright</w:t>
      </w:r>
      <w:r w:rsidRPr="00D543D4">
        <w:rPr>
          <w:rFonts w:ascii="Times New Roman" w:eastAsia="Times New Roman" w:hAnsi="Times New Roman" w:cs="Times New Roman"/>
          <w:color w:val="000000"/>
          <w:shd w:val="clear" w:color="auto" w:fill="FFFFFF"/>
        </w:rPr>
        <w:t>. However, the</w:t>
      </w:r>
      <w:r w:rsidR="6CDFDB16" w:rsidRPr="00D543D4">
        <w:rPr>
          <w:rFonts w:ascii="Times New Roman" w:eastAsia="Times New Roman" w:hAnsi="Times New Roman" w:cs="Times New Roman"/>
          <w:color w:val="000000"/>
          <w:shd w:val="clear" w:color="auto" w:fill="FFFFFF"/>
        </w:rPr>
        <w:t xml:space="preserve"> reverse </w:t>
      </w:r>
      <w:r w:rsidRPr="00D543D4">
        <w:rPr>
          <w:rFonts w:ascii="Times New Roman" w:eastAsia="Times New Roman" w:hAnsi="Times New Roman" w:cs="Times New Roman"/>
          <w:color w:val="000000"/>
          <w:shd w:val="clear" w:color="auto" w:fill="FFFFFF"/>
        </w:rPr>
        <w:t>effect</w:t>
      </w:r>
      <w:r w:rsidR="3DB01F30" w:rsidRPr="00D543D4">
        <w:rPr>
          <w:rFonts w:ascii="Times New Roman" w:eastAsia="Times New Roman" w:hAnsi="Times New Roman" w:cs="Times New Roman"/>
          <w:color w:val="000000"/>
          <w:shd w:val="clear" w:color="auto" w:fill="FFFFFF"/>
        </w:rPr>
        <w:t xml:space="preserve"> </w:t>
      </w:r>
      <w:r w:rsidRPr="00D543D4">
        <w:rPr>
          <w:rFonts w:ascii="Times New Roman" w:eastAsia="Times New Roman" w:hAnsi="Times New Roman" w:cs="Times New Roman"/>
          <w:color w:val="000000"/>
          <w:shd w:val="clear" w:color="auto" w:fill="FFFFFF"/>
        </w:rPr>
        <w:t xml:space="preserve">whereby organizational improvements </w:t>
      </w:r>
      <w:r w:rsidR="0043195C">
        <w:rPr>
          <w:rFonts w:ascii="Times New Roman" w:eastAsia="Times New Roman" w:hAnsi="Times New Roman" w:cs="Times New Roman"/>
          <w:color w:val="000000"/>
          <w:shd w:val="clear" w:color="auto" w:fill="FFFFFF"/>
        </w:rPr>
        <w:t xml:space="preserve">should </w:t>
      </w:r>
      <w:r w:rsidRPr="00D543D4">
        <w:rPr>
          <w:rFonts w:ascii="Times New Roman" w:eastAsia="Times New Roman" w:hAnsi="Times New Roman" w:cs="Times New Roman"/>
          <w:color w:val="000000"/>
          <w:shd w:val="clear" w:color="auto" w:fill="FFFFFF"/>
        </w:rPr>
        <w:t>lead to more core contributions</w:t>
      </w:r>
      <w:r w:rsidR="10B99723" w:rsidRPr="00D543D4">
        <w:rPr>
          <w:rFonts w:ascii="Times New Roman" w:eastAsia="Times New Roman" w:hAnsi="Times New Roman" w:cs="Times New Roman"/>
          <w:color w:val="000000"/>
          <w:shd w:val="clear" w:color="auto" w:fill="FFFFFF"/>
        </w:rPr>
        <w:t xml:space="preserve"> </w:t>
      </w:r>
      <w:r w:rsidR="10B99723" w:rsidRPr="00D543D4">
        <w:rPr>
          <w:rFonts w:ascii="Times New Roman" w:eastAsia="Times New Roman" w:hAnsi="Times New Roman" w:cs="Times New Roman"/>
          <w:color w:val="000000" w:themeColor="text1"/>
        </w:rPr>
        <w:t xml:space="preserve">is not evident. </w:t>
      </w:r>
      <w:r w:rsidRPr="00D543D4">
        <w:rPr>
          <w:rFonts w:ascii="Times New Roman" w:eastAsia="Times New Roman" w:hAnsi="Times New Roman" w:cs="Times New Roman"/>
          <w:color w:val="000000"/>
          <w:shd w:val="clear" w:color="auto" w:fill="FFFFFF"/>
        </w:rPr>
        <w:t>Even if the UNDS appears to be in much better shape than a few decades ago</w:t>
      </w:r>
      <w:r w:rsidR="00ED47F4" w:rsidRPr="00D543D4">
        <w:rPr>
          <w:rStyle w:val="FootnoteReference"/>
          <w:rFonts w:ascii="Times New Roman" w:eastAsia="Times New Roman" w:hAnsi="Times New Roman" w:cs="Times New Roman"/>
          <w:color w:val="000000"/>
          <w:shd w:val="clear" w:color="auto" w:fill="FFFFFF"/>
        </w:rPr>
        <w:footnoteReference w:id="11"/>
      </w:r>
      <w:r w:rsidR="00ED47F4" w:rsidRPr="00D543D4">
        <w:rPr>
          <w:rFonts w:ascii="Times New Roman" w:eastAsia="Times New Roman" w:hAnsi="Times New Roman" w:cs="Times New Roman"/>
          <w:color w:val="000000"/>
          <w:shd w:val="clear" w:color="auto" w:fill="FFFFFF"/>
        </w:rPr>
        <w:t>,</w:t>
      </w:r>
      <w:r w:rsidRPr="00D543D4">
        <w:rPr>
          <w:rFonts w:ascii="Times New Roman" w:eastAsia="Times New Roman" w:hAnsi="Times New Roman" w:cs="Times New Roman"/>
          <w:color w:val="000000"/>
          <w:shd w:val="clear" w:color="auto" w:fill="FFFFFF"/>
        </w:rPr>
        <w:t xml:space="preserve"> the earmarking of funds has continued to increase unceasingly, seemingly unrewarding organizations for their substantial improvements</w:t>
      </w:r>
      <w:r w:rsidR="001509D5" w:rsidRPr="00D543D4">
        <w:rPr>
          <w:rFonts w:ascii="Times New Roman" w:eastAsia="Times New Roman" w:hAnsi="Times New Roman" w:cs="Times New Roman"/>
          <w:color w:val="000000"/>
          <w:shd w:val="clear" w:color="auto" w:fill="FFFFFF"/>
        </w:rPr>
        <w:t>.</w:t>
      </w:r>
      <w:r w:rsidR="001509D5" w:rsidRPr="00D543D4">
        <w:rPr>
          <w:rStyle w:val="FootnoteReference"/>
          <w:rFonts w:ascii="Times New Roman" w:eastAsia="Times New Roman" w:hAnsi="Times New Roman" w:cs="Times New Roman"/>
          <w:color w:val="000000"/>
          <w:shd w:val="clear" w:color="auto" w:fill="FFFFFF"/>
        </w:rPr>
        <w:footnoteReference w:id="12"/>
      </w:r>
      <w:r w:rsidRPr="00D543D4">
        <w:rPr>
          <w:rFonts w:ascii="Times New Roman" w:eastAsia="Times New Roman" w:hAnsi="Times New Roman" w:cs="Times New Roman"/>
          <w:color w:val="000000"/>
          <w:shd w:val="clear" w:color="auto" w:fill="FFFFFF"/>
        </w:rPr>
        <w:t> </w:t>
      </w:r>
      <w:r w:rsidRPr="00D543D4">
        <w:rPr>
          <w:rFonts w:ascii="Times New Roman" w:eastAsia="Times New Roman" w:hAnsi="Times New Roman" w:cs="Times New Roman"/>
          <w:color w:val="000000"/>
        </w:rPr>
        <w:t> </w:t>
      </w:r>
    </w:p>
    <w:p w14:paraId="72DEF692" w14:textId="77777777" w:rsidR="001C478A" w:rsidRPr="00D543D4" w:rsidRDefault="001C478A" w:rsidP="001507B3">
      <w:pPr>
        <w:spacing w:after="0" w:line="240" w:lineRule="auto"/>
        <w:jc w:val="both"/>
        <w:textAlignment w:val="baseline"/>
        <w:rPr>
          <w:rFonts w:ascii="Times New Roman" w:eastAsia="Times New Roman" w:hAnsi="Times New Roman" w:cs="Times New Roman"/>
          <w:sz w:val="18"/>
          <w:szCs w:val="18"/>
        </w:rPr>
      </w:pPr>
    </w:p>
    <w:p w14:paraId="4449E65F" w14:textId="66A2AEE8" w:rsidR="001507B3" w:rsidRPr="00D543D4" w:rsidRDefault="001507B3" w:rsidP="001507B3">
      <w:pPr>
        <w:spacing w:after="0" w:line="240" w:lineRule="auto"/>
        <w:jc w:val="both"/>
        <w:textAlignment w:val="baseline"/>
        <w:rPr>
          <w:rFonts w:ascii="Times New Roman" w:eastAsia="Times New Roman" w:hAnsi="Times New Roman" w:cs="Times New Roman"/>
          <w:color w:val="000000"/>
        </w:rPr>
      </w:pPr>
      <w:r w:rsidRPr="00D543D4">
        <w:rPr>
          <w:rFonts w:ascii="Times New Roman" w:eastAsia="Times New Roman" w:hAnsi="Times New Roman" w:cs="Times New Roman"/>
          <w:color w:val="000000"/>
          <w:shd w:val="clear" w:color="auto" w:fill="FFFFFF"/>
        </w:rPr>
        <w:t>Another key issue is of course the diversification of core donors, or lack of</w:t>
      </w:r>
      <w:r w:rsidR="00DF06A3" w:rsidRPr="00D543D4">
        <w:rPr>
          <w:rFonts w:ascii="Times New Roman" w:eastAsia="Times New Roman" w:hAnsi="Times New Roman" w:cs="Times New Roman"/>
          <w:color w:val="000000"/>
          <w:shd w:val="clear" w:color="auto" w:fill="FFFFFF"/>
        </w:rPr>
        <w:t xml:space="preserve"> </w:t>
      </w:r>
      <w:r w:rsidR="28CE8AAB" w:rsidRPr="00D543D4">
        <w:rPr>
          <w:rFonts w:ascii="Times New Roman" w:eastAsia="Times New Roman" w:hAnsi="Times New Roman" w:cs="Times New Roman"/>
          <w:color w:val="000000"/>
          <w:shd w:val="clear" w:color="auto" w:fill="FFFFFF"/>
        </w:rPr>
        <w:t>it</w:t>
      </w:r>
      <w:r w:rsidRPr="00D543D4">
        <w:rPr>
          <w:rFonts w:ascii="Times New Roman" w:eastAsia="Times New Roman" w:hAnsi="Times New Roman" w:cs="Times New Roman"/>
          <w:color w:val="000000"/>
          <w:shd w:val="clear" w:color="auto" w:fill="FFFFFF"/>
        </w:rPr>
        <w:t>. Funding for the UNDS remains highly concentrated, with the top 12 countries providing 66% of total UNDS revenue. Seven of the</w:t>
      </w:r>
      <w:r w:rsidR="2F35210F" w:rsidRPr="00D543D4">
        <w:rPr>
          <w:rFonts w:ascii="Times New Roman" w:eastAsia="Times New Roman" w:hAnsi="Times New Roman" w:cs="Times New Roman"/>
          <w:color w:val="000000"/>
          <w:shd w:val="clear" w:color="auto" w:fill="FFFFFF"/>
        </w:rPr>
        <w:t xml:space="preserve"> twelve</w:t>
      </w:r>
      <w:r w:rsidRPr="00D543D4">
        <w:rPr>
          <w:rFonts w:ascii="Times New Roman" w:eastAsia="Times New Roman" w:hAnsi="Times New Roman" w:cs="Times New Roman"/>
          <w:color w:val="000000"/>
          <w:shd w:val="clear" w:color="auto" w:fill="FFFFFF"/>
        </w:rPr>
        <w:t xml:space="preserve"> provide 20% or more of their funding through core funding (only Italy and Sweden provide more than 30% in core funding). </w:t>
      </w:r>
      <w:r w:rsidR="00426E91">
        <w:rPr>
          <w:rFonts w:ascii="Times New Roman" w:eastAsia="Times New Roman" w:hAnsi="Times New Roman" w:cs="Times New Roman"/>
          <w:color w:val="000000"/>
          <w:shd w:val="clear" w:color="auto" w:fill="FFFFFF"/>
        </w:rPr>
        <w:t>High dependency on a handful of core donors put the organizations very vulnerable</w:t>
      </w:r>
      <w:r w:rsidR="005E200A">
        <w:rPr>
          <w:rFonts w:ascii="Times New Roman" w:eastAsia="Times New Roman" w:hAnsi="Times New Roman" w:cs="Times New Roman"/>
          <w:color w:val="000000"/>
          <w:shd w:val="clear" w:color="auto" w:fill="FFFFFF"/>
        </w:rPr>
        <w:t xml:space="preserve">. </w:t>
      </w:r>
      <w:r w:rsidRPr="00D543D4">
        <w:rPr>
          <w:rFonts w:ascii="Times New Roman" w:eastAsia="Times New Roman" w:hAnsi="Times New Roman" w:cs="Times New Roman"/>
          <w:color w:val="000000"/>
          <w:shd w:val="clear" w:color="auto" w:fill="FFFFFF"/>
        </w:rPr>
        <w:t>To diversify the core donor</w:t>
      </w:r>
      <w:r w:rsidR="67736FDC" w:rsidRPr="00D543D4">
        <w:rPr>
          <w:rFonts w:ascii="Times New Roman" w:eastAsia="Times New Roman" w:hAnsi="Times New Roman" w:cs="Times New Roman"/>
          <w:color w:val="000000"/>
          <w:shd w:val="clear" w:color="auto" w:fill="FFFFFF"/>
        </w:rPr>
        <w:t xml:space="preserve"> base</w:t>
      </w:r>
      <w:r w:rsidRPr="00D543D4">
        <w:rPr>
          <w:rFonts w:ascii="Times New Roman" w:eastAsia="Times New Roman" w:hAnsi="Times New Roman" w:cs="Times New Roman"/>
          <w:color w:val="000000"/>
          <w:shd w:val="clear" w:color="auto" w:fill="FFFFFF"/>
        </w:rPr>
        <w:t>, UN agencies have expand</w:t>
      </w:r>
      <w:r w:rsidR="79BA70A2" w:rsidRPr="00D543D4">
        <w:rPr>
          <w:rFonts w:ascii="Times New Roman" w:eastAsia="Times New Roman" w:hAnsi="Times New Roman" w:cs="Times New Roman"/>
          <w:color w:val="000000"/>
          <w:shd w:val="clear" w:color="auto" w:fill="FFFFFF"/>
        </w:rPr>
        <w:t xml:space="preserve">ed </w:t>
      </w:r>
      <w:r w:rsidRPr="00D543D4">
        <w:rPr>
          <w:rFonts w:ascii="Times New Roman" w:eastAsia="Times New Roman" w:hAnsi="Times New Roman" w:cs="Times New Roman"/>
          <w:color w:val="000000"/>
          <w:shd w:val="clear" w:color="auto" w:fill="FFFFFF"/>
        </w:rPr>
        <w:t>their resource mobilization strateg</w:t>
      </w:r>
      <w:r w:rsidR="08538EF5" w:rsidRPr="00D543D4">
        <w:rPr>
          <w:rFonts w:ascii="Times New Roman" w:eastAsia="Times New Roman" w:hAnsi="Times New Roman" w:cs="Times New Roman"/>
          <w:color w:val="000000"/>
          <w:shd w:val="clear" w:color="auto" w:fill="FFFFFF"/>
        </w:rPr>
        <w:t>ies</w:t>
      </w:r>
      <w:r w:rsidRPr="00D543D4">
        <w:rPr>
          <w:rFonts w:ascii="Times New Roman" w:eastAsia="Times New Roman" w:hAnsi="Times New Roman" w:cs="Times New Roman"/>
          <w:color w:val="000000"/>
          <w:shd w:val="clear" w:color="auto" w:fill="FFFFFF"/>
        </w:rPr>
        <w:t xml:space="preserve"> to</w:t>
      </w:r>
      <w:r w:rsidR="1D63521A" w:rsidRPr="00D543D4">
        <w:rPr>
          <w:rFonts w:ascii="Times New Roman" w:eastAsia="Times New Roman" w:hAnsi="Times New Roman" w:cs="Times New Roman"/>
          <w:color w:val="000000"/>
          <w:shd w:val="clear" w:color="auto" w:fill="FFFFFF"/>
        </w:rPr>
        <w:t xml:space="preserve"> include</w:t>
      </w:r>
      <w:r w:rsidRPr="00D543D4">
        <w:rPr>
          <w:rFonts w:ascii="Times New Roman" w:eastAsia="Times New Roman" w:hAnsi="Times New Roman" w:cs="Times New Roman"/>
          <w:color w:val="000000"/>
          <w:shd w:val="clear" w:color="auto" w:fill="FFFFFF"/>
        </w:rPr>
        <w:t xml:space="preserve"> non-OECD DAC donors, </w:t>
      </w:r>
      <w:r w:rsidR="50EF6AE8" w:rsidRPr="00D543D4">
        <w:rPr>
          <w:rFonts w:ascii="Times New Roman" w:eastAsia="Times New Roman" w:hAnsi="Times New Roman" w:cs="Times New Roman"/>
          <w:color w:val="000000"/>
          <w:shd w:val="clear" w:color="auto" w:fill="FFFFFF"/>
        </w:rPr>
        <w:t xml:space="preserve">who largely contribute to </w:t>
      </w:r>
      <w:r w:rsidRPr="00D543D4">
        <w:rPr>
          <w:rFonts w:ascii="Times New Roman" w:eastAsia="Times New Roman" w:hAnsi="Times New Roman" w:cs="Times New Roman"/>
          <w:color w:val="000000"/>
          <w:shd w:val="clear" w:color="auto" w:fill="FFFFFF"/>
        </w:rPr>
        <w:t xml:space="preserve">assessed </w:t>
      </w:r>
      <w:r w:rsidR="1BDD4AC0" w:rsidRPr="00D543D4">
        <w:rPr>
          <w:rFonts w:ascii="Times New Roman" w:eastAsia="Times New Roman" w:hAnsi="Times New Roman" w:cs="Times New Roman"/>
          <w:color w:val="000000"/>
          <w:shd w:val="clear" w:color="auto" w:fill="FFFFFF"/>
        </w:rPr>
        <w:t xml:space="preserve">core </w:t>
      </w:r>
      <w:r w:rsidRPr="00D543D4">
        <w:rPr>
          <w:rFonts w:ascii="Times New Roman" w:eastAsia="Times New Roman" w:hAnsi="Times New Roman" w:cs="Times New Roman"/>
          <w:color w:val="000000"/>
          <w:shd w:val="clear" w:color="auto" w:fill="FFFFFF"/>
        </w:rPr>
        <w:t>contributions</w:t>
      </w:r>
      <w:r w:rsidR="66970790" w:rsidRPr="00D543D4">
        <w:rPr>
          <w:rFonts w:ascii="Times New Roman" w:eastAsia="Times New Roman" w:hAnsi="Times New Roman" w:cs="Times New Roman"/>
          <w:color w:val="000000"/>
          <w:shd w:val="clear" w:color="auto" w:fill="FFFFFF"/>
        </w:rPr>
        <w:t xml:space="preserve">. </w:t>
      </w:r>
      <w:r w:rsidRPr="00D543D4">
        <w:rPr>
          <w:rFonts w:ascii="Times New Roman" w:eastAsia="Times New Roman" w:hAnsi="Times New Roman" w:cs="Times New Roman"/>
          <w:color w:val="000000"/>
          <w:shd w:val="clear" w:color="auto" w:fill="FFFFFF"/>
        </w:rPr>
        <w:t>For example, Brazil, China, Mexico</w:t>
      </w:r>
      <w:r w:rsidR="00830128" w:rsidRPr="00D543D4">
        <w:rPr>
          <w:rFonts w:ascii="Times New Roman" w:eastAsia="Times New Roman" w:hAnsi="Times New Roman" w:cs="Times New Roman"/>
          <w:color w:val="000000"/>
          <w:shd w:val="clear" w:color="auto" w:fill="FFFFFF"/>
        </w:rPr>
        <w:t>,</w:t>
      </w:r>
      <w:r w:rsidRPr="00D543D4">
        <w:rPr>
          <w:rFonts w:ascii="Times New Roman" w:eastAsia="Times New Roman" w:hAnsi="Times New Roman" w:cs="Times New Roman"/>
          <w:color w:val="000000"/>
          <w:shd w:val="clear" w:color="auto" w:fill="FFFFFF"/>
        </w:rPr>
        <w:t xml:space="preserve"> and Turkey all provided more than half their UNDS funding as core contributions (Saudi Arabia and Qatar are notable exceptions)</w:t>
      </w:r>
      <w:r w:rsidR="004B7E99" w:rsidRPr="00D543D4">
        <w:rPr>
          <w:rFonts w:ascii="Times New Roman" w:eastAsia="Times New Roman" w:hAnsi="Times New Roman" w:cs="Times New Roman"/>
          <w:color w:val="000000"/>
          <w:shd w:val="clear" w:color="auto" w:fill="FFFFFF"/>
        </w:rPr>
        <w:t>.</w:t>
      </w:r>
      <w:r w:rsidR="004B7E99" w:rsidRPr="00D543D4">
        <w:rPr>
          <w:rStyle w:val="FootnoteReference"/>
          <w:rFonts w:ascii="Times New Roman" w:eastAsia="Times New Roman" w:hAnsi="Times New Roman" w:cs="Times New Roman"/>
          <w:color w:val="000000"/>
          <w:shd w:val="clear" w:color="auto" w:fill="FFFFFF"/>
        </w:rPr>
        <w:footnoteReference w:id="13"/>
      </w:r>
      <w:r w:rsidRPr="00D543D4">
        <w:rPr>
          <w:rFonts w:ascii="Times New Roman" w:eastAsia="Times New Roman" w:hAnsi="Times New Roman" w:cs="Times New Roman"/>
          <w:color w:val="000000"/>
          <w:shd w:val="clear" w:color="auto" w:fill="FFFFFF"/>
        </w:rPr>
        <w:t xml:space="preserve"> </w:t>
      </w:r>
      <w:r w:rsidR="00871A0F">
        <w:rPr>
          <w:rFonts w:ascii="Times New Roman" w:eastAsia="Times New Roman" w:hAnsi="Times New Roman" w:cs="Times New Roman"/>
          <w:color w:val="000000"/>
          <w:shd w:val="clear" w:color="auto" w:fill="FFFFFF"/>
        </w:rPr>
        <w:t>Despite their efforts, u</w:t>
      </w:r>
      <w:r w:rsidRPr="00D543D4">
        <w:rPr>
          <w:rFonts w:ascii="Times New Roman" w:eastAsia="Times New Roman" w:hAnsi="Times New Roman" w:cs="Times New Roman"/>
          <w:color w:val="000000"/>
          <w:shd w:val="clear" w:color="auto" w:fill="FFFFFF"/>
        </w:rPr>
        <w:t xml:space="preserve">nfortunately, the volume of these core contributions </w:t>
      </w:r>
      <w:r w:rsidR="00871A0F">
        <w:rPr>
          <w:rFonts w:ascii="Times New Roman" w:eastAsia="Times New Roman" w:hAnsi="Times New Roman" w:cs="Times New Roman"/>
          <w:color w:val="000000"/>
          <w:shd w:val="clear" w:color="auto" w:fill="FFFFFF"/>
        </w:rPr>
        <w:t xml:space="preserve">still </w:t>
      </w:r>
      <w:r w:rsidRPr="00D543D4">
        <w:rPr>
          <w:rFonts w:ascii="Times New Roman" w:eastAsia="Times New Roman" w:hAnsi="Times New Roman" w:cs="Times New Roman"/>
          <w:color w:val="000000"/>
          <w:shd w:val="clear" w:color="auto" w:fill="FFFFFF"/>
        </w:rPr>
        <w:t>does not make up for the core reductions by the top OECD DAC donors. </w:t>
      </w:r>
      <w:r w:rsidRPr="00D543D4">
        <w:rPr>
          <w:rFonts w:ascii="Times New Roman" w:eastAsia="Times New Roman" w:hAnsi="Times New Roman" w:cs="Times New Roman"/>
          <w:color w:val="000000"/>
        </w:rPr>
        <w:t> </w:t>
      </w:r>
    </w:p>
    <w:p w14:paraId="7BD1F3E3" w14:textId="77777777" w:rsidR="001C478A" w:rsidRPr="00D543D4" w:rsidRDefault="001C478A" w:rsidP="001507B3">
      <w:pPr>
        <w:spacing w:after="0" w:line="240" w:lineRule="auto"/>
        <w:jc w:val="both"/>
        <w:textAlignment w:val="baseline"/>
        <w:rPr>
          <w:rFonts w:ascii="Times New Roman" w:eastAsia="Times New Roman" w:hAnsi="Times New Roman" w:cs="Times New Roman"/>
          <w:sz w:val="18"/>
          <w:szCs w:val="18"/>
        </w:rPr>
      </w:pPr>
    </w:p>
    <w:p w14:paraId="6217A03A" w14:textId="6BDCAD3B" w:rsidR="001507B3" w:rsidRPr="00D543D4" w:rsidRDefault="001507B3" w:rsidP="001507B3">
      <w:pPr>
        <w:spacing w:after="0" w:line="240" w:lineRule="auto"/>
        <w:jc w:val="both"/>
        <w:textAlignment w:val="baseline"/>
        <w:rPr>
          <w:rFonts w:ascii="Times New Roman" w:eastAsia="Times New Roman" w:hAnsi="Times New Roman" w:cs="Times New Roman"/>
          <w:sz w:val="18"/>
          <w:szCs w:val="18"/>
        </w:rPr>
      </w:pPr>
      <w:r w:rsidRPr="00D543D4">
        <w:rPr>
          <w:rFonts w:ascii="Times New Roman" w:eastAsia="Times New Roman" w:hAnsi="Times New Roman" w:cs="Times New Roman"/>
          <w:color w:val="1F3763"/>
          <w:sz w:val="24"/>
          <w:szCs w:val="24"/>
        </w:rPr>
        <w:t xml:space="preserve">6) Institutional </w:t>
      </w:r>
      <w:r w:rsidR="00B63503" w:rsidRPr="00D543D4">
        <w:rPr>
          <w:rFonts w:ascii="Times New Roman" w:eastAsia="Times New Roman" w:hAnsi="Times New Roman" w:cs="Times New Roman"/>
          <w:color w:val="1F3763"/>
          <w:sz w:val="24"/>
          <w:szCs w:val="24"/>
        </w:rPr>
        <w:t>Factors</w:t>
      </w:r>
      <w:r w:rsidRPr="00D543D4">
        <w:rPr>
          <w:rFonts w:ascii="Times New Roman" w:eastAsia="Times New Roman" w:hAnsi="Times New Roman" w:cs="Times New Roman"/>
          <w:color w:val="1F3763"/>
          <w:sz w:val="24"/>
          <w:szCs w:val="24"/>
        </w:rPr>
        <w:t>: </w:t>
      </w:r>
    </w:p>
    <w:p w14:paraId="3F6AC97B" w14:textId="48A702ED" w:rsidR="001507B3" w:rsidRPr="00D543D4" w:rsidRDefault="001507B3" w:rsidP="265576A8">
      <w:pPr>
        <w:spacing w:after="0" w:line="240" w:lineRule="auto"/>
        <w:jc w:val="both"/>
        <w:textAlignment w:val="baseline"/>
        <w:rPr>
          <w:rFonts w:ascii="Times New Roman" w:eastAsia="Times New Roman" w:hAnsi="Times New Roman" w:cs="Times New Roman"/>
        </w:rPr>
      </w:pPr>
      <w:r w:rsidRPr="00D543D4">
        <w:rPr>
          <w:rFonts w:ascii="Times New Roman" w:eastAsia="Times New Roman" w:hAnsi="Times New Roman" w:cs="Times New Roman"/>
          <w:color w:val="000000"/>
          <w:shd w:val="clear" w:color="auto" w:fill="FFFFFF"/>
        </w:rPr>
        <w:t xml:space="preserve">Somewhat </w:t>
      </w:r>
      <w:r w:rsidR="126500B3" w:rsidRPr="00D543D4">
        <w:rPr>
          <w:rFonts w:ascii="Times New Roman" w:eastAsia="Times New Roman" w:hAnsi="Times New Roman" w:cs="Times New Roman"/>
          <w:color w:val="000000"/>
          <w:shd w:val="clear" w:color="auto" w:fill="FFFFFF"/>
        </w:rPr>
        <w:t xml:space="preserve">related to </w:t>
      </w:r>
      <w:r w:rsidRPr="00D543D4">
        <w:rPr>
          <w:rFonts w:ascii="Times New Roman" w:eastAsia="Times New Roman" w:hAnsi="Times New Roman" w:cs="Times New Roman"/>
          <w:color w:val="000000"/>
          <w:shd w:val="clear" w:color="auto" w:fill="FFFFFF"/>
        </w:rPr>
        <w:t>organizational inefficiencies, concerns regarding accountability, reporting</w:t>
      </w:r>
      <w:r w:rsidR="00830128" w:rsidRPr="00D543D4">
        <w:rPr>
          <w:rFonts w:ascii="Times New Roman" w:eastAsia="Times New Roman" w:hAnsi="Times New Roman" w:cs="Times New Roman"/>
          <w:color w:val="000000"/>
          <w:shd w:val="clear" w:color="auto" w:fill="FFFFFF"/>
        </w:rPr>
        <w:t>,</w:t>
      </w:r>
      <w:r w:rsidRPr="00D543D4">
        <w:rPr>
          <w:rFonts w:ascii="Times New Roman" w:eastAsia="Times New Roman" w:hAnsi="Times New Roman" w:cs="Times New Roman"/>
          <w:color w:val="000000"/>
          <w:shd w:val="clear" w:color="auto" w:fill="FFFFFF"/>
        </w:rPr>
        <w:t xml:space="preserve"> and visibility requirements</w:t>
      </w:r>
      <w:r w:rsidR="56EC4A26" w:rsidRPr="00D543D4">
        <w:rPr>
          <w:rFonts w:ascii="Times New Roman" w:eastAsia="Times New Roman" w:hAnsi="Times New Roman" w:cs="Times New Roman"/>
          <w:color w:val="000000"/>
          <w:shd w:val="clear" w:color="auto" w:fill="FFFFFF"/>
        </w:rPr>
        <w:t xml:space="preserve"> contribute to donors’ preference for earmarking. </w:t>
      </w:r>
      <w:r w:rsidRPr="00D543D4">
        <w:rPr>
          <w:rFonts w:ascii="Times New Roman" w:eastAsia="Times New Roman" w:hAnsi="Times New Roman" w:cs="Times New Roman"/>
          <w:color w:val="000000"/>
          <w:shd w:val="clear" w:color="auto" w:fill="FFFFFF"/>
        </w:rPr>
        <w:t>In this sense, it is e</w:t>
      </w:r>
      <w:r w:rsidRPr="00D543D4">
        <w:rPr>
          <w:rFonts w:ascii="Times New Roman" w:eastAsia="Times New Roman" w:hAnsi="Times New Roman" w:cs="Times New Roman"/>
        </w:rPr>
        <w:t xml:space="preserve">asier for donors to use evidence from </w:t>
      </w:r>
      <w:r w:rsidR="1C190DD7" w:rsidRPr="00D543D4">
        <w:rPr>
          <w:rFonts w:ascii="Times New Roman" w:eastAsia="Times New Roman" w:hAnsi="Times New Roman" w:cs="Times New Roman"/>
        </w:rPr>
        <w:t xml:space="preserve">reports </w:t>
      </w:r>
      <w:r w:rsidR="3D4ACD60" w:rsidRPr="00D543D4">
        <w:rPr>
          <w:rFonts w:ascii="Times New Roman" w:eastAsia="Times New Roman" w:hAnsi="Times New Roman" w:cs="Times New Roman"/>
        </w:rPr>
        <w:t xml:space="preserve">of individual </w:t>
      </w:r>
      <w:r w:rsidRPr="00D543D4">
        <w:rPr>
          <w:rFonts w:ascii="Times New Roman" w:eastAsia="Times New Roman" w:hAnsi="Times New Roman" w:cs="Times New Roman"/>
        </w:rPr>
        <w:t xml:space="preserve">projects they fund to </w:t>
      </w:r>
      <w:r w:rsidR="3FF2C9E3" w:rsidRPr="00D543D4">
        <w:rPr>
          <w:rFonts w:ascii="Times New Roman" w:eastAsia="Times New Roman" w:hAnsi="Times New Roman" w:cs="Times New Roman"/>
        </w:rPr>
        <w:t>show</w:t>
      </w:r>
      <w:r w:rsidRPr="00D543D4">
        <w:rPr>
          <w:rFonts w:ascii="Times New Roman" w:eastAsia="Times New Roman" w:hAnsi="Times New Roman" w:cs="Times New Roman"/>
        </w:rPr>
        <w:t xml:space="preserve"> parliamentarians and taxpayers the results of their aid. On the contrary, core funding provides less direct visibility. Recognizing this issue, the Grand Bargain specifically called for aid agencies to “increase the visibility of unearmarked and softly earmarked funding, thereby recognizing the contribution made by donors”</w:t>
      </w:r>
      <w:r w:rsidR="00FF1FE2" w:rsidRPr="00D543D4">
        <w:rPr>
          <w:rFonts w:ascii="Times New Roman" w:eastAsia="Times New Roman" w:hAnsi="Times New Roman" w:cs="Times New Roman"/>
        </w:rPr>
        <w:t>.</w:t>
      </w:r>
      <w:r w:rsidR="00FF1FE2" w:rsidRPr="00D543D4">
        <w:rPr>
          <w:rStyle w:val="FootnoteReference"/>
          <w:rFonts w:ascii="Times New Roman" w:eastAsia="Times New Roman" w:hAnsi="Times New Roman" w:cs="Times New Roman"/>
        </w:rPr>
        <w:footnoteReference w:id="14"/>
      </w:r>
      <w:r w:rsidRPr="00D543D4">
        <w:rPr>
          <w:rFonts w:ascii="Times New Roman" w:eastAsia="Times New Roman" w:hAnsi="Times New Roman" w:cs="Times New Roman"/>
        </w:rPr>
        <w:t xml:space="preserve"> In response, many UN agencies have carried out a concerted effort to celebrate their core funding donors (</w:t>
      </w:r>
      <w:r w:rsidR="45DC5E83" w:rsidRPr="00D543D4">
        <w:rPr>
          <w:rFonts w:ascii="Times New Roman" w:eastAsia="Times New Roman" w:hAnsi="Times New Roman" w:cs="Times New Roman"/>
        </w:rPr>
        <w:t>e.g.</w:t>
      </w:r>
      <w:r w:rsidRPr="00D543D4">
        <w:rPr>
          <w:rFonts w:ascii="Times New Roman" w:eastAsia="Times New Roman" w:hAnsi="Times New Roman" w:cs="Times New Roman"/>
        </w:rPr>
        <w:t>, UNDP’s Partner</w:t>
      </w:r>
      <w:r w:rsidR="0D9E0FB6" w:rsidRPr="00D543D4">
        <w:rPr>
          <w:rFonts w:ascii="Times New Roman" w:eastAsia="Times New Roman" w:hAnsi="Times New Roman" w:cs="Times New Roman"/>
        </w:rPr>
        <w:t>s</w:t>
      </w:r>
      <w:r w:rsidRPr="00D543D4">
        <w:rPr>
          <w:rFonts w:ascii="Times New Roman" w:eastAsia="Times New Roman" w:hAnsi="Times New Roman" w:cs="Times New Roman"/>
        </w:rPr>
        <w:t xml:space="preserve"> at Core campaign). However, th</w:t>
      </w:r>
      <w:r w:rsidR="4EF92A84" w:rsidRPr="00D543D4">
        <w:rPr>
          <w:rFonts w:ascii="Times New Roman" w:eastAsia="Times New Roman" w:hAnsi="Times New Roman" w:cs="Times New Roman"/>
        </w:rPr>
        <w:t xml:space="preserve">e </w:t>
      </w:r>
      <w:r w:rsidRPr="00D543D4">
        <w:rPr>
          <w:rFonts w:ascii="Times New Roman" w:eastAsia="Times New Roman" w:hAnsi="Times New Roman" w:cs="Times New Roman"/>
        </w:rPr>
        <w:t xml:space="preserve">increased effort </w:t>
      </w:r>
      <w:r w:rsidR="73A171D0" w:rsidRPr="00D543D4">
        <w:rPr>
          <w:rFonts w:ascii="Times New Roman" w:eastAsia="Times New Roman" w:hAnsi="Times New Roman" w:cs="Times New Roman"/>
        </w:rPr>
        <w:t xml:space="preserve">to give donors </w:t>
      </w:r>
      <w:r w:rsidRPr="00D543D4">
        <w:rPr>
          <w:rFonts w:ascii="Times New Roman" w:eastAsia="Times New Roman" w:hAnsi="Times New Roman" w:cs="Times New Roman"/>
        </w:rPr>
        <w:t xml:space="preserve">visibility </w:t>
      </w:r>
      <w:r w:rsidR="00021E20">
        <w:rPr>
          <w:rFonts w:ascii="Times New Roman" w:eastAsia="Times New Roman" w:hAnsi="Times New Roman" w:cs="Times New Roman"/>
        </w:rPr>
        <w:t xml:space="preserve">has not yet </w:t>
      </w:r>
      <w:r w:rsidRPr="00D543D4">
        <w:rPr>
          <w:rFonts w:ascii="Times New Roman" w:eastAsia="Times New Roman" w:hAnsi="Times New Roman" w:cs="Times New Roman"/>
        </w:rPr>
        <w:t>translate</w:t>
      </w:r>
      <w:r w:rsidR="00021E20">
        <w:rPr>
          <w:rFonts w:ascii="Times New Roman" w:eastAsia="Times New Roman" w:hAnsi="Times New Roman" w:cs="Times New Roman"/>
        </w:rPr>
        <w:t>d</w:t>
      </w:r>
      <w:r w:rsidRPr="00D543D4">
        <w:rPr>
          <w:rFonts w:ascii="Times New Roman" w:eastAsia="Times New Roman" w:hAnsi="Times New Roman" w:cs="Times New Roman"/>
        </w:rPr>
        <w:t xml:space="preserve"> </w:t>
      </w:r>
      <w:r w:rsidR="00830128" w:rsidRPr="00D543D4">
        <w:rPr>
          <w:rFonts w:ascii="Times New Roman" w:eastAsia="Times New Roman" w:hAnsi="Times New Roman" w:cs="Times New Roman"/>
        </w:rPr>
        <w:t>to</w:t>
      </w:r>
      <w:r w:rsidRPr="00D543D4">
        <w:rPr>
          <w:rFonts w:ascii="Times New Roman" w:eastAsia="Times New Roman" w:hAnsi="Times New Roman" w:cs="Times New Roman"/>
        </w:rPr>
        <w:t xml:space="preserve"> increased core contributions for these organizations, </w:t>
      </w:r>
      <w:r w:rsidR="735718B2" w:rsidRPr="00D543D4">
        <w:rPr>
          <w:rFonts w:ascii="Times New Roman" w:eastAsia="Times New Roman" w:hAnsi="Times New Roman" w:cs="Times New Roman"/>
        </w:rPr>
        <w:t xml:space="preserve">suggesting </w:t>
      </w:r>
      <w:r w:rsidRPr="00D543D4">
        <w:rPr>
          <w:rFonts w:ascii="Times New Roman" w:eastAsia="Times New Roman" w:hAnsi="Times New Roman" w:cs="Times New Roman"/>
        </w:rPr>
        <w:t xml:space="preserve">further </w:t>
      </w:r>
      <w:r w:rsidR="00021E20">
        <w:rPr>
          <w:rFonts w:ascii="Times New Roman" w:eastAsia="Times New Roman" w:hAnsi="Times New Roman" w:cs="Times New Roman"/>
        </w:rPr>
        <w:t xml:space="preserve">work and engagement </w:t>
      </w:r>
      <w:r w:rsidR="6625F1AD" w:rsidRPr="00D543D4">
        <w:rPr>
          <w:rFonts w:ascii="Times New Roman" w:eastAsia="Times New Roman" w:hAnsi="Times New Roman" w:cs="Times New Roman"/>
        </w:rPr>
        <w:t xml:space="preserve">with donors </w:t>
      </w:r>
      <w:r w:rsidRPr="00D543D4">
        <w:rPr>
          <w:rFonts w:ascii="Times New Roman" w:eastAsia="Times New Roman" w:hAnsi="Times New Roman" w:cs="Times New Roman"/>
        </w:rPr>
        <w:t xml:space="preserve">on the type of visibility </w:t>
      </w:r>
      <w:r w:rsidR="05DA8E5F" w:rsidRPr="00D543D4">
        <w:rPr>
          <w:rFonts w:ascii="Times New Roman" w:eastAsia="Times New Roman" w:hAnsi="Times New Roman" w:cs="Times New Roman"/>
        </w:rPr>
        <w:t xml:space="preserve">expected </w:t>
      </w:r>
      <w:r w:rsidRPr="00D543D4">
        <w:rPr>
          <w:rFonts w:ascii="Times New Roman" w:eastAsia="Times New Roman" w:hAnsi="Times New Roman" w:cs="Times New Roman"/>
        </w:rPr>
        <w:t>is required. </w:t>
      </w:r>
      <w:r w:rsidR="0084539E">
        <w:rPr>
          <w:rFonts w:ascii="Times New Roman" w:eastAsia="Times New Roman" w:hAnsi="Times New Roman" w:cs="Times New Roman"/>
        </w:rPr>
        <w:t xml:space="preserve">UNDP </w:t>
      </w:r>
      <w:r w:rsidR="00882C29">
        <w:rPr>
          <w:rFonts w:ascii="Times New Roman" w:eastAsia="Times New Roman" w:hAnsi="Times New Roman" w:cs="Times New Roman"/>
        </w:rPr>
        <w:t xml:space="preserve">recognizes this is work in progress and is </w:t>
      </w:r>
      <w:r w:rsidR="0084539E">
        <w:rPr>
          <w:rFonts w:ascii="Times New Roman" w:eastAsia="Times New Roman" w:hAnsi="Times New Roman" w:cs="Times New Roman"/>
        </w:rPr>
        <w:t xml:space="preserve">committed to </w:t>
      </w:r>
      <w:r w:rsidR="00882C29">
        <w:rPr>
          <w:rFonts w:ascii="Times New Roman" w:eastAsia="Times New Roman" w:hAnsi="Times New Roman" w:cs="Times New Roman"/>
        </w:rPr>
        <w:t xml:space="preserve">continuously developing new, better, and more holistic ways of demonstrating impact and providing visibility to core contributions. UNDP’s third and current iteration of the </w:t>
      </w:r>
      <w:r w:rsidR="00882C29" w:rsidRPr="00882C29">
        <w:rPr>
          <w:rFonts w:ascii="Times New Roman" w:eastAsia="Times New Roman" w:hAnsi="Times New Roman" w:cs="Times New Roman"/>
        </w:rPr>
        <w:t xml:space="preserve">Partners at Core </w:t>
      </w:r>
      <w:r w:rsidR="00882C29">
        <w:rPr>
          <w:rFonts w:ascii="Times New Roman" w:eastAsia="Times New Roman" w:hAnsi="Times New Roman" w:cs="Times New Roman"/>
        </w:rPr>
        <w:t>campaign addresses</w:t>
      </w:r>
      <w:r w:rsidR="00882C29" w:rsidRPr="00882C29">
        <w:rPr>
          <w:rFonts w:ascii="Times New Roman" w:eastAsia="Times New Roman" w:hAnsi="Times New Roman" w:cs="Times New Roman"/>
        </w:rPr>
        <w:t xml:space="preserve"> core donor visibility at </w:t>
      </w:r>
      <w:r w:rsidR="00882C29">
        <w:rPr>
          <w:rFonts w:ascii="Times New Roman" w:eastAsia="Times New Roman" w:hAnsi="Times New Roman" w:cs="Times New Roman"/>
        </w:rPr>
        <w:t xml:space="preserve">the </w:t>
      </w:r>
      <w:r w:rsidR="00882C29" w:rsidRPr="00882C29">
        <w:rPr>
          <w:rFonts w:ascii="Times New Roman" w:eastAsia="Times New Roman" w:hAnsi="Times New Roman" w:cs="Times New Roman"/>
        </w:rPr>
        <w:t xml:space="preserve">country level </w:t>
      </w:r>
      <w:r w:rsidR="00882C29">
        <w:rPr>
          <w:rFonts w:ascii="Times New Roman" w:eastAsia="Times New Roman" w:hAnsi="Times New Roman" w:cs="Times New Roman"/>
        </w:rPr>
        <w:t>in a</w:t>
      </w:r>
      <w:r w:rsidR="00882C29" w:rsidRPr="00882C29">
        <w:rPr>
          <w:rFonts w:ascii="Times New Roman" w:eastAsia="Times New Roman" w:hAnsi="Times New Roman" w:cs="Times New Roman"/>
        </w:rPr>
        <w:t xml:space="preserve"> </w:t>
      </w:r>
      <w:r w:rsidR="00882C29">
        <w:rPr>
          <w:rFonts w:ascii="Times New Roman" w:eastAsia="Times New Roman" w:hAnsi="Times New Roman" w:cs="Times New Roman"/>
        </w:rPr>
        <w:t xml:space="preserve">deliberate, </w:t>
      </w:r>
      <w:r w:rsidR="00882C29" w:rsidRPr="00882C29">
        <w:rPr>
          <w:rFonts w:ascii="Times New Roman" w:eastAsia="Times New Roman" w:hAnsi="Times New Roman" w:cs="Times New Roman"/>
        </w:rPr>
        <w:t>concerted</w:t>
      </w:r>
      <w:r w:rsidR="00882C29">
        <w:rPr>
          <w:rFonts w:ascii="Times New Roman" w:eastAsia="Times New Roman" w:hAnsi="Times New Roman" w:cs="Times New Roman"/>
        </w:rPr>
        <w:t xml:space="preserve"> effort.</w:t>
      </w:r>
    </w:p>
    <w:p w14:paraId="7973C37D" w14:textId="77777777" w:rsidR="001C478A" w:rsidRPr="00D543D4" w:rsidRDefault="001C478A" w:rsidP="001507B3">
      <w:pPr>
        <w:spacing w:after="0" w:line="240" w:lineRule="auto"/>
        <w:jc w:val="both"/>
        <w:textAlignment w:val="baseline"/>
        <w:rPr>
          <w:rFonts w:ascii="Times New Roman" w:eastAsia="Times New Roman" w:hAnsi="Times New Roman" w:cs="Times New Roman"/>
          <w:sz w:val="18"/>
          <w:szCs w:val="18"/>
        </w:rPr>
      </w:pPr>
    </w:p>
    <w:p w14:paraId="091BD37A" w14:textId="79DEA91D" w:rsidR="001A1CC2" w:rsidRPr="00D543D4" w:rsidRDefault="001507B3" w:rsidP="001507B3">
      <w:pPr>
        <w:spacing w:after="0" w:line="240" w:lineRule="auto"/>
        <w:jc w:val="both"/>
        <w:textAlignment w:val="baseline"/>
        <w:rPr>
          <w:rFonts w:ascii="Times New Roman" w:eastAsia="Times New Roman" w:hAnsi="Times New Roman" w:cs="Times New Roman"/>
          <w:color w:val="000000"/>
          <w:shd w:val="clear" w:color="auto" w:fill="FFFFFF"/>
        </w:rPr>
      </w:pPr>
      <w:r w:rsidRPr="00D543D4">
        <w:rPr>
          <w:rFonts w:ascii="Times New Roman" w:eastAsia="Times New Roman" w:hAnsi="Times New Roman" w:cs="Times New Roman"/>
          <w:color w:val="000000"/>
          <w:shd w:val="clear" w:color="auto" w:fill="FFFFFF"/>
        </w:rPr>
        <w:t xml:space="preserve">From the turn of </w:t>
      </w:r>
      <w:r w:rsidR="00830128" w:rsidRPr="00D543D4">
        <w:rPr>
          <w:rFonts w:ascii="Times New Roman" w:eastAsia="Times New Roman" w:hAnsi="Times New Roman" w:cs="Times New Roman"/>
          <w:color w:val="000000"/>
          <w:shd w:val="clear" w:color="auto" w:fill="FFFFFF"/>
        </w:rPr>
        <w:t xml:space="preserve">the </w:t>
      </w:r>
      <w:r w:rsidRPr="00D543D4">
        <w:rPr>
          <w:rFonts w:ascii="Times New Roman" w:eastAsia="Times New Roman" w:hAnsi="Times New Roman" w:cs="Times New Roman"/>
          <w:color w:val="000000"/>
          <w:shd w:val="clear" w:color="auto" w:fill="FFFFFF"/>
        </w:rPr>
        <w:t xml:space="preserve">millennium until </w:t>
      </w:r>
      <w:r w:rsidR="52A98B4B" w:rsidRPr="00D543D4">
        <w:rPr>
          <w:rFonts w:ascii="Times New Roman" w:eastAsia="Times New Roman" w:hAnsi="Times New Roman" w:cs="Times New Roman"/>
          <w:color w:val="000000"/>
          <w:shd w:val="clear" w:color="auto" w:fill="FFFFFF"/>
        </w:rPr>
        <w:t>today</w:t>
      </w:r>
      <w:r w:rsidRPr="00D543D4">
        <w:rPr>
          <w:rFonts w:ascii="Times New Roman" w:eastAsia="Times New Roman" w:hAnsi="Times New Roman" w:cs="Times New Roman"/>
          <w:color w:val="000000"/>
          <w:shd w:val="clear" w:color="auto" w:fill="FFFFFF"/>
        </w:rPr>
        <w:t xml:space="preserve">, earmarking has </w:t>
      </w:r>
      <w:r w:rsidR="28A8D2A5" w:rsidRPr="00D543D4">
        <w:rPr>
          <w:rFonts w:ascii="Times New Roman" w:eastAsia="Times New Roman" w:hAnsi="Times New Roman" w:cs="Times New Roman"/>
          <w:color w:val="000000"/>
          <w:shd w:val="clear" w:color="auto" w:fill="FFFFFF"/>
        </w:rPr>
        <w:t xml:space="preserve">grown </w:t>
      </w:r>
      <w:r w:rsidRPr="00D543D4">
        <w:rPr>
          <w:rFonts w:ascii="Times New Roman" w:eastAsia="Times New Roman" w:hAnsi="Times New Roman" w:cs="Times New Roman"/>
          <w:color w:val="000000"/>
          <w:shd w:val="clear" w:color="auto" w:fill="FFFFFF"/>
        </w:rPr>
        <w:t>steadily from 50 to over 83 per</w:t>
      </w:r>
      <w:r w:rsidR="61A88878" w:rsidRPr="00D543D4">
        <w:rPr>
          <w:rFonts w:ascii="Times New Roman" w:eastAsia="Times New Roman" w:hAnsi="Times New Roman" w:cs="Times New Roman"/>
          <w:color w:val="000000"/>
          <w:shd w:val="clear" w:color="auto" w:fill="FFFFFF"/>
        </w:rPr>
        <w:t xml:space="preserve"> </w:t>
      </w:r>
      <w:r w:rsidRPr="00D543D4">
        <w:rPr>
          <w:rFonts w:ascii="Times New Roman" w:eastAsia="Times New Roman" w:hAnsi="Times New Roman" w:cs="Times New Roman"/>
          <w:color w:val="000000"/>
          <w:shd w:val="clear" w:color="auto" w:fill="FFFFFF"/>
        </w:rPr>
        <w:t xml:space="preserve">cent of UNDS funding in 2020. This trend continued (for the UNDS, far beyond the levels in development banks) despite </w:t>
      </w:r>
      <w:r w:rsidR="619A8274" w:rsidRPr="00D543D4">
        <w:rPr>
          <w:rFonts w:ascii="Times New Roman" w:eastAsia="Times New Roman" w:hAnsi="Times New Roman" w:cs="Times New Roman"/>
          <w:color w:val="000000"/>
          <w:shd w:val="clear" w:color="auto" w:fill="FFFFFF"/>
        </w:rPr>
        <w:t xml:space="preserve">both </w:t>
      </w:r>
      <w:r w:rsidRPr="00D543D4">
        <w:rPr>
          <w:rFonts w:ascii="Times New Roman" w:eastAsia="Times New Roman" w:hAnsi="Times New Roman" w:cs="Times New Roman"/>
          <w:color w:val="000000"/>
          <w:shd w:val="clear" w:color="auto" w:fill="FFFFFF"/>
        </w:rPr>
        <w:t xml:space="preserve">UN organizations and </w:t>
      </w:r>
      <w:r w:rsidR="328186B2" w:rsidRPr="00D543D4">
        <w:rPr>
          <w:rFonts w:ascii="Times New Roman" w:eastAsia="Times New Roman" w:hAnsi="Times New Roman" w:cs="Times New Roman"/>
          <w:color w:val="000000"/>
          <w:shd w:val="clear" w:color="auto" w:fill="FFFFFF"/>
        </w:rPr>
        <w:t>Member States</w:t>
      </w:r>
      <w:r w:rsidRPr="00D543D4">
        <w:rPr>
          <w:rFonts w:ascii="Times New Roman" w:eastAsia="Times New Roman" w:hAnsi="Times New Roman" w:cs="Times New Roman"/>
          <w:color w:val="000000"/>
          <w:shd w:val="clear" w:color="auto" w:fill="FFFFFF"/>
        </w:rPr>
        <w:t xml:space="preserve"> sounding </w:t>
      </w:r>
      <w:r w:rsidR="5DF1520B" w:rsidRPr="00D543D4">
        <w:rPr>
          <w:rFonts w:ascii="Times New Roman" w:eastAsia="Times New Roman" w:hAnsi="Times New Roman" w:cs="Times New Roman"/>
          <w:color w:val="000000"/>
          <w:shd w:val="clear" w:color="auto" w:fill="FFFFFF"/>
        </w:rPr>
        <w:t xml:space="preserve">the </w:t>
      </w:r>
      <w:r w:rsidRPr="00D543D4">
        <w:rPr>
          <w:rFonts w:ascii="Times New Roman" w:eastAsia="Times New Roman" w:hAnsi="Times New Roman" w:cs="Times New Roman"/>
          <w:color w:val="000000"/>
          <w:shd w:val="clear" w:color="auto" w:fill="FFFFFF"/>
        </w:rPr>
        <w:t xml:space="preserve">alarm about the detrimental consequences </w:t>
      </w:r>
      <w:r w:rsidRPr="00D543D4">
        <w:rPr>
          <w:rFonts w:ascii="Times New Roman" w:eastAsia="Times New Roman" w:hAnsi="Times New Roman" w:cs="Times New Roman"/>
          <w:color w:val="000000"/>
          <w:shd w:val="clear" w:color="auto" w:fill="FFFFFF"/>
        </w:rPr>
        <w:lastRenderedPageBreak/>
        <w:t xml:space="preserve">of earmarking. </w:t>
      </w:r>
      <w:r w:rsidR="00E61057" w:rsidRPr="00D543D4">
        <w:rPr>
          <w:rFonts w:ascii="Times New Roman" w:eastAsia="Times New Roman" w:hAnsi="Times New Roman" w:cs="Times New Roman"/>
          <w:color w:val="000000"/>
          <w:shd w:val="clear" w:color="auto" w:fill="FFFFFF"/>
        </w:rPr>
        <w:t>As a</w:t>
      </w:r>
      <w:r w:rsidR="00CD7FED" w:rsidRPr="00D543D4">
        <w:rPr>
          <w:rFonts w:ascii="Times New Roman" w:eastAsia="Times New Roman" w:hAnsi="Times New Roman" w:cs="Times New Roman"/>
          <w:color w:val="000000"/>
          <w:shd w:val="clear" w:color="auto" w:fill="FFFFFF"/>
        </w:rPr>
        <w:t>rgued by</w:t>
      </w:r>
      <w:r w:rsidRPr="00D543D4">
        <w:rPr>
          <w:rFonts w:ascii="Times New Roman" w:eastAsia="Times New Roman" w:hAnsi="Times New Roman" w:cs="Times New Roman"/>
          <w:color w:val="000000"/>
          <w:shd w:val="clear" w:color="auto" w:fill="FFFFFF"/>
        </w:rPr>
        <w:t xml:space="preserve"> Baumann</w:t>
      </w:r>
      <w:r w:rsidR="00CD7FED" w:rsidRPr="00D543D4">
        <w:rPr>
          <w:rFonts w:ascii="Times New Roman" w:eastAsia="Times New Roman" w:hAnsi="Times New Roman" w:cs="Times New Roman"/>
          <w:color w:val="000000"/>
          <w:shd w:val="clear" w:color="auto" w:fill="FFFFFF"/>
        </w:rPr>
        <w:t>,</w:t>
      </w:r>
      <w:r w:rsidRPr="00D543D4">
        <w:rPr>
          <w:rFonts w:ascii="Times New Roman" w:eastAsia="Times New Roman" w:hAnsi="Times New Roman" w:cs="Times New Roman"/>
          <w:color w:val="000000"/>
          <w:shd w:val="clear" w:color="auto" w:fill="FFFFFF"/>
        </w:rPr>
        <w:t xml:space="preserve"> “</w:t>
      </w:r>
      <w:r w:rsidR="00534E04" w:rsidRPr="00D543D4">
        <w:rPr>
          <w:rFonts w:ascii="Times New Roman" w:eastAsia="Times New Roman" w:hAnsi="Times New Roman" w:cs="Times New Roman"/>
          <w:color w:val="000000"/>
          <w:shd w:val="clear" w:color="auto" w:fill="FFFFFF"/>
        </w:rPr>
        <w:t>Once</w:t>
      </w:r>
      <w:r w:rsidRPr="00D543D4">
        <w:rPr>
          <w:rFonts w:ascii="Times New Roman" w:eastAsia="Times New Roman" w:hAnsi="Times New Roman" w:cs="Times New Roman"/>
          <w:color w:val="000000"/>
          <w:shd w:val="clear" w:color="auto" w:fill="FFFFFF"/>
        </w:rPr>
        <w:t xml:space="preserve"> a certain level of earmarking has been reached, the system tips</w:t>
      </w:r>
      <w:r w:rsidR="00CD7FED" w:rsidRPr="00D543D4">
        <w:rPr>
          <w:rFonts w:ascii="Times New Roman" w:eastAsia="Times New Roman" w:hAnsi="Times New Roman" w:cs="Times New Roman"/>
          <w:color w:val="000000"/>
          <w:shd w:val="clear" w:color="auto" w:fill="FFFFFF"/>
        </w:rPr>
        <w:t>,</w:t>
      </w:r>
      <w:r w:rsidRPr="00D543D4">
        <w:rPr>
          <w:rFonts w:ascii="Times New Roman" w:eastAsia="Times New Roman" w:hAnsi="Times New Roman" w:cs="Times New Roman"/>
          <w:color w:val="000000"/>
          <w:shd w:val="clear" w:color="auto" w:fill="FFFFFF"/>
        </w:rPr>
        <w:t xml:space="preserve"> and a vicious circle starts, whereby earmarking leads to further earmarking. In other words, earmarking becomes a driver of earmarking via unintended systemic effects”</w:t>
      </w:r>
      <w:r w:rsidR="00CD7FED" w:rsidRPr="00D543D4">
        <w:rPr>
          <w:rStyle w:val="FootnoteReference"/>
          <w:rFonts w:ascii="Times New Roman" w:eastAsia="Times New Roman" w:hAnsi="Times New Roman" w:cs="Times New Roman"/>
          <w:color w:val="000000"/>
          <w:shd w:val="clear" w:color="auto" w:fill="FFFFFF"/>
        </w:rPr>
        <w:footnoteReference w:id="15"/>
      </w:r>
      <w:r w:rsidR="00534E04" w:rsidRPr="00D543D4">
        <w:rPr>
          <w:rFonts w:ascii="Times New Roman" w:eastAsia="Times New Roman" w:hAnsi="Times New Roman" w:cs="Times New Roman"/>
          <w:color w:val="000000"/>
          <w:shd w:val="clear" w:color="auto" w:fill="FFFFFF"/>
        </w:rPr>
        <w:t>.</w:t>
      </w:r>
      <w:r w:rsidRPr="00D543D4">
        <w:rPr>
          <w:rFonts w:ascii="Times New Roman" w:eastAsia="Times New Roman" w:hAnsi="Times New Roman" w:cs="Times New Roman"/>
          <w:color w:val="000000"/>
          <w:shd w:val="clear" w:color="auto" w:fill="FFFFFF"/>
        </w:rPr>
        <w:t xml:space="preserve"> </w:t>
      </w:r>
    </w:p>
    <w:p w14:paraId="355E0851" w14:textId="77777777" w:rsidR="004A6459" w:rsidRPr="00D543D4" w:rsidRDefault="004A6459" w:rsidP="001507B3">
      <w:pPr>
        <w:spacing w:after="0" w:line="240" w:lineRule="auto"/>
        <w:jc w:val="both"/>
        <w:textAlignment w:val="baseline"/>
        <w:rPr>
          <w:rFonts w:ascii="Times New Roman" w:eastAsia="Times New Roman" w:hAnsi="Times New Roman" w:cs="Times New Roman"/>
          <w:color w:val="000000"/>
          <w:shd w:val="clear" w:color="auto" w:fill="FFFFFF"/>
        </w:rPr>
      </w:pPr>
    </w:p>
    <w:p w14:paraId="6E15A3E3" w14:textId="7FED49DF" w:rsidR="004A6459" w:rsidRPr="00D543D4" w:rsidRDefault="004A6459" w:rsidP="004A6459">
      <w:pPr>
        <w:spacing w:after="0" w:line="240" w:lineRule="auto"/>
        <w:jc w:val="both"/>
        <w:textAlignment w:val="baseline"/>
        <w:rPr>
          <w:rFonts w:ascii="Times New Roman" w:eastAsia="Times New Roman" w:hAnsi="Times New Roman" w:cs="Times New Roman"/>
          <w:color w:val="000000"/>
        </w:rPr>
      </w:pPr>
      <w:r w:rsidRPr="00D543D4">
        <w:rPr>
          <w:rFonts w:ascii="Times New Roman" w:eastAsia="Times New Roman" w:hAnsi="Times New Roman" w:cs="Times New Roman"/>
          <w:color w:val="000000"/>
          <w:shd w:val="clear" w:color="auto" w:fill="FFFFFF"/>
        </w:rPr>
        <w:t xml:space="preserve">In response to requests from </w:t>
      </w:r>
      <w:r w:rsidR="55D5B9F0" w:rsidRPr="00D543D4">
        <w:rPr>
          <w:rFonts w:ascii="Times New Roman" w:eastAsia="Times New Roman" w:hAnsi="Times New Roman" w:cs="Times New Roman"/>
          <w:color w:val="000000"/>
          <w:shd w:val="clear" w:color="auto" w:fill="FFFFFF"/>
        </w:rPr>
        <w:t>M</w:t>
      </w:r>
      <w:r w:rsidRPr="00D543D4">
        <w:rPr>
          <w:rFonts w:ascii="Times New Roman" w:eastAsia="Times New Roman" w:hAnsi="Times New Roman" w:cs="Times New Roman"/>
          <w:color w:val="000000"/>
          <w:shd w:val="clear" w:color="auto" w:fill="FFFFFF"/>
        </w:rPr>
        <w:t xml:space="preserve">ember </w:t>
      </w:r>
      <w:r w:rsidR="5D4E113D" w:rsidRPr="00D543D4">
        <w:rPr>
          <w:rFonts w:ascii="Times New Roman" w:eastAsia="Times New Roman" w:hAnsi="Times New Roman" w:cs="Times New Roman"/>
          <w:color w:val="000000"/>
          <w:shd w:val="clear" w:color="auto" w:fill="FFFFFF"/>
        </w:rPr>
        <w:t>S</w:t>
      </w:r>
      <w:r w:rsidRPr="00D543D4">
        <w:rPr>
          <w:rFonts w:ascii="Times New Roman" w:eastAsia="Times New Roman" w:hAnsi="Times New Roman" w:cs="Times New Roman"/>
          <w:color w:val="000000"/>
          <w:shd w:val="clear" w:color="auto" w:fill="FFFFFF"/>
        </w:rPr>
        <w:t xml:space="preserve">tates, the UN has made a concerted effort to become more accountable through improved transparency. Most UN funds and </w:t>
      </w:r>
      <w:proofErr w:type="spellStart"/>
      <w:r w:rsidRPr="00D543D4">
        <w:rPr>
          <w:rFonts w:ascii="Times New Roman" w:eastAsia="Times New Roman" w:hAnsi="Times New Roman" w:cs="Times New Roman"/>
          <w:color w:val="000000"/>
          <w:shd w:val="clear" w:color="auto" w:fill="FFFFFF"/>
        </w:rPr>
        <w:t>programmes</w:t>
      </w:r>
      <w:proofErr w:type="spellEnd"/>
      <w:r w:rsidRPr="00D543D4">
        <w:rPr>
          <w:rFonts w:ascii="Times New Roman" w:eastAsia="Times New Roman" w:hAnsi="Times New Roman" w:cs="Times New Roman"/>
          <w:color w:val="000000"/>
          <w:shd w:val="clear" w:color="auto" w:fill="FFFFFF"/>
        </w:rPr>
        <w:t xml:space="preserve"> now participate in the International Aid Transparency Initiative (IATI) and have set up their own transparency portals, significantly improving their aid transparency index.</w:t>
      </w:r>
      <w:r w:rsidRPr="00D543D4">
        <w:rPr>
          <w:rFonts w:ascii="Times New Roman" w:eastAsia="Times New Roman" w:hAnsi="Times New Roman" w:cs="Times New Roman"/>
        </w:rPr>
        <w:t xml:space="preserve"> Nevertheless, as argued by </w:t>
      </w:r>
      <w:proofErr w:type="spellStart"/>
      <w:r w:rsidRPr="00D543D4">
        <w:rPr>
          <w:rFonts w:ascii="Times New Roman" w:eastAsia="Times New Roman" w:hAnsi="Times New Roman" w:cs="Times New Roman"/>
        </w:rPr>
        <w:t>Baumman</w:t>
      </w:r>
      <w:proofErr w:type="spellEnd"/>
      <w:r w:rsidRPr="00D543D4">
        <w:rPr>
          <w:rFonts w:ascii="Times New Roman" w:eastAsia="Times New Roman" w:hAnsi="Times New Roman" w:cs="Times New Roman"/>
        </w:rPr>
        <w:t xml:space="preserve">, this has not translated </w:t>
      </w:r>
      <w:r w:rsidR="00087113" w:rsidRPr="00D543D4">
        <w:rPr>
          <w:rFonts w:ascii="Times New Roman" w:eastAsia="Times New Roman" w:hAnsi="Times New Roman" w:cs="Times New Roman"/>
        </w:rPr>
        <w:t>into</w:t>
      </w:r>
      <w:r w:rsidRPr="00D543D4">
        <w:rPr>
          <w:rFonts w:ascii="Times New Roman" w:eastAsia="Times New Roman" w:hAnsi="Times New Roman" w:cs="Times New Roman"/>
        </w:rPr>
        <w:t xml:space="preserve"> an increase in flexible funding, since “</w:t>
      </w:r>
      <w:r w:rsidRPr="00D543D4">
        <w:rPr>
          <w:rFonts w:ascii="Times New Roman" w:eastAsia="Times New Roman" w:hAnsi="Times New Roman" w:cs="Times New Roman"/>
          <w:color w:val="000000"/>
          <w:shd w:val="clear" w:color="auto" w:fill="FFFFFF"/>
        </w:rPr>
        <w:t>such transparency on disbursements might not facilitate the kind of accountability for results that donors want”</w:t>
      </w:r>
      <w:r w:rsidR="008A18D2" w:rsidRPr="00D543D4">
        <w:rPr>
          <w:rFonts w:ascii="Times New Roman" w:eastAsia="Times New Roman" w:hAnsi="Times New Roman" w:cs="Times New Roman"/>
          <w:color w:val="000000"/>
          <w:shd w:val="clear" w:color="auto" w:fill="FFFFFF"/>
        </w:rPr>
        <w:t>.</w:t>
      </w:r>
      <w:r w:rsidR="008A18D2" w:rsidRPr="00D543D4">
        <w:rPr>
          <w:rStyle w:val="FootnoteReference"/>
          <w:rFonts w:ascii="Times New Roman" w:eastAsia="Times New Roman" w:hAnsi="Times New Roman" w:cs="Times New Roman"/>
          <w:color w:val="000000"/>
          <w:shd w:val="clear" w:color="auto" w:fill="FFFFFF"/>
        </w:rPr>
        <w:footnoteReference w:id="16"/>
      </w:r>
      <w:r w:rsidRPr="00D543D4">
        <w:rPr>
          <w:rFonts w:ascii="Times New Roman" w:eastAsia="Times New Roman" w:hAnsi="Times New Roman" w:cs="Times New Roman"/>
          <w:color w:val="000000"/>
          <w:shd w:val="clear" w:color="auto" w:fill="FFFFFF"/>
        </w:rPr>
        <w:t xml:space="preserve"> Therefore, a further conversation on the type of accountability donors need may </w:t>
      </w:r>
      <w:r w:rsidR="4FF355AE" w:rsidRPr="00D543D4">
        <w:rPr>
          <w:rFonts w:ascii="Times New Roman" w:eastAsia="Times New Roman" w:hAnsi="Times New Roman" w:cs="Times New Roman"/>
          <w:color w:val="000000"/>
          <w:shd w:val="clear" w:color="auto" w:fill="FFFFFF"/>
        </w:rPr>
        <w:t xml:space="preserve">also </w:t>
      </w:r>
      <w:r w:rsidRPr="00D543D4">
        <w:rPr>
          <w:rFonts w:ascii="Times New Roman" w:eastAsia="Times New Roman" w:hAnsi="Times New Roman" w:cs="Times New Roman"/>
          <w:color w:val="000000"/>
          <w:shd w:val="clear" w:color="auto" w:fill="FFFFFF"/>
        </w:rPr>
        <w:t>be required.</w:t>
      </w:r>
      <w:r w:rsidRPr="00D543D4">
        <w:rPr>
          <w:rFonts w:ascii="Times New Roman" w:eastAsia="Times New Roman" w:hAnsi="Times New Roman" w:cs="Times New Roman"/>
          <w:color w:val="000000"/>
        </w:rPr>
        <w:t> </w:t>
      </w:r>
    </w:p>
    <w:p w14:paraId="4F3D3ED0" w14:textId="77777777" w:rsidR="004A6459" w:rsidRPr="00D543D4" w:rsidRDefault="004A6459" w:rsidP="004A6459">
      <w:pPr>
        <w:spacing w:after="0" w:line="240" w:lineRule="auto"/>
        <w:jc w:val="both"/>
        <w:textAlignment w:val="baseline"/>
        <w:rPr>
          <w:rFonts w:ascii="Times New Roman" w:eastAsia="Times New Roman" w:hAnsi="Times New Roman" w:cs="Times New Roman"/>
          <w:sz w:val="18"/>
          <w:szCs w:val="18"/>
        </w:rPr>
      </w:pPr>
    </w:p>
    <w:p w14:paraId="2F599A72" w14:textId="6560D178" w:rsidR="00CD5325" w:rsidRDefault="004A6459" w:rsidP="001507B3">
      <w:pPr>
        <w:spacing w:after="0" w:line="240" w:lineRule="auto"/>
        <w:jc w:val="both"/>
        <w:textAlignment w:val="baseline"/>
        <w:rPr>
          <w:rFonts w:ascii="Times New Roman" w:eastAsia="Times New Roman" w:hAnsi="Times New Roman" w:cs="Times New Roman"/>
          <w:color w:val="000000"/>
        </w:rPr>
      </w:pPr>
      <w:r w:rsidRPr="00D543D4">
        <w:rPr>
          <w:rFonts w:ascii="Times New Roman" w:eastAsia="Times New Roman" w:hAnsi="Times New Roman" w:cs="Times New Roman"/>
          <w:color w:val="000000"/>
          <w:shd w:val="clear" w:color="auto" w:fill="FFFFFF"/>
        </w:rPr>
        <w:t>A</w:t>
      </w:r>
      <w:r w:rsidR="19C5308D" w:rsidRPr="00D543D4">
        <w:rPr>
          <w:rFonts w:ascii="Times New Roman" w:eastAsia="Times New Roman" w:hAnsi="Times New Roman" w:cs="Times New Roman"/>
          <w:color w:val="000000"/>
          <w:shd w:val="clear" w:color="auto" w:fill="FFFFFF"/>
        </w:rPr>
        <w:t xml:space="preserve">s stated above, earmarking leads to further earmarking. </w:t>
      </w:r>
      <w:r w:rsidR="001507B3" w:rsidRPr="00D543D4">
        <w:rPr>
          <w:rFonts w:ascii="Times New Roman" w:eastAsia="Times New Roman" w:hAnsi="Times New Roman" w:cs="Times New Roman"/>
          <w:color w:val="000000"/>
          <w:shd w:val="clear" w:color="auto" w:fill="FFFFFF"/>
        </w:rPr>
        <w:t xml:space="preserve">According to interviews with UN officials, quite often programs are designed with an eye </w:t>
      </w:r>
      <w:r w:rsidR="003D2BF5" w:rsidRPr="00D543D4">
        <w:rPr>
          <w:rFonts w:ascii="Times New Roman" w:eastAsia="Times New Roman" w:hAnsi="Times New Roman" w:cs="Times New Roman"/>
          <w:color w:val="000000"/>
          <w:shd w:val="clear" w:color="auto" w:fill="FFFFFF"/>
        </w:rPr>
        <w:t>toward</w:t>
      </w:r>
      <w:r w:rsidR="001507B3" w:rsidRPr="00D543D4">
        <w:rPr>
          <w:rFonts w:ascii="Times New Roman" w:eastAsia="Times New Roman" w:hAnsi="Times New Roman" w:cs="Times New Roman"/>
          <w:color w:val="000000"/>
          <w:shd w:val="clear" w:color="auto" w:fill="FFFFFF"/>
        </w:rPr>
        <w:t xml:space="preserve"> the policy interests of donors. As a UN veteran put it: “</w:t>
      </w:r>
      <w:r w:rsidR="003D2BF5" w:rsidRPr="00D543D4">
        <w:rPr>
          <w:rFonts w:ascii="Times New Roman" w:eastAsia="Times New Roman" w:hAnsi="Times New Roman" w:cs="Times New Roman"/>
          <w:color w:val="000000"/>
          <w:shd w:val="clear" w:color="auto" w:fill="FFFFFF"/>
        </w:rPr>
        <w:t>Where</w:t>
      </w:r>
      <w:r w:rsidR="001507B3" w:rsidRPr="00D543D4">
        <w:rPr>
          <w:rFonts w:ascii="Times New Roman" w:eastAsia="Times New Roman" w:hAnsi="Times New Roman" w:cs="Times New Roman"/>
          <w:color w:val="000000"/>
          <w:shd w:val="clear" w:color="auto" w:fill="FFFFFF"/>
        </w:rPr>
        <w:t xml:space="preserve"> it has become clear that donors are willing to fund a particular initiative […], a suitable proposal is sure to follow”</w:t>
      </w:r>
      <w:r w:rsidR="000326C8" w:rsidRPr="00D543D4">
        <w:rPr>
          <w:rFonts w:ascii="Times New Roman" w:eastAsia="Times New Roman" w:hAnsi="Times New Roman" w:cs="Times New Roman"/>
          <w:color w:val="000000"/>
          <w:shd w:val="clear" w:color="auto" w:fill="FFFFFF"/>
        </w:rPr>
        <w:t>.</w:t>
      </w:r>
      <w:r w:rsidR="000326C8" w:rsidRPr="00D543D4">
        <w:rPr>
          <w:rStyle w:val="FootnoteReference"/>
          <w:rFonts w:ascii="Times New Roman" w:eastAsia="Times New Roman" w:hAnsi="Times New Roman" w:cs="Times New Roman"/>
          <w:color w:val="000000"/>
          <w:shd w:val="clear" w:color="auto" w:fill="FFFFFF"/>
        </w:rPr>
        <w:footnoteReference w:id="17"/>
      </w:r>
      <w:r w:rsidR="001507B3" w:rsidRPr="00D543D4">
        <w:rPr>
          <w:rFonts w:ascii="Times New Roman" w:eastAsia="Times New Roman" w:hAnsi="Times New Roman" w:cs="Times New Roman"/>
          <w:color w:val="000000"/>
          <w:shd w:val="clear" w:color="auto" w:fill="FFFFFF"/>
        </w:rPr>
        <w:t xml:space="preserve"> In </w:t>
      </w:r>
      <w:r w:rsidR="003D2BF5" w:rsidRPr="00D543D4">
        <w:rPr>
          <w:rFonts w:ascii="Times New Roman" w:eastAsia="Times New Roman" w:hAnsi="Times New Roman" w:cs="Times New Roman"/>
          <w:color w:val="000000"/>
          <w:shd w:val="clear" w:color="auto" w:fill="FFFFFF"/>
        </w:rPr>
        <w:t>turn</w:t>
      </w:r>
      <w:r w:rsidR="001507B3" w:rsidRPr="00D543D4">
        <w:rPr>
          <w:rFonts w:ascii="Times New Roman" w:eastAsia="Times New Roman" w:hAnsi="Times New Roman" w:cs="Times New Roman"/>
          <w:color w:val="000000"/>
          <w:shd w:val="clear" w:color="auto" w:fill="FFFFFF"/>
        </w:rPr>
        <w:t xml:space="preserve">, this creates a supply and demand problem, whereby agencies purposively design projects that donors </w:t>
      </w:r>
      <w:r w:rsidR="777A443A" w:rsidRPr="00D543D4">
        <w:rPr>
          <w:rFonts w:ascii="Times New Roman" w:eastAsia="Times New Roman" w:hAnsi="Times New Roman" w:cs="Times New Roman"/>
          <w:color w:val="000000"/>
          <w:shd w:val="clear" w:color="auto" w:fill="FFFFFF"/>
        </w:rPr>
        <w:t xml:space="preserve">may </w:t>
      </w:r>
      <w:r w:rsidR="001507B3" w:rsidRPr="00D543D4">
        <w:rPr>
          <w:rFonts w:ascii="Times New Roman" w:eastAsia="Times New Roman" w:hAnsi="Times New Roman" w:cs="Times New Roman"/>
          <w:color w:val="000000"/>
          <w:shd w:val="clear" w:color="auto" w:fill="FFFFFF"/>
        </w:rPr>
        <w:t xml:space="preserve">fund, rather than pitch </w:t>
      </w:r>
      <w:r w:rsidR="38D55F09" w:rsidRPr="00D543D4">
        <w:rPr>
          <w:rFonts w:ascii="Times New Roman" w:eastAsia="Times New Roman" w:hAnsi="Times New Roman" w:cs="Times New Roman"/>
          <w:color w:val="000000"/>
          <w:shd w:val="clear" w:color="auto" w:fill="FFFFFF"/>
        </w:rPr>
        <w:t xml:space="preserve">their </w:t>
      </w:r>
      <w:r w:rsidR="001507B3" w:rsidRPr="00D543D4">
        <w:rPr>
          <w:rFonts w:ascii="Times New Roman" w:eastAsia="Times New Roman" w:hAnsi="Times New Roman" w:cs="Times New Roman"/>
          <w:color w:val="000000"/>
          <w:shd w:val="clear" w:color="auto" w:fill="FFFFFF"/>
        </w:rPr>
        <w:t>mandate, Strategic Plan</w:t>
      </w:r>
      <w:r w:rsidR="6315B179" w:rsidRPr="00D543D4">
        <w:rPr>
          <w:rFonts w:ascii="Times New Roman" w:eastAsia="Times New Roman" w:hAnsi="Times New Roman" w:cs="Times New Roman"/>
          <w:color w:val="000000"/>
          <w:shd w:val="clear" w:color="auto" w:fill="FFFFFF"/>
        </w:rPr>
        <w:t xml:space="preserve"> objectives</w:t>
      </w:r>
      <w:r w:rsidR="009F6322">
        <w:rPr>
          <w:rFonts w:ascii="Times New Roman" w:eastAsia="Times New Roman" w:hAnsi="Times New Roman" w:cs="Times New Roman"/>
          <w:color w:val="000000"/>
          <w:shd w:val="clear" w:color="auto" w:fill="FFFFFF"/>
        </w:rPr>
        <w:t>,</w:t>
      </w:r>
      <w:r w:rsidR="6315B179" w:rsidRPr="00D543D4">
        <w:rPr>
          <w:rFonts w:ascii="Times New Roman" w:eastAsia="Times New Roman" w:hAnsi="Times New Roman" w:cs="Times New Roman"/>
          <w:color w:val="000000"/>
          <w:shd w:val="clear" w:color="auto" w:fill="FFFFFF"/>
        </w:rPr>
        <w:t xml:space="preserve"> and its wholistic funding needs. </w:t>
      </w:r>
      <w:r w:rsidR="0928A15F" w:rsidRPr="00D543D4">
        <w:rPr>
          <w:rFonts w:ascii="Times New Roman" w:eastAsia="Times New Roman" w:hAnsi="Times New Roman" w:cs="Times New Roman"/>
          <w:color w:val="000000"/>
          <w:shd w:val="clear" w:color="auto" w:fill="FFFFFF"/>
        </w:rPr>
        <w:t>A</w:t>
      </w:r>
      <w:r w:rsidR="001507B3" w:rsidRPr="00D543D4">
        <w:rPr>
          <w:rFonts w:ascii="Times New Roman" w:eastAsia="Times New Roman" w:hAnsi="Times New Roman" w:cs="Times New Roman"/>
          <w:color w:val="000000"/>
          <w:shd w:val="clear" w:color="auto" w:fill="FFFFFF"/>
        </w:rPr>
        <w:t>s many MOPAN reviews highlight</w:t>
      </w:r>
      <w:r w:rsidR="005D43BC" w:rsidRPr="00D543D4">
        <w:rPr>
          <w:rFonts w:ascii="Times New Roman" w:eastAsia="Times New Roman" w:hAnsi="Times New Roman" w:cs="Times New Roman"/>
          <w:color w:val="000000"/>
          <w:shd w:val="clear" w:color="auto" w:fill="FFFFFF"/>
        </w:rPr>
        <w:t>,</w:t>
      </w:r>
      <w:r w:rsidR="001507B3" w:rsidRPr="00D543D4">
        <w:rPr>
          <w:rFonts w:ascii="Times New Roman" w:eastAsia="Times New Roman" w:hAnsi="Times New Roman" w:cs="Times New Roman"/>
          <w:color w:val="000000"/>
          <w:shd w:val="clear" w:color="auto" w:fill="FFFFFF"/>
        </w:rPr>
        <w:t xml:space="preserve"> UN agencies remain too </w:t>
      </w:r>
      <w:r w:rsidR="003D2BF5" w:rsidRPr="00D543D4">
        <w:rPr>
          <w:rFonts w:ascii="Times New Roman" w:eastAsia="Times New Roman" w:hAnsi="Times New Roman" w:cs="Times New Roman"/>
          <w:color w:val="000000"/>
          <w:shd w:val="clear" w:color="auto" w:fill="FFFFFF"/>
        </w:rPr>
        <w:t>project</w:t>
      </w:r>
      <w:r w:rsidR="55E030D2" w:rsidRPr="00D543D4">
        <w:rPr>
          <w:rFonts w:ascii="Times New Roman" w:eastAsia="Times New Roman" w:hAnsi="Times New Roman" w:cs="Times New Roman"/>
          <w:color w:val="000000"/>
          <w:shd w:val="clear" w:color="auto" w:fill="FFFFFF"/>
        </w:rPr>
        <w:t xml:space="preserve">ized, </w:t>
      </w:r>
      <w:r w:rsidR="001507B3" w:rsidRPr="00D543D4">
        <w:rPr>
          <w:rFonts w:ascii="Times New Roman" w:eastAsia="Times New Roman" w:hAnsi="Times New Roman" w:cs="Times New Roman"/>
          <w:color w:val="000000"/>
          <w:shd w:val="clear" w:color="auto" w:fill="FFFFFF"/>
        </w:rPr>
        <w:t>implement</w:t>
      </w:r>
      <w:r w:rsidR="36A35B8E" w:rsidRPr="00D543D4">
        <w:rPr>
          <w:rFonts w:ascii="Times New Roman" w:eastAsia="Times New Roman" w:hAnsi="Times New Roman" w:cs="Times New Roman"/>
          <w:color w:val="000000"/>
          <w:shd w:val="clear" w:color="auto" w:fill="FFFFFF"/>
        </w:rPr>
        <w:t>ing</w:t>
      </w:r>
      <w:r w:rsidR="001507B3" w:rsidRPr="00D543D4">
        <w:rPr>
          <w:rFonts w:ascii="Times New Roman" w:eastAsia="Times New Roman" w:hAnsi="Times New Roman" w:cs="Times New Roman"/>
          <w:color w:val="000000"/>
          <w:shd w:val="clear" w:color="auto" w:fill="FFFFFF"/>
        </w:rPr>
        <w:t xml:space="preserve"> a multitude of small projects that </w:t>
      </w:r>
      <w:r w:rsidR="003D2BF5" w:rsidRPr="00D543D4">
        <w:rPr>
          <w:rFonts w:ascii="Times New Roman" w:eastAsia="Times New Roman" w:hAnsi="Times New Roman" w:cs="Times New Roman"/>
          <w:color w:val="000000"/>
          <w:shd w:val="clear" w:color="auto" w:fill="FFFFFF"/>
        </w:rPr>
        <w:t xml:space="preserve">do </w:t>
      </w:r>
      <w:r w:rsidR="001507B3" w:rsidRPr="00D543D4">
        <w:rPr>
          <w:rFonts w:ascii="Times New Roman" w:eastAsia="Times New Roman" w:hAnsi="Times New Roman" w:cs="Times New Roman"/>
          <w:color w:val="000000"/>
          <w:shd w:val="clear" w:color="auto" w:fill="FFFFFF"/>
        </w:rPr>
        <w:t>not always align with the</w:t>
      </w:r>
      <w:r w:rsidR="695509D3" w:rsidRPr="00D543D4">
        <w:rPr>
          <w:rFonts w:ascii="Times New Roman" w:eastAsia="Times New Roman" w:hAnsi="Times New Roman" w:cs="Times New Roman"/>
          <w:color w:val="000000"/>
          <w:shd w:val="clear" w:color="auto" w:fill="FFFFFF"/>
        </w:rPr>
        <w:t>ir</w:t>
      </w:r>
      <w:r w:rsidR="001507B3" w:rsidRPr="00D543D4">
        <w:rPr>
          <w:rFonts w:ascii="Times New Roman" w:eastAsia="Times New Roman" w:hAnsi="Times New Roman" w:cs="Times New Roman"/>
          <w:color w:val="000000"/>
          <w:shd w:val="clear" w:color="auto" w:fill="FFFFFF"/>
        </w:rPr>
        <w:t xml:space="preserve"> larger goals. </w:t>
      </w:r>
      <w:r w:rsidR="1AFC85E6" w:rsidRPr="00D543D4">
        <w:rPr>
          <w:rFonts w:ascii="Times New Roman" w:eastAsia="Times New Roman" w:hAnsi="Times New Roman" w:cs="Times New Roman"/>
          <w:color w:val="000000"/>
          <w:shd w:val="clear" w:color="auto" w:fill="FFFFFF"/>
        </w:rPr>
        <w:t>T</w:t>
      </w:r>
      <w:r w:rsidR="001507B3" w:rsidRPr="00D543D4">
        <w:rPr>
          <w:rFonts w:ascii="Times New Roman" w:eastAsia="Times New Roman" w:hAnsi="Times New Roman" w:cs="Times New Roman"/>
          <w:color w:val="000000"/>
          <w:shd w:val="clear" w:color="auto" w:fill="FFFFFF"/>
        </w:rPr>
        <w:t>he 2021 MOPAN assessment of UNDP reiterated that: “UNDP’s organizational structure, processes</w:t>
      </w:r>
      <w:r w:rsidR="003D2BF5" w:rsidRPr="00D543D4">
        <w:rPr>
          <w:rFonts w:ascii="Times New Roman" w:eastAsia="Times New Roman" w:hAnsi="Times New Roman" w:cs="Times New Roman"/>
          <w:color w:val="000000"/>
          <w:shd w:val="clear" w:color="auto" w:fill="FFFFFF"/>
        </w:rPr>
        <w:t>,</w:t>
      </w:r>
      <w:r w:rsidR="001507B3" w:rsidRPr="00D543D4">
        <w:rPr>
          <w:rFonts w:ascii="Times New Roman" w:eastAsia="Times New Roman" w:hAnsi="Times New Roman" w:cs="Times New Roman"/>
          <w:color w:val="000000"/>
          <w:shd w:val="clear" w:color="auto" w:fill="FFFFFF"/>
        </w:rPr>
        <w:t xml:space="preserve"> and people still primarily reflect its traditional roles as </w:t>
      </w:r>
      <w:r w:rsidR="003D2BF5" w:rsidRPr="00D543D4">
        <w:rPr>
          <w:rFonts w:ascii="Times New Roman" w:eastAsia="Times New Roman" w:hAnsi="Times New Roman" w:cs="Times New Roman"/>
          <w:color w:val="000000"/>
          <w:shd w:val="clear" w:color="auto" w:fill="FFFFFF"/>
        </w:rPr>
        <w:t xml:space="preserve">a </w:t>
      </w:r>
      <w:r w:rsidR="001507B3" w:rsidRPr="00D543D4">
        <w:rPr>
          <w:rFonts w:ascii="Times New Roman" w:eastAsia="Times New Roman" w:hAnsi="Times New Roman" w:cs="Times New Roman"/>
          <w:color w:val="000000"/>
          <w:shd w:val="clear" w:color="auto" w:fill="FFFFFF"/>
        </w:rPr>
        <w:t xml:space="preserve">service provider and project implementing </w:t>
      </w:r>
      <w:r w:rsidR="000528E3" w:rsidRPr="00D543D4">
        <w:rPr>
          <w:rFonts w:ascii="Times New Roman" w:eastAsia="Times New Roman" w:hAnsi="Times New Roman" w:cs="Times New Roman"/>
          <w:color w:val="000000"/>
          <w:shd w:val="clear" w:color="auto" w:fill="FFFFFF"/>
        </w:rPr>
        <w:t>agency and</w:t>
      </w:r>
      <w:r w:rsidR="001507B3" w:rsidRPr="00D543D4">
        <w:rPr>
          <w:rFonts w:ascii="Times New Roman" w:eastAsia="Times New Roman" w:hAnsi="Times New Roman" w:cs="Times New Roman"/>
          <w:color w:val="000000"/>
          <w:shd w:val="clear" w:color="auto" w:fill="FFFFFF"/>
        </w:rPr>
        <w:t xml:space="preserve"> are insufficiently aligned with its current multifaceted strategic ambitions and initiatives”</w:t>
      </w:r>
      <w:r w:rsidR="00DB7CFA" w:rsidRPr="00D543D4">
        <w:rPr>
          <w:rFonts w:ascii="Times New Roman" w:eastAsia="Times New Roman" w:hAnsi="Times New Roman" w:cs="Times New Roman"/>
          <w:color w:val="000000"/>
          <w:shd w:val="clear" w:color="auto" w:fill="FFFFFF"/>
        </w:rPr>
        <w:t>.</w:t>
      </w:r>
      <w:r w:rsidR="00DB7CFA" w:rsidRPr="00D543D4">
        <w:rPr>
          <w:rStyle w:val="FootnoteReference"/>
          <w:rFonts w:ascii="Times New Roman" w:eastAsia="Times New Roman" w:hAnsi="Times New Roman" w:cs="Times New Roman"/>
          <w:color w:val="000000"/>
          <w:shd w:val="clear" w:color="auto" w:fill="FFFFFF"/>
        </w:rPr>
        <w:footnoteReference w:id="18"/>
      </w:r>
      <w:r w:rsidR="001507B3" w:rsidRPr="00D543D4">
        <w:rPr>
          <w:rFonts w:ascii="Times New Roman" w:eastAsia="Times New Roman" w:hAnsi="Times New Roman" w:cs="Times New Roman"/>
          <w:color w:val="000000"/>
          <w:shd w:val="clear" w:color="auto" w:fill="FFFFFF"/>
        </w:rPr>
        <w:t xml:space="preserve"> What needs to be clear is that UN agencies </w:t>
      </w:r>
      <w:r w:rsidR="05E1CFC4" w:rsidRPr="00D543D4">
        <w:rPr>
          <w:rFonts w:ascii="Times New Roman" w:eastAsia="Times New Roman" w:hAnsi="Times New Roman" w:cs="Times New Roman"/>
          <w:color w:val="000000"/>
          <w:shd w:val="clear" w:color="auto" w:fill="FFFFFF"/>
        </w:rPr>
        <w:t xml:space="preserve">are forced to implement such a strategy </w:t>
      </w:r>
      <w:r w:rsidR="001507B3" w:rsidRPr="00D543D4">
        <w:rPr>
          <w:rFonts w:ascii="Times New Roman" w:eastAsia="Times New Roman" w:hAnsi="Times New Roman" w:cs="Times New Roman"/>
          <w:color w:val="000000"/>
          <w:shd w:val="clear" w:color="auto" w:fill="FFFFFF"/>
        </w:rPr>
        <w:t>to compensate for dwindling core resources.</w:t>
      </w:r>
      <w:r w:rsidR="001507B3" w:rsidRPr="00D543D4">
        <w:rPr>
          <w:rFonts w:ascii="Times New Roman" w:eastAsia="Times New Roman" w:hAnsi="Times New Roman" w:cs="Times New Roman"/>
          <w:color w:val="000000"/>
        </w:rPr>
        <w:t> </w:t>
      </w:r>
    </w:p>
    <w:p w14:paraId="1F993681" w14:textId="7CDC4414" w:rsidR="00CD5325" w:rsidRPr="00CD5325" w:rsidRDefault="00CD5325" w:rsidP="00CD5325">
      <w:pPr>
        <w:pStyle w:val="Heading1"/>
        <w:rPr>
          <w:rFonts w:ascii="Times New Roman" w:eastAsia="Times New Roman" w:hAnsi="Times New Roman" w:cs="Times New Roman"/>
          <w:sz w:val="28"/>
          <w:szCs w:val="28"/>
          <w:shd w:val="clear" w:color="auto" w:fill="FFFFFF"/>
        </w:rPr>
      </w:pPr>
      <w:r w:rsidRPr="00CD5325">
        <w:rPr>
          <w:rFonts w:ascii="Times New Roman" w:eastAsia="Times New Roman" w:hAnsi="Times New Roman" w:cs="Times New Roman"/>
          <w:sz w:val="28"/>
          <w:szCs w:val="28"/>
          <w:shd w:val="clear" w:color="auto" w:fill="FFFFFF"/>
        </w:rPr>
        <w:t xml:space="preserve">Implications </w:t>
      </w:r>
    </w:p>
    <w:p w14:paraId="292CB7E4" w14:textId="33976CC9" w:rsidR="00CD5325" w:rsidRDefault="00CD5325" w:rsidP="001507B3">
      <w:pPr>
        <w:spacing w:after="0" w:line="240" w:lineRule="auto"/>
        <w:jc w:val="both"/>
        <w:textAlignment w:val="baseline"/>
        <w:rPr>
          <w:rFonts w:ascii="Times New Roman" w:eastAsia="Times New Roman" w:hAnsi="Times New Roman" w:cs="Times New Roman"/>
          <w:color w:val="000000"/>
        </w:rPr>
      </w:pPr>
    </w:p>
    <w:p w14:paraId="26151DD9" w14:textId="5E71E0E2" w:rsidR="00CD5325" w:rsidRDefault="009A518D" w:rsidP="00CD5325">
      <w:pPr>
        <w:spacing w:after="0" w:line="240" w:lineRule="auto"/>
        <w:jc w:val="both"/>
        <w:textAlignment w:val="baseline"/>
        <w:rPr>
          <w:rFonts w:ascii="Times New Roman" w:eastAsia="Times New Roman" w:hAnsi="Times New Roman" w:cs="Times New Roman"/>
          <w:color w:val="000000"/>
        </w:rPr>
      </w:pPr>
      <w:bookmarkStart w:id="0" w:name="_Hlk139884543"/>
      <w:r w:rsidRPr="009A518D">
        <w:rPr>
          <w:rFonts w:ascii="Times New Roman" w:eastAsia="Times New Roman" w:hAnsi="Times New Roman" w:cs="Times New Roman"/>
          <w:color w:val="000000"/>
        </w:rPr>
        <w:t xml:space="preserve">The implications of reduced flexible core funding are significant and far-reaching, affecting </w:t>
      </w:r>
      <w:r w:rsidR="00DB001F">
        <w:rPr>
          <w:rFonts w:ascii="Times New Roman" w:eastAsia="Times New Roman" w:hAnsi="Times New Roman" w:cs="Times New Roman"/>
          <w:color w:val="000000"/>
        </w:rPr>
        <w:t>UNDP’s</w:t>
      </w:r>
      <w:r w:rsidRPr="009A518D">
        <w:rPr>
          <w:rFonts w:ascii="Times New Roman" w:eastAsia="Times New Roman" w:hAnsi="Times New Roman" w:cs="Times New Roman"/>
          <w:color w:val="000000"/>
        </w:rPr>
        <w:t xml:space="preserve"> ability</w:t>
      </w:r>
      <w:r>
        <w:rPr>
          <w:rFonts w:ascii="Times New Roman" w:eastAsia="Times New Roman" w:hAnsi="Times New Roman" w:cs="Times New Roman"/>
          <w:color w:val="000000"/>
        </w:rPr>
        <w:t xml:space="preserve"> </w:t>
      </w:r>
      <w:r w:rsidR="00CD5325" w:rsidRPr="00CD5325">
        <w:rPr>
          <w:rFonts w:ascii="Times New Roman" w:eastAsia="Times New Roman" w:hAnsi="Times New Roman" w:cs="Times New Roman"/>
          <w:color w:val="000000"/>
        </w:rPr>
        <w:t xml:space="preserve">to effectively deliver on its </w:t>
      </w:r>
      <w:r w:rsidR="006E09CE">
        <w:rPr>
          <w:rFonts w:ascii="Times New Roman" w:eastAsia="Times New Roman" w:hAnsi="Times New Roman" w:cs="Times New Roman"/>
          <w:color w:val="000000"/>
        </w:rPr>
        <w:t xml:space="preserve">strategic plan </w:t>
      </w:r>
      <w:r w:rsidR="00CD5325" w:rsidRPr="00CD5325">
        <w:rPr>
          <w:rFonts w:ascii="Times New Roman" w:eastAsia="Times New Roman" w:hAnsi="Times New Roman" w:cs="Times New Roman"/>
          <w:color w:val="000000"/>
        </w:rPr>
        <w:t xml:space="preserve">and respond to countries’ </w:t>
      </w:r>
      <w:r w:rsidR="00CD5325">
        <w:rPr>
          <w:rFonts w:ascii="Times New Roman" w:eastAsia="Times New Roman" w:hAnsi="Times New Roman" w:cs="Times New Roman"/>
          <w:color w:val="000000"/>
        </w:rPr>
        <w:t>requests</w:t>
      </w:r>
      <w:r w:rsidR="00CD5325" w:rsidRPr="00CD5325">
        <w:rPr>
          <w:rFonts w:ascii="Times New Roman" w:eastAsia="Times New Roman" w:hAnsi="Times New Roman" w:cs="Times New Roman"/>
          <w:color w:val="000000"/>
        </w:rPr>
        <w:t xml:space="preserve"> for assistance to pursue the SDGs or to deal with human-made or natural disasters. </w:t>
      </w:r>
      <w:r w:rsidR="00461E18">
        <w:rPr>
          <w:rFonts w:ascii="Times New Roman" w:eastAsia="Times New Roman" w:hAnsi="Times New Roman" w:cs="Times New Roman"/>
          <w:color w:val="000000"/>
        </w:rPr>
        <w:t>Among the major implications:</w:t>
      </w:r>
    </w:p>
    <w:p w14:paraId="7BC65856" w14:textId="77777777" w:rsidR="006E09CE" w:rsidRPr="00CD5325" w:rsidRDefault="006E09CE" w:rsidP="00CD5325">
      <w:pPr>
        <w:spacing w:after="0" w:line="240" w:lineRule="auto"/>
        <w:jc w:val="both"/>
        <w:textAlignment w:val="baseline"/>
        <w:rPr>
          <w:rFonts w:ascii="Times New Roman" w:eastAsia="Times New Roman" w:hAnsi="Times New Roman" w:cs="Times New Roman"/>
          <w:color w:val="000000"/>
        </w:rPr>
      </w:pPr>
    </w:p>
    <w:p w14:paraId="0714A4E0" w14:textId="033A5D8B" w:rsidR="004A316A" w:rsidRPr="004D640D" w:rsidRDefault="00F022E5" w:rsidP="004D640D">
      <w:pPr>
        <w:spacing w:after="0" w:line="240" w:lineRule="auto"/>
        <w:jc w:val="both"/>
        <w:textAlignment w:val="baseline"/>
        <w:rPr>
          <w:rFonts w:ascii="Times New Roman" w:eastAsia="Times New Roman" w:hAnsi="Times New Roman" w:cs="Times New Roman"/>
          <w:i/>
          <w:iCs/>
          <w:color w:val="000000"/>
        </w:rPr>
      </w:pPr>
      <w:r w:rsidRPr="004D640D">
        <w:rPr>
          <w:rFonts w:ascii="Times New Roman" w:eastAsia="Times New Roman" w:hAnsi="Times New Roman" w:cs="Times New Roman"/>
          <w:i/>
          <w:iCs/>
          <w:color w:val="000000"/>
        </w:rPr>
        <w:t xml:space="preserve">Undermining the drive to end extreme poverty and promote sustainable development </w:t>
      </w:r>
    </w:p>
    <w:p w14:paraId="2E957F42" w14:textId="47412603" w:rsidR="00CD5325" w:rsidRPr="00417393" w:rsidRDefault="00CD5325" w:rsidP="00417393">
      <w:pPr>
        <w:spacing w:after="0" w:line="240" w:lineRule="auto"/>
        <w:jc w:val="both"/>
        <w:textAlignment w:val="baseline"/>
        <w:rPr>
          <w:rFonts w:ascii="Times New Roman" w:eastAsia="Times New Roman" w:hAnsi="Times New Roman" w:cs="Times New Roman"/>
          <w:color w:val="000000"/>
        </w:rPr>
      </w:pPr>
      <w:r w:rsidRPr="00417393">
        <w:rPr>
          <w:rFonts w:ascii="Times New Roman" w:eastAsia="Times New Roman" w:hAnsi="Times New Roman" w:cs="Times New Roman"/>
          <w:color w:val="000000"/>
        </w:rPr>
        <w:t xml:space="preserve">Core </w:t>
      </w:r>
      <w:r w:rsidR="004A316A" w:rsidRPr="00417393">
        <w:rPr>
          <w:rFonts w:ascii="Times New Roman" w:eastAsia="Times New Roman" w:hAnsi="Times New Roman" w:cs="Times New Roman"/>
          <w:color w:val="000000"/>
        </w:rPr>
        <w:t xml:space="preserve">funding </w:t>
      </w:r>
      <w:r w:rsidRPr="00417393">
        <w:rPr>
          <w:rFonts w:ascii="Times New Roman" w:eastAsia="Times New Roman" w:hAnsi="Times New Roman" w:cs="Times New Roman"/>
          <w:color w:val="000000"/>
        </w:rPr>
        <w:t xml:space="preserve">is inherently pro-poor </w:t>
      </w:r>
      <w:r w:rsidR="004A316A" w:rsidRPr="00417393">
        <w:rPr>
          <w:rFonts w:ascii="Times New Roman" w:eastAsia="Times New Roman" w:hAnsi="Times New Roman" w:cs="Times New Roman"/>
          <w:color w:val="000000"/>
        </w:rPr>
        <w:t xml:space="preserve">since </w:t>
      </w:r>
      <w:r w:rsidR="005372B0" w:rsidRPr="00417393">
        <w:rPr>
          <w:rFonts w:ascii="Times New Roman" w:eastAsia="Times New Roman" w:hAnsi="Times New Roman" w:cs="Times New Roman"/>
          <w:color w:val="000000"/>
        </w:rPr>
        <w:t xml:space="preserve">more than 80% of programmable core funding is </w:t>
      </w:r>
      <w:r w:rsidRPr="00417393">
        <w:rPr>
          <w:rFonts w:ascii="Times New Roman" w:eastAsia="Times New Roman" w:hAnsi="Times New Roman" w:cs="Times New Roman"/>
          <w:color w:val="000000"/>
        </w:rPr>
        <w:t xml:space="preserve">directed to </w:t>
      </w:r>
      <w:r w:rsidR="005372B0" w:rsidRPr="00417393">
        <w:rPr>
          <w:rFonts w:ascii="Times New Roman" w:eastAsia="Times New Roman" w:hAnsi="Times New Roman" w:cs="Times New Roman"/>
          <w:color w:val="000000"/>
        </w:rPr>
        <w:t xml:space="preserve">Low-Income Countries (LICs) and Least Developed Countries (LDCs) </w:t>
      </w:r>
      <w:r w:rsidRPr="00417393">
        <w:rPr>
          <w:rFonts w:ascii="Times New Roman" w:eastAsia="Times New Roman" w:hAnsi="Times New Roman" w:cs="Times New Roman"/>
          <w:color w:val="000000"/>
        </w:rPr>
        <w:t xml:space="preserve">where the needs are greatest and access to other forms of funding is limited. A cut in core </w:t>
      </w:r>
      <w:r w:rsidR="00812B40" w:rsidRPr="00417393">
        <w:rPr>
          <w:rFonts w:ascii="Times New Roman" w:eastAsia="Times New Roman" w:hAnsi="Times New Roman" w:cs="Times New Roman"/>
          <w:color w:val="000000"/>
        </w:rPr>
        <w:t>funding</w:t>
      </w:r>
      <w:r w:rsidRPr="00417393">
        <w:rPr>
          <w:rFonts w:ascii="Times New Roman" w:eastAsia="Times New Roman" w:hAnsi="Times New Roman" w:cs="Times New Roman"/>
          <w:color w:val="000000"/>
        </w:rPr>
        <w:t xml:space="preserve"> will hit the most vulnerable hardest</w:t>
      </w:r>
      <w:r w:rsidR="003B5A23" w:rsidRPr="00417393">
        <w:rPr>
          <w:rFonts w:ascii="Times New Roman" w:eastAsia="Times New Roman" w:hAnsi="Times New Roman" w:cs="Times New Roman"/>
          <w:color w:val="000000"/>
        </w:rPr>
        <w:t xml:space="preserve">, </w:t>
      </w:r>
      <w:r w:rsidR="0033251D" w:rsidRPr="00417393">
        <w:rPr>
          <w:rFonts w:ascii="Times New Roman" w:eastAsia="Times New Roman" w:hAnsi="Times New Roman" w:cs="Times New Roman"/>
          <w:color w:val="000000"/>
        </w:rPr>
        <w:t xml:space="preserve">making it difficult to implement programs and initiatives aimed at eradicating poverty, improving livelihoods, and achieving the SDGs. </w:t>
      </w:r>
      <w:r w:rsidR="00417393" w:rsidRPr="00417393">
        <w:rPr>
          <w:rFonts w:ascii="Times New Roman" w:eastAsia="Times New Roman" w:hAnsi="Times New Roman" w:cs="Times New Roman"/>
          <w:color w:val="000000"/>
        </w:rPr>
        <w:t xml:space="preserve">This limitation can </w:t>
      </w:r>
      <w:r w:rsidR="003B5A23" w:rsidRPr="00417393">
        <w:rPr>
          <w:rFonts w:ascii="Times New Roman" w:eastAsia="Times New Roman" w:hAnsi="Times New Roman" w:cs="Times New Roman"/>
          <w:color w:val="000000"/>
        </w:rPr>
        <w:t>th</w:t>
      </w:r>
      <w:r w:rsidR="00894EE7" w:rsidRPr="00417393">
        <w:rPr>
          <w:rFonts w:ascii="Times New Roman" w:eastAsia="Times New Roman" w:hAnsi="Times New Roman" w:cs="Times New Roman"/>
          <w:color w:val="000000"/>
        </w:rPr>
        <w:t xml:space="preserve">wart </w:t>
      </w:r>
      <w:r w:rsidR="003B5A23" w:rsidRPr="00417393">
        <w:rPr>
          <w:rFonts w:ascii="Times New Roman" w:eastAsia="Times New Roman" w:hAnsi="Times New Roman" w:cs="Times New Roman"/>
          <w:color w:val="000000"/>
        </w:rPr>
        <w:t>th</w:t>
      </w:r>
      <w:r w:rsidR="0070783E" w:rsidRPr="00417393">
        <w:rPr>
          <w:rFonts w:ascii="Times New Roman" w:eastAsia="Times New Roman" w:hAnsi="Times New Roman" w:cs="Times New Roman"/>
          <w:color w:val="000000"/>
        </w:rPr>
        <w:t>e battle against ending extreme poverty</w:t>
      </w:r>
      <w:r w:rsidRPr="00417393">
        <w:rPr>
          <w:rFonts w:ascii="Times New Roman" w:eastAsia="Times New Roman" w:hAnsi="Times New Roman" w:cs="Times New Roman"/>
          <w:color w:val="000000"/>
        </w:rPr>
        <w:t xml:space="preserve">. </w:t>
      </w:r>
      <w:r w:rsidR="00417393">
        <w:rPr>
          <w:rFonts w:ascii="Times New Roman" w:eastAsia="Times New Roman" w:hAnsi="Times New Roman" w:cs="Times New Roman"/>
          <w:color w:val="000000"/>
        </w:rPr>
        <w:t xml:space="preserve">With reduced core funding, </w:t>
      </w:r>
      <w:r w:rsidR="00843173" w:rsidRPr="00417393">
        <w:rPr>
          <w:rFonts w:ascii="Times New Roman" w:eastAsia="Times New Roman" w:hAnsi="Times New Roman" w:cs="Times New Roman"/>
          <w:color w:val="000000"/>
        </w:rPr>
        <w:t>UNDP</w:t>
      </w:r>
      <w:r w:rsidRPr="00417393">
        <w:rPr>
          <w:rFonts w:ascii="Times New Roman" w:eastAsia="Times New Roman" w:hAnsi="Times New Roman" w:cs="Times New Roman"/>
          <w:color w:val="000000"/>
        </w:rPr>
        <w:t xml:space="preserve"> country offices</w:t>
      </w:r>
      <w:r w:rsidR="00417393">
        <w:rPr>
          <w:rFonts w:ascii="Times New Roman" w:eastAsia="Times New Roman" w:hAnsi="Times New Roman" w:cs="Times New Roman"/>
          <w:color w:val="000000"/>
        </w:rPr>
        <w:t xml:space="preserve"> will have limited flexible resources</w:t>
      </w:r>
      <w:r w:rsidRPr="00417393">
        <w:rPr>
          <w:rFonts w:ascii="Times New Roman" w:eastAsia="Times New Roman" w:hAnsi="Times New Roman" w:cs="Times New Roman"/>
          <w:color w:val="000000"/>
        </w:rPr>
        <w:t xml:space="preserve"> to design interventions and experiment with innovative solutions </w:t>
      </w:r>
      <w:r w:rsidR="00461E18" w:rsidRPr="00417393">
        <w:rPr>
          <w:rFonts w:ascii="Times New Roman" w:eastAsia="Times New Roman" w:hAnsi="Times New Roman" w:cs="Times New Roman"/>
          <w:color w:val="000000"/>
        </w:rPr>
        <w:t xml:space="preserve">to promote sustainable development </w:t>
      </w:r>
      <w:r w:rsidRPr="00417393">
        <w:rPr>
          <w:rFonts w:ascii="Times New Roman" w:eastAsia="Times New Roman" w:hAnsi="Times New Roman" w:cs="Times New Roman"/>
          <w:color w:val="000000"/>
        </w:rPr>
        <w:t xml:space="preserve">that can be scaled up to attract additional funding. </w:t>
      </w:r>
      <w:r w:rsidR="00461E18" w:rsidRPr="00417393">
        <w:rPr>
          <w:rFonts w:ascii="Times New Roman" w:eastAsia="Times New Roman" w:hAnsi="Times New Roman" w:cs="Times New Roman"/>
          <w:color w:val="000000"/>
        </w:rPr>
        <w:t xml:space="preserve">However, a decline in core funding </w:t>
      </w:r>
      <w:r w:rsidRPr="00417393">
        <w:rPr>
          <w:rFonts w:ascii="Times New Roman" w:eastAsia="Times New Roman" w:hAnsi="Times New Roman" w:cs="Times New Roman"/>
          <w:color w:val="000000"/>
        </w:rPr>
        <w:t>restricts country offices’ ability to do so.</w:t>
      </w:r>
    </w:p>
    <w:p w14:paraId="383FDC3F" w14:textId="458C0BA9" w:rsidR="00CD5325" w:rsidRDefault="00CD5325" w:rsidP="00812B40">
      <w:pPr>
        <w:spacing w:after="0" w:line="240" w:lineRule="auto"/>
        <w:jc w:val="both"/>
        <w:textAlignment w:val="baseline"/>
        <w:rPr>
          <w:rFonts w:ascii="Times New Roman" w:eastAsia="Times New Roman" w:hAnsi="Times New Roman" w:cs="Times New Roman"/>
          <w:color w:val="000000"/>
        </w:rPr>
      </w:pPr>
      <w:r w:rsidRPr="00CD5325">
        <w:rPr>
          <w:rFonts w:ascii="Times New Roman" w:eastAsia="Times New Roman" w:hAnsi="Times New Roman" w:cs="Times New Roman"/>
          <w:color w:val="000000"/>
        </w:rPr>
        <w:t xml:space="preserve"> </w:t>
      </w:r>
    </w:p>
    <w:p w14:paraId="5800E79C" w14:textId="5C14BA37" w:rsidR="004D640D" w:rsidRPr="004D640D" w:rsidRDefault="002D6920" w:rsidP="004D640D">
      <w:pPr>
        <w:spacing w:after="0" w:line="240" w:lineRule="auto"/>
        <w:jc w:val="both"/>
        <w:textAlignment w:val="baseline"/>
        <w:rPr>
          <w:rFonts w:ascii="Times New Roman" w:eastAsia="Times New Roman" w:hAnsi="Times New Roman" w:cs="Times New Roman"/>
          <w:i/>
          <w:iCs/>
          <w:color w:val="000000"/>
        </w:rPr>
      </w:pPr>
      <w:r>
        <w:rPr>
          <w:rFonts w:ascii="Times New Roman" w:eastAsia="Times New Roman" w:hAnsi="Times New Roman" w:cs="Times New Roman"/>
          <w:i/>
          <w:iCs/>
          <w:color w:val="000000"/>
        </w:rPr>
        <w:t>Slow and in</w:t>
      </w:r>
      <w:r w:rsidR="004D640D" w:rsidRPr="004D640D">
        <w:rPr>
          <w:rFonts w:ascii="Times New Roman" w:eastAsia="Times New Roman" w:hAnsi="Times New Roman" w:cs="Times New Roman"/>
          <w:i/>
          <w:iCs/>
          <w:color w:val="000000"/>
        </w:rPr>
        <w:t xml:space="preserve">effective crisis response </w:t>
      </w:r>
    </w:p>
    <w:p w14:paraId="35C22703" w14:textId="4C7CB1BF" w:rsidR="004D640D" w:rsidRPr="00DB001F" w:rsidRDefault="00DB001F" w:rsidP="00DB001F">
      <w:pPr>
        <w:spacing w:after="0" w:line="240" w:lineRule="auto"/>
        <w:jc w:val="both"/>
        <w:textAlignment w:val="baseline"/>
        <w:rPr>
          <w:rFonts w:ascii="Times New Roman" w:eastAsia="Times New Roman" w:hAnsi="Times New Roman" w:cs="Times New Roman"/>
          <w:color w:val="000000"/>
        </w:rPr>
      </w:pPr>
      <w:r w:rsidRPr="00DB001F">
        <w:rPr>
          <w:rFonts w:ascii="Times New Roman" w:eastAsia="Times New Roman" w:hAnsi="Times New Roman" w:cs="Times New Roman"/>
          <w:color w:val="000000"/>
        </w:rPr>
        <w:t xml:space="preserve">Natural disasters, humanitarian emergencies, and other crises require swift and efficient responses. However, reduced core funding hampers </w:t>
      </w:r>
      <w:r w:rsidR="008558A6">
        <w:rPr>
          <w:rFonts w:ascii="Times New Roman" w:eastAsia="Times New Roman" w:hAnsi="Times New Roman" w:cs="Times New Roman"/>
          <w:color w:val="000000"/>
        </w:rPr>
        <w:t>UNDP</w:t>
      </w:r>
      <w:r w:rsidRPr="00DB001F">
        <w:rPr>
          <w:rFonts w:ascii="Times New Roman" w:eastAsia="Times New Roman" w:hAnsi="Times New Roman" w:cs="Times New Roman"/>
          <w:color w:val="000000"/>
        </w:rPr>
        <w:t xml:space="preserve">'s ability to allocate resources quickly and effectively in such situations. </w:t>
      </w:r>
      <w:r w:rsidR="00374ADB" w:rsidRPr="00DB001F">
        <w:rPr>
          <w:rFonts w:ascii="Times New Roman" w:eastAsia="Times New Roman" w:hAnsi="Times New Roman" w:cs="Times New Roman"/>
          <w:color w:val="000000"/>
        </w:rPr>
        <w:t>If the current decline in core funding remains unresolved, UNDP</w:t>
      </w:r>
      <w:r w:rsidR="004D640D" w:rsidRPr="00DB001F">
        <w:rPr>
          <w:rFonts w:ascii="Times New Roman" w:eastAsia="Times New Roman" w:hAnsi="Times New Roman" w:cs="Times New Roman"/>
          <w:color w:val="000000"/>
        </w:rPr>
        <w:t xml:space="preserve"> may not be able to be </w:t>
      </w:r>
      <w:r w:rsidR="004D640D" w:rsidRPr="00DB001F">
        <w:rPr>
          <w:rFonts w:ascii="Times New Roman" w:eastAsia="Times New Roman" w:hAnsi="Times New Roman" w:cs="Times New Roman"/>
          <w:color w:val="000000"/>
        </w:rPr>
        <w:lastRenderedPageBreak/>
        <w:t>present on the ground before, during</w:t>
      </w:r>
      <w:r w:rsidR="00374ADB" w:rsidRPr="00DB001F">
        <w:rPr>
          <w:rFonts w:ascii="Times New Roman" w:eastAsia="Times New Roman" w:hAnsi="Times New Roman" w:cs="Times New Roman"/>
          <w:color w:val="000000"/>
        </w:rPr>
        <w:t>,</w:t>
      </w:r>
      <w:r w:rsidR="004D640D" w:rsidRPr="00DB001F">
        <w:rPr>
          <w:rFonts w:ascii="Times New Roman" w:eastAsia="Times New Roman" w:hAnsi="Times New Roman" w:cs="Times New Roman"/>
          <w:color w:val="000000"/>
        </w:rPr>
        <w:t xml:space="preserve"> and after emergencies, offering the international community a neutral and extensive platform to direct resources where they are most needed. </w:t>
      </w:r>
      <w:r w:rsidR="008558A6" w:rsidRPr="008558A6">
        <w:rPr>
          <w:rFonts w:ascii="Times New Roman" w:eastAsia="Times New Roman" w:hAnsi="Times New Roman" w:cs="Times New Roman"/>
          <w:color w:val="000000"/>
        </w:rPr>
        <w:t>Without adequate funding, the organization may struggle to provide timely assistance, deliver life-saving aid, and support recovery efforts, potentially leading to increased human suffering and prolonged periods of instability.</w:t>
      </w:r>
    </w:p>
    <w:p w14:paraId="305A83C3" w14:textId="3995DFCC" w:rsidR="00EB5B93" w:rsidRPr="008558A6" w:rsidRDefault="008558A6" w:rsidP="00EB5B93">
      <w:pPr>
        <w:spacing w:after="0" w:line="240" w:lineRule="auto"/>
        <w:jc w:val="both"/>
        <w:textAlignment w:val="baseline"/>
        <w:rPr>
          <w:rFonts w:ascii="Times New Roman" w:eastAsia="Times New Roman" w:hAnsi="Times New Roman" w:cs="Times New Roman"/>
          <w:i/>
          <w:iCs/>
          <w:color w:val="000000"/>
        </w:rPr>
      </w:pPr>
      <w:r w:rsidRPr="008558A6">
        <w:rPr>
          <w:rFonts w:ascii="Times New Roman" w:eastAsia="Times New Roman" w:hAnsi="Times New Roman" w:cs="Times New Roman"/>
          <w:i/>
          <w:iCs/>
          <w:color w:val="000000"/>
        </w:rPr>
        <w:t>Limited</w:t>
      </w:r>
      <w:r w:rsidR="00EB5B93" w:rsidRPr="008558A6">
        <w:rPr>
          <w:rFonts w:ascii="Times New Roman" w:eastAsia="Times New Roman" w:hAnsi="Times New Roman" w:cs="Times New Roman"/>
          <w:i/>
          <w:iCs/>
          <w:color w:val="000000"/>
        </w:rPr>
        <w:t xml:space="preserve"> ability to leverage partnerships and resources</w:t>
      </w:r>
    </w:p>
    <w:p w14:paraId="3C1D49D4" w14:textId="799D5B2F" w:rsidR="00EB5B93" w:rsidRPr="00F96C23" w:rsidRDefault="00833CBD" w:rsidP="00F96C23">
      <w:pPr>
        <w:spacing w:after="0" w:line="240" w:lineRule="auto"/>
        <w:jc w:val="both"/>
        <w:textAlignment w:val="baseline"/>
        <w:rPr>
          <w:rFonts w:ascii="Times New Roman" w:eastAsia="Times New Roman" w:hAnsi="Times New Roman" w:cs="Times New Roman"/>
          <w:color w:val="000000"/>
        </w:rPr>
      </w:pPr>
      <w:r w:rsidRPr="00833CBD">
        <w:rPr>
          <w:rFonts w:ascii="Times New Roman" w:eastAsia="Times New Roman" w:hAnsi="Times New Roman" w:cs="Times New Roman"/>
          <w:color w:val="000000"/>
        </w:rPr>
        <w:t xml:space="preserve">Core funding acts as a catalyst for collaboration and partnerships with governments, </w:t>
      </w:r>
      <w:r>
        <w:rPr>
          <w:rFonts w:ascii="Times New Roman" w:eastAsia="Times New Roman" w:hAnsi="Times New Roman" w:cs="Times New Roman"/>
          <w:color w:val="000000"/>
        </w:rPr>
        <w:t xml:space="preserve">IFIs, the private sector, </w:t>
      </w:r>
      <w:r w:rsidRPr="00833CBD">
        <w:rPr>
          <w:rFonts w:ascii="Times New Roman" w:eastAsia="Times New Roman" w:hAnsi="Times New Roman" w:cs="Times New Roman"/>
          <w:color w:val="000000"/>
        </w:rPr>
        <w:t>non-governmental organizations, and other stakeholders. It helps to leverage additional funding and resources to maximize the organization's impact. When core funding declines, the organization's ability to attract and secure additional funding diminishes. This limitation restricts the potential for strategic partnerships and reduces the overall leverage of resources, hindering the organization's ability to amplify its efforts and create a more substantial development impact.</w:t>
      </w:r>
      <w:r w:rsidR="00F96C23">
        <w:rPr>
          <w:rFonts w:ascii="Times New Roman" w:eastAsia="Times New Roman" w:hAnsi="Times New Roman" w:cs="Times New Roman"/>
          <w:color w:val="000000"/>
        </w:rPr>
        <w:t xml:space="preserve"> </w:t>
      </w:r>
      <w:r w:rsidR="00EB5B93" w:rsidRPr="00F96C23">
        <w:rPr>
          <w:rFonts w:ascii="Times New Roman" w:eastAsia="Times New Roman" w:hAnsi="Times New Roman" w:cs="Times New Roman"/>
          <w:color w:val="000000"/>
        </w:rPr>
        <w:t xml:space="preserve">A strong </w:t>
      </w:r>
      <w:proofErr w:type="spellStart"/>
      <w:r w:rsidR="00EB5B93" w:rsidRPr="00F96C23">
        <w:rPr>
          <w:rFonts w:ascii="Times New Roman" w:eastAsia="Times New Roman" w:hAnsi="Times New Roman" w:cs="Times New Roman"/>
          <w:color w:val="000000"/>
        </w:rPr>
        <w:t>programme</w:t>
      </w:r>
      <w:proofErr w:type="spellEnd"/>
      <w:r w:rsidR="00F96C23">
        <w:rPr>
          <w:rFonts w:ascii="Times New Roman" w:eastAsia="Times New Roman" w:hAnsi="Times New Roman" w:cs="Times New Roman"/>
          <w:color w:val="000000"/>
        </w:rPr>
        <w:t xml:space="preserve"> based </w:t>
      </w:r>
      <w:r w:rsidR="00EB5B93" w:rsidRPr="00F96C23">
        <w:rPr>
          <w:rFonts w:ascii="Times New Roman" w:eastAsia="Times New Roman" w:hAnsi="Times New Roman" w:cs="Times New Roman"/>
          <w:color w:val="000000"/>
        </w:rPr>
        <w:t xml:space="preserve">on core resources is a prerequisite for the effective delivery of earmarked non-core funds. The prevailing imbalance between core and non-core funding could jeopardize the mobilization and delivery of </w:t>
      </w:r>
      <w:r w:rsidR="00F96C23">
        <w:rPr>
          <w:rFonts w:ascii="Times New Roman" w:eastAsia="Times New Roman" w:hAnsi="Times New Roman" w:cs="Times New Roman"/>
          <w:color w:val="000000"/>
        </w:rPr>
        <w:t>non-core-funded</w:t>
      </w:r>
      <w:r w:rsidR="00EB5B93" w:rsidRPr="00F96C23">
        <w:rPr>
          <w:rFonts w:ascii="Times New Roman" w:eastAsia="Times New Roman" w:hAnsi="Times New Roman" w:cs="Times New Roman"/>
          <w:color w:val="000000"/>
        </w:rPr>
        <w:t xml:space="preserve"> </w:t>
      </w:r>
      <w:proofErr w:type="spellStart"/>
      <w:r w:rsidR="00EB5B93" w:rsidRPr="00F96C23">
        <w:rPr>
          <w:rFonts w:ascii="Times New Roman" w:eastAsia="Times New Roman" w:hAnsi="Times New Roman" w:cs="Times New Roman"/>
          <w:color w:val="000000"/>
        </w:rPr>
        <w:t>programmes</w:t>
      </w:r>
      <w:proofErr w:type="spellEnd"/>
      <w:r w:rsidR="00EB5B93" w:rsidRPr="00F96C23">
        <w:rPr>
          <w:rFonts w:ascii="Times New Roman" w:eastAsia="Times New Roman" w:hAnsi="Times New Roman" w:cs="Times New Roman"/>
          <w:color w:val="000000"/>
        </w:rPr>
        <w:t xml:space="preserve">.  </w:t>
      </w:r>
    </w:p>
    <w:p w14:paraId="56D47A09" w14:textId="77777777" w:rsidR="00EB5B93" w:rsidRDefault="00EB5B93" w:rsidP="00CD5325">
      <w:pPr>
        <w:spacing w:after="0" w:line="240" w:lineRule="auto"/>
        <w:jc w:val="both"/>
        <w:textAlignment w:val="baseline"/>
        <w:rPr>
          <w:rFonts w:ascii="Times New Roman" w:eastAsia="Times New Roman" w:hAnsi="Times New Roman" w:cs="Times New Roman"/>
          <w:i/>
          <w:iCs/>
          <w:color w:val="000000"/>
        </w:rPr>
      </w:pPr>
    </w:p>
    <w:p w14:paraId="04F12B7E" w14:textId="25966755" w:rsidR="00CD5325" w:rsidRPr="004D640D" w:rsidRDefault="00827397" w:rsidP="00CD5325">
      <w:pPr>
        <w:spacing w:after="0" w:line="240" w:lineRule="auto"/>
        <w:jc w:val="both"/>
        <w:textAlignment w:val="baseline"/>
        <w:rPr>
          <w:rFonts w:ascii="Times New Roman" w:eastAsia="Times New Roman" w:hAnsi="Times New Roman" w:cs="Times New Roman"/>
          <w:i/>
          <w:iCs/>
          <w:color w:val="000000"/>
        </w:rPr>
      </w:pPr>
      <w:r>
        <w:rPr>
          <w:rFonts w:ascii="Times New Roman" w:eastAsia="Times New Roman" w:hAnsi="Times New Roman" w:cs="Times New Roman"/>
          <w:i/>
          <w:iCs/>
          <w:color w:val="000000"/>
        </w:rPr>
        <w:t>I</w:t>
      </w:r>
      <w:r w:rsidR="00CD5325" w:rsidRPr="004D640D">
        <w:rPr>
          <w:rFonts w:ascii="Times New Roman" w:eastAsia="Times New Roman" w:hAnsi="Times New Roman" w:cs="Times New Roman"/>
          <w:i/>
          <w:iCs/>
          <w:color w:val="000000"/>
        </w:rPr>
        <w:t>ncreased risk of competition and challenges in upholding our normative mandates</w:t>
      </w:r>
    </w:p>
    <w:p w14:paraId="2623CB51" w14:textId="4AC5C20B" w:rsidR="00CD5325" w:rsidRPr="00BC320A" w:rsidRDefault="00827397" w:rsidP="00BC320A">
      <w:pPr>
        <w:spacing w:after="0" w:line="240" w:lineRule="auto"/>
        <w:jc w:val="both"/>
        <w:textAlignment w:val="baseline"/>
        <w:rPr>
          <w:rFonts w:ascii="Times New Roman" w:eastAsia="Times New Roman" w:hAnsi="Times New Roman" w:cs="Times New Roman"/>
          <w:color w:val="000000"/>
        </w:rPr>
      </w:pPr>
      <w:r w:rsidRPr="00827397">
        <w:rPr>
          <w:rFonts w:ascii="Times New Roman" w:eastAsia="Times New Roman" w:hAnsi="Times New Roman" w:cs="Times New Roman"/>
          <w:color w:val="000000"/>
        </w:rPr>
        <w:t>Reduced core funding can lead to heightened competition among organizations operating in the same field. As resources become scarcer, organizations may find themselves in competition for limited funds, partnerships, and projects</w:t>
      </w:r>
      <w:r w:rsidR="00692752">
        <w:rPr>
          <w:rFonts w:ascii="Times New Roman" w:eastAsia="Times New Roman" w:hAnsi="Times New Roman" w:cs="Times New Roman"/>
          <w:color w:val="000000"/>
        </w:rPr>
        <w:t xml:space="preserve">, deepening </w:t>
      </w:r>
      <w:r w:rsidR="00876EED">
        <w:rPr>
          <w:rFonts w:ascii="Times New Roman" w:eastAsia="Times New Roman" w:hAnsi="Times New Roman" w:cs="Times New Roman"/>
          <w:color w:val="000000"/>
        </w:rPr>
        <w:t>the shift towards earmarked funding patterns</w:t>
      </w:r>
      <w:r w:rsidRPr="00827397">
        <w:rPr>
          <w:rFonts w:ascii="Times New Roman" w:eastAsia="Times New Roman" w:hAnsi="Times New Roman" w:cs="Times New Roman"/>
          <w:color w:val="000000"/>
        </w:rPr>
        <w:t>. This increased competition can create challenges in upholding normative mandates, such as promoting human rights, gender equality, and social justice. Organizations may face difficulties in maintaining their advocacy efforts, providing technical expertise, and fulfilling their broader responsibilities.</w:t>
      </w:r>
      <w:r w:rsidR="00BC320A">
        <w:rPr>
          <w:rFonts w:ascii="Times New Roman" w:eastAsia="Times New Roman" w:hAnsi="Times New Roman" w:cs="Times New Roman"/>
          <w:color w:val="000000"/>
        </w:rPr>
        <w:t xml:space="preserve"> </w:t>
      </w:r>
      <w:r w:rsidR="00CD5325" w:rsidRPr="00BC320A">
        <w:rPr>
          <w:rFonts w:ascii="Times New Roman" w:eastAsia="Times New Roman" w:hAnsi="Times New Roman" w:cs="Times New Roman"/>
          <w:color w:val="000000"/>
        </w:rPr>
        <w:t>As a recent MOPAN assessment revealed, less core and uneven resourcing create an imbalance in resources across an organization’s strategic priorities and constitute a strategic and reputational risk. Resource allocation becomes driven not by the intent to achieve results anchored in corporate strategies, but rather by funding opportunities.</w:t>
      </w:r>
    </w:p>
    <w:p w14:paraId="5145B35D" w14:textId="77777777" w:rsidR="004D640D" w:rsidRDefault="004D640D" w:rsidP="00CD5325">
      <w:pPr>
        <w:spacing w:after="0" w:line="240" w:lineRule="auto"/>
        <w:jc w:val="both"/>
        <w:textAlignment w:val="baseline"/>
        <w:rPr>
          <w:rFonts w:ascii="Times New Roman" w:eastAsia="Times New Roman" w:hAnsi="Times New Roman" w:cs="Times New Roman"/>
          <w:color w:val="000000"/>
        </w:rPr>
      </w:pPr>
    </w:p>
    <w:p w14:paraId="5D6DBE32" w14:textId="793D8526" w:rsidR="00CD5325" w:rsidRPr="004D640D" w:rsidRDefault="00C35C81" w:rsidP="00CD5325">
      <w:pPr>
        <w:spacing w:after="0" w:line="240" w:lineRule="auto"/>
        <w:jc w:val="both"/>
        <w:textAlignment w:val="baseline"/>
        <w:rPr>
          <w:rFonts w:ascii="Times New Roman" w:eastAsia="Times New Roman" w:hAnsi="Times New Roman" w:cs="Times New Roman"/>
          <w:i/>
          <w:iCs/>
          <w:color w:val="000000"/>
        </w:rPr>
      </w:pPr>
      <w:r>
        <w:rPr>
          <w:rFonts w:ascii="Times New Roman" w:eastAsia="Times New Roman" w:hAnsi="Times New Roman" w:cs="Times New Roman"/>
          <w:i/>
          <w:iCs/>
          <w:color w:val="000000"/>
        </w:rPr>
        <w:t>Under</w:t>
      </w:r>
      <w:r w:rsidR="00CD5325" w:rsidRPr="004D640D">
        <w:rPr>
          <w:rFonts w:ascii="Times New Roman" w:eastAsia="Times New Roman" w:hAnsi="Times New Roman" w:cs="Times New Roman"/>
          <w:i/>
          <w:iCs/>
          <w:color w:val="000000"/>
        </w:rPr>
        <w:t>investment in maintaining high quality and transparency standards</w:t>
      </w:r>
    </w:p>
    <w:p w14:paraId="53353562" w14:textId="2AD08920" w:rsidR="00CD5325" w:rsidRDefault="00CD5325" w:rsidP="00946962">
      <w:pPr>
        <w:spacing w:after="0" w:line="240" w:lineRule="auto"/>
        <w:jc w:val="both"/>
        <w:textAlignment w:val="baseline"/>
        <w:rPr>
          <w:rFonts w:ascii="Times New Roman" w:eastAsia="Times New Roman" w:hAnsi="Times New Roman" w:cs="Times New Roman"/>
          <w:color w:val="000000"/>
        </w:rPr>
      </w:pPr>
      <w:r w:rsidRPr="00946962">
        <w:rPr>
          <w:rFonts w:ascii="Times New Roman" w:eastAsia="Times New Roman" w:hAnsi="Times New Roman" w:cs="Times New Roman"/>
          <w:color w:val="000000"/>
        </w:rPr>
        <w:t>Core funding helps UN agencies meet and maintain the highest standards of transparency, oversight</w:t>
      </w:r>
      <w:r w:rsidR="00946962">
        <w:rPr>
          <w:rFonts w:ascii="Times New Roman" w:eastAsia="Times New Roman" w:hAnsi="Times New Roman" w:cs="Times New Roman"/>
          <w:color w:val="000000"/>
        </w:rPr>
        <w:t>,</w:t>
      </w:r>
      <w:r w:rsidRPr="00946962">
        <w:rPr>
          <w:rFonts w:ascii="Times New Roman" w:eastAsia="Times New Roman" w:hAnsi="Times New Roman" w:cs="Times New Roman"/>
          <w:color w:val="000000"/>
        </w:rPr>
        <w:t xml:space="preserve"> and accountability. </w:t>
      </w:r>
      <w:r w:rsidR="00946962" w:rsidRPr="00946962">
        <w:rPr>
          <w:rFonts w:ascii="Times New Roman" w:eastAsia="Times New Roman" w:hAnsi="Times New Roman" w:cs="Times New Roman"/>
          <w:color w:val="000000"/>
        </w:rPr>
        <w:t xml:space="preserve">With reduced core funding, there is less financial capacity to invest in </w:t>
      </w:r>
      <w:r w:rsidR="00946962">
        <w:rPr>
          <w:rFonts w:ascii="Times New Roman" w:eastAsia="Times New Roman" w:hAnsi="Times New Roman" w:cs="Times New Roman"/>
          <w:color w:val="000000"/>
        </w:rPr>
        <w:t xml:space="preserve">such </w:t>
      </w:r>
      <w:r w:rsidR="00946962" w:rsidRPr="00946962">
        <w:rPr>
          <w:rFonts w:ascii="Times New Roman" w:eastAsia="Times New Roman" w:hAnsi="Times New Roman" w:cs="Times New Roman"/>
          <w:color w:val="000000"/>
        </w:rPr>
        <w:t>essential areas</w:t>
      </w:r>
      <w:r w:rsidR="00946962">
        <w:rPr>
          <w:rFonts w:ascii="Times New Roman" w:eastAsia="Times New Roman" w:hAnsi="Times New Roman" w:cs="Times New Roman"/>
          <w:color w:val="000000"/>
        </w:rPr>
        <w:t xml:space="preserve"> as </w:t>
      </w:r>
      <w:r w:rsidRPr="00946962">
        <w:rPr>
          <w:rFonts w:ascii="Times New Roman" w:eastAsia="Times New Roman" w:hAnsi="Times New Roman" w:cs="Times New Roman"/>
          <w:color w:val="000000"/>
        </w:rPr>
        <w:t>independent evaluation, the ethics office, and development effectiveness</w:t>
      </w:r>
      <w:r w:rsidR="00317174">
        <w:rPr>
          <w:rFonts w:ascii="Times New Roman" w:eastAsia="Times New Roman" w:hAnsi="Times New Roman" w:cs="Times New Roman"/>
          <w:color w:val="000000"/>
        </w:rPr>
        <w:t xml:space="preserve">. </w:t>
      </w:r>
      <w:r w:rsidR="00317174" w:rsidRPr="00317174">
        <w:rPr>
          <w:rFonts w:ascii="Times New Roman" w:eastAsia="Times New Roman" w:hAnsi="Times New Roman" w:cs="Times New Roman"/>
          <w:color w:val="000000"/>
        </w:rPr>
        <w:t xml:space="preserve">This limitation may lead to compromised quality control, reduced </w:t>
      </w:r>
      <w:proofErr w:type="gramStart"/>
      <w:r w:rsidR="00317174" w:rsidRPr="00317174">
        <w:rPr>
          <w:rFonts w:ascii="Times New Roman" w:eastAsia="Times New Roman" w:hAnsi="Times New Roman" w:cs="Times New Roman"/>
          <w:color w:val="000000"/>
        </w:rPr>
        <w:t>monitoring</w:t>
      </w:r>
      <w:proofErr w:type="gramEnd"/>
      <w:r w:rsidR="00317174" w:rsidRPr="00317174">
        <w:rPr>
          <w:rFonts w:ascii="Times New Roman" w:eastAsia="Times New Roman" w:hAnsi="Times New Roman" w:cs="Times New Roman"/>
          <w:color w:val="000000"/>
        </w:rPr>
        <w:t xml:space="preserve"> and evaluation capacity, and weakened transparency mechanisms. Consequently, the organization's ability to demonstrate and maintain credibility, accountability, and trust may be compromised, affecting its long-term sustainability and effectiveness.</w:t>
      </w:r>
    </w:p>
    <w:p w14:paraId="1D295590" w14:textId="120F62E7" w:rsidR="00317174" w:rsidRDefault="00317174" w:rsidP="00946962">
      <w:pPr>
        <w:spacing w:after="0" w:line="240" w:lineRule="auto"/>
        <w:jc w:val="both"/>
        <w:textAlignment w:val="baseline"/>
        <w:rPr>
          <w:rFonts w:ascii="Times New Roman" w:eastAsia="Times New Roman" w:hAnsi="Times New Roman" w:cs="Times New Roman"/>
          <w:color w:val="000000"/>
        </w:rPr>
      </w:pPr>
    </w:p>
    <w:p w14:paraId="7351FE46" w14:textId="1DEF6F02" w:rsidR="00317174" w:rsidRPr="00946962" w:rsidRDefault="00317174" w:rsidP="00946962">
      <w:pPr>
        <w:spacing w:after="0" w:line="240" w:lineRule="auto"/>
        <w:jc w:val="both"/>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To sum up, </w:t>
      </w:r>
      <w:r w:rsidRPr="00317174">
        <w:rPr>
          <w:rFonts w:ascii="Times New Roman" w:eastAsia="Times New Roman" w:hAnsi="Times New Roman" w:cs="Times New Roman"/>
          <w:color w:val="000000"/>
        </w:rPr>
        <w:t>declining core funding has far-reaching implications, limiting an organization's capacity to address poverty, respond to crises, leverage partnerships, uphold normative mandates, and maintain high-quality standards. These implications can hinder the achievement of sustainable development goals and decrease the overall effectiveness and impact of the organization's work. It is crucial for organizations and stakeholders to recognize the importance of sustained and flexible core funding to ensure the successful realization of development objectives.</w:t>
      </w:r>
    </w:p>
    <w:bookmarkEnd w:id="0"/>
    <w:p w14:paraId="53A5F8EA" w14:textId="215BF44A" w:rsidR="00A66634" w:rsidRPr="00D543D4" w:rsidRDefault="00341728" w:rsidP="265576A8">
      <w:pPr>
        <w:pStyle w:val="Heading1"/>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R</w:t>
      </w:r>
      <w:r w:rsidR="00A66634" w:rsidRPr="00D543D4">
        <w:rPr>
          <w:rFonts w:ascii="Times New Roman" w:eastAsia="Times New Roman" w:hAnsi="Times New Roman" w:cs="Times New Roman"/>
          <w:sz w:val="28"/>
          <w:szCs w:val="28"/>
          <w:shd w:val="clear" w:color="auto" w:fill="FFFFFF"/>
        </w:rPr>
        <w:t>ecommendation</w:t>
      </w:r>
      <w:r>
        <w:rPr>
          <w:rFonts w:ascii="Times New Roman" w:eastAsia="Times New Roman" w:hAnsi="Times New Roman" w:cs="Times New Roman"/>
          <w:sz w:val="28"/>
          <w:szCs w:val="28"/>
          <w:shd w:val="clear" w:color="auto" w:fill="FFFFFF"/>
        </w:rPr>
        <w:t>s</w:t>
      </w:r>
    </w:p>
    <w:p w14:paraId="2CB96995" w14:textId="14A6DCBE" w:rsidR="008773AA" w:rsidRPr="00D543D4" w:rsidRDefault="0CD90226" w:rsidP="001507B3">
      <w:pPr>
        <w:spacing w:after="0" w:line="240" w:lineRule="auto"/>
        <w:jc w:val="both"/>
        <w:textAlignment w:val="baseline"/>
        <w:rPr>
          <w:rFonts w:ascii="Times New Roman" w:eastAsia="Times New Roman" w:hAnsi="Times New Roman" w:cs="Times New Roman"/>
          <w:color w:val="000000"/>
          <w:shd w:val="clear" w:color="auto" w:fill="FFFFFF"/>
        </w:rPr>
      </w:pPr>
      <w:r w:rsidRPr="00D543D4">
        <w:rPr>
          <w:rFonts w:ascii="Times New Roman" w:eastAsia="Times New Roman" w:hAnsi="Times New Roman" w:cs="Times New Roman"/>
          <w:color w:val="000000"/>
          <w:shd w:val="clear" w:color="auto" w:fill="FFFFFF"/>
        </w:rPr>
        <w:t xml:space="preserve">Factors contributing to the </w:t>
      </w:r>
      <w:r w:rsidR="00DA1C77" w:rsidRPr="00D543D4">
        <w:rPr>
          <w:rFonts w:ascii="Times New Roman" w:eastAsia="Times New Roman" w:hAnsi="Times New Roman" w:cs="Times New Roman"/>
          <w:color w:val="000000"/>
          <w:shd w:val="clear" w:color="auto" w:fill="FFFFFF"/>
        </w:rPr>
        <w:t>declin</w:t>
      </w:r>
      <w:r w:rsidR="51604B99" w:rsidRPr="00D543D4">
        <w:rPr>
          <w:rFonts w:ascii="Times New Roman" w:eastAsia="Times New Roman" w:hAnsi="Times New Roman" w:cs="Times New Roman"/>
          <w:color w:val="000000"/>
          <w:shd w:val="clear" w:color="auto" w:fill="FFFFFF"/>
        </w:rPr>
        <w:t xml:space="preserve">e </w:t>
      </w:r>
      <w:r w:rsidR="00DA1C77" w:rsidRPr="00D543D4">
        <w:rPr>
          <w:rFonts w:ascii="Times New Roman" w:eastAsia="Times New Roman" w:hAnsi="Times New Roman" w:cs="Times New Roman"/>
          <w:color w:val="000000"/>
          <w:shd w:val="clear" w:color="auto" w:fill="FFFFFF"/>
        </w:rPr>
        <w:t>in core funding</w:t>
      </w:r>
      <w:r w:rsidR="008773AA" w:rsidRPr="00D543D4">
        <w:rPr>
          <w:rFonts w:ascii="Times New Roman" w:eastAsia="Times New Roman" w:hAnsi="Times New Roman" w:cs="Times New Roman"/>
          <w:color w:val="000000"/>
          <w:shd w:val="clear" w:color="auto" w:fill="FFFFFF"/>
        </w:rPr>
        <w:t xml:space="preserve"> vary </w:t>
      </w:r>
      <w:r w:rsidR="3A870E56" w:rsidRPr="00D543D4">
        <w:rPr>
          <w:rFonts w:ascii="Times New Roman" w:eastAsia="Times New Roman" w:hAnsi="Times New Roman" w:cs="Times New Roman"/>
          <w:color w:val="000000"/>
          <w:shd w:val="clear" w:color="auto" w:fill="FFFFFF"/>
        </w:rPr>
        <w:t xml:space="preserve">among donors </w:t>
      </w:r>
      <w:r w:rsidR="008773AA" w:rsidRPr="00D543D4">
        <w:rPr>
          <w:rFonts w:ascii="Times New Roman" w:eastAsia="Times New Roman" w:hAnsi="Times New Roman" w:cs="Times New Roman"/>
          <w:color w:val="000000"/>
          <w:shd w:val="clear" w:color="auto" w:fill="FFFFFF"/>
        </w:rPr>
        <w:t>and are influenced by their unique contexts. The declin</w:t>
      </w:r>
      <w:r w:rsidR="4B7DE757" w:rsidRPr="00D543D4">
        <w:rPr>
          <w:rFonts w:ascii="Times New Roman" w:eastAsia="Times New Roman" w:hAnsi="Times New Roman" w:cs="Times New Roman"/>
          <w:color w:val="000000"/>
          <w:shd w:val="clear" w:color="auto" w:fill="FFFFFF"/>
        </w:rPr>
        <w:t xml:space="preserve">e in core </w:t>
      </w:r>
      <w:r w:rsidR="008773AA" w:rsidRPr="00D543D4">
        <w:rPr>
          <w:rFonts w:ascii="Times New Roman" w:eastAsia="Times New Roman" w:hAnsi="Times New Roman" w:cs="Times New Roman"/>
          <w:color w:val="000000"/>
          <w:shd w:val="clear" w:color="auto" w:fill="FFFFFF"/>
        </w:rPr>
        <w:t>funding is a complex issue that requires dialogue, advocacy, and efforts to highlight the importance of sustained and flexible resources for addressing long-term development challenges.</w:t>
      </w:r>
    </w:p>
    <w:p w14:paraId="513CE881" w14:textId="77777777" w:rsidR="00333E6C" w:rsidRPr="00D543D4" w:rsidRDefault="00333E6C" w:rsidP="001507B3">
      <w:pPr>
        <w:spacing w:after="0" w:line="240" w:lineRule="auto"/>
        <w:jc w:val="both"/>
        <w:textAlignment w:val="baseline"/>
        <w:rPr>
          <w:rFonts w:ascii="Times New Roman" w:eastAsia="Times New Roman" w:hAnsi="Times New Roman" w:cs="Times New Roman"/>
          <w:sz w:val="18"/>
          <w:szCs w:val="18"/>
        </w:rPr>
      </w:pPr>
    </w:p>
    <w:p w14:paraId="51847EF4" w14:textId="37A27B76" w:rsidR="00333E6C" w:rsidRDefault="00333E6C" w:rsidP="00333E6C">
      <w:pPr>
        <w:spacing w:after="0" w:line="240" w:lineRule="auto"/>
        <w:jc w:val="both"/>
        <w:textAlignment w:val="baseline"/>
        <w:rPr>
          <w:rFonts w:ascii="Times New Roman" w:eastAsia="Times New Roman" w:hAnsi="Times New Roman" w:cs="Times New Roman"/>
          <w:color w:val="000000"/>
        </w:rPr>
      </w:pPr>
      <w:r w:rsidRPr="00D543D4">
        <w:rPr>
          <w:rFonts w:ascii="Times New Roman" w:eastAsia="Times New Roman" w:hAnsi="Times New Roman" w:cs="Times New Roman"/>
          <w:color w:val="000000"/>
          <w:shd w:val="clear" w:color="auto" w:fill="FFFFFF"/>
        </w:rPr>
        <w:t>The Funding Compact constitutes the first real systemic attempt in the last twenty years to reform the quality of UNDS financing. As for the Grand Bargain established in 2016, where many targets were not</w:t>
      </w:r>
      <w:r w:rsidR="62E14662" w:rsidRPr="00D543D4">
        <w:rPr>
          <w:rFonts w:ascii="Times New Roman" w:eastAsia="Times New Roman" w:hAnsi="Times New Roman" w:cs="Times New Roman"/>
          <w:color w:val="000000"/>
          <w:shd w:val="clear" w:color="auto" w:fill="FFFFFF"/>
        </w:rPr>
        <w:t xml:space="preserve"> met</w:t>
      </w:r>
      <w:r w:rsidRPr="00D543D4">
        <w:rPr>
          <w:rFonts w:ascii="Times New Roman" w:eastAsia="Times New Roman" w:hAnsi="Times New Roman" w:cs="Times New Roman"/>
          <w:color w:val="000000"/>
          <w:shd w:val="clear" w:color="auto" w:fill="FFFFFF"/>
        </w:rPr>
        <w:t>, the obstacles to quality financing that the Funding Compact hopes to tackle</w:t>
      </w:r>
      <w:r w:rsidR="1E875F4A" w:rsidRPr="00D543D4">
        <w:rPr>
          <w:rFonts w:ascii="Times New Roman" w:eastAsia="Times New Roman" w:hAnsi="Times New Roman" w:cs="Times New Roman"/>
          <w:color w:val="000000"/>
          <w:shd w:val="clear" w:color="auto" w:fill="FFFFFF"/>
        </w:rPr>
        <w:t>,</w:t>
      </w:r>
      <w:r w:rsidRPr="00D543D4">
        <w:rPr>
          <w:rFonts w:ascii="Times New Roman" w:eastAsia="Times New Roman" w:hAnsi="Times New Roman" w:cs="Times New Roman"/>
          <w:color w:val="000000"/>
          <w:shd w:val="clear" w:color="auto" w:fill="FFFFFF"/>
        </w:rPr>
        <w:t xml:space="preserve"> are political in nature. </w:t>
      </w:r>
      <w:r w:rsidR="1B1F9530" w:rsidRPr="00D543D4">
        <w:rPr>
          <w:rFonts w:ascii="Times New Roman" w:eastAsia="Times New Roman" w:hAnsi="Times New Roman" w:cs="Times New Roman"/>
          <w:color w:val="000000"/>
          <w:shd w:val="clear" w:color="auto" w:fill="FFFFFF"/>
        </w:rPr>
        <w:t>A</w:t>
      </w:r>
      <w:r w:rsidRPr="00D543D4">
        <w:rPr>
          <w:rFonts w:ascii="Times New Roman" w:eastAsia="Times New Roman" w:hAnsi="Times New Roman" w:cs="Times New Roman"/>
          <w:color w:val="000000"/>
          <w:shd w:val="clear" w:color="auto" w:fill="FFFFFF"/>
        </w:rPr>
        <w:t xml:space="preserve">s things stand, donors might be lacking the required political traction in their own countries (beyond technical </w:t>
      </w:r>
      <w:r w:rsidRPr="00D543D4">
        <w:rPr>
          <w:rFonts w:ascii="Times New Roman" w:eastAsia="Times New Roman" w:hAnsi="Times New Roman" w:cs="Times New Roman"/>
          <w:color w:val="000000"/>
          <w:shd w:val="clear" w:color="auto" w:fill="FFFFFF"/>
        </w:rPr>
        <w:lastRenderedPageBreak/>
        <w:t>committees) to move forward on their commitments</w:t>
      </w:r>
      <w:r w:rsidRPr="00D543D4">
        <w:rPr>
          <w:rStyle w:val="FootnoteReference"/>
          <w:rFonts w:ascii="Times New Roman" w:eastAsia="Times New Roman" w:hAnsi="Times New Roman" w:cs="Times New Roman"/>
          <w:color w:val="000000"/>
          <w:shd w:val="clear" w:color="auto" w:fill="FFFFFF"/>
        </w:rPr>
        <w:footnoteReference w:id="19"/>
      </w:r>
      <w:r w:rsidRPr="00D543D4">
        <w:rPr>
          <w:rFonts w:ascii="Times New Roman" w:eastAsia="Times New Roman" w:hAnsi="Times New Roman" w:cs="Times New Roman"/>
          <w:color w:val="000000"/>
          <w:shd w:val="clear" w:color="auto" w:fill="FFFFFF"/>
        </w:rPr>
        <w:t xml:space="preserve">. </w:t>
      </w:r>
      <w:r w:rsidR="0D9796BB" w:rsidRPr="00D543D4">
        <w:rPr>
          <w:rFonts w:ascii="Times New Roman" w:eastAsia="Times New Roman" w:hAnsi="Times New Roman" w:cs="Times New Roman"/>
          <w:color w:val="000000"/>
          <w:shd w:val="clear" w:color="auto" w:fill="FFFFFF"/>
        </w:rPr>
        <w:t>Therefore, i</w:t>
      </w:r>
      <w:r w:rsidRPr="00D543D4">
        <w:rPr>
          <w:rFonts w:ascii="Times New Roman" w:eastAsia="Times New Roman" w:hAnsi="Times New Roman" w:cs="Times New Roman"/>
          <w:color w:val="000000"/>
          <w:shd w:val="clear" w:color="auto" w:fill="FFFFFF"/>
        </w:rPr>
        <w:t>t is important to mobilize political commitment to the Funding Compact by elevating the discussion political arena</w:t>
      </w:r>
      <w:r w:rsidR="5FA6DEA3" w:rsidRPr="00D543D4">
        <w:rPr>
          <w:rFonts w:ascii="Times New Roman" w:eastAsia="Times New Roman" w:hAnsi="Times New Roman" w:cs="Times New Roman"/>
          <w:color w:val="000000"/>
          <w:shd w:val="clear" w:color="auto" w:fill="FFFFFF"/>
        </w:rPr>
        <w:t>s</w:t>
      </w:r>
      <w:r w:rsidRPr="00D543D4">
        <w:rPr>
          <w:rFonts w:ascii="Times New Roman" w:eastAsia="Times New Roman" w:hAnsi="Times New Roman" w:cs="Times New Roman"/>
          <w:color w:val="000000"/>
          <w:shd w:val="clear" w:color="auto" w:fill="FFFFFF"/>
        </w:rPr>
        <w:t xml:space="preserve">, tasking senior political leaders to act as rotating champions of the Compact in the donor community, thus enhancing mutual accountability among </w:t>
      </w:r>
      <w:r w:rsidR="00D89E2D" w:rsidRPr="00D543D4">
        <w:rPr>
          <w:rFonts w:ascii="Times New Roman" w:eastAsia="Times New Roman" w:hAnsi="Times New Roman" w:cs="Times New Roman"/>
          <w:color w:val="000000"/>
          <w:shd w:val="clear" w:color="auto" w:fill="FFFFFF"/>
        </w:rPr>
        <w:t>M</w:t>
      </w:r>
      <w:r w:rsidRPr="00D543D4">
        <w:rPr>
          <w:rFonts w:ascii="Times New Roman" w:eastAsia="Times New Roman" w:hAnsi="Times New Roman" w:cs="Times New Roman"/>
          <w:color w:val="000000"/>
          <w:shd w:val="clear" w:color="auto" w:fill="FFFFFF"/>
        </w:rPr>
        <w:t xml:space="preserve">ember </w:t>
      </w:r>
      <w:r w:rsidR="7B1654AE" w:rsidRPr="00D543D4">
        <w:rPr>
          <w:rFonts w:ascii="Times New Roman" w:eastAsia="Times New Roman" w:hAnsi="Times New Roman" w:cs="Times New Roman"/>
          <w:color w:val="000000"/>
          <w:shd w:val="clear" w:color="auto" w:fill="FFFFFF"/>
        </w:rPr>
        <w:t>S</w:t>
      </w:r>
      <w:r w:rsidRPr="00D543D4">
        <w:rPr>
          <w:rFonts w:ascii="Times New Roman" w:eastAsia="Times New Roman" w:hAnsi="Times New Roman" w:cs="Times New Roman"/>
          <w:color w:val="000000"/>
          <w:shd w:val="clear" w:color="auto" w:fill="FFFFFF"/>
        </w:rPr>
        <w:t>tates. </w:t>
      </w:r>
      <w:r w:rsidRPr="00D543D4">
        <w:rPr>
          <w:rFonts w:ascii="Times New Roman" w:eastAsia="Times New Roman" w:hAnsi="Times New Roman" w:cs="Times New Roman"/>
          <w:color w:val="000000"/>
        </w:rPr>
        <w:t> </w:t>
      </w:r>
    </w:p>
    <w:p w14:paraId="6F6734C8" w14:textId="77777777" w:rsidR="005C745F" w:rsidRPr="00D543D4" w:rsidRDefault="005C745F" w:rsidP="00333E6C">
      <w:pPr>
        <w:spacing w:after="0" w:line="240" w:lineRule="auto"/>
        <w:jc w:val="both"/>
        <w:textAlignment w:val="baseline"/>
        <w:rPr>
          <w:rFonts w:ascii="Times New Roman" w:eastAsia="Times New Roman" w:hAnsi="Times New Roman" w:cs="Times New Roman"/>
          <w:color w:val="000000"/>
        </w:rPr>
      </w:pPr>
    </w:p>
    <w:p w14:paraId="74CB926B" w14:textId="2962D3FF" w:rsidR="003F3BB7" w:rsidRDefault="007B6020" w:rsidP="00333E6C">
      <w:pPr>
        <w:spacing w:after="0" w:line="240" w:lineRule="auto"/>
        <w:jc w:val="both"/>
        <w:textAlignment w:val="baseline"/>
        <w:rPr>
          <w:rFonts w:ascii="Times New Roman" w:eastAsia="Times New Roman" w:hAnsi="Times New Roman" w:cs="Times New Roman"/>
          <w:color w:val="000000" w:themeColor="text1"/>
        </w:rPr>
      </w:pPr>
      <w:r w:rsidRPr="00D543D4">
        <w:rPr>
          <w:rFonts w:ascii="Times New Roman" w:eastAsia="Times New Roman" w:hAnsi="Times New Roman" w:cs="Times New Roman"/>
          <w:color w:val="000000" w:themeColor="text1"/>
        </w:rPr>
        <w:t>Addressing the decline in core funding</w:t>
      </w:r>
      <w:r w:rsidR="008206AA" w:rsidRPr="00D543D4">
        <w:rPr>
          <w:rFonts w:ascii="Times New Roman" w:eastAsia="Times New Roman" w:hAnsi="Times New Roman" w:cs="Times New Roman"/>
          <w:color w:val="000000" w:themeColor="text1"/>
        </w:rPr>
        <w:t xml:space="preserve"> </w:t>
      </w:r>
      <w:r w:rsidRPr="00D543D4">
        <w:rPr>
          <w:rFonts w:ascii="Times New Roman" w:eastAsia="Times New Roman" w:hAnsi="Times New Roman" w:cs="Times New Roman"/>
          <w:color w:val="000000" w:themeColor="text1"/>
        </w:rPr>
        <w:t>requires concerted efforts from multiple stakeholders.</w:t>
      </w:r>
      <w:r w:rsidR="00190923">
        <w:rPr>
          <w:rFonts w:ascii="Times New Roman" w:eastAsia="Times New Roman" w:hAnsi="Times New Roman" w:cs="Times New Roman"/>
          <w:color w:val="000000" w:themeColor="text1"/>
        </w:rPr>
        <w:t xml:space="preserve"> Maintaining and increasing core funding is central to UNDP’s corporate Resource Mobilization Strategy and continuously ongoing resource mobilization efforts. T</w:t>
      </w:r>
      <w:r w:rsidR="003F3BB7">
        <w:rPr>
          <w:rFonts w:ascii="Times New Roman" w:eastAsia="Times New Roman" w:hAnsi="Times New Roman" w:cs="Times New Roman"/>
          <w:color w:val="000000" w:themeColor="text1"/>
        </w:rPr>
        <w:t>he actions that</w:t>
      </w:r>
      <w:r w:rsidR="005A64D7">
        <w:rPr>
          <w:rFonts w:ascii="Times New Roman" w:eastAsia="Times New Roman" w:hAnsi="Times New Roman" w:cs="Times New Roman"/>
          <w:color w:val="000000" w:themeColor="text1"/>
        </w:rPr>
        <w:t xml:space="preserve"> UNDP is and</w:t>
      </w:r>
      <w:r w:rsidR="003F3BB7">
        <w:rPr>
          <w:rFonts w:ascii="Times New Roman" w:eastAsia="Times New Roman" w:hAnsi="Times New Roman" w:cs="Times New Roman"/>
          <w:color w:val="000000" w:themeColor="text1"/>
        </w:rPr>
        <w:t xml:space="preserve"> should be </w:t>
      </w:r>
      <w:r w:rsidR="005A64D7">
        <w:rPr>
          <w:rFonts w:ascii="Times New Roman" w:eastAsia="Times New Roman" w:hAnsi="Times New Roman" w:cs="Times New Roman"/>
          <w:color w:val="000000" w:themeColor="text1"/>
        </w:rPr>
        <w:t>taking include:</w:t>
      </w:r>
    </w:p>
    <w:p w14:paraId="1DE95360" w14:textId="1B30417A" w:rsidR="005A64D7" w:rsidRDefault="005A64D7" w:rsidP="00333E6C">
      <w:pPr>
        <w:spacing w:after="0" w:line="240" w:lineRule="auto"/>
        <w:jc w:val="both"/>
        <w:textAlignment w:val="baseline"/>
        <w:rPr>
          <w:rFonts w:ascii="Times New Roman" w:eastAsia="Times New Roman" w:hAnsi="Times New Roman" w:cs="Times New Roman"/>
          <w:color w:val="000000" w:themeColor="text1"/>
        </w:rPr>
      </w:pPr>
    </w:p>
    <w:p w14:paraId="254C9BC2" w14:textId="5F74034C" w:rsidR="005A64D7" w:rsidRDefault="005A64D7" w:rsidP="007E45DA">
      <w:pPr>
        <w:pStyle w:val="ListParagraph"/>
        <w:numPr>
          <w:ilvl w:val="0"/>
          <w:numId w:val="11"/>
        </w:numPr>
        <w:spacing w:after="0" w:line="240" w:lineRule="auto"/>
        <w:ind w:left="360"/>
        <w:jc w:val="both"/>
        <w:textAlignment w:val="baseline"/>
        <w:rPr>
          <w:rFonts w:ascii="Times New Roman" w:eastAsia="Times New Roman" w:hAnsi="Times New Roman" w:cs="Times New Roman"/>
          <w:color w:val="000000" w:themeColor="text1"/>
        </w:rPr>
      </w:pPr>
      <w:r w:rsidRPr="00D56991">
        <w:rPr>
          <w:rFonts w:ascii="Times New Roman" w:eastAsia="Times New Roman" w:hAnsi="Times New Roman" w:cs="Times New Roman"/>
          <w:i/>
          <w:iCs/>
          <w:color w:val="000000" w:themeColor="text1"/>
        </w:rPr>
        <w:t>Strengthening strategic engagement with core donors</w:t>
      </w:r>
      <w:r w:rsidR="0088150F" w:rsidRPr="00D56991">
        <w:rPr>
          <w:rFonts w:ascii="Times New Roman" w:eastAsia="Times New Roman" w:hAnsi="Times New Roman" w:cs="Times New Roman"/>
          <w:i/>
          <w:iCs/>
          <w:color w:val="000000" w:themeColor="text1"/>
        </w:rPr>
        <w:t>:</w:t>
      </w:r>
      <w:r w:rsidR="0088150F">
        <w:rPr>
          <w:rFonts w:ascii="Times New Roman" w:eastAsia="Times New Roman" w:hAnsi="Times New Roman" w:cs="Times New Roman"/>
          <w:color w:val="000000" w:themeColor="text1"/>
        </w:rPr>
        <w:t xml:space="preserve"> </w:t>
      </w:r>
      <w:r w:rsidR="0088150F" w:rsidRPr="0088150F">
        <w:rPr>
          <w:rFonts w:ascii="Times New Roman" w:eastAsia="Times New Roman" w:hAnsi="Times New Roman" w:cs="Times New Roman"/>
          <w:color w:val="000000" w:themeColor="text1"/>
        </w:rPr>
        <w:t xml:space="preserve">Maintaining strong relationships with existing </w:t>
      </w:r>
      <w:r w:rsidR="0088150F">
        <w:rPr>
          <w:rFonts w:ascii="Times New Roman" w:eastAsia="Times New Roman" w:hAnsi="Times New Roman" w:cs="Times New Roman"/>
          <w:color w:val="000000" w:themeColor="text1"/>
        </w:rPr>
        <w:t xml:space="preserve">core </w:t>
      </w:r>
      <w:r w:rsidR="0088150F" w:rsidRPr="0088150F">
        <w:rPr>
          <w:rFonts w:ascii="Times New Roman" w:eastAsia="Times New Roman" w:hAnsi="Times New Roman" w:cs="Times New Roman"/>
          <w:color w:val="000000" w:themeColor="text1"/>
        </w:rPr>
        <w:t xml:space="preserve">donors and cultivating new ones is crucial. </w:t>
      </w:r>
      <w:r w:rsidR="0088150F">
        <w:rPr>
          <w:rFonts w:ascii="Times New Roman" w:eastAsia="Times New Roman" w:hAnsi="Times New Roman" w:cs="Times New Roman"/>
          <w:color w:val="000000" w:themeColor="text1"/>
        </w:rPr>
        <w:t xml:space="preserve">UNDP </w:t>
      </w:r>
      <w:r w:rsidR="0088150F" w:rsidRPr="0088150F">
        <w:rPr>
          <w:rFonts w:ascii="Times New Roman" w:eastAsia="Times New Roman" w:hAnsi="Times New Roman" w:cs="Times New Roman"/>
          <w:color w:val="000000" w:themeColor="text1"/>
        </w:rPr>
        <w:t xml:space="preserve">should invest in effective donor stewardship strategies, including regular communication, reporting, and showcasing the impact of </w:t>
      </w:r>
      <w:r w:rsidR="009F2393">
        <w:rPr>
          <w:rFonts w:ascii="Times New Roman" w:eastAsia="Times New Roman" w:hAnsi="Times New Roman" w:cs="Times New Roman"/>
          <w:color w:val="000000" w:themeColor="text1"/>
        </w:rPr>
        <w:t>core-funded interventions</w:t>
      </w:r>
      <w:r w:rsidR="0088150F" w:rsidRPr="0088150F">
        <w:rPr>
          <w:rFonts w:ascii="Times New Roman" w:eastAsia="Times New Roman" w:hAnsi="Times New Roman" w:cs="Times New Roman"/>
          <w:color w:val="000000" w:themeColor="text1"/>
        </w:rPr>
        <w:t>. Building trust and demonstrating the value and outcomes of their programs can help attract and retain funding from donors.</w:t>
      </w:r>
      <w:r w:rsidR="00B97A16">
        <w:rPr>
          <w:rFonts w:ascii="Times New Roman" w:eastAsia="Times New Roman" w:hAnsi="Times New Roman" w:cs="Times New Roman"/>
          <w:color w:val="000000" w:themeColor="text1"/>
        </w:rPr>
        <w:t xml:space="preserve"> In</w:t>
      </w:r>
      <w:r w:rsidR="00CA6B34">
        <w:rPr>
          <w:rFonts w:ascii="Times New Roman" w:eastAsia="Times New Roman" w:hAnsi="Times New Roman" w:cs="Times New Roman"/>
          <w:color w:val="000000" w:themeColor="text1"/>
        </w:rPr>
        <w:t>stitutionally</w:t>
      </w:r>
      <w:r w:rsidR="00B97A16">
        <w:rPr>
          <w:rFonts w:ascii="Times New Roman" w:eastAsia="Times New Roman" w:hAnsi="Times New Roman" w:cs="Times New Roman"/>
          <w:color w:val="000000" w:themeColor="text1"/>
        </w:rPr>
        <w:t xml:space="preserve">, </w:t>
      </w:r>
      <w:r w:rsidR="00F017B6">
        <w:rPr>
          <w:rFonts w:ascii="Times New Roman" w:eastAsia="Times New Roman" w:hAnsi="Times New Roman" w:cs="Times New Roman"/>
          <w:color w:val="000000" w:themeColor="text1"/>
        </w:rPr>
        <w:t xml:space="preserve">it is critical </w:t>
      </w:r>
      <w:r w:rsidR="000F6374">
        <w:rPr>
          <w:rFonts w:ascii="Times New Roman" w:eastAsia="Times New Roman" w:hAnsi="Times New Roman" w:cs="Times New Roman"/>
          <w:color w:val="000000" w:themeColor="text1"/>
        </w:rPr>
        <w:t xml:space="preserve">to align </w:t>
      </w:r>
      <w:r w:rsidR="00CA6B34">
        <w:rPr>
          <w:rFonts w:ascii="Times New Roman" w:eastAsia="Times New Roman" w:hAnsi="Times New Roman" w:cs="Times New Roman"/>
          <w:color w:val="000000" w:themeColor="text1"/>
        </w:rPr>
        <w:t xml:space="preserve">internal </w:t>
      </w:r>
      <w:r w:rsidR="000F6374">
        <w:rPr>
          <w:rFonts w:ascii="Times New Roman" w:eastAsia="Times New Roman" w:hAnsi="Times New Roman" w:cs="Times New Roman"/>
          <w:color w:val="000000" w:themeColor="text1"/>
        </w:rPr>
        <w:t>incentives</w:t>
      </w:r>
      <w:r w:rsidR="00125846">
        <w:rPr>
          <w:rFonts w:ascii="Times New Roman" w:eastAsia="Times New Roman" w:hAnsi="Times New Roman" w:cs="Times New Roman"/>
          <w:color w:val="000000" w:themeColor="text1"/>
        </w:rPr>
        <w:t xml:space="preserve"> that favor</w:t>
      </w:r>
      <w:r w:rsidR="00E70C0C">
        <w:rPr>
          <w:rFonts w:ascii="Times New Roman" w:eastAsia="Times New Roman" w:hAnsi="Times New Roman" w:cs="Times New Roman"/>
          <w:color w:val="000000" w:themeColor="text1"/>
        </w:rPr>
        <w:t xml:space="preserve"> core and flexible funding over project-level earmarking. The portfolio approach to thematic funds </w:t>
      </w:r>
      <w:r w:rsidR="00D56991">
        <w:rPr>
          <w:rFonts w:ascii="Times New Roman" w:eastAsia="Times New Roman" w:hAnsi="Times New Roman" w:cs="Times New Roman"/>
          <w:color w:val="000000" w:themeColor="text1"/>
        </w:rPr>
        <w:t>offers</w:t>
      </w:r>
      <w:r w:rsidR="00E70C0C">
        <w:rPr>
          <w:rFonts w:ascii="Times New Roman" w:eastAsia="Times New Roman" w:hAnsi="Times New Roman" w:cs="Times New Roman"/>
          <w:color w:val="000000" w:themeColor="text1"/>
        </w:rPr>
        <w:t xml:space="preserve"> the </w:t>
      </w:r>
      <w:r w:rsidR="00D56991">
        <w:rPr>
          <w:rFonts w:ascii="Times New Roman" w:eastAsia="Times New Roman" w:hAnsi="Times New Roman" w:cs="Times New Roman"/>
          <w:color w:val="000000" w:themeColor="text1"/>
        </w:rPr>
        <w:t>second-best</w:t>
      </w:r>
      <w:r w:rsidR="00E70C0C">
        <w:rPr>
          <w:rFonts w:ascii="Times New Roman" w:eastAsia="Times New Roman" w:hAnsi="Times New Roman" w:cs="Times New Roman"/>
          <w:color w:val="000000" w:themeColor="text1"/>
        </w:rPr>
        <w:t xml:space="preserve"> option </w:t>
      </w:r>
      <w:r w:rsidR="00D56991">
        <w:rPr>
          <w:rFonts w:ascii="Times New Roman" w:eastAsia="Times New Roman" w:hAnsi="Times New Roman" w:cs="Times New Roman"/>
          <w:color w:val="000000" w:themeColor="text1"/>
        </w:rPr>
        <w:t xml:space="preserve">to attract flexible funding and engage partners more substantively. </w:t>
      </w:r>
    </w:p>
    <w:p w14:paraId="5809970C" w14:textId="77777777" w:rsidR="005C4EEE" w:rsidRDefault="005C4EEE" w:rsidP="007E45DA">
      <w:pPr>
        <w:pStyle w:val="ListParagraph"/>
        <w:spacing w:after="0" w:line="240" w:lineRule="auto"/>
        <w:ind w:left="360"/>
        <w:jc w:val="both"/>
        <w:textAlignment w:val="baseline"/>
        <w:rPr>
          <w:rFonts w:ascii="Times New Roman" w:eastAsia="Times New Roman" w:hAnsi="Times New Roman" w:cs="Times New Roman"/>
          <w:color w:val="000000" w:themeColor="text1"/>
        </w:rPr>
      </w:pPr>
    </w:p>
    <w:p w14:paraId="68E5A50A" w14:textId="02F49668" w:rsidR="00556CB5" w:rsidRDefault="00556CB5" w:rsidP="007E45DA">
      <w:pPr>
        <w:pStyle w:val="ListParagraph"/>
        <w:numPr>
          <w:ilvl w:val="0"/>
          <w:numId w:val="11"/>
        </w:numPr>
        <w:spacing w:after="0" w:line="240" w:lineRule="auto"/>
        <w:ind w:left="360"/>
        <w:jc w:val="both"/>
        <w:textAlignment w:val="baseline"/>
        <w:rPr>
          <w:rFonts w:ascii="Times New Roman" w:eastAsia="Times New Roman" w:hAnsi="Times New Roman" w:cs="Times New Roman"/>
          <w:color w:val="000000" w:themeColor="text1"/>
        </w:rPr>
      </w:pPr>
      <w:r w:rsidRPr="00D56991">
        <w:rPr>
          <w:rFonts w:ascii="Times New Roman" w:eastAsia="Times New Roman" w:hAnsi="Times New Roman" w:cs="Times New Roman"/>
          <w:i/>
          <w:iCs/>
          <w:color w:val="000000" w:themeColor="text1"/>
        </w:rPr>
        <w:t>Strong advocacy for increased core funding</w:t>
      </w:r>
      <w:r w:rsidR="0030098B" w:rsidRPr="00D56991">
        <w:rPr>
          <w:rFonts w:ascii="Times New Roman" w:eastAsia="Times New Roman" w:hAnsi="Times New Roman" w:cs="Times New Roman"/>
          <w:i/>
          <w:iCs/>
          <w:color w:val="000000" w:themeColor="text1"/>
        </w:rPr>
        <w:t>:</w:t>
      </w:r>
      <w:r w:rsidR="0030098B">
        <w:rPr>
          <w:rFonts w:ascii="Times New Roman" w:eastAsia="Times New Roman" w:hAnsi="Times New Roman" w:cs="Times New Roman"/>
          <w:color w:val="000000" w:themeColor="text1"/>
        </w:rPr>
        <w:t xml:space="preserve"> UNDP</w:t>
      </w:r>
      <w:r w:rsidR="0030098B" w:rsidRPr="0030098B">
        <w:rPr>
          <w:rFonts w:ascii="Times New Roman" w:eastAsia="Times New Roman" w:hAnsi="Times New Roman" w:cs="Times New Roman"/>
          <w:color w:val="000000" w:themeColor="text1"/>
        </w:rPr>
        <w:t xml:space="preserve"> </w:t>
      </w:r>
      <w:r w:rsidR="0030098B">
        <w:rPr>
          <w:rFonts w:ascii="Times New Roman" w:eastAsia="Times New Roman" w:hAnsi="Times New Roman" w:cs="Times New Roman"/>
          <w:color w:val="000000" w:themeColor="text1"/>
        </w:rPr>
        <w:t xml:space="preserve">should identify </w:t>
      </w:r>
      <w:r w:rsidR="003F3D33">
        <w:rPr>
          <w:rFonts w:ascii="Times New Roman" w:eastAsia="Times New Roman" w:hAnsi="Times New Roman" w:cs="Times New Roman"/>
          <w:color w:val="000000" w:themeColor="text1"/>
        </w:rPr>
        <w:t>and engage key stakeholders</w:t>
      </w:r>
      <w:r w:rsidR="002B62D6">
        <w:rPr>
          <w:rFonts w:ascii="Times New Roman" w:eastAsia="Times New Roman" w:hAnsi="Times New Roman" w:cs="Times New Roman"/>
          <w:color w:val="000000" w:themeColor="text1"/>
        </w:rPr>
        <w:t xml:space="preserve"> </w:t>
      </w:r>
      <w:r w:rsidR="0030098B" w:rsidRPr="0030098B">
        <w:rPr>
          <w:rFonts w:ascii="Times New Roman" w:eastAsia="Times New Roman" w:hAnsi="Times New Roman" w:cs="Times New Roman"/>
          <w:color w:val="000000" w:themeColor="text1"/>
        </w:rPr>
        <w:t>in advocacy efforts to raise awareness about the importance of core funding and its impact on achieving development goals. This may involve engaging in dialogue with policymakers, key decision-makers</w:t>
      </w:r>
      <w:r w:rsidR="002B62D6">
        <w:rPr>
          <w:rFonts w:ascii="Times New Roman" w:eastAsia="Times New Roman" w:hAnsi="Times New Roman" w:cs="Times New Roman"/>
          <w:color w:val="000000" w:themeColor="text1"/>
        </w:rPr>
        <w:t>, and influencers (goodwill ambassadors, former UN staff, media personalities, etc.)</w:t>
      </w:r>
      <w:r w:rsidR="0030098B" w:rsidRPr="0030098B">
        <w:rPr>
          <w:rFonts w:ascii="Times New Roman" w:eastAsia="Times New Roman" w:hAnsi="Times New Roman" w:cs="Times New Roman"/>
          <w:color w:val="000000" w:themeColor="text1"/>
        </w:rPr>
        <w:t xml:space="preserve"> to highlight the value and necessity of sustained core funding for effective development work. </w:t>
      </w:r>
      <w:r w:rsidR="00167905">
        <w:rPr>
          <w:rFonts w:ascii="Times New Roman" w:eastAsia="Times New Roman" w:hAnsi="Times New Roman" w:cs="Times New Roman"/>
          <w:color w:val="000000" w:themeColor="text1"/>
        </w:rPr>
        <w:t>Targeted and well-timed a</w:t>
      </w:r>
      <w:r w:rsidR="0030098B" w:rsidRPr="0030098B">
        <w:rPr>
          <w:rFonts w:ascii="Times New Roman" w:eastAsia="Times New Roman" w:hAnsi="Times New Roman" w:cs="Times New Roman"/>
          <w:color w:val="000000" w:themeColor="text1"/>
        </w:rPr>
        <w:t>dvocacy campaigns, policy briefs, and evidence-based research can help make a compelling case for increased funding support.</w:t>
      </w:r>
      <w:r w:rsidR="00167905">
        <w:rPr>
          <w:rFonts w:ascii="Times New Roman" w:eastAsia="Times New Roman" w:hAnsi="Times New Roman" w:cs="Times New Roman"/>
          <w:color w:val="000000" w:themeColor="text1"/>
        </w:rPr>
        <w:t xml:space="preserve"> The refreshed </w:t>
      </w:r>
      <w:r w:rsidR="006D3BAC">
        <w:rPr>
          <w:rFonts w:ascii="Times New Roman" w:eastAsia="Times New Roman" w:hAnsi="Times New Roman" w:cs="Times New Roman"/>
          <w:color w:val="000000" w:themeColor="text1"/>
        </w:rPr>
        <w:t>“</w:t>
      </w:r>
      <w:proofErr w:type="spellStart"/>
      <w:r w:rsidR="00167905">
        <w:rPr>
          <w:rFonts w:ascii="Times New Roman" w:eastAsia="Times New Roman" w:hAnsi="Times New Roman" w:cs="Times New Roman"/>
          <w:color w:val="000000" w:themeColor="text1"/>
        </w:rPr>
        <w:t>Part</w:t>
      </w:r>
      <w:r w:rsidR="00045385">
        <w:rPr>
          <w:rFonts w:ascii="Times New Roman" w:eastAsia="Times New Roman" w:hAnsi="Times New Roman" w:cs="Times New Roman"/>
          <w:color w:val="000000" w:themeColor="text1"/>
        </w:rPr>
        <w:t>n</w:t>
      </w:r>
      <w:r w:rsidR="00167905">
        <w:rPr>
          <w:rFonts w:ascii="Times New Roman" w:eastAsia="Times New Roman" w:hAnsi="Times New Roman" w:cs="Times New Roman"/>
          <w:color w:val="000000" w:themeColor="text1"/>
        </w:rPr>
        <w:t>ers@Core</w:t>
      </w:r>
      <w:proofErr w:type="spellEnd"/>
      <w:r w:rsidR="006D3BAC">
        <w:rPr>
          <w:rFonts w:ascii="Times New Roman" w:eastAsia="Times New Roman" w:hAnsi="Times New Roman" w:cs="Times New Roman"/>
          <w:color w:val="000000" w:themeColor="text1"/>
        </w:rPr>
        <w:t>”</w:t>
      </w:r>
      <w:r w:rsidR="00167905">
        <w:rPr>
          <w:rFonts w:ascii="Times New Roman" w:eastAsia="Times New Roman" w:hAnsi="Times New Roman" w:cs="Times New Roman"/>
          <w:color w:val="000000" w:themeColor="text1"/>
        </w:rPr>
        <w:t xml:space="preserve"> campaign 3.0 offers a great opportunity for this. </w:t>
      </w:r>
    </w:p>
    <w:p w14:paraId="7714B3F9" w14:textId="77777777" w:rsidR="005C4EEE" w:rsidRPr="005C4EEE" w:rsidRDefault="005C4EEE" w:rsidP="007E45DA">
      <w:pPr>
        <w:pStyle w:val="ListParagraph"/>
        <w:ind w:left="360"/>
        <w:rPr>
          <w:rFonts w:ascii="Times New Roman" w:eastAsia="Times New Roman" w:hAnsi="Times New Roman" w:cs="Times New Roman"/>
          <w:color w:val="000000" w:themeColor="text1"/>
        </w:rPr>
      </w:pPr>
    </w:p>
    <w:p w14:paraId="25546709" w14:textId="7ED1213A" w:rsidR="005A64D7" w:rsidRDefault="005A64D7" w:rsidP="007E45DA">
      <w:pPr>
        <w:pStyle w:val="ListParagraph"/>
        <w:numPr>
          <w:ilvl w:val="0"/>
          <w:numId w:val="11"/>
        </w:numPr>
        <w:spacing w:after="0" w:line="240" w:lineRule="auto"/>
        <w:ind w:left="360"/>
        <w:jc w:val="both"/>
        <w:textAlignment w:val="baseline"/>
        <w:rPr>
          <w:rFonts w:ascii="Times New Roman" w:eastAsia="Times New Roman" w:hAnsi="Times New Roman" w:cs="Times New Roman"/>
          <w:color w:val="000000" w:themeColor="text1"/>
        </w:rPr>
      </w:pPr>
      <w:r w:rsidRPr="00D56991">
        <w:rPr>
          <w:rFonts w:ascii="Times New Roman" w:eastAsia="Times New Roman" w:hAnsi="Times New Roman" w:cs="Times New Roman"/>
          <w:i/>
          <w:iCs/>
          <w:color w:val="000000" w:themeColor="text1"/>
        </w:rPr>
        <w:t>Diversify the core donor base</w:t>
      </w:r>
      <w:r w:rsidR="00167905" w:rsidRPr="00D56991">
        <w:rPr>
          <w:rFonts w:ascii="Times New Roman" w:eastAsia="Times New Roman" w:hAnsi="Times New Roman" w:cs="Times New Roman"/>
          <w:i/>
          <w:iCs/>
          <w:color w:val="000000" w:themeColor="text1"/>
        </w:rPr>
        <w:t>:</w:t>
      </w:r>
      <w:r w:rsidR="00167905">
        <w:rPr>
          <w:rFonts w:ascii="Times New Roman" w:eastAsia="Times New Roman" w:hAnsi="Times New Roman" w:cs="Times New Roman"/>
          <w:color w:val="000000" w:themeColor="text1"/>
        </w:rPr>
        <w:t xml:space="preserve"> </w:t>
      </w:r>
      <w:r w:rsidR="00DB39C3">
        <w:rPr>
          <w:rFonts w:ascii="Times New Roman" w:eastAsia="Times New Roman" w:hAnsi="Times New Roman" w:cs="Times New Roman"/>
          <w:color w:val="000000" w:themeColor="text1"/>
        </w:rPr>
        <w:t xml:space="preserve">UNDP is </w:t>
      </w:r>
      <w:r w:rsidR="00167905" w:rsidRPr="00167905">
        <w:rPr>
          <w:rFonts w:ascii="Times New Roman" w:eastAsia="Times New Roman" w:hAnsi="Times New Roman" w:cs="Times New Roman"/>
          <w:color w:val="000000" w:themeColor="text1"/>
        </w:rPr>
        <w:t>proactively seek</w:t>
      </w:r>
      <w:r w:rsidR="00DB39C3">
        <w:rPr>
          <w:rFonts w:ascii="Times New Roman" w:eastAsia="Times New Roman" w:hAnsi="Times New Roman" w:cs="Times New Roman"/>
          <w:color w:val="000000" w:themeColor="text1"/>
        </w:rPr>
        <w:t>ing</w:t>
      </w:r>
      <w:r w:rsidR="00167905" w:rsidRPr="00167905">
        <w:rPr>
          <w:rFonts w:ascii="Times New Roman" w:eastAsia="Times New Roman" w:hAnsi="Times New Roman" w:cs="Times New Roman"/>
          <w:color w:val="000000" w:themeColor="text1"/>
        </w:rPr>
        <w:t xml:space="preserve"> </w:t>
      </w:r>
      <w:r w:rsidR="00DB39C3">
        <w:rPr>
          <w:rFonts w:ascii="Times New Roman" w:eastAsia="Times New Roman" w:hAnsi="Times New Roman" w:cs="Times New Roman"/>
          <w:color w:val="000000" w:themeColor="text1"/>
        </w:rPr>
        <w:t xml:space="preserve">to increase core funding beyond OECD-DAC donors. The New Strategic Partners strategy </w:t>
      </w:r>
      <w:r w:rsidR="00C61B77">
        <w:rPr>
          <w:rFonts w:ascii="Times New Roman" w:eastAsia="Times New Roman" w:hAnsi="Times New Roman" w:cs="Times New Roman"/>
          <w:color w:val="000000" w:themeColor="text1"/>
        </w:rPr>
        <w:t xml:space="preserve">is being developed </w:t>
      </w:r>
      <w:r w:rsidR="00882C29">
        <w:rPr>
          <w:rFonts w:ascii="Times New Roman" w:eastAsia="Times New Roman" w:hAnsi="Times New Roman" w:cs="Times New Roman"/>
          <w:color w:val="000000" w:themeColor="text1"/>
        </w:rPr>
        <w:t>as part of UNDP’s corporate Resource Mobilization Strategy 2022-25</w:t>
      </w:r>
      <w:r w:rsidR="00021E20">
        <w:rPr>
          <w:rFonts w:ascii="Times New Roman" w:eastAsia="Times New Roman" w:hAnsi="Times New Roman" w:cs="Times New Roman"/>
          <w:color w:val="000000" w:themeColor="text1"/>
        </w:rPr>
        <w:t>,</w:t>
      </w:r>
      <w:r w:rsidR="00882C29">
        <w:rPr>
          <w:rFonts w:ascii="Times New Roman" w:eastAsia="Times New Roman" w:hAnsi="Times New Roman" w:cs="Times New Roman"/>
          <w:color w:val="000000" w:themeColor="text1"/>
        </w:rPr>
        <w:t xml:space="preserve"> </w:t>
      </w:r>
      <w:r w:rsidR="00C61B77">
        <w:rPr>
          <w:rFonts w:ascii="Times New Roman" w:eastAsia="Times New Roman" w:hAnsi="Times New Roman" w:cs="Times New Roman"/>
          <w:color w:val="000000" w:themeColor="text1"/>
        </w:rPr>
        <w:t xml:space="preserve">with the aim of </w:t>
      </w:r>
      <w:r w:rsidR="00021E20">
        <w:rPr>
          <w:rFonts w:ascii="Times New Roman" w:eastAsia="Times New Roman" w:hAnsi="Times New Roman" w:cs="Times New Roman"/>
          <w:color w:val="000000" w:themeColor="text1"/>
        </w:rPr>
        <w:t xml:space="preserve">stepping up </w:t>
      </w:r>
      <w:r w:rsidR="00C61B77">
        <w:rPr>
          <w:rFonts w:ascii="Times New Roman" w:eastAsia="Times New Roman" w:hAnsi="Times New Roman" w:cs="Times New Roman"/>
          <w:color w:val="000000" w:themeColor="text1"/>
        </w:rPr>
        <w:t xml:space="preserve">UNDP’s engagement with emerging partners, including securing core funding. </w:t>
      </w:r>
      <w:r w:rsidR="006D3BAC">
        <w:rPr>
          <w:rFonts w:ascii="Times New Roman" w:eastAsia="Times New Roman" w:hAnsi="Times New Roman" w:cs="Times New Roman"/>
          <w:color w:val="000000" w:themeColor="text1"/>
        </w:rPr>
        <w:t xml:space="preserve">Similarly, UNDP plans to explore individual/digital giving initiatives to attract core funding from individuals. </w:t>
      </w:r>
      <w:r w:rsidR="00167905" w:rsidRPr="00167905">
        <w:rPr>
          <w:rFonts w:ascii="Times New Roman" w:eastAsia="Times New Roman" w:hAnsi="Times New Roman" w:cs="Times New Roman"/>
          <w:color w:val="000000" w:themeColor="text1"/>
        </w:rPr>
        <w:t xml:space="preserve">Diversifying </w:t>
      </w:r>
      <w:r w:rsidR="00C61B77">
        <w:rPr>
          <w:rFonts w:ascii="Times New Roman" w:eastAsia="Times New Roman" w:hAnsi="Times New Roman" w:cs="Times New Roman"/>
          <w:color w:val="000000" w:themeColor="text1"/>
        </w:rPr>
        <w:t xml:space="preserve">the core donor base </w:t>
      </w:r>
      <w:r w:rsidR="006D3BAC">
        <w:rPr>
          <w:rFonts w:ascii="Times New Roman" w:eastAsia="Times New Roman" w:hAnsi="Times New Roman" w:cs="Times New Roman"/>
          <w:color w:val="000000" w:themeColor="text1"/>
        </w:rPr>
        <w:t xml:space="preserve">will help </w:t>
      </w:r>
      <w:r w:rsidR="00021E20">
        <w:rPr>
          <w:rFonts w:ascii="Times New Roman" w:eastAsia="Times New Roman" w:hAnsi="Times New Roman" w:cs="Times New Roman"/>
          <w:color w:val="000000" w:themeColor="text1"/>
        </w:rPr>
        <w:t xml:space="preserve">UNDP </w:t>
      </w:r>
      <w:r w:rsidR="00167905" w:rsidRPr="00167905">
        <w:rPr>
          <w:rFonts w:ascii="Times New Roman" w:eastAsia="Times New Roman" w:hAnsi="Times New Roman" w:cs="Times New Roman"/>
          <w:color w:val="000000" w:themeColor="text1"/>
        </w:rPr>
        <w:t xml:space="preserve">reduce </w:t>
      </w:r>
      <w:r w:rsidR="00021E20">
        <w:rPr>
          <w:rFonts w:ascii="Times New Roman" w:eastAsia="Times New Roman" w:hAnsi="Times New Roman" w:cs="Times New Roman"/>
          <w:color w:val="000000" w:themeColor="text1"/>
        </w:rPr>
        <w:t xml:space="preserve">its </w:t>
      </w:r>
      <w:r w:rsidR="00167905" w:rsidRPr="00167905">
        <w:rPr>
          <w:rFonts w:ascii="Times New Roman" w:eastAsia="Times New Roman" w:hAnsi="Times New Roman" w:cs="Times New Roman"/>
          <w:color w:val="000000" w:themeColor="text1"/>
        </w:rPr>
        <w:t xml:space="preserve">reliance on a </w:t>
      </w:r>
      <w:r w:rsidR="006D3BAC">
        <w:rPr>
          <w:rFonts w:ascii="Times New Roman" w:eastAsia="Times New Roman" w:hAnsi="Times New Roman" w:cs="Times New Roman"/>
          <w:color w:val="000000" w:themeColor="text1"/>
        </w:rPr>
        <w:t>limited set of core donors a</w:t>
      </w:r>
      <w:r w:rsidR="00167905" w:rsidRPr="00167905">
        <w:rPr>
          <w:rFonts w:ascii="Times New Roman" w:eastAsia="Times New Roman" w:hAnsi="Times New Roman" w:cs="Times New Roman"/>
          <w:color w:val="000000" w:themeColor="text1"/>
        </w:rPr>
        <w:t>nd provide more stability and flexibility in resource allocation.</w:t>
      </w:r>
    </w:p>
    <w:p w14:paraId="3CF225DF" w14:textId="77777777" w:rsidR="005C4EEE" w:rsidRPr="005C4EEE" w:rsidRDefault="005C4EEE" w:rsidP="007E45DA">
      <w:pPr>
        <w:pStyle w:val="ListParagraph"/>
        <w:ind w:left="360"/>
        <w:rPr>
          <w:rFonts w:ascii="Times New Roman" w:eastAsia="Times New Roman" w:hAnsi="Times New Roman" w:cs="Times New Roman"/>
          <w:color w:val="000000" w:themeColor="text1"/>
        </w:rPr>
      </w:pPr>
    </w:p>
    <w:p w14:paraId="13E510BD" w14:textId="485F9433" w:rsidR="00556CB5" w:rsidRDefault="00556CB5" w:rsidP="007E45DA">
      <w:pPr>
        <w:pStyle w:val="ListParagraph"/>
        <w:numPr>
          <w:ilvl w:val="0"/>
          <w:numId w:val="11"/>
        </w:numPr>
        <w:spacing w:after="0" w:line="240" w:lineRule="auto"/>
        <w:ind w:left="360"/>
        <w:jc w:val="both"/>
        <w:textAlignment w:val="baseline"/>
        <w:rPr>
          <w:rFonts w:ascii="Times New Roman" w:eastAsia="Times New Roman" w:hAnsi="Times New Roman" w:cs="Times New Roman"/>
          <w:color w:val="000000" w:themeColor="text1"/>
        </w:rPr>
      </w:pPr>
      <w:r w:rsidRPr="00D56991">
        <w:rPr>
          <w:rFonts w:ascii="Times New Roman" w:eastAsia="Times New Roman" w:hAnsi="Times New Roman" w:cs="Times New Roman"/>
          <w:i/>
          <w:iCs/>
          <w:color w:val="000000" w:themeColor="text1"/>
        </w:rPr>
        <w:t>Emphasize efficiency and cost-effectiveness</w:t>
      </w:r>
      <w:r w:rsidR="004C19E9">
        <w:rPr>
          <w:rFonts w:ascii="Times New Roman" w:eastAsia="Times New Roman" w:hAnsi="Times New Roman" w:cs="Times New Roman"/>
          <w:color w:val="000000" w:themeColor="text1"/>
        </w:rPr>
        <w:t xml:space="preserve">: As part of its commitment to the UN reform’s efficiency agenda, UNDP should continue to </w:t>
      </w:r>
      <w:r w:rsidR="004C19E9" w:rsidRPr="004C19E9">
        <w:rPr>
          <w:rFonts w:ascii="Times New Roman" w:eastAsia="Times New Roman" w:hAnsi="Times New Roman" w:cs="Times New Roman"/>
          <w:color w:val="000000" w:themeColor="text1"/>
        </w:rPr>
        <w:t xml:space="preserve">focus on maximizing the efficiency and cost-effectiveness of </w:t>
      </w:r>
      <w:r w:rsidR="004C19E9">
        <w:rPr>
          <w:rFonts w:ascii="Times New Roman" w:eastAsia="Times New Roman" w:hAnsi="Times New Roman" w:cs="Times New Roman"/>
          <w:color w:val="000000" w:themeColor="text1"/>
        </w:rPr>
        <w:t>its</w:t>
      </w:r>
      <w:r w:rsidR="004C19E9" w:rsidRPr="004C19E9">
        <w:rPr>
          <w:rFonts w:ascii="Times New Roman" w:eastAsia="Times New Roman" w:hAnsi="Times New Roman" w:cs="Times New Roman"/>
          <w:color w:val="000000" w:themeColor="text1"/>
        </w:rPr>
        <w:t xml:space="preserve"> programs and operations. Conducting regular assessments and evaluations to identify areas for improvement, streamlining processes, and implementing innovative approaches can help optimize resources and demonstrate the organization's commitment to delivering results with limited funding.</w:t>
      </w:r>
      <w:r w:rsidR="005E4094">
        <w:rPr>
          <w:rFonts w:ascii="Times New Roman" w:eastAsia="Times New Roman" w:hAnsi="Times New Roman" w:cs="Times New Roman"/>
          <w:color w:val="000000" w:themeColor="text1"/>
        </w:rPr>
        <w:t xml:space="preserve"> </w:t>
      </w:r>
      <w:r w:rsidR="005E4094" w:rsidRPr="0044533E">
        <w:rPr>
          <w:rFonts w:ascii="Times New Roman" w:eastAsia="Times New Roman" w:hAnsi="Times New Roman" w:cs="Times New Roman"/>
          <w:color w:val="000000" w:themeColor="text1"/>
        </w:rPr>
        <w:t xml:space="preserve">UNDP </w:t>
      </w:r>
      <w:r w:rsidR="00416EF2" w:rsidRPr="0044533E">
        <w:rPr>
          <w:rFonts w:ascii="Times New Roman" w:eastAsia="Times New Roman" w:hAnsi="Times New Roman" w:cs="Times New Roman"/>
          <w:color w:val="000000" w:themeColor="text1"/>
        </w:rPr>
        <w:t xml:space="preserve">must sharpen its </w:t>
      </w:r>
      <w:r w:rsidR="00353508" w:rsidRPr="0044533E">
        <w:rPr>
          <w:rFonts w:ascii="Times New Roman" w:eastAsia="Times New Roman" w:hAnsi="Times New Roman" w:cs="Times New Roman"/>
          <w:color w:val="000000" w:themeColor="text1"/>
        </w:rPr>
        <w:t>value</w:t>
      </w:r>
      <w:r w:rsidR="00353508">
        <w:rPr>
          <w:rFonts w:ascii="Times New Roman" w:eastAsia="Times New Roman" w:hAnsi="Times New Roman" w:cs="Times New Roman"/>
          <w:color w:val="000000" w:themeColor="text1"/>
        </w:rPr>
        <w:t xml:space="preserve"> proposition </w:t>
      </w:r>
      <w:r w:rsidR="00673EEE">
        <w:rPr>
          <w:rFonts w:ascii="Times New Roman" w:eastAsia="Times New Roman" w:hAnsi="Times New Roman" w:cs="Times New Roman"/>
          <w:color w:val="000000" w:themeColor="text1"/>
        </w:rPr>
        <w:t xml:space="preserve">articulating </w:t>
      </w:r>
      <w:r w:rsidR="003A0992">
        <w:rPr>
          <w:rFonts w:ascii="Times New Roman" w:eastAsia="Times New Roman" w:hAnsi="Times New Roman" w:cs="Times New Roman"/>
          <w:color w:val="000000" w:themeColor="text1"/>
        </w:rPr>
        <w:t xml:space="preserve">how core </w:t>
      </w:r>
      <w:r w:rsidR="0044533E">
        <w:rPr>
          <w:rFonts w:ascii="Times New Roman" w:eastAsia="Times New Roman" w:hAnsi="Times New Roman" w:cs="Times New Roman"/>
          <w:color w:val="000000" w:themeColor="text1"/>
        </w:rPr>
        <w:t xml:space="preserve">remains the smart investment. </w:t>
      </w:r>
    </w:p>
    <w:p w14:paraId="20DB4665" w14:textId="77777777" w:rsidR="005C4EEE" w:rsidRDefault="005C4EEE" w:rsidP="007E45DA">
      <w:pPr>
        <w:pStyle w:val="ListParagraph"/>
        <w:spacing w:after="0" w:line="240" w:lineRule="auto"/>
        <w:ind w:left="360"/>
        <w:jc w:val="both"/>
        <w:textAlignment w:val="baseline"/>
        <w:rPr>
          <w:rFonts w:ascii="Times New Roman" w:eastAsia="Times New Roman" w:hAnsi="Times New Roman" w:cs="Times New Roman"/>
          <w:color w:val="000000" w:themeColor="text1"/>
        </w:rPr>
      </w:pPr>
    </w:p>
    <w:p w14:paraId="657A814C" w14:textId="368B853D" w:rsidR="005A64D7" w:rsidRDefault="00556CB5" w:rsidP="007E45DA">
      <w:pPr>
        <w:pStyle w:val="ListParagraph"/>
        <w:numPr>
          <w:ilvl w:val="0"/>
          <w:numId w:val="11"/>
        </w:numPr>
        <w:spacing w:after="0" w:line="240" w:lineRule="auto"/>
        <w:ind w:left="360"/>
        <w:jc w:val="both"/>
        <w:textAlignment w:val="baseline"/>
        <w:rPr>
          <w:rFonts w:ascii="Times New Roman" w:eastAsia="Times New Roman" w:hAnsi="Times New Roman" w:cs="Times New Roman"/>
          <w:color w:val="000000" w:themeColor="text1"/>
        </w:rPr>
      </w:pPr>
      <w:r w:rsidRPr="00D56991">
        <w:rPr>
          <w:rFonts w:ascii="Times New Roman" w:eastAsia="Times New Roman" w:hAnsi="Times New Roman" w:cs="Times New Roman"/>
          <w:i/>
          <w:iCs/>
          <w:color w:val="000000" w:themeColor="text1"/>
        </w:rPr>
        <w:t>Invest in fundraising capabilities</w:t>
      </w:r>
      <w:r w:rsidR="001452B3">
        <w:rPr>
          <w:rFonts w:ascii="Times New Roman" w:eastAsia="Times New Roman" w:hAnsi="Times New Roman" w:cs="Times New Roman"/>
          <w:color w:val="000000" w:themeColor="text1"/>
        </w:rPr>
        <w:t>:</w:t>
      </w:r>
      <w:r w:rsidR="006965A2">
        <w:rPr>
          <w:rFonts w:ascii="Times New Roman" w:eastAsia="Times New Roman" w:hAnsi="Times New Roman" w:cs="Times New Roman"/>
          <w:color w:val="000000" w:themeColor="text1"/>
        </w:rPr>
        <w:t xml:space="preserve"> In a tough and competitive funding environment, UNDP</w:t>
      </w:r>
      <w:r w:rsidR="006965A2" w:rsidRPr="006965A2">
        <w:rPr>
          <w:rFonts w:ascii="Times New Roman" w:eastAsia="Times New Roman" w:hAnsi="Times New Roman" w:cs="Times New Roman"/>
          <w:color w:val="000000" w:themeColor="text1"/>
        </w:rPr>
        <w:t xml:space="preserve"> should prioritize building strong fundraising capacities </w:t>
      </w:r>
      <w:r w:rsidR="00C30ABA">
        <w:rPr>
          <w:rFonts w:ascii="Times New Roman" w:eastAsia="Times New Roman" w:hAnsi="Times New Roman" w:cs="Times New Roman"/>
          <w:color w:val="000000" w:themeColor="text1"/>
        </w:rPr>
        <w:t xml:space="preserve">and assets </w:t>
      </w:r>
      <w:r w:rsidR="006965A2" w:rsidRPr="006965A2">
        <w:rPr>
          <w:rFonts w:ascii="Times New Roman" w:eastAsia="Times New Roman" w:hAnsi="Times New Roman" w:cs="Times New Roman"/>
          <w:color w:val="000000" w:themeColor="text1"/>
        </w:rPr>
        <w:t xml:space="preserve">within </w:t>
      </w:r>
      <w:r w:rsidR="00C30ABA">
        <w:rPr>
          <w:rFonts w:ascii="Times New Roman" w:eastAsia="Times New Roman" w:hAnsi="Times New Roman" w:cs="Times New Roman"/>
          <w:color w:val="000000" w:themeColor="text1"/>
        </w:rPr>
        <w:t xml:space="preserve">its </w:t>
      </w:r>
      <w:r w:rsidR="006965A2" w:rsidRPr="006965A2">
        <w:rPr>
          <w:rFonts w:ascii="Times New Roman" w:eastAsia="Times New Roman" w:hAnsi="Times New Roman" w:cs="Times New Roman"/>
          <w:color w:val="000000" w:themeColor="text1"/>
        </w:rPr>
        <w:t>teams</w:t>
      </w:r>
      <w:r w:rsidR="00C30ABA">
        <w:rPr>
          <w:rFonts w:ascii="Times New Roman" w:eastAsia="Times New Roman" w:hAnsi="Times New Roman" w:cs="Times New Roman"/>
          <w:color w:val="000000" w:themeColor="text1"/>
        </w:rPr>
        <w:t xml:space="preserve"> centrally as well as on the ground</w:t>
      </w:r>
      <w:r w:rsidR="006965A2" w:rsidRPr="006965A2">
        <w:rPr>
          <w:rFonts w:ascii="Times New Roman" w:eastAsia="Times New Roman" w:hAnsi="Times New Roman" w:cs="Times New Roman"/>
          <w:color w:val="000000" w:themeColor="text1"/>
        </w:rPr>
        <w:t xml:space="preserve">. This includes developing comprehensive </w:t>
      </w:r>
      <w:r w:rsidR="00C30ABA">
        <w:rPr>
          <w:rFonts w:ascii="Times New Roman" w:eastAsia="Times New Roman" w:hAnsi="Times New Roman" w:cs="Times New Roman"/>
          <w:color w:val="000000" w:themeColor="text1"/>
        </w:rPr>
        <w:t xml:space="preserve">resource </w:t>
      </w:r>
      <w:r w:rsidR="008B32EB">
        <w:rPr>
          <w:rFonts w:ascii="Times New Roman" w:eastAsia="Times New Roman" w:hAnsi="Times New Roman" w:cs="Times New Roman"/>
          <w:color w:val="000000" w:themeColor="text1"/>
        </w:rPr>
        <w:t>mobilization</w:t>
      </w:r>
      <w:r w:rsidR="006965A2" w:rsidRPr="006965A2">
        <w:rPr>
          <w:rFonts w:ascii="Times New Roman" w:eastAsia="Times New Roman" w:hAnsi="Times New Roman" w:cs="Times New Roman"/>
          <w:color w:val="000000" w:themeColor="text1"/>
        </w:rPr>
        <w:t xml:space="preserve"> strategies, training staff in fundraising techniques, and investing in tools and technologies to support effective </w:t>
      </w:r>
      <w:r w:rsidR="004D3708">
        <w:rPr>
          <w:rFonts w:ascii="Times New Roman" w:eastAsia="Times New Roman" w:hAnsi="Times New Roman" w:cs="Times New Roman"/>
          <w:color w:val="000000" w:themeColor="text1"/>
        </w:rPr>
        <w:t xml:space="preserve">partnerships and communications </w:t>
      </w:r>
      <w:r w:rsidR="006965A2" w:rsidRPr="006965A2">
        <w:rPr>
          <w:rFonts w:ascii="Times New Roman" w:eastAsia="Times New Roman" w:hAnsi="Times New Roman" w:cs="Times New Roman"/>
          <w:color w:val="000000" w:themeColor="text1"/>
        </w:rPr>
        <w:t xml:space="preserve">efforts. </w:t>
      </w:r>
      <w:r w:rsidR="003504A2" w:rsidRPr="00D543D4">
        <w:rPr>
          <w:rFonts w:ascii="Times New Roman" w:eastAsia="Times New Roman" w:hAnsi="Times New Roman" w:cs="Times New Roman"/>
          <w:color w:val="000000" w:themeColor="text1"/>
        </w:rPr>
        <w:t>It is important for development agencies to strengthen their communication and reporting mechanisms to demonstrate the value and impact of core funding.</w:t>
      </w:r>
      <w:r w:rsidR="003504A2">
        <w:rPr>
          <w:rFonts w:ascii="Times New Roman" w:eastAsia="Times New Roman" w:hAnsi="Times New Roman" w:cs="Times New Roman"/>
          <w:color w:val="000000" w:themeColor="text1"/>
        </w:rPr>
        <w:t xml:space="preserve"> </w:t>
      </w:r>
      <w:r w:rsidR="006965A2" w:rsidRPr="006965A2">
        <w:rPr>
          <w:rFonts w:ascii="Times New Roman" w:eastAsia="Times New Roman" w:hAnsi="Times New Roman" w:cs="Times New Roman"/>
          <w:color w:val="000000" w:themeColor="text1"/>
        </w:rPr>
        <w:t xml:space="preserve">Building a diverse </w:t>
      </w:r>
      <w:r w:rsidR="006965A2" w:rsidRPr="006965A2">
        <w:rPr>
          <w:rFonts w:ascii="Times New Roman" w:eastAsia="Times New Roman" w:hAnsi="Times New Roman" w:cs="Times New Roman"/>
          <w:color w:val="000000" w:themeColor="text1"/>
        </w:rPr>
        <w:lastRenderedPageBreak/>
        <w:t>portfolio of funding streams</w:t>
      </w:r>
      <w:r w:rsidR="00EB1C44">
        <w:rPr>
          <w:rFonts w:ascii="Times New Roman" w:eastAsia="Times New Roman" w:hAnsi="Times New Roman" w:cs="Times New Roman"/>
          <w:color w:val="000000" w:themeColor="text1"/>
        </w:rPr>
        <w:t xml:space="preserve"> </w:t>
      </w:r>
      <w:r w:rsidR="006965A2" w:rsidRPr="006965A2">
        <w:rPr>
          <w:rFonts w:ascii="Times New Roman" w:eastAsia="Times New Roman" w:hAnsi="Times New Roman" w:cs="Times New Roman"/>
          <w:color w:val="000000" w:themeColor="text1"/>
        </w:rPr>
        <w:t>can help mitigate the impact of declining core funding</w:t>
      </w:r>
      <w:r w:rsidR="00EB1C44">
        <w:rPr>
          <w:rFonts w:ascii="Times New Roman" w:eastAsia="Times New Roman" w:hAnsi="Times New Roman" w:cs="Times New Roman"/>
          <w:color w:val="000000" w:themeColor="text1"/>
        </w:rPr>
        <w:t xml:space="preserve"> and</w:t>
      </w:r>
      <w:r w:rsidR="00EB1C44" w:rsidRPr="00EB1C44">
        <w:rPr>
          <w:rFonts w:ascii="Times New Roman" w:eastAsia="Times New Roman" w:hAnsi="Times New Roman" w:cs="Times New Roman"/>
          <w:color w:val="000000" w:themeColor="text1"/>
        </w:rPr>
        <w:t xml:space="preserve"> improve the organization's overall competitiveness in securing funding.</w:t>
      </w:r>
    </w:p>
    <w:p w14:paraId="7D2DED9D" w14:textId="77777777" w:rsidR="00556CB5" w:rsidRPr="004D3708" w:rsidRDefault="00556CB5" w:rsidP="004D3708">
      <w:pPr>
        <w:spacing w:after="0" w:line="240" w:lineRule="auto"/>
        <w:jc w:val="both"/>
        <w:textAlignment w:val="baseline"/>
        <w:rPr>
          <w:rFonts w:ascii="Times New Roman" w:eastAsia="Times New Roman" w:hAnsi="Times New Roman" w:cs="Times New Roman"/>
          <w:color w:val="000000" w:themeColor="text1"/>
        </w:rPr>
      </w:pPr>
    </w:p>
    <w:p w14:paraId="3060B3ED" w14:textId="10C4B5DF" w:rsidR="003F3BB7" w:rsidRDefault="00EB1C44" w:rsidP="00333E6C">
      <w:pPr>
        <w:spacing w:after="0" w:line="240" w:lineRule="auto"/>
        <w:jc w:val="both"/>
        <w:textAlignment w:val="baseline"/>
        <w:rPr>
          <w:rFonts w:ascii="Times New Roman" w:eastAsia="Times New Roman" w:hAnsi="Times New Roman" w:cs="Times New Roman"/>
          <w:color w:val="000000" w:themeColor="text1"/>
        </w:rPr>
      </w:pPr>
      <w:r w:rsidRPr="00EB1C44">
        <w:rPr>
          <w:rFonts w:ascii="Times New Roman" w:eastAsia="Times New Roman" w:hAnsi="Times New Roman" w:cs="Times New Roman"/>
          <w:color w:val="000000" w:themeColor="text1"/>
        </w:rPr>
        <w:t xml:space="preserve">Member States that traditionally back </w:t>
      </w:r>
      <w:r>
        <w:rPr>
          <w:rFonts w:ascii="Times New Roman" w:eastAsia="Times New Roman" w:hAnsi="Times New Roman" w:cs="Times New Roman"/>
          <w:color w:val="000000" w:themeColor="text1"/>
        </w:rPr>
        <w:t>UNDP</w:t>
      </w:r>
      <w:r w:rsidRPr="00EB1C44">
        <w:rPr>
          <w:rFonts w:ascii="Times New Roman" w:eastAsia="Times New Roman" w:hAnsi="Times New Roman" w:cs="Times New Roman"/>
          <w:color w:val="000000" w:themeColor="text1"/>
        </w:rPr>
        <w:t xml:space="preserve"> and provide core funding </w:t>
      </w:r>
      <w:r w:rsidR="00576DE2">
        <w:rPr>
          <w:rFonts w:ascii="Times New Roman" w:eastAsia="Times New Roman" w:hAnsi="Times New Roman" w:cs="Times New Roman"/>
          <w:color w:val="000000" w:themeColor="text1"/>
        </w:rPr>
        <w:t xml:space="preserve">could consider taking </w:t>
      </w:r>
      <w:r w:rsidRPr="00EB1C44">
        <w:rPr>
          <w:rFonts w:ascii="Times New Roman" w:eastAsia="Times New Roman" w:hAnsi="Times New Roman" w:cs="Times New Roman"/>
          <w:color w:val="000000" w:themeColor="text1"/>
        </w:rPr>
        <w:t>several actions to address the current decline in core funding:</w:t>
      </w:r>
    </w:p>
    <w:p w14:paraId="11E9F34F" w14:textId="77777777" w:rsidR="003F3BB7" w:rsidRDefault="003F3BB7" w:rsidP="00333E6C">
      <w:pPr>
        <w:spacing w:after="0" w:line="240" w:lineRule="auto"/>
        <w:jc w:val="both"/>
        <w:textAlignment w:val="baseline"/>
        <w:rPr>
          <w:rFonts w:ascii="Times New Roman" w:eastAsia="Times New Roman" w:hAnsi="Times New Roman" w:cs="Times New Roman"/>
          <w:color w:val="000000" w:themeColor="text1"/>
        </w:rPr>
      </w:pPr>
    </w:p>
    <w:p w14:paraId="128F0A40" w14:textId="0A1CF744" w:rsidR="005C4EEE" w:rsidRDefault="00300316" w:rsidP="007E45DA">
      <w:pPr>
        <w:pStyle w:val="ListParagraph"/>
        <w:numPr>
          <w:ilvl w:val="0"/>
          <w:numId w:val="11"/>
        </w:numPr>
        <w:spacing w:after="0" w:line="240" w:lineRule="auto"/>
        <w:ind w:left="360"/>
        <w:jc w:val="both"/>
        <w:textAlignment w:val="baseline"/>
        <w:rPr>
          <w:rFonts w:ascii="Times New Roman" w:eastAsia="Times New Roman" w:hAnsi="Times New Roman" w:cs="Times New Roman"/>
          <w:color w:val="000000" w:themeColor="text1"/>
        </w:rPr>
      </w:pPr>
      <w:r w:rsidRPr="00D56991">
        <w:rPr>
          <w:rFonts w:ascii="Times New Roman" w:eastAsia="Times New Roman" w:hAnsi="Times New Roman" w:cs="Times New Roman"/>
          <w:i/>
          <w:iCs/>
          <w:color w:val="000000" w:themeColor="text1"/>
        </w:rPr>
        <w:t xml:space="preserve">Renew and demonstrate political commitment </w:t>
      </w:r>
      <w:r w:rsidR="009E1BDA" w:rsidRPr="00D56991">
        <w:rPr>
          <w:rFonts w:ascii="Times New Roman" w:eastAsia="Times New Roman" w:hAnsi="Times New Roman" w:cs="Times New Roman"/>
          <w:i/>
          <w:iCs/>
          <w:color w:val="000000" w:themeColor="text1"/>
        </w:rPr>
        <w:t>through core support</w:t>
      </w:r>
      <w:r w:rsidR="00576DE2" w:rsidRPr="00576DE2">
        <w:rPr>
          <w:rFonts w:ascii="Times New Roman" w:eastAsia="Times New Roman" w:hAnsi="Times New Roman" w:cs="Times New Roman"/>
          <w:color w:val="000000" w:themeColor="text1"/>
        </w:rPr>
        <w:t xml:space="preserve">: </w:t>
      </w:r>
      <w:r w:rsidR="00397068">
        <w:rPr>
          <w:rFonts w:ascii="Times New Roman" w:eastAsia="Times New Roman" w:hAnsi="Times New Roman" w:cs="Times New Roman"/>
          <w:color w:val="000000" w:themeColor="text1"/>
        </w:rPr>
        <w:t xml:space="preserve">the unrestricted core funding to the UN development system remains one of the key </w:t>
      </w:r>
      <w:r w:rsidR="000D7EBC">
        <w:rPr>
          <w:rFonts w:ascii="Times New Roman" w:eastAsia="Times New Roman" w:hAnsi="Times New Roman" w:cs="Times New Roman"/>
          <w:color w:val="000000" w:themeColor="text1"/>
        </w:rPr>
        <w:t>expressions of trust and political backing. As</w:t>
      </w:r>
      <w:r w:rsidR="000D7DC9">
        <w:rPr>
          <w:rFonts w:ascii="Times New Roman" w:eastAsia="Times New Roman" w:hAnsi="Times New Roman" w:cs="Times New Roman"/>
          <w:color w:val="000000" w:themeColor="text1"/>
        </w:rPr>
        <w:t xml:space="preserve"> </w:t>
      </w:r>
      <w:r w:rsidR="00E742FF">
        <w:rPr>
          <w:rFonts w:ascii="Times New Roman" w:eastAsia="Times New Roman" w:hAnsi="Times New Roman" w:cs="Times New Roman"/>
          <w:color w:val="000000" w:themeColor="text1"/>
        </w:rPr>
        <w:t>long-standing supporters</w:t>
      </w:r>
      <w:r w:rsidR="000D7DC9">
        <w:rPr>
          <w:rFonts w:ascii="Times New Roman" w:eastAsia="Times New Roman" w:hAnsi="Times New Roman" w:cs="Times New Roman"/>
          <w:color w:val="000000" w:themeColor="text1"/>
        </w:rPr>
        <w:t xml:space="preserve"> of sustainable development and UNDP, </w:t>
      </w:r>
      <w:r w:rsidR="00816121">
        <w:rPr>
          <w:rFonts w:ascii="Times New Roman" w:eastAsia="Times New Roman" w:hAnsi="Times New Roman" w:cs="Times New Roman"/>
          <w:color w:val="000000" w:themeColor="text1"/>
        </w:rPr>
        <w:t xml:space="preserve">it is recommended that </w:t>
      </w:r>
      <w:r w:rsidR="00576DE2" w:rsidRPr="00576DE2">
        <w:rPr>
          <w:rFonts w:ascii="Times New Roman" w:eastAsia="Times New Roman" w:hAnsi="Times New Roman" w:cs="Times New Roman"/>
          <w:color w:val="000000" w:themeColor="text1"/>
        </w:rPr>
        <w:t xml:space="preserve">Member States </w:t>
      </w:r>
      <w:r w:rsidR="009E1BDA">
        <w:rPr>
          <w:rFonts w:ascii="Times New Roman" w:eastAsia="Times New Roman" w:hAnsi="Times New Roman" w:cs="Times New Roman"/>
          <w:color w:val="000000" w:themeColor="text1"/>
        </w:rPr>
        <w:t xml:space="preserve">protect their investment in core </w:t>
      </w:r>
      <w:r w:rsidR="00397068">
        <w:rPr>
          <w:rFonts w:ascii="Times New Roman" w:eastAsia="Times New Roman" w:hAnsi="Times New Roman" w:cs="Times New Roman"/>
          <w:color w:val="000000" w:themeColor="text1"/>
        </w:rPr>
        <w:t>funding and potentially</w:t>
      </w:r>
      <w:r w:rsidR="00576DE2" w:rsidRPr="00576DE2">
        <w:rPr>
          <w:rFonts w:ascii="Times New Roman" w:eastAsia="Times New Roman" w:hAnsi="Times New Roman" w:cs="Times New Roman"/>
          <w:color w:val="000000" w:themeColor="text1"/>
        </w:rPr>
        <w:t xml:space="preserve"> increase their </w:t>
      </w:r>
      <w:r w:rsidR="000D7DC9">
        <w:rPr>
          <w:rFonts w:ascii="Times New Roman" w:eastAsia="Times New Roman" w:hAnsi="Times New Roman" w:cs="Times New Roman"/>
          <w:color w:val="000000" w:themeColor="text1"/>
        </w:rPr>
        <w:t xml:space="preserve">core </w:t>
      </w:r>
      <w:r w:rsidR="00576DE2" w:rsidRPr="00576DE2">
        <w:rPr>
          <w:rFonts w:ascii="Times New Roman" w:eastAsia="Times New Roman" w:hAnsi="Times New Roman" w:cs="Times New Roman"/>
          <w:color w:val="000000" w:themeColor="text1"/>
        </w:rPr>
        <w:t xml:space="preserve">contributions to </w:t>
      </w:r>
      <w:r w:rsidR="00E742FF">
        <w:rPr>
          <w:rFonts w:ascii="Times New Roman" w:eastAsia="Times New Roman" w:hAnsi="Times New Roman" w:cs="Times New Roman"/>
          <w:color w:val="000000" w:themeColor="text1"/>
        </w:rPr>
        <w:t>reverse the</w:t>
      </w:r>
      <w:r w:rsidR="00576DE2" w:rsidRPr="00576DE2">
        <w:rPr>
          <w:rFonts w:ascii="Times New Roman" w:eastAsia="Times New Roman" w:hAnsi="Times New Roman" w:cs="Times New Roman"/>
          <w:color w:val="000000" w:themeColor="text1"/>
        </w:rPr>
        <w:t xml:space="preserve"> decline in core funding. This may involve reviewing their </w:t>
      </w:r>
      <w:r w:rsidR="00EF140D">
        <w:rPr>
          <w:rFonts w:ascii="Times New Roman" w:eastAsia="Times New Roman" w:hAnsi="Times New Roman" w:cs="Times New Roman"/>
          <w:color w:val="000000" w:themeColor="text1"/>
        </w:rPr>
        <w:t>F</w:t>
      </w:r>
      <w:r w:rsidR="00576DE2" w:rsidRPr="00576DE2">
        <w:rPr>
          <w:rFonts w:ascii="Times New Roman" w:eastAsia="Times New Roman" w:hAnsi="Times New Roman" w:cs="Times New Roman"/>
          <w:color w:val="000000" w:themeColor="text1"/>
        </w:rPr>
        <w:t xml:space="preserve">unding </w:t>
      </w:r>
      <w:r w:rsidR="00EF140D">
        <w:rPr>
          <w:rFonts w:ascii="Times New Roman" w:eastAsia="Times New Roman" w:hAnsi="Times New Roman" w:cs="Times New Roman"/>
          <w:color w:val="000000" w:themeColor="text1"/>
        </w:rPr>
        <w:t xml:space="preserve">Compact </w:t>
      </w:r>
      <w:r w:rsidR="00576DE2" w:rsidRPr="00576DE2">
        <w:rPr>
          <w:rFonts w:ascii="Times New Roman" w:eastAsia="Times New Roman" w:hAnsi="Times New Roman" w:cs="Times New Roman"/>
          <w:color w:val="000000" w:themeColor="text1"/>
        </w:rPr>
        <w:t xml:space="preserve">commitments and considering </w:t>
      </w:r>
      <w:r w:rsidR="00EF140D">
        <w:rPr>
          <w:rFonts w:ascii="Times New Roman" w:eastAsia="Times New Roman" w:hAnsi="Times New Roman" w:cs="Times New Roman"/>
          <w:color w:val="000000" w:themeColor="text1"/>
        </w:rPr>
        <w:t xml:space="preserve">meeting the 30% core contribution </w:t>
      </w:r>
      <w:r w:rsidR="00227202">
        <w:rPr>
          <w:rFonts w:ascii="Times New Roman" w:eastAsia="Times New Roman" w:hAnsi="Times New Roman" w:cs="Times New Roman"/>
          <w:color w:val="000000" w:themeColor="text1"/>
        </w:rPr>
        <w:t xml:space="preserve">individually as well as collectively. </w:t>
      </w:r>
      <w:r w:rsidR="00576DE2" w:rsidRPr="00576DE2">
        <w:rPr>
          <w:rFonts w:ascii="Times New Roman" w:eastAsia="Times New Roman" w:hAnsi="Times New Roman" w:cs="Times New Roman"/>
          <w:color w:val="000000" w:themeColor="text1"/>
        </w:rPr>
        <w:t xml:space="preserve">Additionally, Member States can advocate for increased </w:t>
      </w:r>
      <w:r w:rsidR="00DC6C9E">
        <w:rPr>
          <w:rFonts w:ascii="Times New Roman" w:eastAsia="Times New Roman" w:hAnsi="Times New Roman" w:cs="Times New Roman"/>
          <w:color w:val="000000" w:themeColor="text1"/>
        </w:rPr>
        <w:t xml:space="preserve">protection of core investment in </w:t>
      </w:r>
      <w:r w:rsidR="009E3BB6">
        <w:rPr>
          <w:rFonts w:ascii="Times New Roman" w:eastAsia="Times New Roman" w:hAnsi="Times New Roman" w:cs="Times New Roman"/>
          <w:color w:val="000000" w:themeColor="text1"/>
        </w:rPr>
        <w:t xml:space="preserve">a </w:t>
      </w:r>
      <w:r w:rsidR="00DC6C9E">
        <w:rPr>
          <w:rFonts w:ascii="Times New Roman" w:eastAsia="Times New Roman" w:hAnsi="Times New Roman" w:cs="Times New Roman"/>
          <w:color w:val="000000" w:themeColor="text1"/>
        </w:rPr>
        <w:t>truly multilateral</w:t>
      </w:r>
      <w:r w:rsidR="009E3BB6">
        <w:rPr>
          <w:rFonts w:ascii="Times New Roman" w:eastAsia="Times New Roman" w:hAnsi="Times New Roman" w:cs="Times New Roman"/>
          <w:color w:val="000000" w:themeColor="text1"/>
        </w:rPr>
        <w:t xml:space="preserve"> system like the UNDS and its key entities, which offer an unmatched global platform to provide </w:t>
      </w:r>
      <w:r w:rsidR="00576DE2" w:rsidRPr="00576DE2">
        <w:rPr>
          <w:rFonts w:ascii="Times New Roman" w:eastAsia="Times New Roman" w:hAnsi="Times New Roman" w:cs="Times New Roman"/>
          <w:color w:val="000000" w:themeColor="text1"/>
        </w:rPr>
        <w:t xml:space="preserve">development and humanitarian assistance to </w:t>
      </w:r>
      <w:r w:rsidR="005C4EEE">
        <w:rPr>
          <w:rFonts w:ascii="Times New Roman" w:eastAsia="Times New Roman" w:hAnsi="Times New Roman" w:cs="Times New Roman"/>
          <w:color w:val="000000" w:themeColor="text1"/>
        </w:rPr>
        <w:t xml:space="preserve">countries and communities around the world. </w:t>
      </w:r>
    </w:p>
    <w:p w14:paraId="673E6717" w14:textId="77777777" w:rsidR="005C4EEE" w:rsidRDefault="005C4EEE" w:rsidP="007E45DA">
      <w:pPr>
        <w:pStyle w:val="ListParagraph"/>
        <w:spacing w:after="0" w:line="240" w:lineRule="auto"/>
        <w:ind w:left="360"/>
        <w:jc w:val="both"/>
        <w:textAlignment w:val="baseline"/>
        <w:rPr>
          <w:rFonts w:ascii="Times New Roman" w:eastAsia="Times New Roman" w:hAnsi="Times New Roman" w:cs="Times New Roman"/>
          <w:color w:val="000000" w:themeColor="text1"/>
        </w:rPr>
      </w:pPr>
    </w:p>
    <w:p w14:paraId="43B22136" w14:textId="2B590AD1" w:rsidR="00576DE2" w:rsidRDefault="00576DE2" w:rsidP="007E45DA">
      <w:pPr>
        <w:pStyle w:val="ListParagraph"/>
        <w:numPr>
          <w:ilvl w:val="0"/>
          <w:numId w:val="11"/>
        </w:numPr>
        <w:spacing w:after="0" w:line="240" w:lineRule="auto"/>
        <w:ind w:left="360"/>
        <w:jc w:val="both"/>
        <w:textAlignment w:val="baseline"/>
        <w:rPr>
          <w:rFonts w:ascii="Times New Roman" w:eastAsia="Times New Roman" w:hAnsi="Times New Roman" w:cs="Times New Roman"/>
          <w:color w:val="000000" w:themeColor="text1"/>
        </w:rPr>
      </w:pPr>
      <w:r w:rsidRPr="00D56991">
        <w:rPr>
          <w:rFonts w:ascii="Times New Roman" w:eastAsia="Times New Roman" w:hAnsi="Times New Roman" w:cs="Times New Roman"/>
          <w:i/>
          <w:iCs/>
          <w:color w:val="000000" w:themeColor="text1"/>
        </w:rPr>
        <w:t>Provide multi-year funding commitments</w:t>
      </w:r>
      <w:r w:rsidRPr="005C4EEE">
        <w:rPr>
          <w:rFonts w:ascii="Times New Roman" w:eastAsia="Times New Roman" w:hAnsi="Times New Roman" w:cs="Times New Roman"/>
          <w:color w:val="000000" w:themeColor="text1"/>
        </w:rPr>
        <w:t xml:space="preserve">: </w:t>
      </w:r>
      <w:r w:rsidR="00EF140D">
        <w:rPr>
          <w:rFonts w:ascii="Times New Roman" w:eastAsia="Times New Roman" w:hAnsi="Times New Roman" w:cs="Times New Roman"/>
          <w:color w:val="000000" w:themeColor="text1"/>
        </w:rPr>
        <w:t xml:space="preserve">in line with the Funding Compact commitment, </w:t>
      </w:r>
      <w:r w:rsidRPr="005C4EEE">
        <w:rPr>
          <w:rFonts w:ascii="Times New Roman" w:eastAsia="Times New Roman" w:hAnsi="Times New Roman" w:cs="Times New Roman"/>
          <w:color w:val="000000" w:themeColor="text1"/>
        </w:rPr>
        <w:t>Member States can consider offering multi-year funding commitments. Multi-year funding provides greater stability and predictability for organizations, enabling them to plan and implement longer-term programs and initiatives more effectively.</w:t>
      </w:r>
      <w:r w:rsidR="00227202">
        <w:rPr>
          <w:rFonts w:ascii="Times New Roman" w:eastAsia="Times New Roman" w:hAnsi="Times New Roman" w:cs="Times New Roman"/>
          <w:color w:val="000000" w:themeColor="text1"/>
        </w:rPr>
        <w:t xml:space="preserve"> </w:t>
      </w:r>
      <w:r w:rsidR="00177431">
        <w:rPr>
          <w:rFonts w:ascii="Times New Roman" w:eastAsia="Times New Roman" w:hAnsi="Times New Roman" w:cs="Times New Roman"/>
          <w:color w:val="000000" w:themeColor="text1"/>
        </w:rPr>
        <w:t>This will help reverse t</w:t>
      </w:r>
      <w:r w:rsidR="00177431" w:rsidRPr="00177431">
        <w:rPr>
          <w:rFonts w:ascii="Times New Roman" w:eastAsia="Times New Roman" w:hAnsi="Times New Roman" w:cs="Times New Roman"/>
          <w:color w:val="000000" w:themeColor="text1"/>
        </w:rPr>
        <w:t xml:space="preserve">he share of contributions received through multi-year agreements </w:t>
      </w:r>
      <w:r w:rsidR="00177431">
        <w:rPr>
          <w:rFonts w:ascii="Times New Roman" w:eastAsia="Times New Roman" w:hAnsi="Times New Roman" w:cs="Times New Roman"/>
          <w:color w:val="000000" w:themeColor="text1"/>
        </w:rPr>
        <w:t xml:space="preserve">to 50% (in 2022 the share stands at </w:t>
      </w:r>
      <w:r w:rsidR="00177431" w:rsidRPr="00177431">
        <w:rPr>
          <w:rFonts w:ascii="Times New Roman" w:eastAsia="Times New Roman" w:hAnsi="Times New Roman" w:cs="Times New Roman"/>
          <w:color w:val="000000" w:themeColor="text1"/>
        </w:rPr>
        <w:t>33</w:t>
      </w:r>
      <w:r w:rsidR="00177431">
        <w:rPr>
          <w:rFonts w:ascii="Times New Roman" w:eastAsia="Times New Roman" w:hAnsi="Times New Roman" w:cs="Times New Roman"/>
          <w:color w:val="000000" w:themeColor="text1"/>
        </w:rPr>
        <w:t>%</w:t>
      </w:r>
      <w:r w:rsidR="00177431" w:rsidRPr="00177431">
        <w:rPr>
          <w:rFonts w:ascii="Times New Roman" w:eastAsia="Times New Roman" w:hAnsi="Times New Roman" w:cs="Times New Roman"/>
          <w:color w:val="000000" w:themeColor="text1"/>
        </w:rPr>
        <w:t xml:space="preserve"> in 2022</w:t>
      </w:r>
      <w:r w:rsidR="00177431">
        <w:rPr>
          <w:rFonts w:ascii="Times New Roman" w:eastAsia="Times New Roman" w:hAnsi="Times New Roman" w:cs="Times New Roman"/>
          <w:color w:val="000000" w:themeColor="text1"/>
        </w:rPr>
        <w:t>)</w:t>
      </w:r>
      <w:r w:rsidR="00177431" w:rsidRPr="00177431">
        <w:rPr>
          <w:rFonts w:ascii="Times New Roman" w:eastAsia="Times New Roman" w:hAnsi="Times New Roman" w:cs="Times New Roman"/>
          <w:color w:val="000000" w:themeColor="text1"/>
        </w:rPr>
        <w:t>.</w:t>
      </w:r>
      <w:r w:rsidR="00331E92">
        <w:rPr>
          <w:rFonts w:ascii="Times New Roman" w:eastAsia="Times New Roman" w:hAnsi="Times New Roman" w:cs="Times New Roman"/>
          <w:color w:val="000000" w:themeColor="text1"/>
        </w:rPr>
        <w:t xml:space="preserve"> </w:t>
      </w:r>
      <w:r w:rsidR="00C21DF2">
        <w:rPr>
          <w:rFonts w:ascii="Times New Roman" w:eastAsia="Times New Roman" w:hAnsi="Times New Roman" w:cs="Times New Roman"/>
          <w:color w:val="000000" w:themeColor="text1"/>
        </w:rPr>
        <w:t>To</w:t>
      </w:r>
      <w:r w:rsidR="00331E92">
        <w:rPr>
          <w:rFonts w:ascii="Times New Roman" w:eastAsia="Times New Roman" w:hAnsi="Times New Roman" w:cs="Times New Roman"/>
          <w:color w:val="000000" w:themeColor="text1"/>
        </w:rPr>
        <w:t xml:space="preserve"> ensure </w:t>
      </w:r>
      <w:r w:rsidR="006D4DAA">
        <w:rPr>
          <w:rFonts w:ascii="Times New Roman" w:eastAsia="Times New Roman" w:hAnsi="Times New Roman" w:cs="Times New Roman"/>
          <w:color w:val="000000" w:themeColor="text1"/>
        </w:rPr>
        <w:t xml:space="preserve">the </w:t>
      </w:r>
      <w:r w:rsidR="00331E92">
        <w:rPr>
          <w:rFonts w:ascii="Times New Roman" w:eastAsia="Times New Roman" w:hAnsi="Times New Roman" w:cs="Times New Roman"/>
          <w:color w:val="000000" w:themeColor="text1"/>
        </w:rPr>
        <w:t xml:space="preserve">predictability of core contribution and elevate the quality of funding dialogues, Member States could also consider exploring the applicability of </w:t>
      </w:r>
      <w:r w:rsidR="00C21DF2">
        <w:rPr>
          <w:rFonts w:ascii="Times New Roman" w:eastAsia="Times New Roman" w:hAnsi="Times New Roman" w:cs="Times New Roman"/>
          <w:color w:val="000000" w:themeColor="text1"/>
        </w:rPr>
        <w:t>‘</w:t>
      </w:r>
      <w:r w:rsidR="006D4DAA">
        <w:rPr>
          <w:rFonts w:ascii="Times New Roman" w:eastAsia="Times New Roman" w:hAnsi="Times New Roman" w:cs="Times New Roman"/>
          <w:color w:val="000000" w:themeColor="text1"/>
        </w:rPr>
        <w:t>replenishment rounds</w:t>
      </w:r>
      <w:r w:rsidR="00C21DF2">
        <w:rPr>
          <w:rFonts w:ascii="Times New Roman" w:eastAsia="Times New Roman" w:hAnsi="Times New Roman" w:cs="Times New Roman"/>
          <w:color w:val="000000" w:themeColor="text1"/>
        </w:rPr>
        <w:t>’</w:t>
      </w:r>
      <w:r w:rsidR="006D4DAA">
        <w:rPr>
          <w:rFonts w:ascii="Times New Roman" w:eastAsia="Times New Roman" w:hAnsi="Times New Roman" w:cs="Times New Roman"/>
          <w:color w:val="000000" w:themeColor="text1"/>
        </w:rPr>
        <w:t xml:space="preserve"> for UN funds and </w:t>
      </w:r>
      <w:proofErr w:type="spellStart"/>
      <w:r w:rsidR="006D4DAA">
        <w:rPr>
          <w:rFonts w:ascii="Times New Roman" w:eastAsia="Times New Roman" w:hAnsi="Times New Roman" w:cs="Times New Roman"/>
          <w:color w:val="000000" w:themeColor="text1"/>
        </w:rPr>
        <w:t>programmes</w:t>
      </w:r>
      <w:proofErr w:type="spellEnd"/>
      <w:r w:rsidR="006D4DAA">
        <w:rPr>
          <w:rFonts w:ascii="Times New Roman" w:eastAsia="Times New Roman" w:hAnsi="Times New Roman" w:cs="Times New Roman"/>
          <w:color w:val="000000" w:themeColor="text1"/>
        </w:rPr>
        <w:t xml:space="preserve"> in line with their Strategic Plan cycle. </w:t>
      </w:r>
    </w:p>
    <w:p w14:paraId="18FCA8E1" w14:textId="77777777" w:rsidR="005C4EEE" w:rsidRPr="005C4EEE" w:rsidRDefault="005C4EEE" w:rsidP="007E45DA">
      <w:pPr>
        <w:pStyle w:val="ListParagraph"/>
        <w:ind w:left="360"/>
        <w:rPr>
          <w:rFonts w:ascii="Times New Roman" w:eastAsia="Times New Roman" w:hAnsi="Times New Roman" w:cs="Times New Roman"/>
          <w:color w:val="000000" w:themeColor="text1"/>
        </w:rPr>
      </w:pPr>
    </w:p>
    <w:p w14:paraId="744802F2" w14:textId="5E05EE69" w:rsidR="00977F6B" w:rsidRDefault="00977F6B" w:rsidP="00977F6B">
      <w:pPr>
        <w:pStyle w:val="ListParagraph"/>
        <w:numPr>
          <w:ilvl w:val="0"/>
          <w:numId w:val="11"/>
        </w:numPr>
        <w:spacing w:after="0" w:line="240" w:lineRule="auto"/>
        <w:ind w:left="360"/>
        <w:jc w:val="both"/>
        <w:textAlignment w:val="baseline"/>
        <w:rPr>
          <w:rFonts w:ascii="Times New Roman" w:eastAsia="Times New Roman" w:hAnsi="Times New Roman" w:cs="Times New Roman"/>
          <w:color w:val="000000" w:themeColor="text1"/>
        </w:rPr>
      </w:pPr>
      <w:r w:rsidRPr="00D56991">
        <w:rPr>
          <w:rFonts w:ascii="Times New Roman" w:eastAsia="Times New Roman" w:hAnsi="Times New Roman" w:cs="Times New Roman"/>
          <w:i/>
          <w:iCs/>
          <w:color w:val="000000" w:themeColor="text1"/>
        </w:rPr>
        <w:t>Support advocacy efforts</w:t>
      </w:r>
      <w:r w:rsidRPr="00204828">
        <w:rPr>
          <w:rFonts w:ascii="Times New Roman" w:eastAsia="Times New Roman" w:hAnsi="Times New Roman" w:cs="Times New Roman"/>
          <w:color w:val="000000" w:themeColor="text1"/>
        </w:rPr>
        <w:t xml:space="preserve">: Member States can support </w:t>
      </w:r>
      <w:r>
        <w:rPr>
          <w:rFonts w:ascii="Times New Roman" w:eastAsia="Times New Roman" w:hAnsi="Times New Roman" w:cs="Times New Roman"/>
          <w:color w:val="000000" w:themeColor="text1"/>
        </w:rPr>
        <w:t xml:space="preserve">UNDP and its sister agencies </w:t>
      </w:r>
      <w:r w:rsidRPr="00204828">
        <w:rPr>
          <w:rFonts w:ascii="Times New Roman" w:eastAsia="Times New Roman" w:hAnsi="Times New Roman" w:cs="Times New Roman"/>
          <w:color w:val="000000" w:themeColor="text1"/>
        </w:rPr>
        <w:t>in their advocacy efforts to raise awareness about the importance of core funding</w:t>
      </w:r>
      <w:r w:rsidR="009D20B7">
        <w:rPr>
          <w:rFonts w:ascii="Times New Roman" w:eastAsia="Times New Roman" w:hAnsi="Times New Roman" w:cs="Times New Roman"/>
          <w:color w:val="000000" w:themeColor="text1"/>
        </w:rPr>
        <w:t xml:space="preserve"> and the value of a strong and inclusive multilateral system</w:t>
      </w:r>
      <w:r w:rsidRPr="00204828">
        <w:rPr>
          <w:rFonts w:ascii="Times New Roman" w:eastAsia="Times New Roman" w:hAnsi="Times New Roman" w:cs="Times New Roman"/>
          <w:color w:val="000000" w:themeColor="text1"/>
        </w:rPr>
        <w:t xml:space="preserve">. This may include </w:t>
      </w:r>
      <w:r w:rsidR="00BA6DB7">
        <w:rPr>
          <w:rFonts w:ascii="Times New Roman" w:eastAsia="Times New Roman" w:hAnsi="Times New Roman" w:cs="Times New Roman"/>
          <w:color w:val="000000" w:themeColor="text1"/>
        </w:rPr>
        <w:t xml:space="preserve">articulating a strong case for multilateralism, </w:t>
      </w:r>
      <w:r w:rsidRPr="00204828">
        <w:rPr>
          <w:rFonts w:ascii="Times New Roman" w:eastAsia="Times New Roman" w:hAnsi="Times New Roman" w:cs="Times New Roman"/>
          <w:color w:val="000000" w:themeColor="text1"/>
        </w:rPr>
        <w:t xml:space="preserve">promoting the </w:t>
      </w:r>
      <w:r w:rsidR="00901F06">
        <w:rPr>
          <w:rFonts w:ascii="Times New Roman" w:eastAsia="Times New Roman" w:hAnsi="Times New Roman" w:cs="Times New Roman"/>
          <w:color w:val="000000" w:themeColor="text1"/>
        </w:rPr>
        <w:t xml:space="preserve">UN </w:t>
      </w:r>
      <w:r w:rsidRPr="00204828">
        <w:rPr>
          <w:rFonts w:ascii="Times New Roman" w:eastAsia="Times New Roman" w:hAnsi="Times New Roman" w:cs="Times New Roman"/>
          <w:color w:val="000000" w:themeColor="text1"/>
        </w:rPr>
        <w:t xml:space="preserve">organization's </w:t>
      </w:r>
      <w:r w:rsidR="00901F06">
        <w:rPr>
          <w:rFonts w:ascii="Times New Roman" w:eastAsia="Times New Roman" w:hAnsi="Times New Roman" w:cs="Times New Roman"/>
          <w:color w:val="000000" w:themeColor="text1"/>
        </w:rPr>
        <w:t>mandates given to them by Member States</w:t>
      </w:r>
      <w:r w:rsidRPr="00204828">
        <w:rPr>
          <w:rFonts w:ascii="Times New Roman" w:eastAsia="Times New Roman" w:hAnsi="Times New Roman" w:cs="Times New Roman"/>
          <w:color w:val="000000" w:themeColor="text1"/>
        </w:rPr>
        <w:t xml:space="preserve">, actively participating in relevant international forums, and using diplomatic channels to advocate for increased </w:t>
      </w:r>
      <w:r w:rsidR="00901F06">
        <w:rPr>
          <w:rFonts w:ascii="Times New Roman" w:eastAsia="Times New Roman" w:hAnsi="Times New Roman" w:cs="Times New Roman"/>
          <w:color w:val="000000" w:themeColor="text1"/>
        </w:rPr>
        <w:t xml:space="preserve">political and financial </w:t>
      </w:r>
      <w:r w:rsidRPr="00204828">
        <w:rPr>
          <w:rFonts w:ascii="Times New Roman" w:eastAsia="Times New Roman" w:hAnsi="Times New Roman" w:cs="Times New Roman"/>
          <w:color w:val="000000" w:themeColor="text1"/>
        </w:rPr>
        <w:t>support from other Member States and donors.</w:t>
      </w:r>
      <w:r w:rsidR="00901F06">
        <w:rPr>
          <w:rFonts w:ascii="Times New Roman" w:eastAsia="Times New Roman" w:hAnsi="Times New Roman" w:cs="Times New Roman"/>
          <w:color w:val="000000" w:themeColor="text1"/>
        </w:rPr>
        <w:t xml:space="preserve"> This </w:t>
      </w:r>
      <w:r w:rsidR="0091540C">
        <w:rPr>
          <w:rFonts w:ascii="Times New Roman" w:eastAsia="Times New Roman" w:hAnsi="Times New Roman" w:cs="Times New Roman"/>
          <w:color w:val="000000" w:themeColor="text1"/>
        </w:rPr>
        <w:t xml:space="preserve">could contribute significantly </w:t>
      </w:r>
      <w:r w:rsidR="00DF69F9">
        <w:rPr>
          <w:rFonts w:ascii="Times New Roman" w:eastAsia="Times New Roman" w:hAnsi="Times New Roman" w:cs="Times New Roman"/>
          <w:color w:val="000000" w:themeColor="text1"/>
        </w:rPr>
        <w:t xml:space="preserve">to changing public perceptions </w:t>
      </w:r>
      <w:r w:rsidR="00C40198">
        <w:rPr>
          <w:rFonts w:ascii="Times New Roman" w:eastAsia="Times New Roman" w:hAnsi="Times New Roman" w:cs="Times New Roman"/>
          <w:color w:val="000000" w:themeColor="text1"/>
        </w:rPr>
        <w:t xml:space="preserve">and building back trust in key public and global organizations. </w:t>
      </w:r>
      <w:r w:rsidR="00DF69F9">
        <w:rPr>
          <w:rFonts w:ascii="Times New Roman" w:eastAsia="Times New Roman" w:hAnsi="Times New Roman" w:cs="Times New Roman"/>
          <w:color w:val="000000" w:themeColor="text1"/>
        </w:rPr>
        <w:t xml:space="preserve"> </w:t>
      </w:r>
    </w:p>
    <w:p w14:paraId="5BA16199" w14:textId="77777777" w:rsidR="00977F6B" w:rsidRPr="00977F6B" w:rsidRDefault="00977F6B" w:rsidP="00977F6B">
      <w:pPr>
        <w:pStyle w:val="ListParagraph"/>
        <w:rPr>
          <w:rFonts w:ascii="Times New Roman" w:eastAsia="Times New Roman" w:hAnsi="Times New Roman" w:cs="Times New Roman"/>
          <w:color w:val="000000" w:themeColor="text1"/>
        </w:rPr>
      </w:pPr>
    </w:p>
    <w:p w14:paraId="005005D7" w14:textId="14469E48" w:rsidR="005C4EEE" w:rsidRDefault="00641AA9" w:rsidP="007E45DA">
      <w:pPr>
        <w:pStyle w:val="ListParagraph"/>
        <w:numPr>
          <w:ilvl w:val="0"/>
          <w:numId w:val="11"/>
        </w:numPr>
        <w:spacing w:after="0" w:line="240" w:lineRule="auto"/>
        <w:ind w:left="360"/>
        <w:jc w:val="both"/>
        <w:textAlignment w:val="baseline"/>
        <w:rPr>
          <w:rFonts w:ascii="Times New Roman" w:eastAsia="Times New Roman" w:hAnsi="Times New Roman" w:cs="Times New Roman"/>
          <w:color w:val="000000" w:themeColor="text1"/>
        </w:rPr>
      </w:pPr>
      <w:r w:rsidRPr="00D56991">
        <w:rPr>
          <w:rFonts w:ascii="Times New Roman" w:eastAsia="Times New Roman" w:hAnsi="Times New Roman" w:cs="Times New Roman"/>
          <w:i/>
          <w:iCs/>
          <w:color w:val="000000" w:themeColor="text1"/>
        </w:rPr>
        <w:t>Enhance policy coherence</w:t>
      </w:r>
      <w:r w:rsidRPr="00641AA9">
        <w:rPr>
          <w:rFonts w:ascii="Times New Roman" w:eastAsia="Times New Roman" w:hAnsi="Times New Roman" w:cs="Times New Roman"/>
          <w:color w:val="000000" w:themeColor="text1"/>
        </w:rPr>
        <w:t xml:space="preserve">: Member States </w:t>
      </w:r>
      <w:r w:rsidR="00816121">
        <w:rPr>
          <w:rFonts w:ascii="Times New Roman" w:eastAsia="Times New Roman" w:hAnsi="Times New Roman" w:cs="Times New Roman"/>
          <w:color w:val="000000" w:themeColor="text1"/>
        </w:rPr>
        <w:t>are encouraged to</w:t>
      </w:r>
      <w:r w:rsidR="00816121" w:rsidRPr="00641AA9">
        <w:rPr>
          <w:rFonts w:ascii="Times New Roman" w:eastAsia="Times New Roman" w:hAnsi="Times New Roman" w:cs="Times New Roman"/>
          <w:color w:val="000000" w:themeColor="text1"/>
        </w:rPr>
        <w:t xml:space="preserve"> </w:t>
      </w:r>
      <w:r w:rsidRPr="00641AA9">
        <w:rPr>
          <w:rFonts w:ascii="Times New Roman" w:eastAsia="Times New Roman" w:hAnsi="Times New Roman" w:cs="Times New Roman"/>
          <w:color w:val="000000" w:themeColor="text1"/>
        </w:rPr>
        <w:t>strive for policy coherence across different government departments and agencies involved in funding decisions</w:t>
      </w:r>
      <w:r>
        <w:rPr>
          <w:rFonts w:ascii="Times New Roman" w:eastAsia="Times New Roman" w:hAnsi="Times New Roman" w:cs="Times New Roman"/>
          <w:color w:val="000000" w:themeColor="text1"/>
        </w:rPr>
        <w:t xml:space="preserve"> to ensure the prioritization of core and flexible funding over strictly earmarked fund allocation</w:t>
      </w:r>
      <w:r w:rsidRPr="00641AA9">
        <w:rPr>
          <w:rFonts w:ascii="Times New Roman" w:eastAsia="Times New Roman" w:hAnsi="Times New Roman" w:cs="Times New Roman"/>
          <w:color w:val="000000" w:themeColor="text1"/>
        </w:rPr>
        <w:t>. Inconsistent policies, conflicting priorities, and fragmented funding streams can create challenges for organizations</w:t>
      </w:r>
      <w:r w:rsidR="00204828">
        <w:rPr>
          <w:rFonts w:ascii="Times New Roman" w:eastAsia="Times New Roman" w:hAnsi="Times New Roman" w:cs="Times New Roman"/>
          <w:color w:val="000000" w:themeColor="text1"/>
        </w:rPr>
        <w:t xml:space="preserve"> like UNDP</w:t>
      </w:r>
      <w:r w:rsidRPr="00641AA9">
        <w:rPr>
          <w:rFonts w:ascii="Times New Roman" w:eastAsia="Times New Roman" w:hAnsi="Times New Roman" w:cs="Times New Roman"/>
          <w:color w:val="000000" w:themeColor="text1"/>
        </w:rPr>
        <w:t>. By promoting coordination and coherence, Member States can ensure a more effective and streamlined approach to core funding allocation.</w:t>
      </w:r>
    </w:p>
    <w:p w14:paraId="40BE7436" w14:textId="77777777" w:rsidR="00204828" w:rsidRPr="00204828" w:rsidRDefault="00204828" w:rsidP="007E45DA">
      <w:pPr>
        <w:pStyle w:val="ListParagraph"/>
        <w:ind w:left="360"/>
        <w:rPr>
          <w:rFonts w:ascii="Times New Roman" w:eastAsia="Times New Roman" w:hAnsi="Times New Roman" w:cs="Times New Roman"/>
          <w:color w:val="000000" w:themeColor="text1"/>
        </w:rPr>
      </w:pPr>
    </w:p>
    <w:p w14:paraId="09F3BA3F" w14:textId="45BF2A79" w:rsidR="00341728" w:rsidRPr="005C4EEE" w:rsidRDefault="007B7EBF" w:rsidP="007E45DA">
      <w:pPr>
        <w:pStyle w:val="ListParagraph"/>
        <w:numPr>
          <w:ilvl w:val="0"/>
          <w:numId w:val="11"/>
        </w:numPr>
        <w:spacing w:after="0" w:line="240" w:lineRule="auto"/>
        <w:ind w:left="360"/>
        <w:jc w:val="both"/>
        <w:textAlignment w:val="baseline"/>
        <w:rPr>
          <w:rFonts w:ascii="Times New Roman" w:eastAsia="Times New Roman" w:hAnsi="Times New Roman" w:cs="Times New Roman"/>
          <w:color w:val="000000" w:themeColor="text1"/>
        </w:rPr>
      </w:pPr>
      <w:r w:rsidRPr="00D56991">
        <w:rPr>
          <w:rFonts w:ascii="Times New Roman" w:eastAsia="Times New Roman" w:hAnsi="Times New Roman" w:cs="Times New Roman"/>
          <w:i/>
          <w:iCs/>
          <w:color w:val="000000" w:themeColor="text1"/>
        </w:rPr>
        <w:t xml:space="preserve">Engage in </w:t>
      </w:r>
      <w:r w:rsidR="00977F6B" w:rsidRPr="00D56991">
        <w:rPr>
          <w:rFonts w:ascii="Times New Roman" w:eastAsia="Times New Roman" w:hAnsi="Times New Roman" w:cs="Times New Roman"/>
          <w:i/>
          <w:iCs/>
          <w:color w:val="000000" w:themeColor="text1"/>
        </w:rPr>
        <w:t xml:space="preserve">funding </w:t>
      </w:r>
      <w:r w:rsidR="00341728" w:rsidRPr="00D56991">
        <w:rPr>
          <w:rFonts w:ascii="Times New Roman" w:eastAsia="Times New Roman" w:hAnsi="Times New Roman" w:cs="Times New Roman"/>
          <w:i/>
          <w:iCs/>
          <w:color w:val="000000" w:themeColor="text1"/>
        </w:rPr>
        <w:t>dialogue</w:t>
      </w:r>
      <w:r w:rsidR="00B7592B" w:rsidRPr="00D56991">
        <w:rPr>
          <w:rFonts w:ascii="Times New Roman" w:eastAsia="Times New Roman" w:hAnsi="Times New Roman" w:cs="Times New Roman"/>
          <w:i/>
          <w:iCs/>
          <w:color w:val="000000" w:themeColor="text1"/>
        </w:rPr>
        <w:t xml:space="preserve"> and seek solutions</w:t>
      </w:r>
      <w:r w:rsidR="00341728" w:rsidRPr="00341728">
        <w:rPr>
          <w:rFonts w:ascii="Times New Roman" w:eastAsia="Times New Roman" w:hAnsi="Times New Roman" w:cs="Times New Roman"/>
          <w:color w:val="000000" w:themeColor="text1"/>
        </w:rPr>
        <w:t xml:space="preserve">: Member States </w:t>
      </w:r>
      <w:r w:rsidR="00816121">
        <w:rPr>
          <w:rFonts w:ascii="Times New Roman" w:eastAsia="Times New Roman" w:hAnsi="Times New Roman" w:cs="Times New Roman"/>
          <w:color w:val="000000" w:themeColor="text1"/>
        </w:rPr>
        <w:t xml:space="preserve">are encouraged to </w:t>
      </w:r>
      <w:r>
        <w:rPr>
          <w:rFonts w:ascii="Times New Roman" w:eastAsia="Times New Roman" w:hAnsi="Times New Roman" w:cs="Times New Roman"/>
          <w:color w:val="000000" w:themeColor="text1"/>
        </w:rPr>
        <w:t xml:space="preserve">deepen their </w:t>
      </w:r>
      <w:r w:rsidR="00341728" w:rsidRPr="00341728">
        <w:rPr>
          <w:rFonts w:ascii="Times New Roman" w:eastAsia="Times New Roman" w:hAnsi="Times New Roman" w:cs="Times New Roman"/>
          <w:color w:val="000000" w:themeColor="text1"/>
        </w:rPr>
        <w:t xml:space="preserve">regular </w:t>
      </w:r>
      <w:r w:rsidR="00B7592B">
        <w:rPr>
          <w:rFonts w:ascii="Times New Roman" w:eastAsia="Times New Roman" w:hAnsi="Times New Roman" w:cs="Times New Roman"/>
          <w:color w:val="000000" w:themeColor="text1"/>
        </w:rPr>
        <w:t>Structured Funding D</w:t>
      </w:r>
      <w:r w:rsidR="00341728" w:rsidRPr="00341728">
        <w:rPr>
          <w:rFonts w:ascii="Times New Roman" w:eastAsia="Times New Roman" w:hAnsi="Times New Roman" w:cs="Times New Roman"/>
          <w:color w:val="000000" w:themeColor="text1"/>
        </w:rPr>
        <w:t>ialogu</w:t>
      </w:r>
      <w:r w:rsidR="005B759E">
        <w:rPr>
          <w:rFonts w:ascii="Times New Roman" w:eastAsia="Times New Roman" w:hAnsi="Times New Roman" w:cs="Times New Roman"/>
          <w:color w:val="000000" w:themeColor="text1"/>
        </w:rPr>
        <w:t>es</w:t>
      </w:r>
      <w:r w:rsidR="00341728" w:rsidRPr="00341728">
        <w:rPr>
          <w:rFonts w:ascii="Times New Roman" w:eastAsia="Times New Roman" w:hAnsi="Times New Roman" w:cs="Times New Roman"/>
          <w:color w:val="000000" w:themeColor="text1"/>
        </w:rPr>
        <w:t xml:space="preserve"> with </w:t>
      </w:r>
      <w:r>
        <w:rPr>
          <w:rFonts w:ascii="Times New Roman" w:eastAsia="Times New Roman" w:hAnsi="Times New Roman" w:cs="Times New Roman"/>
          <w:color w:val="000000" w:themeColor="text1"/>
        </w:rPr>
        <w:t xml:space="preserve">UNDP and sister agencies </w:t>
      </w:r>
      <w:r w:rsidR="00341728" w:rsidRPr="00341728">
        <w:rPr>
          <w:rFonts w:ascii="Times New Roman" w:eastAsia="Times New Roman" w:hAnsi="Times New Roman" w:cs="Times New Roman"/>
          <w:color w:val="000000" w:themeColor="text1"/>
        </w:rPr>
        <w:t xml:space="preserve">to understand their funding needs, challenges, and priorities. By </w:t>
      </w:r>
      <w:r w:rsidR="005B759E">
        <w:rPr>
          <w:rFonts w:ascii="Times New Roman" w:eastAsia="Times New Roman" w:hAnsi="Times New Roman" w:cs="Times New Roman"/>
          <w:color w:val="000000" w:themeColor="text1"/>
        </w:rPr>
        <w:t xml:space="preserve">working </w:t>
      </w:r>
      <w:r w:rsidR="004E2488">
        <w:rPr>
          <w:rFonts w:ascii="Times New Roman" w:eastAsia="Times New Roman" w:hAnsi="Times New Roman" w:cs="Times New Roman"/>
          <w:color w:val="000000" w:themeColor="text1"/>
        </w:rPr>
        <w:t xml:space="preserve">closely </w:t>
      </w:r>
      <w:r w:rsidR="005B759E">
        <w:rPr>
          <w:rFonts w:ascii="Times New Roman" w:eastAsia="Times New Roman" w:hAnsi="Times New Roman" w:cs="Times New Roman"/>
          <w:color w:val="000000" w:themeColor="text1"/>
        </w:rPr>
        <w:t>with the agencies</w:t>
      </w:r>
      <w:r w:rsidR="00341728" w:rsidRPr="00341728">
        <w:rPr>
          <w:rFonts w:ascii="Times New Roman" w:eastAsia="Times New Roman" w:hAnsi="Times New Roman" w:cs="Times New Roman"/>
          <w:color w:val="000000" w:themeColor="text1"/>
        </w:rPr>
        <w:t>, Member States can ensure that funding allocations align with the organizations' strategic objectives and priorities, thus maximizing the impact of core funding.</w:t>
      </w:r>
      <w:r w:rsidR="004E2488">
        <w:rPr>
          <w:rFonts w:ascii="Times New Roman" w:eastAsia="Times New Roman" w:hAnsi="Times New Roman" w:cs="Times New Roman"/>
          <w:color w:val="000000" w:themeColor="text1"/>
        </w:rPr>
        <w:t xml:space="preserve"> </w:t>
      </w:r>
      <w:r w:rsidR="00EF560C">
        <w:rPr>
          <w:rFonts w:ascii="Times New Roman" w:eastAsia="Times New Roman" w:hAnsi="Times New Roman" w:cs="Times New Roman"/>
          <w:color w:val="000000" w:themeColor="text1"/>
        </w:rPr>
        <w:t>As part of the collective commitment to enhance the u</w:t>
      </w:r>
      <w:r w:rsidR="00FE0935">
        <w:rPr>
          <w:rFonts w:ascii="Times New Roman" w:eastAsia="Times New Roman" w:hAnsi="Times New Roman" w:cs="Times New Roman"/>
          <w:color w:val="000000" w:themeColor="text1"/>
        </w:rPr>
        <w:t>sefulness of these dialogues, promoting honest, constructive</w:t>
      </w:r>
      <w:r w:rsidR="0075332D">
        <w:rPr>
          <w:rFonts w:ascii="Times New Roman" w:eastAsia="Times New Roman" w:hAnsi="Times New Roman" w:cs="Times New Roman"/>
          <w:color w:val="000000" w:themeColor="text1"/>
        </w:rPr>
        <w:t>,</w:t>
      </w:r>
      <w:r w:rsidR="00FE0935">
        <w:rPr>
          <w:rFonts w:ascii="Times New Roman" w:eastAsia="Times New Roman" w:hAnsi="Times New Roman" w:cs="Times New Roman"/>
          <w:color w:val="000000" w:themeColor="text1"/>
        </w:rPr>
        <w:t xml:space="preserve"> and solution-oriented </w:t>
      </w:r>
      <w:r w:rsidR="0075332D">
        <w:rPr>
          <w:rFonts w:ascii="Times New Roman" w:eastAsia="Times New Roman" w:hAnsi="Times New Roman" w:cs="Times New Roman"/>
          <w:color w:val="000000" w:themeColor="text1"/>
        </w:rPr>
        <w:t>deliberation and ensuring the discussions and conc</w:t>
      </w:r>
      <w:r w:rsidR="0008095D">
        <w:rPr>
          <w:rFonts w:ascii="Times New Roman" w:eastAsia="Times New Roman" w:hAnsi="Times New Roman" w:cs="Times New Roman"/>
          <w:color w:val="000000" w:themeColor="text1"/>
        </w:rPr>
        <w:t xml:space="preserve">lusions reach decision-makers in the capital should be a priority going forward. </w:t>
      </w:r>
    </w:p>
    <w:p w14:paraId="2B83CD02" w14:textId="77777777" w:rsidR="005C4EEE" w:rsidRDefault="005C4EEE" w:rsidP="00333E6C">
      <w:pPr>
        <w:spacing w:after="0" w:line="240" w:lineRule="auto"/>
        <w:jc w:val="both"/>
        <w:textAlignment w:val="baseline"/>
        <w:rPr>
          <w:rFonts w:ascii="Times New Roman" w:eastAsia="Times New Roman" w:hAnsi="Times New Roman" w:cs="Times New Roman"/>
          <w:color w:val="000000" w:themeColor="text1"/>
        </w:rPr>
      </w:pPr>
    </w:p>
    <w:p w14:paraId="7BB64A8D" w14:textId="7890EBFE" w:rsidR="001507B3" w:rsidRPr="00D543D4" w:rsidRDefault="00AC7B68" w:rsidP="001507B3">
      <w:pPr>
        <w:spacing w:after="0" w:line="240" w:lineRule="auto"/>
        <w:jc w:val="both"/>
        <w:textAlignment w:val="baseline"/>
        <w:rPr>
          <w:rFonts w:ascii="Times New Roman" w:eastAsia="Times New Roman" w:hAnsi="Times New Roman" w:cs="Times New Roman"/>
          <w:sz w:val="18"/>
          <w:szCs w:val="18"/>
        </w:rPr>
      </w:pPr>
      <w:r w:rsidRPr="00AC7B68">
        <w:rPr>
          <w:rFonts w:ascii="Times New Roman" w:eastAsia="Times New Roman" w:hAnsi="Times New Roman" w:cs="Times New Roman"/>
          <w:color w:val="000000"/>
        </w:rPr>
        <w:t xml:space="preserve">Addressing the decline in core funding requires a multi-faceted approach that combines diversification of funding sources, effective advocacy, efficiency improvements, strategic partnerships, and sustainable </w:t>
      </w:r>
      <w:r w:rsidRPr="00AC7B68">
        <w:rPr>
          <w:rFonts w:ascii="Times New Roman" w:eastAsia="Times New Roman" w:hAnsi="Times New Roman" w:cs="Times New Roman"/>
          <w:color w:val="000000"/>
        </w:rPr>
        <w:lastRenderedPageBreak/>
        <w:t xml:space="preserve">business practices. </w:t>
      </w:r>
      <w:r w:rsidR="00076856" w:rsidRPr="00D543D4">
        <w:rPr>
          <w:rFonts w:ascii="Times New Roman" w:eastAsia="Times New Roman" w:hAnsi="Times New Roman" w:cs="Times New Roman"/>
          <w:color w:val="000000" w:themeColor="text1"/>
        </w:rPr>
        <w:t>Additionally, fostering stronger partnerships with donors, governments, and civil society organizations can facilitate dialogue and collaboration to reverse the downward trend in core funding.</w:t>
      </w:r>
      <w:r w:rsidR="00076856">
        <w:rPr>
          <w:rFonts w:ascii="Times New Roman" w:eastAsia="Times New Roman" w:hAnsi="Times New Roman" w:cs="Times New Roman"/>
          <w:color w:val="000000" w:themeColor="text1"/>
        </w:rPr>
        <w:t xml:space="preserve"> </w:t>
      </w:r>
      <w:r w:rsidRPr="00AC7B68">
        <w:rPr>
          <w:rFonts w:ascii="Times New Roman" w:eastAsia="Times New Roman" w:hAnsi="Times New Roman" w:cs="Times New Roman"/>
          <w:color w:val="000000"/>
        </w:rPr>
        <w:t xml:space="preserve">By implementing these measures, </w:t>
      </w:r>
      <w:r>
        <w:rPr>
          <w:rFonts w:ascii="Times New Roman" w:eastAsia="Times New Roman" w:hAnsi="Times New Roman" w:cs="Times New Roman"/>
          <w:color w:val="000000"/>
        </w:rPr>
        <w:t xml:space="preserve">Member States and </w:t>
      </w:r>
      <w:r w:rsidRPr="00AC7B68">
        <w:rPr>
          <w:rFonts w:ascii="Times New Roman" w:eastAsia="Times New Roman" w:hAnsi="Times New Roman" w:cs="Times New Roman"/>
          <w:color w:val="000000"/>
        </w:rPr>
        <w:t>organizations impacted by reduced core funding can mitigate the challenges and ensure the continuation of their vital development work.</w:t>
      </w:r>
    </w:p>
    <w:sectPr w:rsidR="001507B3" w:rsidRPr="00D543D4">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BF2A1" w14:textId="77777777" w:rsidR="00D91737" w:rsidRDefault="00D91737" w:rsidP="003424FE">
      <w:pPr>
        <w:spacing w:after="0" w:line="240" w:lineRule="auto"/>
      </w:pPr>
      <w:r>
        <w:separator/>
      </w:r>
    </w:p>
  </w:endnote>
  <w:endnote w:type="continuationSeparator" w:id="0">
    <w:p w14:paraId="6C1ABBAB" w14:textId="77777777" w:rsidR="00D91737" w:rsidRDefault="00D91737" w:rsidP="003424FE">
      <w:pPr>
        <w:spacing w:after="0" w:line="240" w:lineRule="auto"/>
      </w:pPr>
      <w:r>
        <w:continuationSeparator/>
      </w:r>
    </w:p>
  </w:endnote>
  <w:endnote w:type="continuationNotice" w:id="1">
    <w:p w14:paraId="53639220" w14:textId="77777777" w:rsidR="00D91737" w:rsidRDefault="00D917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C5C39" w14:textId="77777777" w:rsidR="00D91737" w:rsidRDefault="00D91737" w:rsidP="003424FE">
      <w:pPr>
        <w:spacing w:after="0" w:line="240" w:lineRule="auto"/>
      </w:pPr>
      <w:r>
        <w:separator/>
      </w:r>
    </w:p>
  </w:footnote>
  <w:footnote w:type="continuationSeparator" w:id="0">
    <w:p w14:paraId="2F0E6807" w14:textId="77777777" w:rsidR="00D91737" w:rsidRDefault="00D91737" w:rsidP="003424FE">
      <w:pPr>
        <w:spacing w:after="0" w:line="240" w:lineRule="auto"/>
      </w:pPr>
      <w:r>
        <w:continuationSeparator/>
      </w:r>
    </w:p>
  </w:footnote>
  <w:footnote w:type="continuationNotice" w:id="1">
    <w:p w14:paraId="28CBE0A9" w14:textId="77777777" w:rsidR="00D91737" w:rsidRDefault="00D91737">
      <w:pPr>
        <w:spacing w:after="0" w:line="240" w:lineRule="auto"/>
      </w:pPr>
    </w:p>
  </w:footnote>
  <w:footnote w:id="2">
    <w:p w14:paraId="7D763DA3" w14:textId="4C9ACCF1" w:rsidR="00567CB1" w:rsidRDefault="00567CB1">
      <w:pPr>
        <w:pStyle w:val="FootnoteText"/>
      </w:pPr>
      <w:r>
        <w:rPr>
          <w:rStyle w:val="FootnoteReference"/>
        </w:rPr>
        <w:footnoteRef/>
      </w:r>
      <w:r>
        <w:t xml:space="preserve"> </w:t>
      </w:r>
      <w:r>
        <w:rPr>
          <w:rStyle w:val="normaltextrun"/>
          <w:rFonts w:ascii="Calibri Light" w:hAnsi="Calibri Light" w:cs="Calibri Light"/>
          <w:color w:val="000000"/>
          <w:shd w:val="clear" w:color="auto" w:fill="FFFFFF"/>
        </w:rPr>
        <w:t>United Nations MPTF Office. (2022). </w:t>
      </w:r>
      <w:r>
        <w:rPr>
          <w:rStyle w:val="normaltextrun"/>
          <w:rFonts w:ascii="Calibri Light" w:hAnsi="Calibri Light" w:cs="Calibri Light"/>
          <w:i/>
          <w:iCs/>
          <w:color w:val="000000"/>
          <w:shd w:val="clear" w:color="auto" w:fill="FFFFFF"/>
        </w:rPr>
        <w:t>Funding mix and degrees of earmarking</w:t>
      </w:r>
      <w:r>
        <w:rPr>
          <w:rStyle w:val="normaltextrun"/>
          <w:rFonts w:ascii="Calibri Light" w:hAnsi="Calibri Light" w:cs="Calibri Light"/>
          <w:color w:val="000000"/>
          <w:shd w:val="clear" w:color="auto" w:fill="FFFFFF"/>
        </w:rPr>
        <w:t>. Financing the UN Development system – Joint Responsibilities in a World in Disarray. 45-50.</w:t>
      </w:r>
    </w:p>
  </w:footnote>
  <w:footnote w:id="3">
    <w:p w14:paraId="4955EA4D" w14:textId="197111E0" w:rsidR="00567CB1" w:rsidRDefault="00567CB1">
      <w:pPr>
        <w:pStyle w:val="FootnoteText"/>
      </w:pPr>
      <w:r>
        <w:rPr>
          <w:rStyle w:val="FootnoteReference"/>
        </w:rPr>
        <w:footnoteRef/>
      </w:r>
      <w:r>
        <w:t xml:space="preserve"> </w:t>
      </w:r>
      <w:r>
        <w:rPr>
          <w:rStyle w:val="normaltextrun"/>
          <w:rFonts w:ascii="Calibri Light" w:hAnsi="Calibri Light" w:cs="Calibri Light"/>
          <w:color w:val="000000"/>
          <w:shd w:val="clear" w:color="auto" w:fill="FFFFFF"/>
        </w:rPr>
        <w:t>Baumann M-O. (2021). </w:t>
      </w:r>
      <w:r>
        <w:rPr>
          <w:rStyle w:val="normaltextrun"/>
          <w:rFonts w:ascii="Calibri Light" w:hAnsi="Calibri Light" w:cs="Calibri Light"/>
          <w:i/>
          <w:iCs/>
          <w:color w:val="000000"/>
          <w:shd w:val="clear" w:color="auto" w:fill="FFFFFF"/>
        </w:rPr>
        <w:t>How earmarking has become self-perpetuating in United Nations development co-operation</w:t>
      </w:r>
      <w:r>
        <w:rPr>
          <w:rStyle w:val="normaltextrun"/>
          <w:rFonts w:ascii="Calibri Light" w:hAnsi="Calibri Light" w:cs="Calibri Light"/>
          <w:color w:val="000000"/>
          <w:shd w:val="clear" w:color="auto" w:fill="FFFFFF"/>
        </w:rPr>
        <w:t>. Dev Policy Rev, 39, 343–359. </w:t>
      </w:r>
      <w:r>
        <w:rPr>
          <w:rStyle w:val="normaltextrun"/>
          <w:rFonts w:ascii="Calibri Light" w:hAnsi="Calibri Light" w:cs="Calibri Light"/>
          <w:color w:val="0000FF"/>
          <w:shd w:val="clear" w:color="auto" w:fill="FFFFFF"/>
        </w:rPr>
        <w:t>https://doi.org/10.1111/dpr.12504</w:t>
      </w:r>
    </w:p>
  </w:footnote>
  <w:footnote w:id="4">
    <w:p w14:paraId="34F4EE2D" w14:textId="4DB64084" w:rsidR="0039337C" w:rsidRDefault="0039337C">
      <w:pPr>
        <w:pStyle w:val="FootnoteText"/>
      </w:pPr>
      <w:r>
        <w:rPr>
          <w:rStyle w:val="FootnoteReference"/>
        </w:rPr>
        <w:footnoteRef/>
      </w:r>
      <w:r>
        <w:t xml:space="preserve"> </w:t>
      </w:r>
      <w:proofErr w:type="spellStart"/>
      <w:r>
        <w:rPr>
          <w:rStyle w:val="normaltextrun"/>
          <w:rFonts w:ascii="Calibri Light" w:hAnsi="Calibri Light" w:cs="Calibri Light"/>
          <w:color w:val="000000"/>
          <w:shd w:val="clear" w:color="auto" w:fill="FFFFFF"/>
        </w:rPr>
        <w:t>Akinnifesi</w:t>
      </w:r>
      <w:proofErr w:type="spellEnd"/>
      <w:r>
        <w:rPr>
          <w:rStyle w:val="normaltextrun"/>
          <w:rFonts w:ascii="Calibri Light" w:hAnsi="Calibri Light" w:cs="Calibri Light"/>
          <w:color w:val="000000"/>
          <w:shd w:val="clear" w:color="auto" w:fill="FFFFFF"/>
        </w:rPr>
        <w:t>, F. (2021). </w:t>
      </w:r>
      <w:r>
        <w:rPr>
          <w:rStyle w:val="normaltextrun"/>
          <w:rFonts w:ascii="Calibri Light" w:hAnsi="Calibri Light" w:cs="Calibri Light"/>
          <w:i/>
          <w:iCs/>
          <w:color w:val="000000"/>
          <w:shd w:val="clear" w:color="auto" w:fill="FFFFFF"/>
        </w:rPr>
        <w:t>The Importance of Flexible Funding in the Era of COVID-19</w:t>
      </w:r>
      <w:r>
        <w:rPr>
          <w:rStyle w:val="normaltextrun"/>
          <w:rFonts w:ascii="Calibri Light" w:hAnsi="Calibri Light" w:cs="Calibri Light"/>
          <w:color w:val="000000"/>
          <w:shd w:val="clear" w:color="auto" w:fill="FFFFFF"/>
        </w:rPr>
        <w:t>.</w:t>
      </w:r>
      <w:r w:rsidR="00B46EAA">
        <w:rPr>
          <w:rStyle w:val="normaltextrun"/>
          <w:rFonts w:ascii="Calibri Light" w:hAnsi="Calibri Light" w:cs="Calibri Light"/>
          <w:color w:val="000000"/>
          <w:shd w:val="clear" w:color="auto" w:fill="FFFFFF"/>
        </w:rPr>
        <w:t xml:space="preserve"> </w:t>
      </w:r>
      <w:r>
        <w:rPr>
          <w:rStyle w:val="normaltextrun"/>
          <w:rFonts w:ascii="Calibri Light" w:hAnsi="Calibri Light" w:cs="Calibri Light"/>
          <w:color w:val="000000"/>
          <w:shd w:val="clear" w:color="auto" w:fill="FFFFFF"/>
        </w:rPr>
        <w:t>Impakter. </w:t>
      </w:r>
      <w:hyperlink r:id="rId1" w:tgtFrame="_blank" w:history="1">
        <w:r>
          <w:rPr>
            <w:rStyle w:val="normaltextrun"/>
            <w:rFonts w:ascii="Calibri Light" w:hAnsi="Calibri Light" w:cs="Calibri Light"/>
            <w:color w:val="0000FF"/>
            <w:u w:val="single"/>
            <w:shd w:val="clear" w:color="auto" w:fill="FFFFFF"/>
          </w:rPr>
          <w:t>https://impakter.com/the-importance-of-flexible-funding-in-the-era-of-covid-19/</w:t>
        </w:r>
      </w:hyperlink>
      <w:r>
        <w:rPr>
          <w:rStyle w:val="normaltextrun"/>
          <w:rFonts w:ascii="Calibri Light" w:hAnsi="Calibri Light" w:cs="Calibri Light"/>
          <w:color w:val="000000"/>
          <w:shd w:val="clear" w:color="auto" w:fill="FFFFFF"/>
        </w:rPr>
        <w:t> </w:t>
      </w:r>
      <w:r>
        <w:rPr>
          <w:rStyle w:val="eop"/>
          <w:rFonts w:ascii="Calibri Light" w:hAnsi="Calibri Light" w:cs="Calibri Light"/>
          <w:color w:val="000000"/>
          <w:shd w:val="clear" w:color="auto" w:fill="FFFFFF"/>
        </w:rPr>
        <w:t> </w:t>
      </w:r>
    </w:p>
  </w:footnote>
  <w:footnote w:id="5">
    <w:p w14:paraId="22FC1E28" w14:textId="000BE23D" w:rsidR="00AA42AA" w:rsidRDefault="00AA42AA">
      <w:pPr>
        <w:pStyle w:val="FootnoteText"/>
      </w:pPr>
      <w:r>
        <w:rPr>
          <w:rStyle w:val="FootnoteReference"/>
        </w:rPr>
        <w:footnoteRef/>
      </w:r>
      <w:r>
        <w:t xml:space="preserve"> Ibid </w:t>
      </w:r>
    </w:p>
  </w:footnote>
  <w:footnote w:id="6">
    <w:p w14:paraId="62183A04" w14:textId="77777777" w:rsidR="00AA42AA" w:rsidRPr="00F96040" w:rsidRDefault="00AA42AA" w:rsidP="00AA42AA">
      <w:pPr>
        <w:pStyle w:val="paragraph"/>
        <w:spacing w:before="0" w:beforeAutospacing="0" w:after="0" w:afterAutospacing="0"/>
        <w:textAlignment w:val="baseline"/>
        <w:rPr>
          <w:rFonts w:ascii="Segoe UI" w:hAnsi="Segoe UI" w:cs="Segoe UI"/>
          <w:sz w:val="18"/>
          <w:szCs w:val="18"/>
        </w:rPr>
      </w:pPr>
      <w:r>
        <w:rPr>
          <w:rStyle w:val="FootnoteReference"/>
        </w:rPr>
        <w:footnoteRef/>
      </w:r>
      <w:r>
        <w:t xml:space="preserve"> </w:t>
      </w:r>
      <w:r w:rsidRPr="00F96040">
        <w:rPr>
          <w:rFonts w:ascii="Calibri Light" w:hAnsi="Calibri Light" w:cs="Calibri Light"/>
          <w:sz w:val="20"/>
          <w:szCs w:val="20"/>
        </w:rPr>
        <w:t> OECD. (2023). </w:t>
      </w:r>
      <w:r w:rsidRPr="00F96040">
        <w:rPr>
          <w:rFonts w:ascii="Calibri Light" w:hAnsi="Calibri Light" w:cs="Calibri Light"/>
          <w:i/>
          <w:iCs/>
          <w:sz w:val="20"/>
          <w:szCs w:val="20"/>
        </w:rPr>
        <w:t>Development Co-operation Report 2023: Debating the Aid System</w:t>
      </w:r>
      <w:r w:rsidRPr="00F96040">
        <w:rPr>
          <w:rFonts w:ascii="Calibri Light" w:hAnsi="Calibri Light" w:cs="Calibri Light"/>
          <w:sz w:val="20"/>
          <w:szCs w:val="20"/>
        </w:rPr>
        <w:t>, OECD Publishing, Paris, </w:t>
      </w:r>
    </w:p>
    <w:p w14:paraId="5676A61C" w14:textId="77777777" w:rsidR="00AA42AA" w:rsidRPr="00F96040" w:rsidRDefault="00000000" w:rsidP="00AA42AA">
      <w:pPr>
        <w:spacing w:after="0" w:line="240" w:lineRule="auto"/>
        <w:textAlignment w:val="baseline"/>
        <w:rPr>
          <w:rFonts w:ascii="Segoe UI" w:eastAsia="Times New Roman" w:hAnsi="Segoe UI" w:cs="Segoe UI"/>
          <w:sz w:val="18"/>
          <w:szCs w:val="18"/>
        </w:rPr>
      </w:pPr>
      <w:hyperlink r:id="rId2" w:tgtFrame="_blank" w:history="1">
        <w:r w:rsidR="00AA42AA" w:rsidRPr="00F96040">
          <w:rPr>
            <w:rFonts w:ascii="Calibri Light" w:eastAsia="Times New Roman" w:hAnsi="Calibri Light" w:cs="Calibri Light"/>
            <w:color w:val="0000FF"/>
            <w:sz w:val="20"/>
            <w:szCs w:val="20"/>
            <w:u w:val="single"/>
          </w:rPr>
          <w:t>https://doi.org/10.1787/f6edc3c2-en</w:t>
        </w:r>
      </w:hyperlink>
      <w:r w:rsidR="00AA42AA" w:rsidRPr="00F96040">
        <w:rPr>
          <w:rFonts w:ascii="Calibri Light" w:eastAsia="Times New Roman" w:hAnsi="Calibri Light" w:cs="Calibri Light"/>
          <w:sz w:val="20"/>
          <w:szCs w:val="20"/>
        </w:rPr>
        <w:t>  </w:t>
      </w:r>
    </w:p>
  </w:footnote>
  <w:footnote w:id="7">
    <w:p w14:paraId="03824F62" w14:textId="411221FE" w:rsidR="005C745F" w:rsidRDefault="005C745F">
      <w:pPr>
        <w:pStyle w:val="FootnoteText"/>
      </w:pPr>
      <w:r>
        <w:rPr>
          <w:rStyle w:val="FootnoteReference"/>
        </w:rPr>
        <w:footnoteRef/>
      </w:r>
      <w:r>
        <w:t xml:space="preserve"> </w:t>
      </w:r>
      <w:hyperlink r:id="rId3" w:history="1">
        <w:r w:rsidRPr="00B452FD">
          <w:rPr>
            <w:rStyle w:val="Hyperlink"/>
          </w:rPr>
          <w:t>https://www.oecd.org/dac/financing-sustainable-development/ODA-2022-summary.pdf</w:t>
        </w:r>
      </w:hyperlink>
      <w:r>
        <w:t xml:space="preserve"> </w:t>
      </w:r>
    </w:p>
  </w:footnote>
  <w:footnote w:id="8">
    <w:p w14:paraId="770C7302" w14:textId="6B4CB37C" w:rsidR="00A50DCB" w:rsidRPr="00264F70" w:rsidRDefault="00A50DCB" w:rsidP="00264F70">
      <w:pPr>
        <w:rPr>
          <w:rFonts w:ascii="Times New Roman" w:eastAsia="Times New Roman" w:hAnsi="Times New Roman" w:cs="Times New Roman"/>
          <w:sz w:val="24"/>
          <w:szCs w:val="24"/>
        </w:rPr>
      </w:pPr>
      <w:r>
        <w:rPr>
          <w:rStyle w:val="FootnoteReference"/>
        </w:rPr>
        <w:footnoteRef/>
      </w:r>
      <w:r>
        <w:t xml:space="preserve"> </w:t>
      </w:r>
      <w:r w:rsidRPr="00264F70">
        <w:rPr>
          <w:rFonts w:ascii="Times New Roman" w:eastAsia="Times New Roman" w:hAnsi="Times New Roman" w:cs="Times New Roman"/>
          <w:sz w:val="20"/>
          <w:szCs w:val="20"/>
        </w:rPr>
        <w:t xml:space="preserve">McLean, Elena V. “Multilateral Aid and Domestic Economic Interests.” </w:t>
      </w:r>
      <w:r w:rsidRPr="00264F70">
        <w:rPr>
          <w:rFonts w:ascii="Times New Roman" w:eastAsia="Times New Roman" w:hAnsi="Times New Roman" w:cs="Times New Roman"/>
          <w:i/>
          <w:iCs/>
          <w:sz w:val="20"/>
          <w:szCs w:val="20"/>
        </w:rPr>
        <w:t>International Organization</w:t>
      </w:r>
      <w:r w:rsidRPr="00264F70">
        <w:rPr>
          <w:rFonts w:ascii="Times New Roman" w:eastAsia="Times New Roman" w:hAnsi="Times New Roman" w:cs="Times New Roman"/>
          <w:sz w:val="20"/>
          <w:szCs w:val="20"/>
        </w:rPr>
        <w:t xml:space="preserve">, vol. 69, no. 1, 2015, pp. 97–130. </w:t>
      </w:r>
      <w:r w:rsidRPr="00264F70">
        <w:rPr>
          <w:rFonts w:ascii="Times New Roman" w:eastAsia="Times New Roman" w:hAnsi="Times New Roman" w:cs="Times New Roman"/>
          <w:i/>
          <w:iCs/>
          <w:sz w:val="20"/>
          <w:szCs w:val="20"/>
        </w:rPr>
        <w:t>JSTOR</w:t>
      </w:r>
      <w:r w:rsidRPr="00264F70">
        <w:rPr>
          <w:rFonts w:ascii="Times New Roman" w:eastAsia="Times New Roman" w:hAnsi="Times New Roman" w:cs="Times New Roman"/>
          <w:sz w:val="20"/>
          <w:szCs w:val="20"/>
        </w:rPr>
        <w:t xml:space="preserve">, </w:t>
      </w:r>
      <w:hyperlink r:id="rId4" w:history="1">
        <w:r w:rsidR="005C745F" w:rsidRPr="00B452FD">
          <w:rPr>
            <w:rStyle w:val="Hyperlink"/>
            <w:rFonts w:ascii="Times New Roman" w:eastAsia="Times New Roman" w:hAnsi="Times New Roman" w:cs="Times New Roman"/>
            <w:sz w:val="20"/>
            <w:szCs w:val="20"/>
          </w:rPr>
          <w:t>http://www.jstor.org/stable/43283292</w:t>
        </w:r>
      </w:hyperlink>
      <w:r w:rsidRPr="00264F70">
        <w:rPr>
          <w:rFonts w:ascii="Times New Roman" w:eastAsia="Times New Roman" w:hAnsi="Times New Roman" w:cs="Times New Roman"/>
          <w:sz w:val="20"/>
          <w:szCs w:val="20"/>
        </w:rPr>
        <w:t xml:space="preserve">. </w:t>
      </w:r>
    </w:p>
  </w:footnote>
  <w:footnote w:id="9">
    <w:p w14:paraId="33E84464" w14:textId="1E810E84" w:rsidR="00EA7E54" w:rsidRDefault="00EA7E54">
      <w:pPr>
        <w:pStyle w:val="FootnoteText"/>
      </w:pPr>
      <w:r>
        <w:rPr>
          <w:rStyle w:val="FootnoteReference"/>
        </w:rPr>
        <w:footnoteRef/>
      </w:r>
      <w:r>
        <w:t xml:space="preserve"> </w:t>
      </w:r>
      <w:hyperlink r:id="rId5" w:history="1">
        <w:r w:rsidR="003D598C" w:rsidRPr="0066289E">
          <w:rPr>
            <w:rStyle w:val="Hyperlink"/>
            <w:rFonts w:ascii="Calibri Light" w:hAnsi="Calibri Light" w:cs="Calibri Light"/>
            <w:shd w:val="clear" w:color="auto" w:fill="FFFFFF"/>
          </w:rPr>
          <w:t>https://www.un.org/sg/en/content/sg/speeches/2022-09-20/secretary-generals-address-the-general-assembly</w:t>
        </w:r>
      </w:hyperlink>
      <w:r w:rsidR="003D598C">
        <w:rPr>
          <w:rStyle w:val="normaltextrun"/>
          <w:rFonts w:ascii="Calibri Light" w:hAnsi="Calibri Light" w:cs="Calibri Light"/>
          <w:color w:val="000000"/>
          <w:shd w:val="clear" w:color="auto" w:fill="FFFFFF"/>
        </w:rPr>
        <w:t xml:space="preserve"> </w:t>
      </w:r>
    </w:p>
  </w:footnote>
  <w:footnote w:id="10">
    <w:p w14:paraId="17118CEC" w14:textId="577BC508" w:rsidR="00FC3051" w:rsidRDefault="00FC3051">
      <w:pPr>
        <w:pStyle w:val="FootnoteText"/>
      </w:pPr>
      <w:r>
        <w:rPr>
          <w:rStyle w:val="FootnoteReference"/>
        </w:rPr>
        <w:footnoteRef/>
      </w:r>
      <w:r>
        <w:t xml:space="preserve"> </w:t>
      </w:r>
      <w:hyperlink r:id="rId6" w:history="1">
        <w:r w:rsidR="00444E89" w:rsidRPr="001E4D85">
          <w:rPr>
            <w:rStyle w:val="Hyperlink"/>
          </w:rPr>
          <w:t>https://www.oecd.org/dac/2022-mdf-comparing-multilateral-bilateral-aid.pdf</w:t>
        </w:r>
      </w:hyperlink>
      <w:r w:rsidR="00444E89">
        <w:t xml:space="preserve"> </w:t>
      </w:r>
    </w:p>
  </w:footnote>
  <w:footnote w:id="11">
    <w:p w14:paraId="114C6A87" w14:textId="10E778D3" w:rsidR="00ED47F4" w:rsidRDefault="00ED47F4">
      <w:pPr>
        <w:pStyle w:val="FootnoteText"/>
      </w:pPr>
      <w:r>
        <w:rPr>
          <w:rStyle w:val="FootnoteReference"/>
        </w:rPr>
        <w:footnoteRef/>
      </w:r>
      <w:r>
        <w:t xml:space="preserve"> </w:t>
      </w:r>
      <w:r>
        <w:rPr>
          <w:rStyle w:val="normaltextrun"/>
          <w:rFonts w:ascii="Calibri Light" w:hAnsi="Calibri Light" w:cs="Calibri Light"/>
          <w:color w:val="000000"/>
          <w:shd w:val="clear" w:color="auto" w:fill="FFFFFF"/>
        </w:rPr>
        <w:t>UN agencies have made substantial progress in transparency, visibility, reporting and efficiency. “Of the 36 indicators under the UN Sustainable Development Group (UNSDG)’s 14 Funding Compact commitments, 53% (19 indicators) have already been met or seen rapid progress, 33% (12) have seen medium progress, and only 11% (4) have seen stalled or slow progress, with one indicator showing no data as yet” (Hendra, 2022, p. 119).</w:t>
      </w:r>
    </w:p>
  </w:footnote>
  <w:footnote w:id="12">
    <w:p w14:paraId="081B3AA9" w14:textId="66FB5789" w:rsidR="001509D5" w:rsidRDefault="001509D5">
      <w:pPr>
        <w:pStyle w:val="FootnoteText"/>
      </w:pPr>
      <w:r>
        <w:rPr>
          <w:rStyle w:val="FootnoteReference"/>
        </w:rPr>
        <w:footnoteRef/>
      </w:r>
      <w:r>
        <w:t xml:space="preserve"> </w:t>
      </w:r>
      <w:r>
        <w:rPr>
          <w:rStyle w:val="normaltextrun"/>
          <w:rFonts w:ascii="Calibri Light" w:hAnsi="Calibri Light" w:cs="Calibri Light"/>
          <w:color w:val="000000"/>
          <w:shd w:val="clear" w:color="auto" w:fill="FFFFFF"/>
        </w:rPr>
        <w:t>Baumann M-O. (2021). </w:t>
      </w:r>
      <w:r>
        <w:rPr>
          <w:rStyle w:val="normaltextrun"/>
          <w:rFonts w:ascii="Calibri Light" w:hAnsi="Calibri Light" w:cs="Calibri Light"/>
          <w:i/>
          <w:iCs/>
          <w:color w:val="000000"/>
          <w:shd w:val="clear" w:color="auto" w:fill="FFFFFF"/>
        </w:rPr>
        <w:t>How earmarking has become self-perpetuating in United Nations development co-operation</w:t>
      </w:r>
      <w:r>
        <w:rPr>
          <w:rStyle w:val="normaltextrun"/>
          <w:rFonts w:ascii="Calibri Light" w:hAnsi="Calibri Light" w:cs="Calibri Light"/>
          <w:color w:val="000000"/>
          <w:shd w:val="clear" w:color="auto" w:fill="FFFFFF"/>
        </w:rPr>
        <w:t>. Dev Policy Rev, 39, 343–359. </w:t>
      </w:r>
      <w:r>
        <w:rPr>
          <w:rStyle w:val="normaltextrun"/>
          <w:rFonts w:ascii="Calibri Light" w:hAnsi="Calibri Light" w:cs="Calibri Light"/>
          <w:color w:val="0000FF"/>
          <w:shd w:val="clear" w:color="auto" w:fill="FFFFFF"/>
        </w:rPr>
        <w:t>https://doi.org/10.1111/dpr.12504</w:t>
      </w:r>
    </w:p>
  </w:footnote>
  <w:footnote w:id="13">
    <w:p w14:paraId="611DD0FB" w14:textId="4DE01A9C" w:rsidR="004B7E99" w:rsidRDefault="004B7E99">
      <w:pPr>
        <w:pStyle w:val="FootnoteText"/>
      </w:pPr>
      <w:r>
        <w:rPr>
          <w:rStyle w:val="FootnoteReference"/>
        </w:rPr>
        <w:footnoteRef/>
      </w:r>
      <w:r>
        <w:t xml:space="preserve"> </w:t>
      </w:r>
      <w:r>
        <w:rPr>
          <w:rStyle w:val="normaltextrun"/>
          <w:rFonts w:ascii="Calibri Light" w:hAnsi="Calibri Light" w:cs="Calibri Light"/>
          <w:color w:val="000000"/>
          <w:shd w:val="clear" w:color="auto" w:fill="FFFFFF"/>
        </w:rPr>
        <w:t>United Nations MPTF Office. (2022). </w:t>
      </w:r>
      <w:r>
        <w:rPr>
          <w:rStyle w:val="normaltextrun"/>
          <w:rFonts w:ascii="Calibri Light" w:hAnsi="Calibri Light" w:cs="Calibri Light"/>
          <w:i/>
          <w:iCs/>
          <w:color w:val="000000"/>
          <w:shd w:val="clear" w:color="auto" w:fill="FFFFFF"/>
        </w:rPr>
        <w:t>Funding mix and degrees of earmarking</w:t>
      </w:r>
      <w:r>
        <w:rPr>
          <w:rStyle w:val="normaltextrun"/>
          <w:rFonts w:ascii="Calibri Light" w:hAnsi="Calibri Light" w:cs="Calibri Light"/>
          <w:color w:val="000000"/>
          <w:shd w:val="clear" w:color="auto" w:fill="FFFFFF"/>
        </w:rPr>
        <w:t>. Financing the UN Development system – Joint Responsibilities in a World in Disarray. 49.</w:t>
      </w:r>
    </w:p>
  </w:footnote>
  <w:footnote w:id="14">
    <w:p w14:paraId="77A6E586" w14:textId="4A87F897" w:rsidR="00FF1FE2" w:rsidRDefault="00FF1FE2">
      <w:pPr>
        <w:pStyle w:val="FootnoteText"/>
      </w:pPr>
      <w:r>
        <w:rPr>
          <w:rStyle w:val="FootnoteReference"/>
        </w:rPr>
        <w:footnoteRef/>
      </w:r>
      <w:r>
        <w:t xml:space="preserve"> </w:t>
      </w:r>
      <w:r>
        <w:rPr>
          <w:rStyle w:val="normaltextrun"/>
          <w:rFonts w:ascii="Calibri Light" w:hAnsi="Calibri Light" w:cs="Calibri Light"/>
          <w:color w:val="000000"/>
          <w:shd w:val="clear" w:color="auto" w:fill="FFFFFF"/>
        </w:rPr>
        <w:t>FAO, </w:t>
      </w:r>
      <w:proofErr w:type="gramStart"/>
      <w:r>
        <w:rPr>
          <w:rStyle w:val="normaltextrun"/>
          <w:rFonts w:ascii="Calibri Light" w:hAnsi="Calibri Light" w:cs="Calibri Light"/>
          <w:color w:val="000000"/>
          <w:shd w:val="clear" w:color="auto" w:fill="FFFFFF"/>
        </w:rPr>
        <w:t>DI</w:t>
      </w:r>
      <w:proofErr w:type="gramEnd"/>
      <w:r>
        <w:rPr>
          <w:rStyle w:val="normaltextrun"/>
          <w:rFonts w:ascii="Calibri Light" w:hAnsi="Calibri Light" w:cs="Calibri Light"/>
          <w:color w:val="000000"/>
          <w:shd w:val="clear" w:color="auto" w:fill="FFFFFF"/>
        </w:rPr>
        <w:t xml:space="preserve"> and NRC. 2020. </w:t>
      </w:r>
      <w:r>
        <w:rPr>
          <w:rStyle w:val="normaltextrun"/>
          <w:rFonts w:ascii="Calibri Light" w:hAnsi="Calibri Light" w:cs="Calibri Light"/>
          <w:i/>
          <w:iCs/>
          <w:color w:val="000000"/>
          <w:shd w:val="clear" w:color="auto" w:fill="FFFFFF"/>
        </w:rPr>
        <w:t>Catalogue of quality funding practices to the humanitarian response: A reference tool for policymakers and practitioners to enhance the efficiency and effectiveness of programming</w:t>
      </w:r>
      <w:r>
        <w:rPr>
          <w:rStyle w:val="normaltextrun"/>
          <w:rFonts w:ascii="Calibri Light" w:hAnsi="Calibri Light" w:cs="Calibri Light"/>
          <w:color w:val="000000"/>
          <w:shd w:val="clear" w:color="auto" w:fill="FFFFFF"/>
        </w:rPr>
        <w:t>. </w:t>
      </w:r>
      <w:hyperlink r:id="rId7" w:tgtFrame="_blank" w:history="1">
        <w:r>
          <w:rPr>
            <w:rStyle w:val="normaltextrun"/>
            <w:rFonts w:ascii="Calibri Light" w:hAnsi="Calibri Light" w:cs="Calibri Light"/>
            <w:color w:val="0000FF"/>
            <w:u w:val="single"/>
            <w:shd w:val="clear" w:color="auto" w:fill="FFFFFF"/>
          </w:rPr>
          <w:t>https://doi.org/10.4060/ca9929en</w:t>
        </w:r>
      </w:hyperlink>
      <w:r>
        <w:rPr>
          <w:rStyle w:val="normaltextrun"/>
          <w:rFonts w:ascii="Calibri Light" w:hAnsi="Calibri Light" w:cs="Calibri Light"/>
          <w:color w:val="000000"/>
          <w:shd w:val="clear" w:color="auto" w:fill="FFFFFF"/>
        </w:rPr>
        <w:t> </w:t>
      </w:r>
    </w:p>
  </w:footnote>
  <w:footnote w:id="15">
    <w:p w14:paraId="0C494D7A" w14:textId="109EB51D" w:rsidR="00CD7FED" w:rsidRDefault="00CD7FED">
      <w:pPr>
        <w:pStyle w:val="FootnoteText"/>
      </w:pPr>
      <w:r>
        <w:rPr>
          <w:rStyle w:val="FootnoteReference"/>
        </w:rPr>
        <w:footnoteRef/>
      </w:r>
      <w:r>
        <w:t xml:space="preserve"> </w:t>
      </w:r>
      <w:r>
        <w:rPr>
          <w:rStyle w:val="normaltextrun"/>
          <w:rFonts w:ascii="Calibri Light" w:hAnsi="Calibri Light" w:cs="Calibri Light"/>
          <w:color w:val="000000"/>
          <w:shd w:val="clear" w:color="auto" w:fill="FFFFFF"/>
        </w:rPr>
        <w:t>Baumann M-O. (2021). </w:t>
      </w:r>
      <w:r>
        <w:rPr>
          <w:rStyle w:val="normaltextrun"/>
          <w:rFonts w:ascii="Calibri Light" w:hAnsi="Calibri Light" w:cs="Calibri Light"/>
          <w:i/>
          <w:iCs/>
          <w:color w:val="000000"/>
          <w:shd w:val="clear" w:color="auto" w:fill="FFFFFF"/>
        </w:rPr>
        <w:t>How earmarking has become self-perpetuating in United Nations development co-operation</w:t>
      </w:r>
      <w:r>
        <w:rPr>
          <w:rStyle w:val="normaltextrun"/>
          <w:rFonts w:ascii="Calibri Light" w:hAnsi="Calibri Light" w:cs="Calibri Light"/>
          <w:color w:val="000000"/>
          <w:shd w:val="clear" w:color="auto" w:fill="FFFFFF"/>
        </w:rPr>
        <w:t>. Dev Policy Rev, 39, 350. </w:t>
      </w:r>
      <w:r>
        <w:rPr>
          <w:rStyle w:val="normaltextrun"/>
          <w:rFonts w:ascii="Calibri Light" w:hAnsi="Calibri Light" w:cs="Calibri Light"/>
          <w:color w:val="0000FF"/>
          <w:shd w:val="clear" w:color="auto" w:fill="FFFFFF"/>
        </w:rPr>
        <w:t>https://doi.org/10.1111/dpr.12504</w:t>
      </w:r>
    </w:p>
  </w:footnote>
  <w:footnote w:id="16">
    <w:p w14:paraId="4D315C13" w14:textId="3E19D7F4" w:rsidR="008A18D2" w:rsidRDefault="008A18D2">
      <w:pPr>
        <w:pStyle w:val="FootnoteText"/>
      </w:pPr>
      <w:r>
        <w:rPr>
          <w:rStyle w:val="FootnoteReference"/>
        </w:rPr>
        <w:footnoteRef/>
      </w:r>
      <w:r>
        <w:t xml:space="preserve"> ibid</w:t>
      </w:r>
    </w:p>
  </w:footnote>
  <w:footnote w:id="17">
    <w:p w14:paraId="78CD6C9E" w14:textId="6320FE5D" w:rsidR="000326C8" w:rsidRDefault="000326C8">
      <w:pPr>
        <w:pStyle w:val="FootnoteText"/>
      </w:pPr>
      <w:r>
        <w:rPr>
          <w:rStyle w:val="FootnoteReference"/>
        </w:rPr>
        <w:footnoteRef/>
      </w:r>
      <w:r>
        <w:t xml:space="preserve"> </w:t>
      </w:r>
      <w:r>
        <w:rPr>
          <w:rStyle w:val="normaltextrun"/>
          <w:rFonts w:ascii="Calibri Light" w:hAnsi="Calibri Light" w:cs="Calibri Light"/>
          <w:color w:val="000000"/>
          <w:shd w:val="clear" w:color="auto" w:fill="FFFFFF"/>
        </w:rPr>
        <w:t>Browne, S. (2011). </w:t>
      </w:r>
      <w:r>
        <w:rPr>
          <w:rStyle w:val="normaltextrun"/>
          <w:rFonts w:ascii="Calibri Light" w:hAnsi="Calibri Light" w:cs="Calibri Light"/>
          <w:i/>
          <w:iCs/>
          <w:color w:val="000000"/>
          <w:shd w:val="clear" w:color="auto" w:fill="FFFFFF"/>
        </w:rPr>
        <w:t>The United Nations Development Programme and System</w:t>
      </w:r>
      <w:r>
        <w:rPr>
          <w:rStyle w:val="normaltextrun"/>
          <w:rFonts w:ascii="Calibri Light" w:hAnsi="Calibri Light" w:cs="Calibri Light"/>
          <w:color w:val="000000"/>
          <w:shd w:val="clear" w:color="auto" w:fill="FFFFFF"/>
        </w:rPr>
        <w:t>. Routledge.</w:t>
      </w:r>
      <w:r w:rsidRPr="000326C8">
        <w:rPr>
          <w:rFonts w:ascii="Calibri" w:eastAsia="Times New Roman" w:hAnsi="Calibri" w:cs="Calibri"/>
          <w:color w:val="000000"/>
          <w:shd w:val="clear" w:color="auto" w:fill="FFFFFF"/>
        </w:rPr>
        <w:t xml:space="preserve"> </w:t>
      </w:r>
      <w:r w:rsidRPr="001507B3">
        <w:rPr>
          <w:rFonts w:ascii="Calibri" w:eastAsia="Times New Roman" w:hAnsi="Calibri" w:cs="Calibri"/>
          <w:color w:val="000000"/>
          <w:shd w:val="clear" w:color="auto" w:fill="FFFFFF"/>
        </w:rPr>
        <w:t>p. 119</w:t>
      </w:r>
    </w:p>
  </w:footnote>
  <w:footnote w:id="18">
    <w:p w14:paraId="14266BA6" w14:textId="29760D33" w:rsidR="00DB7CFA" w:rsidRDefault="00DB7CFA">
      <w:pPr>
        <w:pStyle w:val="FootnoteText"/>
      </w:pPr>
      <w:r>
        <w:rPr>
          <w:rStyle w:val="FootnoteReference"/>
        </w:rPr>
        <w:footnoteRef/>
      </w:r>
      <w:r>
        <w:t xml:space="preserve"> </w:t>
      </w:r>
      <w:r>
        <w:rPr>
          <w:rStyle w:val="normaltextrun"/>
          <w:rFonts w:ascii="Calibri Light" w:hAnsi="Calibri Light" w:cs="Calibri Light"/>
          <w:color w:val="000000"/>
          <w:shd w:val="clear" w:color="auto" w:fill="FFFFFF"/>
        </w:rPr>
        <w:t>Multilateral </w:t>
      </w:r>
      <w:proofErr w:type="spellStart"/>
      <w:r>
        <w:rPr>
          <w:rStyle w:val="normaltextrun"/>
          <w:rFonts w:ascii="Calibri Light" w:hAnsi="Calibri Light" w:cs="Calibri Light"/>
          <w:color w:val="000000"/>
          <w:shd w:val="clear" w:color="auto" w:fill="FFFFFF"/>
        </w:rPr>
        <w:t>Organisation</w:t>
      </w:r>
      <w:proofErr w:type="spellEnd"/>
      <w:r>
        <w:rPr>
          <w:rStyle w:val="normaltextrun"/>
          <w:rFonts w:ascii="Calibri Light" w:hAnsi="Calibri Light" w:cs="Calibri Light"/>
          <w:color w:val="000000"/>
          <w:shd w:val="clear" w:color="auto" w:fill="FFFFFF"/>
        </w:rPr>
        <w:t xml:space="preserve"> Performance Assessment Network (MOPAN). (2021). </w:t>
      </w:r>
      <w:r>
        <w:rPr>
          <w:rStyle w:val="normaltextrun"/>
          <w:rFonts w:ascii="Calibri Light" w:hAnsi="Calibri Light" w:cs="Calibri Light"/>
          <w:i/>
          <w:iCs/>
          <w:color w:val="000000"/>
          <w:shd w:val="clear" w:color="auto" w:fill="FFFFFF"/>
        </w:rPr>
        <w:t>MOPAN Assessment Report: UNDP 2020 Assessment Cycle</w:t>
      </w:r>
      <w:r>
        <w:rPr>
          <w:rStyle w:val="normaltextrun"/>
          <w:rFonts w:ascii="Calibri Light" w:hAnsi="Calibri Light" w:cs="Calibri Light"/>
          <w:color w:val="000000"/>
          <w:shd w:val="clear" w:color="auto" w:fill="FFFFFF"/>
        </w:rPr>
        <w:t>, Paris.</w:t>
      </w:r>
      <w:r w:rsidR="000528E3">
        <w:rPr>
          <w:rStyle w:val="normaltextrun"/>
          <w:rFonts w:ascii="Calibri Light" w:hAnsi="Calibri Light" w:cs="Calibri Light"/>
          <w:color w:val="000000"/>
          <w:shd w:val="clear" w:color="auto" w:fill="FFFFFF"/>
        </w:rPr>
        <w:t xml:space="preserve"> P. 15</w:t>
      </w:r>
    </w:p>
  </w:footnote>
  <w:footnote w:id="19">
    <w:p w14:paraId="630736D9" w14:textId="77777777" w:rsidR="00333E6C" w:rsidRDefault="00333E6C" w:rsidP="00333E6C">
      <w:pPr>
        <w:pStyle w:val="FootnoteText"/>
      </w:pPr>
      <w:r>
        <w:rPr>
          <w:rStyle w:val="FootnoteReference"/>
        </w:rPr>
        <w:footnoteRef/>
      </w:r>
      <w:r>
        <w:t xml:space="preserve"> </w:t>
      </w:r>
      <w:r>
        <w:rPr>
          <w:rStyle w:val="normaltextrun"/>
          <w:rFonts w:ascii="Calibri Light" w:hAnsi="Calibri Light" w:cs="Calibri Light"/>
          <w:color w:val="000000"/>
          <w:shd w:val="clear" w:color="auto" w:fill="FFFFFF"/>
        </w:rPr>
        <w:t>“Of the 17 indicators under Member States’ eight commitments, only 12% (2 indicators) have been met or seen rapid progress, 35% (6) have seen medium progress, and 47% (8) have been stalled or slow progress, with one indicator showing no data yet (Hendra, 2022, p. 120).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5E3E8" w14:textId="1F10FBC7" w:rsidR="00D543D4" w:rsidRPr="00D543D4" w:rsidRDefault="00D543D4" w:rsidP="00D543D4">
    <w:pPr>
      <w:pStyle w:val="Title"/>
      <w:jc w:val="right"/>
      <w:rPr>
        <w:rFonts w:eastAsia="Times New Roman"/>
        <w:sz w:val="24"/>
        <w:szCs w:val="24"/>
      </w:rPr>
    </w:pPr>
    <w:r w:rsidRPr="00D543D4">
      <w:rPr>
        <w:rFonts w:eastAsia="Times New Roman"/>
        <w:sz w:val="24"/>
        <w:szCs w:val="24"/>
      </w:rPr>
      <w:t>Annex III to DP/2023/26</w:t>
    </w:r>
  </w:p>
  <w:p w14:paraId="3D443FEC" w14:textId="77777777" w:rsidR="00D543D4" w:rsidRDefault="00D543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4185"/>
    <w:multiLevelType w:val="multilevel"/>
    <w:tmpl w:val="8B3E4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063E5B"/>
    <w:multiLevelType w:val="multilevel"/>
    <w:tmpl w:val="D3063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DD303B"/>
    <w:multiLevelType w:val="hybridMultilevel"/>
    <w:tmpl w:val="649C0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1B1A99"/>
    <w:multiLevelType w:val="hybridMultilevel"/>
    <w:tmpl w:val="01DCCD24"/>
    <w:lvl w:ilvl="0" w:tplc="E528F42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7E454F"/>
    <w:multiLevelType w:val="hybridMultilevel"/>
    <w:tmpl w:val="5E66D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B91BB8"/>
    <w:multiLevelType w:val="multilevel"/>
    <w:tmpl w:val="4B4889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602660"/>
    <w:multiLevelType w:val="multilevel"/>
    <w:tmpl w:val="DD1C1C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2D0766"/>
    <w:multiLevelType w:val="multilevel"/>
    <w:tmpl w:val="EB9C50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D82F59"/>
    <w:multiLevelType w:val="multilevel"/>
    <w:tmpl w:val="65C6E9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6E4E35"/>
    <w:multiLevelType w:val="hybridMultilevel"/>
    <w:tmpl w:val="33163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F554B5"/>
    <w:multiLevelType w:val="hybridMultilevel"/>
    <w:tmpl w:val="4CD4E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5979161">
    <w:abstractNumId w:val="1"/>
  </w:num>
  <w:num w:numId="2" w16cid:durableId="795566471">
    <w:abstractNumId w:val="0"/>
  </w:num>
  <w:num w:numId="3" w16cid:durableId="1083407061">
    <w:abstractNumId w:val="5"/>
  </w:num>
  <w:num w:numId="4" w16cid:durableId="544369351">
    <w:abstractNumId w:val="6"/>
  </w:num>
  <w:num w:numId="5" w16cid:durableId="270361491">
    <w:abstractNumId w:val="7"/>
  </w:num>
  <w:num w:numId="6" w16cid:durableId="1343706659">
    <w:abstractNumId w:val="8"/>
  </w:num>
  <w:num w:numId="7" w16cid:durableId="1853490287">
    <w:abstractNumId w:val="4"/>
  </w:num>
  <w:num w:numId="8" w16cid:durableId="1536849608">
    <w:abstractNumId w:val="2"/>
  </w:num>
  <w:num w:numId="9" w16cid:durableId="1537355388">
    <w:abstractNumId w:val="10"/>
  </w:num>
  <w:num w:numId="10" w16cid:durableId="291206227">
    <w:abstractNumId w:val="9"/>
  </w:num>
  <w:num w:numId="11" w16cid:durableId="1697927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865"/>
    <w:rsid w:val="00000786"/>
    <w:rsid w:val="0000177E"/>
    <w:rsid w:val="00004D44"/>
    <w:rsid w:val="00006CE8"/>
    <w:rsid w:val="0001093C"/>
    <w:rsid w:val="000171FF"/>
    <w:rsid w:val="00021E20"/>
    <w:rsid w:val="00023DFC"/>
    <w:rsid w:val="00027BC6"/>
    <w:rsid w:val="000326C8"/>
    <w:rsid w:val="00034829"/>
    <w:rsid w:val="00041AB8"/>
    <w:rsid w:val="000427E6"/>
    <w:rsid w:val="00045385"/>
    <w:rsid w:val="00050A8A"/>
    <w:rsid w:val="000528E3"/>
    <w:rsid w:val="00052E3B"/>
    <w:rsid w:val="00065A2A"/>
    <w:rsid w:val="00076856"/>
    <w:rsid w:val="0008095D"/>
    <w:rsid w:val="00082984"/>
    <w:rsid w:val="0008398A"/>
    <w:rsid w:val="0008508C"/>
    <w:rsid w:val="00087113"/>
    <w:rsid w:val="00091C52"/>
    <w:rsid w:val="000A71AC"/>
    <w:rsid w:val="000A7805"/>
    <w:rsid w:val="000B741B"/>
    <w:rsid w:val="000C1E3A"/>
    <w:rsid w:val="000C5731"/>
    <w:rsid w:val="000D00D4"/>
    <w:rsid w:val="000D2F78"/>
    <w:rsid w:val="000D627A"/>
    <w:rsid w:val="000D7D9D"/>
    <w:rsid w:val="000D7DC9"/>
    <w:rsid w:val="000D7EBC"/>
    <w:rsid w:val="000E4EFC"/>
    <w:rsid w:val="000F6374"/>
    <w:rsid w:val="000F7A5C"/>
    <w:rsid w:val="00101743"/>
    <w:rsid w:val="00105682"/>
    <w:rsid w:val="00123383"/>
    <w:rsid w:val="00125846"/>
    <w:rsid w:val="0012647A"/>
    <w:rsid w:val="00141437"/>
    <w:rsid w:val="001438F0"/>
    <w:rsid w:val="001452B3"/>
    <w:rsid w:val="0014584D"/>
    <w:rsid w:val="001507B3"/>
    <w:rsid w:val="001509D5"/>
    <w:rsid w:val="001571BE"/>
    <w:rsid w:val="00160112"/>
    <w:rsid w:val="001621FF"/>
    <w:rsid w:val="00165F67"/>
    <w:rsid w:val="00167905"/>
    <w:rsid w:val="001723C5"/>
    <w:rsid w:val="00177431"/>
    <w:rsid w:val="00190923"/>
    <w:rsid w:val="001952B5"/>
    <w:rsid w:val="001A1CC2"/>
    <w:rsid w:val="001A2F57"/>
    <w:rsid w:val="001B08D2"/>
    <w:rsid w:val="001C478A"/>
    <w:rsid w:val="001E46C8"/>
    <w:rsid w:val="001E4D1E"/>
    <w:rsid w:val="001F4677"/>
    <w:rsid w:val="002014B3"/>
    <w:rsid w:val="00201679"/>
    <w:rsid w:val="00202578"/>
    <w:rsid w:val="00204828"/>
    <w:rsid w:val="00211426"/>
    <w:rsid w:val="00212591"/>
    <w:rsid w:val="002203C5"/>
    <w:rsid w:val="00220A56"/>
    <w:rsid w:val="00227202"/>
    <w:rsid w:val="00241317"/>
    <w:rsid w:val="00245047"/>
    <w:rsid w:val="002465EC"/>
    <w:rsid w:val="00254AF6"/>
    <w:rsid w:val="0025568E"/>
    <w:rsid w:val="00255CAF"/>
    <w:rsid w:val="002569D2"/>
    <w:rsid w:val="00264F70"/>
    <w:rsid w:val="00272129"/>
    <w:rsid w:val="00272370"/>
    <w:rsid w:val="002922C9"/>
    <w:rsid w:val="00297F62"/>
    <w:rsid w:val="002A290A"/>
    <w:rsid w:val="002A518C"/>
    <w:rsid w:val="002B1E04"/>
    <w:rsid w:val="002B313E"/>
    <w:rsid w:val="002B5D0F"/>
    <w:rsid w:val="002B62D6"/>
    <w:rsid w:val="002B6729"/>
    <w:rsid w:val="002C1AB7"/>
    <w:rsid w:val="002D6920"/>
    <w:rsid w:val="002D716A"/>
    <w:rsid w:val="002D72FC"/>
    <w:rsid w:val="002E11B5"/>
    <w:rsid w:val="002F3071"/>
    <w:rsid w:val="002F446E"/>
    <w:rsid w:val="002F7B6C"/>
    <w:rsid w:val="00300316"/>
    <w:rsid w:val="0030098B"/>
    <w:rsid w:val="00312D12"/>
    <w:rsid w:val="0031653B"/>
    <w:rsid w:val="00317174"/>
    <w:rsid w:val="003254B4"/>
    <w:rsid w:val="00331E92"/>
    <w:rsid w:val="0033251D"/>
    <w:rsid w:val="00333E6C"/>
    <w:rsid w:val="00336DF9"/>
    <w:rsid w:val="00341728"/>
    <w:rsid w:val="003424FE"/>
    <w:rsid w:val="003504A2"/>
    <w:rsid w:val="003509BD"/>
    <w:rsid w:val="00353508"/>
    <w:rsid w:val="00356E78"/>
    <w:rsid w:val="00357C99"/>
    <w:rsid w:val="003675DF"/>
    <w:rsid w:val="00367B43"/>
    <w:rsid w:val="00371926"/>
    <w:rsid w:val="00374ADB"/>
    <w:rsid w:val="003827FF"/>
    <w:rsid w:val="00391332"/>
    <w:rsid w:val="00392B7C"/>
    <w:rsid w:val="0039337C"/>
    <w:rsid w:val="003949CB"/>
    <w:rsid w:val="00397068"/>
    <w:rsid w:val="003971A0"/>
    <w:rsid w:val="0039770A"/>
    <w:rsid w:val="003A0992"/>
    <w:rsid w:val="003A0D45"/>
    <w:rsid w:val="003B100E"/>
    <w:rsid w:val="003B232B"/>
    <w:rsid w:val="003B5A23"/>
    <w:rsid w:val="003B6A5A"/>
    <w:rsid w:val="003D2BF5"/>
    <w:rsid w:val="003D3AC0"/>
    <w:rsid w:val="003D4959"/>
    <w:rsid w:val="003D598C"/>
    <w:rsid w:val="003E137F"/>
    <w:rsid w:val="003E1CEB"/>
    <w:rsid w:val="003E4446"/>
    <w:rsid w:val="003F3BB7"/>
    <w:rsid w:val="003F3D33"/>
    <w:rsid w:val="003F7305"/>
    <w:rsid w:val="0040190E"/>
    <w:rsid w:val="00411B7F"/>
    <w:rsid w:val="004169A4"/>
    <w:rsid w:val="00416EF2"/>
    <w:rsid w:val="00417393"/>
    <w:rsid w:val="004176E5"/>
    <w:rsid w:val="00426E91"/>
    <w:rsid w:val="0043195C"/>
    <w:rsid w:val="004348C1"/>
    <w:rsid w:val="00436875"/>
    <w:rsid w:val="004369D1"/>
    <w:rsid w:val="00444E89"/>
    <w:rsid w:val="0044533E"/>
    <w:rsid w:val="00461E18"/>
    <w:rsid w:val="004624A7"/>
    <w:rsid w:val="00465F9A"/>
    <w:rsid w:val="00472179"/>
    <w:rsid w:val="004773D2"/>
    <w:rsid w:val="00485B0D"/>
    <w:rsid w:val="0048DA5E"/>
    <w:rsid w:val="0049669C"/>
    <w:rsid w:val="004A2BC4"/>
    <w:rsid w:val="004A2C58"/>
    <w:rsid w:val="004A316A"/>
    <w:rsid w:val="004A6459"/>
    <w:rsid w:val="004B4AE1"/>
    <w:rsid w:val="004B7E99"/>
    <w:rsid w:val="004C0793"/>
    <w:rsid w:val="004C19E9"/>
    <w:rsid w:val="004C2270"/>
    <w:rsid w:val="004C4570"/>
    <w:rsid w:val="004C7C06"/>
    <w:rsid w:val="004D08E7"/>
    <w:rsid w:val="004D3708"/>
    <w:rsid w:val="004D50CF"/>
    <w:rsid w:val="004D5A9D"/>
    <w:rsid w:val="004D640D"/>
    <w:rsid w:val="004E2488"/>
    <w:rsid w:val="004E7087"/>
    <w:rsid w:val="004F27E0"/>
    <w:rsid w:val="004F3069"/>
    <w:rsid w:val="00500755"/>
    <w:rsid w:val="00517F69"/>
    <w:rsid w:val="00526A82"/>
    <w:rsid w:val="00534E04"/>
    <w:rsid w:val="005372B0"/>
    <w:rsid w:val="00540598"/>
    <w:rsid w:val="005423DC"/>
    <w:rsid w:val="00542428"/>
    <w:rsid w:val="00542C8F"/>
    <w:rsid w:val="00543AED"/>
    <w:rsid w:val="00554176"/>
    <w:rsid w:val="00556CB5"/>
    <w:rsid w:val="00567288"/>
    <w:rsid w:val="00567CB1"/>
    <w:rsid w:val="00570026"/>
    <w:rsid w:val="00574FE2"/>
    <w:rsid w:val="00576DE2"/>
    <w:rsid w:val="0059285F"/>
    <w:rsid w:val="005964D9"/>
    <w:rsid w:val="00596D12"/>
    <w:rsid w:val="005A64D7"/>
    <w:rsid w:val="005B016F"/>
    <w:rsid w:val="005B759E"/>
    <w:rsid w:val="005C4EEE"/>
    <w:rsid w:val="005C745F"/>
    <w:rsid w:val="005D43BC"/>
    <w:rsid w:val="005E05AD"/>
    <w:rsid w:val="005E200A"/>
    <w:rsid w:val="005E2530"/>
    <w:rsid w:val="005E4094"/>
    <w:rsid w:val="005E7F5A"/>
    <w:rsid w:val="005F32C1"/>
    <w:rsid w:val="005F5033"/>
    <w:rsid w:val="005F6B26"/>
    <w:rsid w:val="005F7F8E"/>
    <w:rsid w:val="00603C71"/>
    <w:rsid w:val="00620283"/>
    <w:rsid w:val="00620E3D"/>
    <w:rsid w:val="0062554A"/>
    <w:rsid w:val="006269AF"/>
    <w:rsid w:val="006323B6"/>
    <w:rsid w:val="00641A36"/>
    <w:rsid w:val="00641AA9"/>
    <w:rsid w:val="00641FA8"/>
    <w:rsid w:val="00642544"/>
    <w:rsid w:val="006467A7"/>
    <w:rsid w:val="00651EA9"/>
    <w:rsid w:val="00655F81"/>
    <w:rsid w:val="00667A35"/>
    <w:rsid w:val="0067073D"/>
    <w:rsid w:val="00673EEE"/>
    <w:rsid w:val="0067430C"/>
    <w:rsid w:val="0067742C"/>
    <w:rsid w:val="006815AA"/>
    <w:rsid w:val="00682B17"/>
    <w:rsid w:val="00692752"/>
    <w:rsid w:val="006965A2"/>
    <w:rsid w:val="00696616"/>
    <w:rsid w:val="006A3542"/>
    <w:rsid w:val="006A465D"/>
    <w:rsid w:val="006B1EA1"/>
    <w:rsid w:val="006C27BB"/>
    <w:rsid w:val="006C5879"/>
    <w:rsid w:val="006C673B"/>
    <w:rsid w:val="006D0772"/>
    <w:rsid w:val="006D3BAC"/>
    <w:rsid w:val="006D4DAA"/>
    <w:rsid w:val="006D5BDF"/>
    <w:rsid w:val="006E09CE"/>
    <w:rsid w:val="006E51BE"/>
    <w:rsid w:val="006F09C4"/>
    <w:rsid w:val="006F20EB"/>
    <w:rsid w:val="00706246"/>
    <w:rsid w:val="00706EE4"/>
    <w:rsid w:val="0070783E"/>
    <w:rsid w:val="0072295B"/>
    <w:rsid w:val="00735955"/>
    <w:rsid w:val="0075332D"/>
    <w:rsid w:val="007574EC"/>
    <w:rsid w:val="00761912"/>
    <w:rsid w:val="00762999"/>
    <w:rsid w:val="00764869"/>
    <w:rsid w:val="0076B06A"/>
    <w:rsid w:val="00771B39"/>
    <w:rsid w:val="007724F8"/>
    <w:rsid w:val="007808A4"/>
    <w:rsid w:val="00781031"/>
    <w:rsid w:val="00781892"/>
    <w:rsid w:val="00781EC8"/>
    <w:rsid w:val="007A1000"/>
    <w:rsid w:val="007A7267"/>
    <w:rsid w:val="007B41D1"/>
    <w:rsid w:val="007B4DD4"/>
    <w:rsid w:val="007B6020"/>
    <w:rsid w:val="007B7EBF"/>
    <w:rsid w:val="007C2361"/>
    <w:rsid w:val="007C38ED"/>
    <w:rsid w:val="007D17B7"/>
    <w:rsid w:val="007D19FE"/>
    <w:rsid w:val="007D4648"/>
    <w:rsid w:val="007E45DA"/>
    <w:rsid w:val="007E5B85"/>
    <w:rsid w:val="007E5D00"/>
    <w:rsid w:val="007E62B0"/>
    <w:rsid w:val="007F34B0"/>
    <w:rsid w:val="007F7734"/>
    <w:rsid w:val="00803A82"/>
    <w:rsid w:val="00803D7F"/>
    <w:rsid w:val="00812B40"/>
    <w:rsid w:val="008132A1"/>
    <w:rsid w:val="00816121"/>
    <w:rsid w:val="00817CDD"/>
    <w:rsid w:val="008206AA"/>
    <w:rsid w:val="008227E9"/>
    <w:rsid w:val="00825CC2"/>
    <w:rsid w:val="00825E31"/>
    <w:rsid w:val="00827397"/>
    <w:rsid w:val="00830128"/>
    <w:rsid w:val="00831A7C"/>
    <w:rsid w:val="00833CBD"/>
    <w:rsid w:val="00836E85"/>
    <w:rsid w:val="00843173"/>
    <w:rsid w:val="0084539E"/>
    <w:rsid w:val="00853672"/>
    <w:rsid w:val="0085428A"/>
    <w:rsid w:val="008558A6"/>
    <w:rsid w:val="00864E0E"/>
    <w:rsid w:val="00871A0F"/>
    <w:rsid w:val="00872556"/>
    <w:rsid w:val="00876EED"/>
    <w:rsid w:val="0087717B"/>
    <w:rsid w:val="008773AA"/>
    <w:rsid w:val="00877EF3"/>
    <w:rsid w:val="0088150F"/>
    <w:rsid w:val="00882C29"/>
    <w:rsid w:val="0088391D"/>
    <w:rsid w:val="00886963"/>
    <w:rsid w:val="00886A7F"/>
    <w:rsid w:val="008926A8"/>
    <w:rsid w:val="00894902"/>
    <w:rsid w:val="00894EE7"/>
    <w:rsid w:val="00895AC0"/>
    <w:rsid w:val="008A077B"/>
    <w:rsid w:val="008A18D2"/>
    <w:rsid w:val="008B32EB"/>
    <w:rsid w:val="008C0123"/>
    <w:rsid w:val="008E11CA"/>
    <w:rsid w:val="008E13A1"/>
    <w:rsid w:val="008E389E"/>
    <w:rsid w:val="008E3BCF"/>
    <w:rsid w:val="008E5696"/>
    <w:rsid w:val="008E669A"/>
    <w:rsid w:val="008F0FC0"/>
    <w:rsid w:val="00901F06"/>
    <w:rsid w:val="00906214"/>
    <w:rsid w:val="00910F65"/>
    <w:rsid w:val="0091540C"/>
    <w:rsid w:val="00926AAE"/>
    <w:rsid w:val="00931222"/>
    <w:rsid w:val="00932F0C"/>
    <w:rsid w:val="00933A25"/>
    <w:rsid w:val="00944BB8"/>
    <w:rsid w:val="00946962"/>
    <w:rsid w:val="00963930"/>
    <w:rsid w:val="00965EB2"/>
    <w:rsid w:val="00971764"/>
    <w:rsid w:val="00971CBD"/>
    <w:rsid w:val="00974757"/>
    <w:rsid w:val="00977F6B"/>
    <w:rsid w:val="00982CB8"/>
    <w:rsid w:val="00990230"/>
    <w:rsid w:val="00990262"/>
    <w:rsid w:val="009A4C9E"/>
    <w:rsid w:val="009A518D"/>
    <w:rsid w:val="009A7C09"/>
    <w:rsid w:val="009C5CFB"/>
    <w:rsid w:val="009D170B"/>
    <w:rsid w:val="009D20B7"/>
    <w:rsid w:val="009E0784"/>
    <w:rsid w:val="009E1BDA"/>
    <w:rsid w:val="009E31E7"/>
    <w:rsid w:val="009E3852"/>
    <w:rsid w:val="009E3BB6"/>
    <w:rsid w:val="009E54D9"/>
    <w:rsid w:val="009F2393"/>
    <w:rsid w:val="009F6322"/>
    <w:rsid w:val="00A00F18"/>
    <w:rsid w:val="00A04DAD"/>
    <w:rsid w:val="00A2711F"/>
    <w:rsid w:val="00A4078A"/>
    <w:rsid w:val="00A46397"/>
    <w:rsid w:val="00A50DCB"/>
    <w:rsid w:val="00A53103"/>
    <w:rsid w:val="00A54DB8"/>
    <w:rsid w:val="00A5525B"/>
    <w:rsid w:val="00A55DBD"/>
    <w:rsid w:val="00A612B6"/>
    <w:rsid w:val="00A61E16"/>
    <w:rsid w:val="00A65952"/>
    <w:rsid w:val="00A66634"/>
    <w:rsid w:val="00A67757"/>
    <w:rsid w:val="00A8448A"/>
    <w:rsid w:val="00A90472"/>
    <w:rsid w:val="00A90D8C"/>
    <w:rsid w:val="00A9483A"/>
    <w:rsid w:val="00A97B0A"/>
    <w:rsid w:val="00AA1F44"/>
    <w:rsid w:val="00AA365B"/>
    <w:rsid w:val="00AA42AA"/>
    <w:rsid w:val="00AB3FC7"/>
    <w:rsid w:val="00AB5EA4"/>
    <w:rsid w:val="00AC421C"/>
    <w:rsid w:val="00AC7B68"/>
    <w:rsid w:val="00AD118A"/>
    <w:rsid w:val="00AD2761"/>
    <w:rsid w:val="00AE1686"/>
    <w:rsid w:val="00B01472"/>
    <w:rsid w:val="00B0310D"/>
    <w:rsid w:val="00B0481A"/>
    <w:rsid w:val="00B22771"/>
    <w:rsid w:val="00B2795E"/>
    <w:rsid w:val="00B31854"/>
    <w:rsid w:val="00B32194"/>
    <w:rsid w:val="00B32DEC"/>
    <w:rsid w:val="00B406EA"/>
    <w:rsid w:val="00B46EAA"/>
    <w:rsid w:val="00B5009C"/>
    <w:rsid w:val="00B63503"/>
    <w:rsid w:val="00B7091C"/>
    <w:rsid w:val="00B70D4A"/>
    <w:rsid w:val="00B7446C"/>
    <w:rsid w:val="00B7592B"/>
    <w:rsid w:val="00B76573"/>
    <w:rsid w:val="00B802D0"/>
    <w:rsid w:val="00B85EF5"/>
    <w:rsid w:val="00B8695D"/>
    <w:rsid w:val="00B97A16"/>
    <w:rsid w:val="00BA2AE7"/>
    <w:rsid w:val="00BA3882"/>
    <w:rsid w:val="00BA393D"/>
    <w:rsid w:val="00BA6DB7"/>
    <w:rsid w:val="00BC320A"/>
    <w:rsid w:val="00BC6877"/>
    <w:rsid w:val="00BD79B6"/>
    <w:rsid w:val="00BE3BD2"/>
    <w:rsid w:val="00BE7EDA"/>
    <w:rsid w:val="00BF148A"/>
    <w:rsid w:val="00BF7DF7"/>
    <w:rsid w:val="00C005CD"/>
    <w:rsid w:val="00C01EA4"/>
    <w:rsid w:val="00C064B2"/>
    <w:rsid w:val="00C1558F"/>
    <w:rsid w:val="00C16A6E"/>
    <w:rsid w:val="00C179F9"/>
    <w:rsid w:val="00C21DF2"/>
    <w:rsid w:val="00C2626A"/>
    <w:rsid w:val="00C30ABA"/>
    <w:rsid w:val="00C32B07"/>
    <w:rsid w:val="00C35C81"/>
    <w:rsid w:val="00C3A618"/>
    <w:rsid w:val="00C4008D"/>
    <w:rsid w:val="00C40198"/>
    <w:rsid w:val="00C425B3"/>
    <w:rsid w:val="00C45023"/>
    <w:rsid w:val="00C45874"/>
    <w:rsid w:val="00C5085C"/>
    <w:rsid w:val="00C61B77"/>
    <w:rsid w:val="00C62A6F"/>
    <w:rsid w:val="00C649E2"/>
    <w:rsid w:val="00C74607"/>
    <w:rsid w:val="00C752B0"/>
    <w:rsid w:val="00C7681F"/>
    <w:rsid w:val="00C82D4A"/>
    <w:rsid w:val="00C83826"/>
    <w:rsid w:val="00C86DDD"/>
    <w:rsid w:val="00C9057A"/>
    <w:rsid w:val="00C9691E"/>
    <w:rsid w:val="00CA6B34"/>
    <w:rsid w:val="00CB1FFA"/>
    <w:rsid w:val="00CB39EF"/>
    <w:rsid w:val="00CB6F1D"/>
    <w:rsid w:val="00CC048D"/>
    <w:rsid w:val="00CC4012"/>
    <w:rsid w:val="00CD36ED"/>
    <w:rsid w:val="00CD5325"/>
    <w:rsid w:val="00CD5865"/>
    <w:rsid w:val="00CD7FED"/>
    <w:rsid w:val="00CEA509"/>
    <w:rsid w:val="00CF1E68"/>
    <w:rsid w:val="00CF332F"/>
    <w:rsid w:val="00CF4A6B"/>
    <w:rsid w:val="00CF637A"/>
    <w:rsid w:val="00D51B09"/>
    <w:rsid w:val="00D543D4"/>
    <w:rsid w:val="00D56991"/>
    <w:rsid w:val="00D64827"/>
    <w:rsid w:val="00D72D92"/>
    <w:rsid w:val="00D7546E"/>
    <w:rsid w:val="00D77346"/>
    <w:rsid w:val="00D89E2D"/>
    <w:rsid w:val="00D9109F"/>
    <w:rsid w:val="00D91737"/>
    <w:rsid w:val="00D92AE4"/>
    <w:rsid w:val="00D93163"/>
    <w:rsid w:val="00D94D52"/>
    <w:rsid w:val="00D97497"/>
    <w:rsid w:val="00DA1C77"/>
    <w:rsid w:val="00DB001F"/>
    <w:rsid w:val="00DB1076"/>
    <w:rsid w:val="00DB39C3"/>
    <w:rsid w:val="00DB3F01"/>
    <w:rsid w:val="00DB58C5"/>
    <w:rsid w:val="00DB7CFA"/>
    <w:rsid w:val="00DB7D98"/>
    <w:rsid w:val="00DC3610"/>
    <w:rsid w:val="00DC5EBD"/>
    <w:rsid w:val="00DC6C9E"/>
    <w:rsid w:val="00DE6016"/>
    <w:rsid w:val="00DF06A3"/>
    <w:rsid w:val="00DF1B57"/>
    <w:rsid w:val="00DF38E7"/>
    <w:rsid w:val="00DF69F9"/>
    <w:rsid w:val="00E03302"/>
    <w:rsid w:val="00E04509"/>
    <w:rsid w:val="00E05927"/>
    <w:rsid w:val="00E11D15"/>
    <w:rsid w:val="00E169D7"/>
    <w:rsid w:val="00E171C6"/>
    <w:rsid w:val="00E239C8"/>
    <w:rsid w:val="00E33D59"/>
    <w:rsid w:val="00E34CB5"/>
    <w:rsid w:val="00E52A64"/>
    <w:rsid w:val="00E54B98"/>
    <w:rsid w:val="00E55685"/>
    <w:rsid w:val="00E608D8"/>
    <w:rsid w:val="00E61057"/>
    <w:rsid w:val="00E62DCA"/>
    <w:rsid w:val="00E666BE"/>
    <w:rsid w:val="00E70C0C"/>
    <w:rsid w:val="00E742FF"/>
    <w:rsid w:val="00E74B6B"/>
    <w:rsid w:val="00E80922"/>
    <w:rsid w:val="00E82814"/>
    <w:rsid w:val="00E86065"/>
    <w:rsid w:val="00EA3793"/>
    <w:rsid w:val="00EA4DD9"/>
    <w:rsid w:val="00EA7E54"/>
    <w:rsid w:val="00EB0173"/>
    <w:rsid w:val="00EB1C44"/>
    <w:rsid w:val="00EB5B93"/>
    <w:rsid w:val="00EB6E2D"/>
    <w:rsid w:val="00EC0431"/>
    <w:rsid w:val="00ED36B7"/>
    <w:rsid w:val="00ED47F4"/>
    <w:rsid w:val="00ED5A14"/>
    <w:rsid w:val="00EE335D"/>
    <w:rsid w:val="00EF140D"/>
    <w:rsid w:val="00EF560C"/>
    <w:rsid w:val="00F0034B"/>
    <w:rsid w:val="00F017B6"/>
    <w:rsid w:val="00F022E5"/>
    <w:rsid w:val="00F12F1C"/>
    <w:rsid w:val="00F22FB1"/>
    <w:rsid w:val="00F26491"/>
    <w:rsid w:val="00F30A18"/>
    <w:rsid w:val="00F32EA6"/>
    <w:rsid w:val="00F33D5B"/>
    <w:rsid w:val="00F41147"/>
    <w:rsid w:val="00F42132"/>
    <w:rsid w:val="00F46A32"/>
    <w:rsid w:val="00F519C8"/>
    <w:rsid w:val="00F638AD"/>
    <w:rsid w:val="00F70C3C"/>
    <w:rsid w:val="00F718C6"/>
    <w:rsid w:val="00F75708"/>
    <w:rsid w:val="00F75CF3"/>
    <w:rsid w:val="00F77760"/>
    <w:rsid w:val="00F9377A"/>
    <w:rsid w:val="00F958C0"/>
    <w:rsid w:val="00F96040"/>
    <w:rsid w:val="00F96C23"/>
    <w:rsid w:val="00FA07A6"/>
    <w:rsid w:val="00FC197A"/>
    <w:rsid w:val="00FC2786"/>
    <w:rsid w:val="00FC3051"/>
    <w:rsid w:val="00FE0935"/>
    <w:rsid w:val="00FE6BA1"/>
    <w:rsid w:val="00FF1FE2"/>
    <w:rsid w:val="0132605E"/>
    <w:rsid w:val="014FA170"/>
    <w:rsid w:val="0265020B"/>
    <w:rsid w:val="028876A4"/>
    <w:rsid w:val="029573D2"/>
    <w:rsid w:val="0298CCD6"/>
    <w:rsid w:val="02D155C4"/>
    <w:rsid w:val="02E863DA"/>
    <w:rsid w:val="02FB19C5"/>
    <w:rsid w:val="0307670B"/>
    <w:rsid w:val="03304278"/>
    <w:rsid w:val="033BBDC8"/>
    <w:rsid w:val="03612F80"/>
    <w:rsid w:val="0361A9CA"/>
    <w:rsid w:val="0374E42D"/>
    <w:rsid w:val="0393EE7E"/>
    <w:rsid w:val="03CC3F63"/>
    <w:rsid w:val="03D9416D"/>
    <w:rsid w:val="03EDAE0A"/>
    <w:rsid w:val="03FF3740"/>
    <w:rsid w:val="042F1050"/>
    <w:rsid w:val="0472AAB8"/>
    <w:rsid w:val="047406DF"/>
    <w:rsid w:val="04B6887C"/>
    <w:rsid w:val="04ECADE5"/>
    <w:rsid w:val="05B44646"/>
    <w:rsid w:val="05DA8E5F"/>
    <w:rsid w:val="05E1CFC4"/>
    <w:rsid w:val="05F84116"/>
    <w:rsid w:val="0645EDDE"/>
    <w:rsid w:val="068163F7"/>
    <w:rsid w:val="06872531"/>
    <w:rsid w:val="06A60A5A"/>
    <w:rsid w:val="06CFA599"/>
    <w:rsid w:val="071542E5"/>
    <w:rsid w:val="07254ECC"/>
    <w:rsid w:val="072A3C7C"/>
    <w:rsid w:val="07941177"/>
    <w:rsid w:val="07A03584"/>
    <w:rsid w:val="07B46FA0"/>
    <w:rsid w:val="07E1BE3F"/>
    <w:rsid w:val="0822F592"/>
    <w:rsid w:val="0847664D"/>
    <w:rsid w:val="08538EF5"/>
    <w:rsid w:val="08955B33"/>
    <w:rsid w:val="08B11346"/>
    <w:rsid w:val="0928A15F"/>
    <w:rsid w:val="0935E0BD"/>
    <w:rsid w:val="09ADE9DB"/>
    <w:rsid w:val="09BEC5F3"/>
    <w:rsid w:val="09DB7A91"/>
    <w:rsid w:val="09E740FC"/>
    <w:rsid w:val="0A02020D"/>
    <w:rsid w:val="0A1206C4"/>
    <w:rsid w:val="0A9E0370"/>
    <w:rsid w:val="0AD64425"/>
    <w:rsid w:val="0B7332C7"/>
    <w:rsid w:val="0BE8B408"/>
    <w:rsid w:val="0BF096B6"/>
    <w:rsid w:val="0BF19F50"/>
    <w:rsid w:val="0C166BC9"/>
    <w:rsid w:val="0C2DC3E2"/>
    <w:rsid w:val="0C39F3F1"/>
    <w:rsid w:val="0C738932"/>
    <w:rsid w:val="0CA8B5F1"/>
    <w:rsid w:val="0CBD97AC"/>
    <w:rsid w:val="0CD90226"/>
    <w:rsid w:val="0CEEE969"/>
    <w:rsid w:val="0D18F28E"/>
    <w:rsid w:val="0D42BE4A"/>
    <w:rsid w:val="0D4EEF88"/>
    <w:rsid w:val="0D603498"/>
    <w:rsid w:val="0D8D687E"/>
    <w:rsid w:val="0D9796BB"/>
    <w:rsid w:val="0D9E0FB6"/>
    <w:rsid w:val="0DC78129"/>
    <w:rsid w:val="0DD2BE11"/>
    <w:rsid w:val="0DF99779"/>
    <w:rsid w:val="0E0D3C1D"/>
    <w:rsid w:val="0E31255E"/>
    <w:rsid w:val="0E3418C5"/>
    <w:rsid w:val="0E50FFC3"/>
    <w:rsid w:val="0E6E698F"/>
    <w:rsid w:val="0EB74DAE"/>
    <w:rsid w:val="0ECF7A14"/>
    <w:rsid w:val="0EDE8EAB"/>
    <w:rsid w:val="0F0CBD00"/>
    <w:rsid w:val="0FBBCD9F"/>
    <w:rsid w:val="0FDD1E51"/>
    <w:rsid w:val="102B6E1F"/>
    <w:rsid w:val="10B99723"/>
    <w:rsid w:val="10F13676"/>
    <w:rsid w:val="113AF3BD"/>
    <w:rsid w:val="1254B829"/>
    <w:rsid w:val="126500B3"/>
    <w:rsid w:val="128D06D7"/>
    <w:rsid w:val="12957E89"/>
    <w:rsid w:val="12CEE890"/>
    <w:rsid w:val="132D3DE5"/>
    <w:rsid w:val="135E2AED"/>
    <w:rsid w:val="13B1FFCE"/>
    <w:rsid w:val="144AE26C"/>
    <w:rsid w:val="1452AE87"/>
    <w:rsid w:val="145A674B"/>
    <w:rsid w:val="1472947F"/>
    <w:rsid w:val="14FFE503"/>
    <w:rsid w:val="1534E0AA"/>
    <w:rsid w:val="154126D2"/>
    <w:rsid w:val="154385C4"/>
    <w:rsid w:val="1567CC72"/>
    <w:rsid w:val="156B2E12"/>
    <w:rsid w:val="158F9DA1"/>
    <w:rsid w:val="16587B3B"/>
    <w:rsid w:val="1661941D"/>
    <w:rsid w:val="169E2D7F"/>
    <w:rsid w:val="16A5D5FC"/>
    <w:rsid w:val="16EEF808"/>
    <w:rsid w:val="1758AF2E"/>
    <w:rsid w:val="17758AA2"/>
    <w:rsid w:val="17FA2CE5"/>
    <w:rsid w:val="1803718F"/>
    <w:rsid w:val="181A5AF3"/>
    <w:rsid w:val="18319C10"/>
    <w:rsid w:val="187854A4"/>
    <w:rsid w:val="19134553"/>
    <w:rsid w:val="19261FAA"/>
    <w:rsid w:val="1954DCFF"/>
    <w:rsid w:val="196B1BAA"/>
    <w:rsid w:val="19B5740E"/>
    <w:rsid w:val="19C5308D"/>
    <w:rsid w:val="19F00B4E"/>
    <w:rsid w:val="1A2BC03F"/>
    <w:rsid w:val="1A39754B"/>
    <w:rsid w:val="1A42C579"/>
    <w:rsid w:val="1AAAB470"/>
    <w:rsid w:val="1AC1F00B"/>
    <w:rsid w:val="1AFC85E6"/>
    <w:rsid w:val="1B0A9D1B"/>
    <w:rsid w:val="1B1F9530"/>
    <w:rsid w:val="1BA3EF6E"/>
    <w:rsid w:val="1BBD11B3"/>
    <w:rsid w:val="1BDD4AC0"/>
    <w:rsid w:val="1BF6EB97"/>
    <w:rsid w:val="1C0B129C"/>
    <w:rsid w:val="1C190DD7"/>
    <w:rsid w:val="1C37EEA7"/>
    <w:rsid w:val="1C762873"/>
    <w:rsid w:val="1C81CA09"/>
    <w:rsid w:val="1C883A3E"/>
    <w:rsid w:val="1D06AD53"/>
    <w:rsid w:val="1D359785"/>
    <w:rsid w:val="1D63521A"/>
    <w:rsid w:val="1D7E1693"/>
    <w:rsid w:val="1E06D1D4"/>
    <w:rsid w:val="1E2E20CB"/>
    <w:rsid w:val="1E36244B"/>
    <w:rsid w:val="1E4A64C3"/>
    <w:rsid w:val="1E854EB0"/>
    <w:rsid w:val="1E875F4A"/>
    <w:rsid w:val="1EB600A9"/>
    <w:rsid w:val="1ED167E6"/>
    <w:rsid w:val="1F328BC7"/>
    <w:rsid w:val="1F406488"/>
    <w:rsid w:val="1FC9F12C"/>
    <w:rsid w:val="1FFE2CD3"/>
    <w:rsid w:val="200AE174"/>
    <w:rsid w:val="203270AD"/>
    <w:rsid w:val="20563211"/>
    <w:rsid w:val="206D3847"/>
    <w:rsid w:val="209256A3"/>
    <w:rsid w:val="20FEA467"/>
    <w:rsid w:val="21780262"/>
    <w:rsid w:val="217C3270"/>
    <w:rsid w:val="218F2C06"/>
    <w:rsid w:val="21C9D844"/>
    <w:rsid w:val="21D94FD9"/>
    <w:rsid w:val="21E7B74D"/>
    <w:rsid w:val="224411DB"/>
    <w:rsid w:val="22511C1F"/>
    <w:rsid w:val="2306EDCD"/>
    <w:rsid w:val="231DD5E6"/>
    <w:rsid w:val="231EC931"/>
    <w:rsid w:val="232E019A"/>
    <w:rsid w:val="2351A7D6"/>
    <w:rsid w:val="23A26CEC"/>
    <w:rsid w:val="23A2BA83"/>
    <w:rsid w:val="23CD8163"/>
    <w:rsid w:val="23DA736E"/>
    <w:rsid w:val="241DFC45"/>
    <w:rsid w:val="2441B112"/>
    <w:rsid w:val="24566699"/>
    <w:rsid w:val="2499A2B3"/>
    <w:rsid w:val="249CA3BF"/>
    <w:rsid w:val="24DC9DB7"/>
    <w:rsid w:val="251AB9FF"/>
    <w:rsid w:val="263932B0"/>
    <w:rsid w:val="265576A8"/>
    <w:rsid w:val="265EDCC9"/>
    <w:rsid w:val="26649C9B"/>
    <w:rsid w:val="26FF2340"/>
    <w:rsid w:val="275D8A8D"/>
    <w:rsid w:val="27D50311"/>
    <w:rsid w:val="2848D478"/>
    <w:rsid w:val="288CFE7E"/>
    <w:rsid w:val="289AF3A1"/>
    <w:rsid w:val="28A8D2A5"/>
    <w:rsid w:val="28ACECF7"/>
    <w:rsid w:val="28CE8AAB"/>
    <w:rsid w:val="28F95AEE"/>
    <w:rsid w:val="2948D8B6"/>
    <w:rsid w:val="294A085E"/>
    <w:rsid w:val="299E8912"/>
    <w:rsid w:val="299ECD13"/>
    <w:rsid w:val="29A6EF7E"/>
    <w:rsid w:val="29EB7DC1"/>
    <w:rsid w:val="2A8C3F54"/>
    <w:rsid w:val="2AE833F6"/>
    <w:rsid w:val="2B11FFB2"/>
    <w:rsid w:val="2B538AC9"/>
    <w:rsid w:val="2B874E22"/>
    <w:rsid w:val="2B8B0B63"/>
    <w:rsid w:val="2B94875F"/>
    <w:rsid w:val="2BB82CB5"/>
    <w:rsid w:val="2BEFDB1C"/>
    <w:rsid w:val="2C234025"/>
    <w:rsid w:val="2D211699"/>
    <w:rsid w:val="2D52EA1A"/>
    <w:rsid w:val="2D6D1462"/>
    <w:rsid w:val="2DB96FC0"/>
    <w:rsid w:val="2DC3FF12"/>
    <w:rsid w:val="2E4943E5"/>
    <w:rsid w:val="2E49A074"/>
    <w:rsid w:val="2F339CFE"/>
    <w:rsid w:val="2F35210F"/>
    <w:rsid w:val="2F352351"/>
    <w:rsid w:val="2FB22515"/>
    <w:rsid w:val="2FBFF2F5"/>
    <w:rsid w:val="2FE570D5"/>
    <w:rsid w:val="303F3061"/>
    <w:rsid w:val="308813E6"/>
    <w:rsid w:val="30FB9FD4"/>
    <w:rsid w:val="31256B90"/>
    <w:rsid w:val="3213AE56"/>
    <w:rsid w:val="3258C0A5"/>
    <w:rsid w:val="328186B2"/>
    <w:rsid w:val="3283D775"/>
    <w:rsid w:val="3290729E"/>
    <w:rsid w:val="32D8A788"/>
    <w:rsid w:val="339589AB"/>
    <w:rsid w:val="33F2504E"/>
    <w:rsid w:val="3419BBCD"/>
    <w:rsid w:val="3427936C"/>
    <w:rsid w:val="343988A4"/>
    <w:rsid w:val="3441ADAA"/>
    <w:rsid w:val="34633D12"/>
    <w:rsid w:val="34A4DDA1"/>
    <w:rsid w:val="34C0EC96"/>
    <w:rsid w:val="34DEBE2E"/>
    <w:rsid w:val="34E6DD8A"/>
    <w:rsid w:val="35270389"/>
    <w:rsid w:val="353D695F"/>
    <w:rsid w:val="35F3BEC7"/>
    <w:rsid w:val="3618BB79"/>
    <w:rsid w:val="367A8E8F"/>
    <w:rsid w:val="368AFADB"/>
    <w:rsid w:val="36A35B8E"/>
    <w:rsid w:val="36A8A49C"/>
    <w:rsid w:val="376F8919"/>
    <w:rsid w:val="37B16E5A"/>
    <w:rsid w:val="381B7307"/>
    <w:rsid w:val="38231809"/>
    <w:rsid w:val="384145D8"/>
    <w:rsid w:val="387BD8B3"/>
    <w:rsid w:val="38CB1D50"/>
    <w:rsid w:val="38D55F09"/>
    <w:rsid w:val="39068B80"/>
    <w:rsid w:val="39B72980"/>
    <w:rsid w:val="39BB546E"/>
    <w:rsid w:val="3A66EDB1"/>
    <w:rsid w:val="3A870E56"/>
    <w:rsid w:val="3A8830ED"/>
    <w:rsid w:val="3AA362FF"/>
    <w:rsid w:val="3AAB4F19"/>
    <w:rsid w:val="3AC5808D"/>
    <w:rsid w:val="3AFC55E0"/>
    <w:rsid w:val="3B8815C9"/>
    <w:rsid w:val="3BD0112B"/>
    <w:rsid w:val="3BFD6233"/>
    <w:rsid w:val="3C02CC2E"/>
    <w:rsid w:val="3C15018E"/>
    <w:rsid w:val="3C37651C"/>
    <w:rsid w:val="3C784921"/>
    <w:rsid w:val="3C7C77D0"/>
    <w:rsid w:val="3C8FF07E"/>
    <w:rsid w:val="3D4ACD60"/>
    <w:rsid w:val="3DAB02CD"/>
    <w:rsid w:val="3DB01F30"/>
    <w:rsid w:val="3E0C935E"/>
    <w:rsid w:val="3E15C96B"/>
    <w:rsid w:val="3E235152"/>
    <w:rsid w:val="3E3280F4"/>
    <w:rsid w:val="3E3DE608"/>
    <w:rsid w:val="3EAFCEE6"/>
    <w:rsid w:val="3EE967BA"/>
    <w:rsid w:val="3F2394BA"/>
    <w:rsid w:val="3FA863BF"/>
    <w:rsid w:val="3FB72A90"/>
    <w:rsid w:val="3FC8A3C6"/>
    <w:rsid w:val="3FE13E4D"/>
    <w:rsid w:val="3FF2C9E3"/>
    <w:rsid w:val="3FFFD503"/>
    <w:rsid w:val="407C5C58"/>
    <w:rsid w:val="407D3BE3"/>
    <w:rsid w:val="40AC8BB2"/>
    <w:rsid w:val="410921FF"/>
    <w:rsid w:val="410BE6EF"/>
    <w:rsid w:val="41C38F92"/>
    <w:rsid w:val="41EC5E34"/>
    <w:rsid w:val="41F228A2"/>
    <w:rsid w:val="421629F0"/>
    <w:rsid w:val="4271FF96"/>
    <w:rsid w:val="428625AE"/>
    <w:rsid w:val="42CCC523"/>
    <w:rsid w:val="4390FB94"/>
    <w:rsid w:val="43B1FA51"/>
    <w:rsid w:val="43E03CEE"/>
    <w:rsid w:val="43F01FA6"/>
    <w:rsid w:val="43F18610"/>
    <w:rsid w:val="4406DA7F"/>
    <w:rsid w:val="4420902B"/>
    <w:rsid w:val="448800D5"/>
    <w:rsid w:val="4510E300"/>
    <w:rsid w:val="454A3126"/>
    <w:rsid w:val="454DCAB2"/>
    <w:rsid w:val="458A2B1E"/>
    <w:rsid w:val="45DC5E83"/>
    <w:rsid w:val="46919B57"/>
    <w:rsid w:val="47565372"/>
    <w:rsid w:val="47826338"/>
    <w:rsid w:val="479C3055"/>
    <w:rsid w:val="48539687"/>
    <w:rsid w:val="485B9FB8"/>
    <w:rsid w:val="486F256B"/>
    <w:rsid w:val="48856B74"/>
    <w:rsid w:val="48D6F6AF"/>
    <w:rsid w:val="48F661DF"/>
    <w:rsid w:val="48FB0B87"/>
    <w:rsid w:val="490C7A25"/>
    <w:rsid w:val="493A8BE5"/>
    <w:rsid w:val="493D672D"/>
    <w:rsid w:val="49528690"/>
    <w:rsid w:val="497A9401"/>
    <w:rsid w:val="4A7FA322"/>
    <w:rsid w:val="4A89C3AE"/>
    <w:rsid w:val="4AFFB5D4"/>
    <w:rsid w:val="4B45D773"/>
    <w:rsid w:val="4B557D02"/>
    <w:rsid w:val="4B7DE757"/>
    <w:rsid w:val="4BAD4B9B"/>
    <w:rsid w:val="4BD573EC"/>
    <w:rsid w:val="4BDA0869"/>
    <w:rsid w:val="4C011830"/>
    <w:rsid w:val="4C31691F"/>
    <w:rsid w:val="4C8ED44D"/>
    <w:rsid w:val="4CB2214E"/>
    <w:rsid w:val="4DCDEC6E"/>
    <w:rsid w:val="4DD387DC"/>
    <w:rsid w:val="4DDFEB48"/>
    <w:rsid w:val="4E2AA4AE"/>
    <w:rsid w:val="4E341CF4"/>
    <w:rsid w:val="4EF92A84"/>
    <w:rsid w:val="4F531445"/>
    <w:rsid w:val="4FF355AE"/>
    <w:rsid w:val="50473B72"/>
    <w:rsid w:val="50D56E56"/>
    <w:rsid w:val="50EF6AE8"/>
    <w:rsid w:val="50FAD2A5"/>
    <w:rsid w:val="513606A4"/>
    <w:rsid w:val="51604B99"/>
    <w:rsid w:val="51A8F22E"/>
    <w:rsid w:val="51B4D536"/>
    <w:rsid w:val="51C67E56"/>
    <w:rsid w:val="51C80174"/>
    <w:rsid w:val="51F226A0"/>
    <w:rsid w:val="52111397"/>
    <w:rsid w:val="524D3398"/>
    <w:rsid w:val="5278033F"/>
    <w:rsid w:val="528AB507"/>
    <w:rsid w:val="5294D739"/>
    <w:rsid w:val="52A98B4B"/>
    <w:rsid w:val="52FBF63A"/>
    <w:rsid w:val="5318B7B2"/>
    <w:rsid w:val="531CA2CC"/>
    <w:rsid w:val="537E77FA"/>
    <w:rsid w:val="538DF701"/>
    <w:rsid w:val="539E525F"/>
    <w:rsid w:val="541B44D6"/>
    <w:rsid w:val="5430A79A"/>
    <w:rsid w:val="5452F514"/>
    <w:rsid w:val="54B47740"/>
    <w:rsid w:val="55028079"/>
    <w:rsid w:val="5527172D"/>
    <w:rsid w:val="556C9342"/>
    <w:rsid w:val="55CEED4F"/>
    <w:rsid w:val="55D5B9F0"/>
    <w:rsid w:val="55E030D2"/>
    <w:rsid w:val="55EEC575"/>
    <w:rsid w:val="562E4219"/>
    <w:rsid w:val="56EC4A26"/>
    <w:rsid w:val="5768485C"/>
    <w:rsid w:val="5787BF15"/>
    <w:rsid w:val="57C1ACE3"/>
    <w:rsid w:val="57F0F00D"/>
    <w:rsid w:val="57F377D9"/>
    <w:rsid w:val="58185913"/>
    <w:rsid w:val="584C179B"/>
    <w:rsid w:val="58616824"/>
    <w:rsid w:val="586921E3"/>
    <w:rsid w:val="5879C444"/>
    <w:rsid w:val="58A9CDC6"/>
    <w:rsid w:val="59153575"/>
    <w:rsid w:val="595FE3CB"/>
    <w:rsid w:val="59A46C71"/>
    <w:rsid w:val="59FD3885"/>
    <w:rsid w:val="5A7ECFEC"/>
    <w:rsid w:val="5BFA739D"/>
    <w:rsid w:val="5C3BB97F"/>
    <w:rsid w:val="5D1B7EB6"/>
    <w:rsid w:val="5D3D7DE5"/>
    <w:rsid w:val="5D4D509C"/>
    <w:rsid w:val="5D4E113D"/>
    <w:rsid w:val="5D8FCF74"/>
    <w:rsid w:val="5DC7FF4A"/>
    <w:rsid w:val="5DF1520B"/>
    <w:rsid w:val="5E38F798"/>
    <w:rsid w:val="5E6B31DA"/>
    <w:rsid w:val="5EAAF5AB"/>
    <w:rsid w:val="5EB65356"/>
    <w:rsid w:val="5ED43995"/>
    <w:rsid w:val="5F1A6060"/>
    <w:rsid w:val="5F99CCF9"/>
    <w:rsid w:val="5FA6DEA3"/>
    <w:rsid w:val="5FCF254F"/>
    <w:rsid w:val="60021711"/>
    <w:rsid w:val="6044A690"/>
    <w:rsid w:val="6055E675"/>
    <w:rsid w:val="6066AC04"/>
    <w:rsid w:val="6084C2ED"/>
    <w:rsid w:val="60A4E45D"/>
    <w:rsid w:val="619A8274"/>
    <w:rsid w:val="61A55B29"/>
    <w:rsid w:val="61A88878"/>
    <w:rsid w:val="61B774A3"/>
    <w:rsid w:val="61E076F1"/>
    <w:rsid w:val="62027C65"/>
    <w:rsid w:val="6223C85C"/>
    <w:rsid w:val="6237F901"/>
    <w:rsid w:val="6240B4BE"/>
    <w:rsid w:val="62B32401"/>
    <w:rsid w:val="62CFA172"/>
    <w:rsid w:val="62E14662"/>
    <w:rsid w:val="63083ACA"/>
    <w:rsid w:val="6315B179"/>
    <w:rsid w:val="631B6DA0"/>
    <w:rsid w:val="6354F429"/>
    <w:rsid w:val="637B3FBC"/>
    <w:rsid w:val="639E4CC6"/>
    <w:rsid w:val="63C67977"/>
    <w:rsid w:val="64E97165"/>
    <w:rsid w:val="6503C1FA"/>
    <w:rsid w:val="651817B3"/>
    <w:rsid w:val="651C9FA7"/>
    <w:rsid w:val="6537CDE5"/>
    <w:rsid w:val="65785580"/>
    <w:rsid w:val="659B0992"/>
    <w:rsid w:val="66147714"/>
    <w:rsid w:val="6625F1AD"/>
    <w:rsid w:val="667CAF14"/>
    <w:rsid w:val="66970790"/>
    <w:rsid w:val="669ABFB7"/>
    <w:rsid w:val="66EDB9A9"/>
    <w:rsid w:val="6731E3AF"/>
    <w:rsid w:val="675BE728"/>
    <w:rsid w:val="67736FDC"/>
    <w:rsid w:val="68012C2F"/>
    <w:rsid w:val="6874A604"/>
    <w:rsid w:val="689E8F65"/>
    <w:rsid w:val="68BD7464"/>
    <w:rsid w:val="68C132A6"/>
    <w:rsid w:val="68C24554"/>
    <w:rsid w:val="6914D51A"/>
    <w:rsid w:val="695509D3"/>
    <w:rsid w:val="696ED12E"/>
    <w:rsid w:val="697832A4"/>
    <w:rsid w:val="69943B24"/>
    <w:rsid w:val="6A5944C5"/>
    <w:rsid w:val="6A8DD3CD"/>
    <w:rsid w:val="6B300B85"/>
    <w:rsid w:val="6BB1EF37"/>
    <w:rsid w:val="6BB71A36"/>
    <w:rsid w:val="6BDE49B3"/>
    <w:rsid w:val="6C33EE99"/>
    <w:rsid w:val="6C7826B0"/>
    <w:rsid w:val="6CDE5705"/>
    <w:rsid w:val="6CDFDB16"/>
    <w:rsid w:val="6D9186AB"/>
    <w:rsid w:val="6DD2D5E2"/>
    <w:rsid w:val="6E72BC13"/>
    <w:rsid w:val="6EA5D19C"/>
    <w:rsid w:val="6EEC1FAF"/>
    <w:rsid w:val="6F15EA75"/>
    <w:rsid w:val="6F2F90E9"/>
    <w:rsid w:val="6F3FC1BF"/>
    <w:rsid w:val="6F6B8F5B"/>
    <w:rsid w:val="6F7E758C"/>
    <w:rsid w:val="6FCA7D8E"/>
    <w:rsid w:val="6FCECF47"/>
    <w:rsid w:val="6FED369F"/>
    <w:rsid w:val="708A8B59"/>
    <w:rsid w:val="709BE518"/>
    <w:rsid w:val="70D5724E"/>
    <w:rsid w:val="70DB9220"/>
    <w:rsid w:val="70FF987D"/>
    <w:rsid w:val="7106BDAC"/>
    <w:rsid w:val="71D94479"/>
    <w:rsid w:val="721F5FBB"/>
    <w:rsid w:val="726D0D7E"/>
    <w:rsid w:val="72AB1DA3"/>
    <w:rsid w:val="72EA14B8"/>
    <w:rsid w:val="7324D761"/>
    <w:rsid w:val="7335CA42"/>
    <w:rsid w:val="735718B2"/>
    <w:rsid w:val="7387E0DE"/>
    <w:rsid w:val="73A171D0"/>
    <w:rsid w:val="73A983A1"/>
    <w:rsid w:val="73FA966F"/>
    <w:rsid w:val="741BB5EF"/>
    <w:rsid w:val="74B697EE"/>
    <w:rsid w:val="755CCAEB"/>
    <w:rsid w:val="757B20F2"/>
    <w:rsid w:val="75AAF311"/>
    <w:rsid w:val="75CB67FE"/>
    <w:rsid w:val="75FFF86F"/>
    <w:rsid w:val="760AF58F"/>
    <w:rsid w:val="7651026B"/>
    <w:rsid w:val="767C7AB6"/>
    <w:rsid w:val="76872F91"/>
    <w:rsid w:val="770B20E8"/>
    <w:rsid w:val="777A443A"/>
    <w:rsid w:val="77B35304"/>
    <w:rsid w:val="77D46773"/>
    <w:rsid w:val="77F84884"/>
    <w:rsid w:val="781CD31E"/>
    <w:rsid w:val="78429F95"/>
    <w:rsid w:val="784C050F"/>
    <w:rsid w:val="784C5CEA"/>
    <w:rsid w:val="78904069"/>
    <w:rsid w:val="78B68F87"/>
    <w:rsid w:val="78C68A46"/>
    <w:rsid w:val="78F7B6A8"/>
    <w:rsid w:val="791B3098"/>
    <w:rsid w:val="79429B7E"/>
    <w:rsid w:val="799C60A6"/>
    <w:rsid w:val="79BA70A2"/>
    <w:rsid w:val="79D55F88"/>
    <w:rsid w:val="79E10352"/>
    <w:rsid w:val="7A230328"/>
    <w:rsid w:val="7A68445C"/>
    <w:rsid w:val="7A88D8ED"/>
    <w:rsid w:val="7ADA1177"/>
    <w:rsid w:val="7B1654AE"/>
    <w:rsid w:val="7B1D2E52"/>
    <w:rsid w:val="7B5E99B0"/>
    <w:rsid w:val="7B5F3915"/>
    <w:rsid w:val="7B7342FC"/>
    <w:rsid w:val="7BBBCF62"/>
    <w:rsid w:val="7BC76FFB"/>
    <w:rsid w:val="7BF7DDA2"/>
    <w:rsid w:val="7C20C9E5"/>
    <w:rsid w:val="7CA80104"/>
    <w:rsid w:val="7CB798CF"/>
    <w:rsid w:val="7CFB0976"/>
    <w:rsid w:val="7DA275CB"/>
    <w:rsid w:val="7E43A8F7"/>
    <w:rsid w:val="7EDAA1D6"/>
    <w:rsid w:val="7F173CF6"/>
    <w:rsid w:val="7F47C748"/>
    <w:rsid w:val="7F586A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10A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19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586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01472"/>
    <w:pPr>
      <w:ind w:left="720"/>
      <w:contextualSpacing/>
    </w:pPr>
  </w:style>
  <w:style w:type="paragraph" w:styleId="Title">
    <w:name w:val="Title"/>
    <w:basedOn w:val="Normal"/>
    <w:next w:val="Normal"/>
    <w:link w:val="TitleChar"/>
    <w:uiPriority w:val="10"/>
    <w:qFormat/>
    <w:rsid w:val="00367B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B43"/>
    <w:rPr>
      <w:rFonts w:asciiTheme="majorHAnsi" w:eastAsiaTheme="majorEastAsia" w:hAnsiTheme="majorHAnsi" w:cstheme="majorBidi"/>
      <w:spacing w:val="-10"/>
      <w:kern w:val="28"/>
      <w:sz w:val="56"/>
      <w:szCs w:val="56"/>
    </w:rPr>
  </w:style>
  <w:style w:type="paragraph" w:customStyle="1" w:styleId="msonormal0">
    <w:name w:val="msonormal"/>
    <w:basedOn w:val="Normal"/>
    <w:rsid w:val="00150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1507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1507B3"/>
  </w:style>
  <w:style w:type="character" w:customStyle="1" w:styleId="normaltextrun">
    <w:name w:val="normaltextrun"/>
    <w:basedOn w:val="DefaultParagraphFont"/>
    <w:rsid w:val="001507B3"/>
  </w:style>
  <w:style w:type="character" w:customStyle="1" w:styleId="eop">
    <w:name w:val="eop"/>
    <w:basedOn w:val="DefaultParagraphFont"/>
    <w:rsid w:val="001507B3"/>
  </w:style>
  <w:style w:type="character" w:customStyle="1" w:styleId="superscript">
    <w:name w:val="superscript"/>
    <w:basedOn w:val="DefaultParagraphFont"/>
    <w:rsid w:val="001507B3"/>
  </w:style>
  <w:style w:type="character" w:customStyle="1" w:styleId="wacimagecontainer">
    <w:name w:val="wacimagecontainer"/>
    <w:basedOn w:val="DefaultParagraphFont"/>
    <w:rsid w:val="001507B3"/>
  </w:style>
  <w:style w:type="character" w:customStyle="1" w:styleId="wacimageborder">
    <w:name w:val="wacimageborder"/>
    <w:basedOn w:val="DefaultParagraphFont"/>
    <w:rsid w:val="001507B3"/>
  </w:style>
  <w:style w:type="character" w:customStyle="1" w:styleId="linebreakblob">
    <w:name w:val="linebreakblob"/>
    <w:basedOn w:val="DefaultParagraphFont"/>
    <w:rsid w:val="001507B3"/>
  </w:style>
  <w:style w:type="character" w:customStyle="1" w:styleId="scxw195575008">
    <w:name w:val="scxw195575008"/>
    <w:basedOn w:val="DefaultParagraphFont"/>
    <w:rsid w:val="001507B3"/>
  </w:style>
  <w:style w:type="paragraph" w:customStyle="1" w:styleId="outlineelement">
    <w:name w:val="outlineelement"/>
    <w:basedOn w:val="Normal"/>
    <w:rsid w:val="001507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D19FE"/>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3424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24FE"/>
    <w:rPr>
      <w:sz w:val="20"/>
      <w:szCs w:val="20"/>
    </w:rPr>
  </w:style>
  <w:style w:type="character" w:styleId="FootnoteReference">
    <w:name w:val="footnote reference"/>
    <w:basedOn w:val="DefaultParagraphFont"/>
    <w:uiPriority w:val="99"/>
    <w:semiHidden/>
    <w:unhideWhenUsed/>
    <w:rsid w:val="003424FE"/>
    <w:rPr>
      <w:vertAlign w:val="superscript"/>
    </w:rPr>
  </w:style>
  <w:style w:type="character" w:styleId="Hyperlink">
    <w:name w:val="Hyperlink"/>
    <w:basedOn w:val="DefaultParagraphFont"/>
    <w:uiPriority w:val="99"/>
    <w:unhideWhenUsed/>
    <w:rsid w:val="003D598C"/>
    <w:rPr>
      <w:color w:val="0563C1" w:themeColor="hyperlink"/>
      <w:u w:val="single"/>
    </w:rPr>
  </w:style>
  <w:style w:type="character" w:styleId="UnresolvedMention">
    <w:name w:val="Unresolved Mention"/>
    <w:basedOn w:val="DefaultParagraphFont"/>
    <w:uiPriority w:val="99"/>
    <w:semiHidden/>
    <w:unhideWhenUsed/>
    <w:rsid w:val="003D598C"/>
    <w:rPr>
      <w:color w:val="605E5C"/>
      <w:shd w:val="clear" w:color="auto" w:fill="E1DFDD"/>
    </w:rPr>
  </w:style>
  <w:style w:type="paragraph" w:styleId="Header">
    <w:name w:val="header"/>
    <w:basedOn w:val="Normal"/>
    <w:link w:val="HeaderChar"/>
    <w:uiPriority w:val="99"/>
    <w:unhideWhenUsed/>
    <w:rsid w:val="001571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1BE"/>
  </w:style>
  <w:style w:type="paragraph" w:styleId="Footer">
    <w:name w:val="footer"/>
    <w:basedOn w:val="Normal"/>
    <w:link w:val="FooterChar"/>
    <w:uiPriority w:val="99"/>
    <w:unhideWhenUsed/>
    <w:rsid w:val="001571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1BE"/>
  </w:style>
  <w:style w:type="paragraph" w:styleId="Revision">
    <w:name w:val="Revision"/>
    <w:hidden/>
    <w:uiPriority w:val="99"/>
    <w:semiHidden/>
    <w:rsid w:val="0043195C"/>
    <w:pPr>
      <w:spacing w:after="0" w:line="240" w:lineRule="auto"/>
    </w:pPr>
  </w:style>
  <w:style w:type="character" w:styleId="CommentReference">
    <w:name w:val="annotation reference"/>
    <w:basedOn w:val="DefaultParagraphFont"/>
    <w:uiPriority w:val="99"/>
    <w:semiHidden/>
    <w:unhideWhenUsed/>
    <w:rsid w:val="00FC2786"/>
    <w:rPr>
      <w:sz w:val="16"/>
      <w:szCs w:val="16"/>
    </w:rPr>
  </w:style>
  <w:style w:type="paragraph" w:styleId="CommentText">
    <w:name w:val="annotation text"/>
    <w:basedOn w:val="Normal"/>
    <w:link w:val="CommentTextChar"/>
    <w:uiPriority w:val="99"/>
    <w:unhideWhenUsed/>
    <w:rsid w:val="00FC2786"/>
    <w:pPr>
      <w:spacing w:line="240" w:lineRule="auto"/>
    </w:pPr>
    <w:rPr>
      <w:sz w:val="20"/>
      <w:szCs w:val="20"/>
    </w:rPr>
  </w:style>
  <w:style w:type="character" w:customStyle="1" w:styleId="CommentTextChar">
    <w:name w:val="Comment Text Char"/>
    <w:basedOn w:val="DefaultParagraphFont"/>
    <w:link w:val="CommentText"/>
    <w:uiPriority w:val="99"/>
    <w:rsid w:val="00FC2786"/>
    <w:rPr>
      <w:sz w:val="20"/>
      <w:szCs w:val="20"/>
    </w:rPr>
  </w:style>
  <w:style w:type="paragraph" w:styleId="CommentSubject">
    <w:name w:val="annotation subject"/>
    <w:basedOn w:val="CommentText"/>
    <w:next w:val="CommentText"/>
    <w:link w:val="CommentSubjectChar"/>
    <w:uiPriority w:val="99"/>
    <w:semiHidden/>
    <w:unhideWhenUsed/>
    <w:rsid w:val="00FC2786"/>
    <w:rPr>
      <w:b/>
      <w:bCs/>
    </w:rPr>
  </w:style>
  <w:style w:type="character" w:customStyle="1" w:styleId="CommentSubjectChar">
    <w:name w:val="Comment Subject Char"/>
    <w:basedOn w:val="CommentTextChar"/>
    <w:link w:val="CommentSubject"/>
    <w:uiPriority w:val="99"/>
    <w:semiHidden/>
    <w:rsid w:val="00FC27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3251">
      <w:bodyDiv w:val="1"/>
      <w:marLeft w:val="0"/>
      <w:marRight w:val="0"/>
      <w:marTop w:val="0"/>
      <w:marBottom w:val="0"/>
      <w:divBdr>
        <w:top w:val="none" w:sz="0" w:space="0" w:color="auto"/>
        <w:left w:val="none" w:sz="0" w:space="0" w:color="auto"/>
        <w:bottom w:val="none" w:sz="0" w:space="0" w:color="auto"/>
        <w:right w:val="none" w:sz="0" w:space="0" w:color="auto"/>
      </w:divBdr>
      <w:divsChild>
        <w:div w:id="530270152">
          <w:marLeft w:val="0"/>
          <w:marRight w:val="0"/>
          <w:marTop w:val="0"/>
          <w:marBottom w:val="0"/>
          <w:divBdr>
            <w:top w:val="none" w:sz="0" w:space="0" w:color="auto"/>
            <w:left w:val="none" w:sz="0" w:space="0" w:color="auto"/>
            <w:bottom w:val="none" w:sz="0" w:space="0" w:color="auto"/>
            <w:right w:val="none" w:sz="0" w:space="0" w:color="auto"/>
          </w:divBdr>
        </w:div>
        <w:div w:id="1940062872">
          <w:marLeft w:val="0"/>
          <w:marRight w:val="0"/>
          <w:marTop w:val="0"/>
          <w:marBottom w:val="0"/>
          <w:divBdr>
            <w:top w:val="none" w:sz="0" w:space="0" w:color="auto"/>
            <w:left w:val="none" w:sz="0" w:space="0" w:color="auto"/>
            <w:bottom w:val="none" w:sz="0" w:space="0" w:color="auto"/>
            <w:right w:val="none" w:sz="0" w:space="0" w:color="auto"/>
          </w:divBdr>
        </w:div>
      </w:divsChild>
    </w:div>
    <w:div w:id="307709412">
      <w:bodyDiv w:val="1"/>
      <w:marLeft w:val="0"/>
      <w:marRight w:val="0"/>
      <w:marTop w:val="0"/>
      <w:marBottom w:val="0"/>
      <w:divBdr>
        <w:top w:val="none" w:sz="0" w:space="0" w:color="auto"/>
        <w:left w:val="none" w:sz="0" w:space="0" w:color="auto"/>
        <w:bottom w:val="none" w:sz="0" w:space="0" w:color="auto"/>
        <w:right w:val="none" w:sz="0" w:space="0" w:color="auto"/>
      </w:divBdr>
    </w:div>
    <w:div w:id="369108951">
      <w:bodyDiv w:val="1"/>
      <w:marLeft w:val="0"/>
      <w:marRight w:val="0"/>
      <w:marTop w:val="0"/>
      <w:marBottom w:val="0"/>
      <w:divBdr>
        <w:top w:val="none" w:sz="0" w:space="0" w:color="auto"/>
        <w:left w:val="none" w:sz="0" w:space="0" w:color="auto"/>
        <w:bottom w:val="none" w:sz="0" w:space="0" w:color="auto"/>
        <w:right w:val="none" w:sz="0" w:space="0" w:color="auto"/>
      </w:divBdr>
    </w:div>
    <w:div w:id="403068085">
      <w:bodyDiv w:val="1"/>
      <w:marLeft w:val="0"/>
      <w:marRight w:val="0"/>
      <w:marTop w:val="0"/>
      <w:marBottom w:val="0"/>
      <w:divBdr>
        <w:top w:val="none" w:sz="0" w:space="0" w:color="auto"/>
        <w:left w:val="none" w:sz="0" w:space="0" w:color="auto"/>
        <w:bottom w:val="none" w:sz="0" w:space="0" w:color="auto"/>
        <w:right w:val="none" w:sz="0" w:space="0" w:color="auto"/>
      </w:divBdr>
    </w:div>
    <w:div w:id="1782646718">
      <w:bodyDiv w:val="1"/>
      <w:marLeft w:val="0"/>
      <w:marRight w:val="0"/>
      <w:marTop w:val="0"/>
      <w:marBottom w:val="0"/>
      <w:divBdr>
        <w:top w:val="none" w:sz="0" w:space="0" w:color="auto"/>
        <w:left w:val="none" w:sz="0" w:space="0" w:color="auto"/>
        <w:bottom w:val="none" w:sz="0" w:space="0" w:color="auto"/>
        <w:right w:val="none" w:sz="0" w:space="0" w:color="auto"/>
      </w:divBdr>
      <w:divsChild>
        <w:div w:id="61412920">
          <w:marLeft w:val="0"/>
          <w:marRight w:val="0"/>
          <w:marTop w:val="0"/>
          <w:marBottom w:val="0"/>
          <w:divBdr>
            <w:top w:val="none" w:sz="0" w:space="0" w:color="auto"/>
            <w:left w:val="none" w:sz="0" w:space="0" w:color="auto"/>
            <w:bottom w:val="none" w:sz="0" w:space="0" w:color="auto"/>
            <w:right w:val="none" w:sz="0" w:space="0" w:color="auto"/>
          </w:divBdr>
          <w:divsChild>
            <w:div w:id="8638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25273">
      <w:bodyDiv w:val="1"/>
      <w:marLeft w:val="0"/>
      <w:marRight w:val="0"/>
      <w:marTop w:val="0"/>
      <w:marBottom w:val="0"/>
      <w:divBdr>
        <w:top w:val="none" w:sz="0" w:space="0" w:color="auto"/>
        <w:left w:val="none" w:sz="0" w:space="0" w:color="auto"/>
        <w:bottom w:val="none" w:sz="0" w:space="0" w:color="auto"/>
        <w:right w:val="none" w:sz="0" w:space="0" w:color="auto"/>
      </w:divBdr>
      <w:divsChild>
        <w:div w:id="29502767">
          <w:marLeft w:val="0"/>
          <w:marRight w:val="0"/>
          <w:marTop w:val="0"/>
          <w:marBottom w:val="0"/>
          <w:divBdr>
            <w:top w:val="none" w:sz="0" w:space="0" w:color="auto"/>
            <w:left w:val="none" w:sz="0" w:space="0" w:color="auto"/>
            <w:bottom w:val="none" w:sz="0" w:space="0" w:color="auto"/>
            <w:right w:val="none" w:sz="0" w:space="0" w:color="auto"/>
          </w:divBdr>
        </w:div>
        <w:div w:id="70976891">
          <w:marLeft w:val="0"/>
          <w:marRight w:val="0"/>
          <w:marTop w:val="0"/>
          <w:marBottom w:val="0"/>
          <w:divBdr>
            <w:top w:val="none" w:sz="0" w:space="0" w:color="auto"/>
            <w:left w:val="none" w:sz="0" w:space="0" w:color="auto"/>
            <w:bottom w:val="none" w:sz="0" w:space="0" w:color="auto"/>
            <w:right w:val="none" w:sz="0" w:space="0" w:color="auto"/>
          </w:divBdr>
        </w:div>
        <w:div w:id="75834421">
          <w:marLeft w:val="0"/>
          <w:marRight w:val="0"/>
          <w:marTop w:val="0"/>
          <w:marBottom w:val="0"/>
          <w:divBdr>
            <w:top w:val="none" w:sz="0" w:space="0" w:color="auto"/>
            <w:left w:val="none" w:sz="0" w:space="0" w:color="auto"/>
            <w:bottom w:val="none" w:sz="0" w:space="0" w:color="auto"/>
            <w:right w:val="none" w:sz="0" w:space="0" w:color="auto"/>
          </w:divBdr>
        </w:div>
        <w:div w:id="286741776">
          <w:marLeft w:val="0"/>
          <w:marRight w:val="0"/>
          <w:marTop w:val="0"/>
          <w:marBottom w:val="0"/>
          <w:divBdr>
            <w:top w:val="none" w:sz="0" w:space="0" w:color="auto"/>
            <w:left w:val="none" w:sz="0" w:space="0" w:color="auto"/>
            <w:bottom w:val="none" w:sz="0" w:space="0" w:color="auto"/>
            <w:right w:val="none" w:sz="0" w:space="0" w:color="auto"/>
          </w:divBdr>
        </w:div>
        <w:div w:id="350641625">
          <w:marLeft w:val="0"/>
          <w:marRight w:val="0"/>
          <w:marTop w:val="0"/>
          <w:marBottom w:val="0"/>
          <w:divBdr>
            <w:top w:val="none" w:sz="0" w:space="0" w:color="auto"/>
            <w:left w:val="none" w:sz="0" w:space="0" w:color="auto"/>
            <w:bottom w:val="none" w:sz="0" w:space="0" w:color="auto"/>
            <w:right w:val="none" w:sz="0" w:space="0" w:color="auto"/>
          </w:divBdr>
        </w:div>
        <w:div w:id="376782404">
          <w:marLeft w:val="0"/>
          <w:marRight w:val="0"/>
          <w:marTop w:val="0"/>
          <w:marBottom w:val="0"/>
          <w:divBdr>
            <w:top w:val="none" w:sz="0" w:space="0" w:color="auto"/>
            <w:left w:val="none" w:sz="0" w:space="0" w:color="auto"/>
            <w:bottom w:val="none" w:sz="0" w:space="0" w:color="auto"/>
            <w:right w:val="none" w:sz="0" w:space="0" w:color="auto"/>
          </w:divBdr>
          <w:divsChild>
            <w:div w:id="109782738">
              <w:marLeft w:val="0"/>
              <w:marRight w:val="0"/>
              <w:marTop w:val="0"/>
              <w:marBottom w:val="0"/>
              <w:divBdr>
                <w:top w:val="none" w:sz="0" w:space="0" w:color="auto"/>
                <w:left w:val="none" w:sz="0" w:space="0" w:color="auto"/>
                <w:bottom w:val="none" w:sz="0" w:space="0" w:color="auto"/>
                <w:right w:val="none" w:sz="0" w:space="0" w:color="auto"/>
              </w:divBdr>
            </w:div>
            <w:div w:id="839350995">
              <w:marLeft w:val="0"/>
              <w:marRight w:val="0"/>
              <w:marTop w:val="0"/>
              <w:marBottom w:val="0"/>
              <w:divBdr>
                <w:top w:val="none" w:sz="0" w:space="0" w:color="auto"/>
                <w:left w:val="none" w:sz="0" w:space="0" w:color="auto"/>
                <w:bottom w:val="none" w:sz="0" w:space="0" w:color="auto"/>
                <w:right w:val="none" w:sz="0" w:space="0" w:color="auto"/>
              </w:divBdr>
            </w:div>
            <w:div w:id="1056395443">
              <w:marLeft w:val="0"/>
              <w:marRight w:val="0"/>
              <w:marTop w:val="0"/>
              <w:marBottom w:val="0"/>
              <w:divBdr>
                <w:top w:val="none" w:sz="0" w:space="0" w:color="auto"/>
                <w:left w:val="none" w:sz="0" w:space="0" w:color="auto"/>
                <w:bottom w:val="none" w:sz="0" w:space="0" w:color="auto"/>
                <w:right w:val="none" w:sz="0" w:space="0" w:color="auto"/>
              </w:divBdr>
            </w:div>
            <w:div w:id="1161777726">
              <w:marLeft w:val="0"/>
              <w:marRight w:val="0"/>
              <w:marTop w:val="0"/>
              <w:marBottom w:val="0"/>
              <w:divBdr>
                <w:top w:val="none" w:sz="0" w:space="0" w:color="auto"/>
                <w:left w:val="none" w:sz="0" w:space="0" w:color="auto"/>
                <w:bottom w:val="none" w:sz="0" w:space="0" w:color="auto"/>
                <w:right w:val="none" w:sz="0" w:space="0" w:color="auto"/>
              </w:divBdr>
            </w:div>
            <w:div w:id="1288005823">
              <w:marLeft w:val="0"/>
              <w:marRight w:val="0"/>
              <w:marTop w:val="0"/>
              <w:marBottom w:val="0"/>
              <w:divBdr>
                <w:top w:val="none" w:sz="0" w:space="0" w:color="auto"/>
                <w:left w:val="none" w:sz="0" w:space="0" w:color="auto"/>
                <w:bottom w:val="none" w:sz="0" w:space="0" w:color="auto"/>
                <w:right w:val="none" w:sz="0" w:space="0" w:color="auto"/>
              </w:divBdr>
            </w:div>
          </w:divsChild>
        </w:div>
        <w:div w:id="378476828">
          <w:marLeft w:val="0"/>
          <w:marRight w:val="0"/>
          <w:marTop w:val="0"/>
          <w:marBottom w:val="0"/>
          <w:divBdr>
            <w:top w:val="none" w:sz="0" w:space="0" w:color="auto"/>
            <w:left w:val="none" w:sz="0" w:space="0" w:color="auto"/>
            <w:bottom w:val="none" w:sz="0" w:space="0" w:color="auto"/>
            <w:right w:val="none" w:sz="0" w:space="0" w:color="auto"/>
          </w:divBdr>
        </w:div>
        <w:div w:id="477455350">
          <w:marLeft w:val="0"/>
          <w:marRight w:val="0"/>
          <w:marTop w:val="0"/>
          <w:marBottom w:val="0"/>
          <w:divBdr>
            <w:top w:val="none" w:sz="0" w:space="0" w:color="auto"/>
            <w:left w:val="none" w:sz="0" w:space="0" w:color="auto"/>
            <w:bottom w:val="none" w:sz="0" w:space="0" w:color="auto"/>
            <w:right w:val="none" w:sz="0" w:space="0" w:color="auto"/>
          </w:divBdr>
          <w:divsChild>
            <w:div w:id="852493748">
              <w:marLeft w:val="0"/>
              <w:marRight w:val="0"/>
              <w:marTop w:val="0"/>
              <w:marBottom w:val="0"/>
              <w:divBdr>
                <w:top w:val="none" w:sz="0" w:space="0" w:color="auto"/>
                <w:left w:val="none" w:sz="0" w:space="0" w:color="auto"/>
                <w:bottom w:val="none" w:sz="0" w:space="0" w:color="auto"/>
                <w:right w:val="none" w:sz="0" w:space="0" w:color="auto"/>
              </w:divBdr>
            </w:div>
            <w:div w:id="1049498996">
              <w:marLeft w:val="0"/>
              <w:marRight w:val="0"/>
              <w:marTop w:val="0"/>
              <w:marBottom w:val="0"/>
              <w:divBdr>
                <w:top w:val="none" w:sz="0" w:space="0" w:color="auto"/>
                <w:left w:val="none" w:sz="0" w:space="0" w:color="auto"/>
                <w:bottom w:val="none" w:sz="0" w:space="0" w:color="auto"/>
                <w:right w:val="none" w:sz="0" w:space="0" w:color="auto"/>
              </w:divBdr>
            </w:div>
            <w:div w:id="1640188878">
              <w:marLeft w:val="0"/>
              <w:marRight w:val="0"/>
              <w:marTop w:val="0"/>
              <w:marBottom w:val="0"/>
              <w:divBdr>
                <w:top w:val="none" w:sz="0" w:space="0" w:color="auto"/>
                <w:left w:val="none" w:sz="0" w:space="0" w:color="auto"/>
                <w:bottom w:val="none" w:sz="0" w:space="0" w:color="auto"/>
                <w:right w:val="none" w:sz="0" w:space="0" w:color="auto"/>
              </w:divBdr>
            </w:div>
            <w:div w:id="1648166002">
              <w:marLeft w:val="0"/>
              <w:marRight w:val="0"/>
              <w:marTop w:val="0"/>
              <w:marBottom w:val="0"/>
              <w:divBdr>
                <w:top w:val="none" w:sz="0" w:space="0" w:color="auto"/>
                <w:left w:val="none" w:sz="0" w:space="0" w:color="auto"/>
                <w:bottom w:val="none" w:sz="0" w:space="0" w:color="auto"/>
                <w:right w:val="none" w:sz="0" w:space="0" w:color="auto"/>
              </w:divBdr>
            </w:div>
            <w:div w:id="2120568450">
              <w:marLeft w:val="0"/>
              <w:marRight w:val="0"/>
              <w:marTop w:val="0"/>
              <w:marBottom w:val="0"/>
              <w:divBdr>
                <w:top w:val="none" w:sz="0" w:space="0" w:color="auto"/>
                <w:left w:val="none" w:sz="0" w:space="0" w:color="auto"/>
                <w:bottom w:val="none" w:sz="0" w:space="0" w:color="auto"/>
                <w:right w:val="none" w:sz="0" w:space="0" w:color="auto"/>
              </w:divBdr>
            </w:div>
          </w:divsChild>
        </w:div>
        <w:div w:id="546917633">
          <w:marLeft w:val="0"/>
          <w:marRight w:val="0"/>
          <w:marTop w:val="0"/>
          <w:marBottom w:val="0"/>
          <w:divBdr>
            <w:top w:val="none" w:sz="0" w:space="0" w:color="auto"/>
            <w:left w:val="none" w:sz="0" w:space="0" w:color="auto"/>
            <w:bottom w:val="none" w:sz="0" w:space="0" w:color="auto"/>
            <w:right w:val="none" w:sz="0" w:space="0" w:color="auto"/>
          </w:divBdr>
        </w:div>
        <w:div w:id="602955759">
          <w:marLeft w:val="0"/>
          <w:marRight w:val="0"/>
          <w:marTop w:val="0"/>
          <w:marBottom w:val="0"/>
          <w:divBdr>
            <w:top w:val="none" w:sz="0" w:space="0" w:color="auto"/>
            <w:left w:val="none" w:sz="0" w:space="0" w:color="auto"/>
            <w:bottom w:val="none" w:sz="0" w:space="0" w:color="auto"/>
            <w:right w:val="none" w:sz="0" w:space="0" w:color="auto"/>
          </w:divBdr>
          <w:divsChild>
            <w:div w:id="888151972">
              <w:marLeft w:val="0"/>
              <w:marRight w:val="0"/>
              <w:marTop w:val="0"/>
              <w:marBottom w:val="0"/>
              <w:divBdr>
                <w:top w:val="none" w:sz="0" w:space="0" w:color="auto"/>
                <w:left w:val="none" w:sz="0" w:space="0" w:color="auto"/>
                <w:bottom w:val="none" w:sz="0" w:space="0" w:color="auto"/>
                <w:right w:val="none" w:sz="0" w:space="0" w:color="auto"/>
              </w:divBdr>
            </w:div>
            <w:div w:id="2050110518">
              <w:marLeft w:val="0"/>
              <w:marRight w:val="0"/>
              <w:marTop w:val="0"/>
              <w:marBottom w:val="0"/>
              <w:divBdr>
                <w:top w:val="none" w:sz="0" w:space="0" w:color="auto"/>
                <w:left w:val="none" w:sz="0" w:space="0" w:color="auto"/>
                <w:bottom w:val="none" w:sz="0" w:space="0" w:color="auto"/>
                <w:right w:val="none" w:sz="0" w:space="0" w:color="auto"/>
              </w:divBdr>
            </w:div>
          </w:divsChild>
        </w:div>
        <w:div w:id="604576955">
          <w:marLeft w:val="0"/>
          <w:marRight w:val="0"/>
          <w:marTop w:val="0"/>
          <w:marBottom w:val="0"/>
          <w:divBdr>
            <w:top w:val="none" w:sz="0" w:space="0" w:color="auto"/>
            <w:left w:val="none" w:sz="0" w:space="0" w:color="auto"/>
            <w:bottom w:val="none" w:sz="0" w:space="0" w:color="auto"/>
            <w:right w:val="none" w:sz="0" w:space="0" w:color="auto"/>
          </w:divBdr>
        </w:div>
        <w:div w:id="760953205">
          <w:marLeft w:val="0"/>
          <w:marRight w:val="0"/>
          <w:marTop w:val="0"/>
          <w:marBottom w:val="0"/>
          <w:divBdr>
            <w:top w:val="none" w:sz="0" w:space="0" w:color="auto"/>
            <w:left w:val="none" w:sz="0" w:space="0" w:color="auto"/>
            <w:bottom w:val="none" w:sz="0" w:space="0" w:color="auto"/>
            <w:right w:val="none" w:sz="0" w:space="0" w:color="auto"/>
          </w:divBdr>
        </w:div>
        <w:div w:id="894044399">
          <w:marLeft w:val="0"/>
          <w:marRight w:val="0"/>
          <w:marTop w:val="0"/>
          <w:marBottom w:val="0"/>
          <w:divBdr>
            <w:top w:val="none" w:sz="0" w:space="0" w:color="auto"/>
            <w:left w:val="none" w:sz="0" w:space="0" w:color="auto"/>
            <w:bottom w:val="none" w:sz="0" w:space="0" w:color="auto"/>
            <w:right w:val="none" w:sz="0" w:space="0" w:color="auto"/>
          </w:divBdr>
        </w:div>
        <w:div w:id="956788604">
          <w:marLeft w:val="0"/>
          <w:marRight w:val="0"/>
          <w:marTop w:val="0"/>
          <w:marBottom w:val="0"/>
          <w:divBdr>
            <w:top w:val="none" w:sz="0" w:space="0" w:color="auto"/>
            <w:left w:val="none" w:sz="0" w:space="0" w:color="auto"/>
            <w:bottom w:val="none" w:sz="0" w:space="0" w:color="auto"/>
            <w:right w:val="none" w:sz="0" w:space="0" w:color="auto"/>
          </w:divBdr>
        </w:div>
        <w:div w:id="963390048">
          <w:marLeft w:val="0"/>
          <w:marRight w:val="0"/>
          <w:marTop w:val="0"/>
          <w:marBottom w:val="0"/>
          <w:divBdr>
            <w:top w:val="none" w:sz="0" w:space="0" w:color="auto"/>
            <w:left w:val="none" w:sz="0" w:space="0" w:color="auto"/>
            <w:bottom w:val="none" w:sz="0" w:space="0" w:color="auto"/>
            <w:right w:val="none" w:sz="0" w:space="0" w:color="auto"/>
          </w:divBdr>
        </w:div>
        <w:div w:id="977733508">
          <w:marLeft w:val="0"/>
          <w:marRight w:val="0"/>
          <w:marTop w:val="0"/>
          <w:marBottom w:val="0"/>
          <w:divBdr>
            <w:top w:val="none" w:sz="0" w:space="0" w:color="auto"/>
            <w:left w:val="none" w:sz="0" w:space="0" w:color="auto"/>
            <w:bottom w:val="none" w:sz="0" w:space="0" w:color="auto"/>
            <w:right w:val="none" w:sz="0" w:space="0" w:color="auto"/>
          </w:divBdr>
        </w:div>
        <w:div w:id="1084885392">
          <w:marLeft w:val="0"/>
          <w:marRight w:val="0"/>
          <w:marTop w:val="0"/>
          <w:marBottom w:val="0"/>
          <w:divBdr>
            <w:top w:val="none" w:sz="0" w:space="0" w:color="auto"/>
            <w:left w:val="none" w:sz="0" w:space="0" w:color="auto"/>
            <w:bottom w:val="none" w:sz="0" w:space="0" w:color="auto"/>
            <w:right w:val="none" w:sz="0" w:space="0" w:color="auto"/>
          </w:divBdr>
        </w:div>
        <w:div w:id="1086342854">
          <w:marLeft w:val="0"/>
          <w:marRight w:val="0"/>
          <w:marTop w:val="0"/>
          <w:marBottom w:val="0"/>
          <w:divBdr>
            <w:top w:val="none" w:sz="0" w:space="0" w:color="auto"/>
            <w:left w:val="none" w:sz="0" w:space="0" w:color="auto"/>
            <w:bottom w:val="none" w:sz="0" w:space="0" w:color="auto"/>
            <w:right w:val="none" w:sz="0" w:space="0" w:color="auto"/>
          </w:divBdr>
        </w:div>
        <w:div w:id="1145968923">
          <w:marLeft w:val="0"/>
          <w:marRight w:val="0"/>
          <w:marTop w:val="0"/>
          <w:marBottom w:val="0"/>
          <w:divBdr>
            <w:top w:val="none" w:sz="0" w:space="0" w:color="auto"/>
            <w:left w:val="none" w:sz="0" w:space="0" w:color="auto"/>
            <w:bottom w:val="none" w:sz="0" w:space="0" w:color="auto"/>
            <w:right w:val="none" w:sz="0" w:space="0" w:color="auto"/>
          </w:divBdr>
        </w:div>
        <w:div w:id="1188643659">
          <w:marLeft w:val="0"/>
          <w:marRight w:val="0"/>
          <w:marTop w:val="0"/>
          <w:marBottom w:val="0"/>
          <w:divBdr>
            <w:top w:val="none" w:sz="0" w:space="0" w:color="auto"/>
            <w:left w:val="none" w:sz="0" w:space="0" w:color="auto"/>
            <w:bottom w:val="none" w:sz="0" w:space="0" w:color="auto"/>
            <w:right w:val="none" w:sz="0" w:space="0" w:color="auto"/>
          </w:divBdr>
        </w:div>
        <w:div w:id="1258756511">
          <w:marLeft w:val="0"/>
          <w:marRight w:val="0"/>
          <w:marTop w:val="0"/>
          <w:marBottom w:val="0"/>
          <w:divBdr>
            <w:top w:val="none" w:sz="0" w:space="0" w:color="auto"/>
            <w:left w:val="none" w:sz="0" w:space="0" w:color="auto"/>
            <w:bottom w:val="none" w:sz="0" w:space="0" w:color="auto"/>
            <w:right w:val="none" w:sz="0" w:space="0" w:color="auto"/>
          </w:divBdr>
        </w:div>
        <w:div w:id="1259674719">
          <w:marLeft w:val="0"/>
          <w:marRight w:val="0"/>
          <w:marTop w:val="0"/>
          <w:marBottom w:val="0"/>
          <w:divBdr>
            <w:top w:val="none" w:sz="0" w:space="0" w:color="auto"/>
            <w:left w:val="none" w:sz="0" w:space="0" w:color="auto"/>
            <w:bottom w:val="none" w:sz="0" w:space="0" w:color="auto"/>
            <w:right w:val="none" w:sz="0" w:space="0" w:color="auto"/>
          </w:divBdr>
        </w:div>
        <w:div w:id="1492328810">
          <w:marLeft w:val="0"/>
          <w:marRight w:val="0"/>
          <w:marTop w:val="0"/>
          <w:marBottom w:val="0"/>
          <w:divBdr>
            <w:top w:val="none" w:sz="0" w:space="0" w:color="auto"/>
            <w:left w:val="none" w:sz="0" w:space="0" w:color="auto"/>
            <w:bottom w:val="none" w:sz="0" w:space="0" w:color="auto"/>
            <w:right w:val="none" w:sz="0" w:space="0" w:color="auto"/>
          </w:divBdr>
        </w:div>
        <w:div w:id="1651322925">
          <w:marLeft w:val="0"/>
          <w:marRight w:val="0"/>
          <w:marTop w:val="0"/>
          <w:marBottom w:val="0"/>
          <w:divBdr>
            <w:top w:val="none" w:sz="0" w:space="0" w:color="auto"/>
            <w:left w:val="none" w:sz="0" w:space="0" w:color="auto"/>
            <w:bottom w:val="none" w:sz="0" w:space="0" w:color="auto"/>
            <w:right w:val="none" w:sz="0" w:space="0" w:color="auto"/>
          </w:divBdr>
        </w:div>
        <w:div w:id="1723678069">
          <w:marLeft w:val="0"/>
          <w:marRight w:val="0"/>
          <w:marTop w:val="0"/>
          <w:marBottom w:val="0"/>
          <w:divBdr>
            <w:top w:val="none" w:sz="0" w:space="0" w:color="auto"/>
            <w:left w:val="none" w:sz="0" w:space="0" w:color="auto"/>
            <w:bottom w:val="none" w:sz="0" w:space="0" w:color="auto"/>
            <w:right w:val="none" w:sz="0" w:space="0" w:color="auto"/>
          </w:divBdr>
        </w:div>
        <w:div w:id="1731806848">
          <w:marLeft w:val="0"/>
          <w:marRight w:val="0"/>
          <w:marTop w:val="0"/>
          <w:marBottom w:val="0"/>
          <w:divBdr>
            <w:top w:val="none" w:sz="0" w:space="0" w:color="auto"/>
            <w:left w:val="none" w:sz="0" w:space="0" w:color="auto"/>
            <w:bottom w:val="none" w:sz="0" w:space="0" w:color="auto"/>
            <w:right w:val="none" w:sz="0" w:space="0" w:color="auto"/>
          </w:divBdr>
        </w:div>
        <w:div w:id="1769034574">
          <w:marLeft w:val="0"/>
          <w:marRight w:val="0"/>
          <w:marTop w:val="0"/>
          <w:marBottom w:val="0"/>
          <w:divBdr>
            <w:top w:val="none" w:sz="0" w:space="0" w:color="auto"/>
            <w:left w:val="none" w:sz="0" w:space="0" w:color="auto"/>
            <w:bottom w:val="none" w:sz="0" w:space="0" w:color="auto"/>
            <w:right w:val="none" w:sz="0" w:space="0" w:color="auto"/>
          </w:divBdr>
        </w:div>
        <w:div w:id="1809321228">
          <w:marLeft w:val="0"/>
          <w:marRight w:val="0"/>
          <w:marTop w:val="0"/>
          <w:marBottom w:val="0"/>
          <w:divBdr>
            <w:top w:val="none" w:sz="0" w:space="0" w:color="auto"/>
            <w:left w:val="none" w:sz="0" w:space="0" w:color="auto"/>
            <w:bottom w:val="none" w:sz="0" w:space="0" w:color="auto"/>
            <w:right w:val="none" w:sz="0" w:space="0" w:color="auto"/>
          </w:divBdr>
        </w:div>
        <w:div w:id="1826819777">
          <w:marLeft w:val="0"/>
          <w:marRight w:val="0"/>
          <w:marTop w:val="0"/>
          <w:marBottom w:val="0"/>
          <w:divBdr>
            <w:top w:val="none" w:sz="0" w:space="0" w:color="auto"/>
            <w:left w:val="none" w:sz="0" w:space="0" w:color="auto"/>
            <w:bottom w:val="none" w:sz="0" w:space="0" w:color="auto"/>
            <w:right w:val="none" w:sz="0" w:space="0" w:color="auto"/>
          </w:divBdr>
        </w:div>
        <w:div w:id="1888682271">
          <w:marLeft w:val="0"/>
          <w:marRight w:val="0"/>
          <w:marTop w:val="0"/>
          <w:marBottom w:val="0"/>
          <w:divBdr>
            <w:top w:val="none" w:sz="0" w:space="0" w:color="auto"/>
            <w:left w:val="none" w:sz="0" w:space="0" w:color="auto"/>
            <w:bottom w:val="none" w:sz="0" w:space="0" w:color="auto"/>
            <w:right w:val="none" w:sz="0" w:space="0" w:color="auto"/>
          </w:divBdr>
        </w:div>
        <w:div w:id="2059238202">
          <w:marLeft w:val="0"/>
          <w:marRight w:val="0"/>
          <w:marTop w:val="0"/>
          <w:marBottom w:val="0"/>
          <w:divBdr>
            <w:top w:val="none" w:sz="0" w:space="0" w:color="auto"/>
            <w:left w:val="none" w:sz="0" w:space="0" w:color="auto"/>
            <w:bottom w:val="none" w:sz="0" w:space="0" w:color="auto"/>
            <w:right w:val="none" w:sz="0" w:space="0" w:color="auto"/>
          </w:divBdr>
        </w:div>
        <w:div w:id="2079470450">
          <w:marLeft w:val="0"/>
          <w:marRight w:val="0"/>
          <w:marTop w:val="0"/>
          <w:marBottom w:val="0"/>
          <w:divBdr>
            <w:top w:val="none" w:sz="0" w:space="0" w:color="auto"/>
            <w:left w:val="none" w:sz="0" w:space="0" w:color="auto"/>
            <w:bottom w:val="none" w:sz="0" w:space="0" w:color="auto"/>
            <w:right w:val="none" w:sz="0" w:space="0" w:color="auto"/>
          </w:divBdr>
        </w:div>
        <w:div w:id="2085908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2.xml"/></Relationships>
</file>

<file path=word/_rels/footnotes.xml.rels><?xml version="1.0" encoding="UTF-8" standalone="yes"?>
<Relationships xmlns="http://schemas.openxmlformats.org/package/2006/relationships"><Relationship Id="rId3" Type="http://schemas.openxmlformats.org/officeDocument/2006/relationships/hyperlink" Target="https://www.oecd.org/dac/financing-sustainable-development/ODA-2022-summary.pdf" TargetMode="External"/><Relationship Id="rId7" Type="http://schemas.openxmlformats.org/officeDocument/2006/relationships/hyperlink" Target="https://doi.org/10.4060/ca9929en" TargetMode="External"/><Relationship Id="rId2" Type="http://schemas.openxmlformats.org/officeDocument/2006/relationships/hyperlink" Target="https://doi.org/10.1787/f6edc3c2-en" TargetMode="External"/><Relationship Id="rId1" Type="http://schemas.openxmlformats.org/officeDocument/2006/relationships/hyperlink" Target="https://impakter.com/the-importance-of-flexible-funding-in-the-era-of-covid-19/" TargetMode="External"/><Relationship Id="rId6" Type="http://schemas.openxmlformats.org/officeDocument/2006/relationships/hyperlink" Target="https://www.oecd.org/dac/2022-mdf-comparing-multilateral-bilateral-aid.pdf" TargetMode="External"/><Relationship Id="rId5" Type="http://schemas.openxmlformats.org/officeDocument/2006/relationships/hyperlink" Target="https://www.un.org/sg/en/content/sg/speeches/2022-09-20/secretary-generals-address-the-general-assembly" TargetMode="External"/><Relationship Id="rId4" Type="http://schemas.openxmlformats.org/officeDocument/2006/relationships/hyperlink" Target="http://www.jstor.org/stable/43283292"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undp-my.sharepoint.com/personal/tsegaye_lemma_undp_org/Documents/Documents/BERA/R&amp;D/Data/2023/Historical%20contributions%20to%20regular%20and%20other%20resources%201992%20to%202019_simplifie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undp-my.sharepoint.com/personal/tsegaye_lemma_undp_org/Documents/Documents/BERA/R&amp;D/Data/2023/Historical%20contributions%20to%20regular%20and%20other%20resources%201992%20to%202019_simplified.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Core and non-core funding to UNDP (US$</a:t>
            </a:r>
            <a:r>
              <a:rPr lang="en-US" sz="1200" baseline="0"/>
              <a:t> millions)</a:t>
            </a:r>
            <a:r>
              <a:rPr lang="en-US" sz="1200"/>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'Core_Non-Core'!$A$2</c:f>
              <c:strCache>
                <c:ptCount val="1"/>
                <c:pt idx="0">
                  <c:v>Core</c:v>
                </c:pt>
              </c:strCache>
            </c:strRef>
          </c:tx>
          <c:spPr>
            <a:solidFill>
              <a:schemeClr val="accent1"/>
            </a:solidFill>
            <a:ln>
              <a:noFill/>
            </a:ln>
            <a:effectLst/>
          </c:spPr>
          <c:invertIfNegative val="0"/>
          <c:cat>
            <c:strRef>
              <c:f>'Core_Non-Core'!$B$1:$AF$1</c:f>
              <c:strCache>
                <c:ptCount val="31"/>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pt idx="23">
                  <c:v>2015</c:v>
                </c:pt>
                <c:pt idx="24">
                  <c:v>2016</c:v>
                </c:pt>
                <c:pt idx="25">
                  <c:v>2017</c:v>
                </c:pt>
                <c:pt idx="26">
                  <c:v>2018</c:v>
                </c:pt>
                <c:pt idx="27">
                  <c:v>2019</c:v>
                </c:pt>
                <c:pt idx="28">
                  <c:v>2020</c:v>
                </c:pt>
                <c:pt idx="29">
                  <c:v>2021</c:v>
                </c:pt>
                <c:pt idx="30">
                  <c:v>2022</c:v>
                </c:pt>
              </c:strCache>
            </c:strRef>
          </c:cat>
          <c:val>
            <c:numRef>
              <c:f>'Core_Non-Core'!$B$2:$AF$2</c:f>
              <c:numCache>
                <c:formatCode>_(* #,##0.00_);_(* \(#,##0.00\);_(* "-"??_);_(@_)</c:formatCode>
                <c:ptCount val="31"/>
                <c:pt idx="0">
                  <c:v>1182.129402</c:v>
                </c:pt>
                <c:pt idx="1">
                  <c:v>896.50983799999995</c:v>
                </c:pt>
                <c:pt idx="2">
                  <c:v>932.27149099999997</c:v>
                </c:pt>
                <c:pt idx="3">
                  <c:v>903.21140800000001</c:v>
                </c:pt>
                <c:pt idx="4">
                  <c:v>854.83157100000005</c:v>
                </c:pt>
                <c:pt idx="5">
                  <c:v>766.60209699999996</c:v>
                </c:pt>
                <c:pt idx="6">
                  <c:v>757.22750599999995</c:v>
                </c:pt>
                <c:pt idx="7">
                  <c:v>694.27706723000017</c:v>
                </c:pt>
                <c:pt idx="8">
                  <c:v>645.22947023999984</c:v>
                </c:pt>
                <c:pt idx="9">
                  <c:v>660.72031554000023</c:v>
                </c:pt>
                <c:pt idx="10">
                  <c:v>670.31069434999995</c:v>
                </c:pt>
                <c:pt idx="11">
                  <c:v>769.8816606900001</c:v>
                </c:pt>
                <c:pt idx="12">
                  <c:v>841.93118601999981</c:v>
                </c:pt>
                <c:pt idx="13">
                  <c:v>921.40731586000004</c:v>
                </c:pt>
                <c:pt idx="14">
                  <c:v>923.7690000966827</c:v>
                </c:pt>
                <c:pt idx="15">
                  <c:v>1115.7220420000001</c:v>
                </c:pt>
                <c:pt idx="16">
                  <c:v>1097.126968</c:v>
                </c:pt>
                <c:pt idx="17">
                  <c:v>1014.809498964497</c:v>
                </c:pt>
                <c:pt idx="18">
                  <c:v>966.95</c:v>
                </c:pt>
                <c:pt idx="19">
                  <c:v>974.51</c:v>
                </c:pt>
                <c:pt idx="20">
                  <c:v>846.07</c:v>
                </c:pt>
                <c:pt idx="21">
                  <c:v>895.68528993000007</c:v>
                </c:pt>
                <c:pt idx="22">
                  <c:v>792.60979754999994</c:v>
                </c:pt>
                <c:pt idx="23">
                  <c:v>704</c:v>
                </c:pt>
                <c:pt idx="24">
                  <c:v>618.65</c:v>
                </c:pt>
                <c:pt idx="25" formatCode="0.00">
                  <c:v>611.71</c:v>
                </c:pt>
                <c:pt idx="26" formatCode="0.00">
                  <c:v>624.15</c:v>
                </c:pt>
                <c:pt idx="27" formatCode="0.00">
                  <c:v>616.51</c:v>
                </c:pt>
                <c:pt idx="28" formatCode="0.00">
                  <c:v>696</c:v>
                </c:pt>
                <c:pt idx="29" formatCode="0.00">
                  <c:v>648</c:v>
                </c:pt>
                <c:pt idx="30" formatCode="0.00">
                  <c:v>591</c:v>
                </c:pt>
              </c:numCache>
            </c:numRef>
          </c:val>
          <c:extLst>
            <c:ext xmlns:c16="http://schemas.microsoft.com/office/drawing/2014/chart" uri="{C3380CC4-5D6E-409C-BE32-E72D297353CC}">
              <c16:uniqueId val="{00000000-0EF3-4A70-A2A0-2ED95CCBCDE8}"/>
            </c:ext>
          </c:extLst>
        </c:ser>
        <c:ser>
          <c:idx val="1"/>
          <c:order val="1"/>
          <c:tx>
            <c:strRef>
              <c:f>'Core_Non-Core'!$A$3</c:f>
              <c:strCache>
                <c:ptCount val="1"/>
                <c:pt idx="0">
                  <c:v>Non-core </c:v>
                </c:pt>
              </c:strCache>
            </c:strRef>
          </c:tx>
          <c:spPr>
            <a:solidFill>
              <a:schemeClr val="accent2"/>
            </a:solidFill>
            <a:ln>
              <a:noFill/>
            </a:ln>
            <a:effectLst/>
          </c:spPr>
          <c:invertIfNegative val="0"/>
          <c:cat>
            <c:strRef>
              <c:f>'Core_Non-Core'!$B$1:$AF$1</c:f>
              <c:strCache>
                <c:ptCount val="31"/>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pt idx="23">
                  <c:v>2015</c:v>
                </c:pt>
                <c:pt idx="24">
                  <c:v>2016</c:v>
                </c:pt>
                <c:pt idx="25">
                  <c:v>2017</c:v>
                </c:pt>
                <c:pt idx="26">
                  <c:v>2018</c:v>
                </c:pt>
                <c:pt idx="27">
                  <c:v>2019</c:v>
                </c:pt>
                <c:pt idx="28">
                  <c:v>2020</c:v>
                </c:pt>
                <c:pt idx="29">
                  <c:v>2021</c:v>
                </c:pt>
                <c:pt idx="30">
                  <c:v>2022</c:v>
                </c:pt>
              </c:strCache>
            </c:strRef>
          </c:cat>
          <c:val>
            <c:numRef>
              <c:f>'Core_Non-Core'!$B$3:$AF$3</c:f>
              <c:numCache>
                <c:formatCode>_(* #,##0.00_);_(* \(#,##0.00\);_(* "-"??_);_(@_)</c:formatCode>
                <c:ptCount val="31"/>
                <c:pt idx="0">
                  <c:v>420.71581186000003</c:v>
                </c:pt>
                <c:pt idx="1">
                  <c:v>447.346249</c:v>
                </c:pt>
                <c:pt idx="2">
                  <c:v>860.65001700000005</c:v>
                </c:pt>
                <c:pt idx="3">
                  <c:v>823.99005199999999</c:v>
                </c:pt>
                <c:pt idx="4">
                  <c:v>1092.14905</c:v>
                </c:pt>
                <c:pt idx="5">
                  <c:v>1187.562518</c:v>
                </c:pt>
                <c:pt idx="6">
                  <c:v>1544.9728962600002</c:v>
                </c:pt>
                <c:pt idx="7">
                  <c:v>1504.86619735</c:v>
                </c:pt>
                <c:pt idx="8">
                  <c:v>1502.9670592199998</c:v>
                </c:pt>
                <c:pt idx="9">
                  <c:v>1760.59320245</c:v>
                </c:pt>
                <c:pt idx="10">
                  <c:v>1975.5171521399996</c:v>
                </c:pt>
                <c:pt idx="11">
                  <c:v>2207.49931483</c:v>
                </c:pt>
                <c:pt idx="12">
                  <c:v>2972.36</c:v>
                </c:pt>
                <c:pt idx="13">
                  <c:v>3608.77</c:v>
                </c:pt>
                <c:pt idx="14">
                  <c:v>3513.92</c:v>
                </c:pt>
                <c:pt idx="15">
                  <c:v>3563.4</c:v>
                </c:pt>
                <c:pt idx="16">
                  <c:v>3632.36</c:v>
                </c:pt>
                <c:pt idx="17">
                  <c:v>3645.07</c:v>
                </c:pt>
                <c:pt idx="18">
                  <c:v>4040.06</c:v>
                </c:pt>
                <c:pt idx="19">
                  <c:v>3848.85</c:v>
                </c:pt>
                <c:pt idx="20">
                  <c:v>3692.88</c:v>
                </c:pt>
                <c:pt idx="21">
                  <c:v>3794.8631693399993</c:v>
                </c:pt>
                <c:pt idx="22">
                  <c:v>3831.7187778399993</c:v>
                </c:pt>
                <c:pt idx="23">
                  <c:v>3781.78</c:v>
                </c:pt>
                <c:pt idx="24">
                  <c:v>4247</c:v>
                </c:pt>
                <c:pt idx="25">
                  <c:v>4303.3999999999996</c:v>
                </c:pt>
                <c:pt idx="26">
                  <c:v>4579.17</c:v>
                </c:pt>
                <c:pt idx="27">
                  <c:v>4319.3</c:v>
                </c:pt>
                <c:pt idx="28" formatCode="0.00">
                  <c:v>4804</c:v>
                </c:pt>
                <c:pt idx="29" formatCode="0.00">
                  <c:v>4652</c:v>
                </c:pt>
                <c:pt idx="30" formatCode="0.00">
                  <c:v>4309</c:v>
                </c:pt>
              </c:numCache>
            </c:numRef>
          </c:val>
          <c:extLst>
            <c:ext xmlns:c16="http://schemas.microsoft.com/office/drawing/2014/chart" uri="{C3380CC4-5D6E-409C-BE32-E72D297353CC}">
              <c16:uniqueId val="{00000001-0EF3-4A70-A2A0-2ED95CCBCDE8}"/>
            </c:ext>
          </c:extLst>
        </c:ser>
        <c:dLbls>
          <c:showLegendKey val="0"/>
          <c:showVal val="0"/>
          <c:showCatName val="0"/>
          <c:showSerName val="0"/>
          <c:showPercent val="0"/>
          <c:showBubbleSize val="0"/>
        </c:dLbls>
        <c:gapWidth val="150"/>
        <c:overlap val="100"/>
        <c:axId val="1444042464"/>
        <c:axId val="1444044544"/>
      </c:barChart>
      <c:catAx>
        <c:axId val="1444042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4044544"/>
        <c:crosses val="autoZero"/>
        <c:auto val="1"/>
        <c:lblAlgn val="ctr"/>
        <c:lblOffset val="100"/>
        <c:noMultiLvlLbl val="0"/>
      </c:catAx>
      <c:valAx>
        <c:axId val="1444044544"/>
        <c:scaling>
          <c:orientation val="minMax"/>
        </c:scaling>
        <c:delete val="0"/>
        <c:axPos val="l"/>
        <c:majorGridlines>
          <c:spPr>
            <a:ln w="9525" cap="flat" cmpd="sng" algn="ctr">
              <a:solidFill>
                <a:schemeClr val="tx1">
                  <a:lumMod val="15000"/>
                  <a:lumOff val="85000"/>
                </a:schemeClr>
              </a:solidFill>
              <a:round/>
            </a:ln>
            <a:effectLst/>
          </c:spPr>
        </c:majorGridlines>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4042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Trend in </a:t>
            </a:r>
            <a:r>
              <a:rPr lang="en-US" baseline="0"/>
              <a:t>core funding (US$ million)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'Core_Non-Core'!$A$2</c:f>
              <c:strCache>
                <c:ptCount val="1"/>
                <c:pt idx="0">
                  <c:v>Core</c:v>
                </c:pt>
              </c:strCache>
            </c:strRef>
          </c:tx>
          <c:spPr>
            <a:ln w="28575" cap="rnd">
              <a:solidFill>
                <a:schemeClr val="accent1"/>
              </a:solidFill>
              <a:round/>
            </a:ln>
            <a:effectLst/>
          </c:spPr>
          <c:marker>
            <c:symbol val="none"/>
          </c:marker>
          <c:cat>
            <c:strRef>
              <c:f>'Core_Non-Core'!$B$1:$AF$1</c:f>
              <c:strCache>
                <c:ptCount val="31"/>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pt idx="23">
                  <c:v>2015</c:v>
                </c:pt>
                <c:pt idx="24">
                  <c:v>2016</c:v>
                </c:pt>
                <c:pt idx="25">
                  <c:v>2017</c:v>
                </c:pt>
                <c:pt idx="26">
                  <c:v>2018</c:v>
                </c:pt>
                <c:pt idx="27">
                  <c:v>2019</c:v>
                </c:pt>
                <c:pt idx="28">
                  <c:v>2020</c:v>
                </c:pt>
                <c:pt idx="29">
                  <c:v>2021</c:v>
                </c:pt>
                <c:pt idx="30">
                  <c:v>2022</c:v>
                </c:pt>
              </c:strCache>
            </c:strRef>
          </c:cat>
          <c:val>
            <c:numRef>
              <c:f>'Core_Non-Core'!$B$2:$AF$2</c:f>
              <c:numCache>
                <c:formatCode>_(* #,##0.00_);_(* \(#,##0.00\);_(* "-"??_);_(@_)</c:formatCode>
                <c:ptCount val="31"/>
                <c:pt idx="0">
                  <c:v>1182.129402</c:v>
                </c:pt>
                <c:pt idx="1">
                  <c:v>896.50983799999995</c:v>
                </c:pt>
                <c:pt idx="2">
                  <c:v>932.27149099999997</c:v>
                </c:pt>
                <c:pt idx="3">
                  <c:v>903.21140800000001</c:v>
                </c:pt>
                <c:pt idx="4">
                  <c:v>854.83157100000005</c:v>
                </c:pt>
                <c:pt idx="5">
                  <c:v>766.60209699999996</c:v>
                </c:pt>
                <c:pt idx="6">
                  <c:v>757.22750599999995</c:v>
                </c:pt>
                <c:pt idx="7">
                  <c:v>694.27706723000017</c:v>
                </c:pt>
                <c:pt idx="8">
                  <c:v>645.22947023999984</c:v>
                </c:pt>
                <c:pt idx="9">
                  <c:v>660.72031554000023</c:v>
                </c:pt>
                <c:pt idx="10">
                  <c:v>670.31069434999995</c:v>
                </c:pt>
                <c:pt idx="11">
                  <c:v>769.8816606900001</c:v>
                </c:pt>
                <c:pt idx="12">
                  <c:v>841.93118601999981</c:v>
                </c:pt>
                <c:pt idx="13">
                  <c:v>921.40731586000004</c:v>
                </c:pt>
                <c:pt idx="14">
                  <c:v>923.7690000966827</c:v>
                </c:pt>
                <c:pt idx="15">
                  <c:v>1115.7220420000001</c:v>
                </c:pt>
                <c:pt idx="16">
                  <c:v>1097.126968</c:v>
                </c:pt>
                <c:pt idx="17">
                  <c:v>1014.809498964497</c:v>
                </c:pt>
                <c:pt idx="18">
                  <c:v>966.95</c:v>
                </c:pt>
                <c:pt idx="19">
                  <c:v>974.51</c:v>
                </c:pt>
                <c:pt idx="20">
                  <c:v>846.07</c:v>
                </c:pt>
                <c:pt idx="21">
                  <c:v>895.68528993000007</c:v>
                </c:pt>
                <c:pt idx="22">
                  <c:v>792.60979754999994</c:v>
                </c:pt>
                <c:pt idx="23">
                  <c:v>704</c:v>
                </c:pt>
                <c:pt idx="24">
                  <c:v>618.65</c:v>
                </c:pt>
                <c:pt idx="25" formatCode="0.00">
                  <c:v>611.71</c:v>
                </c:pt>
                <c:pt idx="26" formatCode="0.00">
                  <c:v>624.15</c:v>
                </c:pt>
                <c:pt idx="27" formatCode="0.00">
                  <c:v>616.51</c:v>
                </c:pt>
                <c:pt idx="28" formatCode="0.00">
                  <c:v>696</c:v>
                </c:pt>
                <c:pt idx="29" formatCode="0.00">
                  <c:v>648</c:v>
                </c:pt>
                <c:pt idx="30" formatCode="0.00">
                  <c:v>591</c:v>
                </c:pt>
              </c:numCache>
            </c:numRef>
          </c:val>
          <c:smooth val="0"/>
          <c:extLst>
            <c:ext xmlns:c16="http://schemas.microsoft.com/office/drawing/2014/chart" uri="{C3380CC4-5D6E-409C-BE32-E72D297353CC}">
              <c16:uniqueId val="{00000000-C85F-4F5C-848B-EC9ED1FB3F62}"/>
            </c:ext>
          </c:extLst>
        </c:ser>
        <c:dLbls>
          <c:showLegendKey val="0"/>
          <c:showVal val="0"/>
          <c:showCatName val="0"/>
          <c:showSerName val="0"/>
          <c:showPercent val="0"/>
          <c:showBubbleSize val="0"/>
        </c:dLbls>
        <c:smooth val="0"/>
        <c:axId val="1560861600"/>
        <c:axId val="1560866592"/>
        <c:extLst>
          <c:ext xmlns:c15="http://schemas.microsoft.com/office/drawing/2012/chart" uri="{02D57815-91ED-43cb-92C2-25804820EDAC}">
            <c15:filteredLineSeries>
              <c15:ser>
                <c:idx val="1"/>
                <c:order val="1"/>
                <c:tx>
                  <c:strRef>
                    <c:extLst>
                      <c:ext uri="{02D57815-91ED-43cb-92C2-25804820EDAC}">
                        <c15:formulaRef>
                          <c15:sqref>'Core_Non-Core'!$A$3</c15:sqref>
                        </c15:formulaRef>
                      </c:ext>
                    </c:extLst>
                    <c:strCache>
                      <c:ptCount val="1"/>
                      <c:pt idx="0">
                        <c:v>Non-core </c:v>
                      </c:pt>
                    </c:strCache>
                  </c:strRef>
                </c:tx>
                <c:spPr>
                  <a:ln w="28575" cap="rnd">
                    <a:solidFill>
                      <a:schemeClr val="accent2"/>
                    </a:solidFill>
                    <a:round/>
                  </a:ln>
                  <a:effectLst/>
                </c:spPr>
                <c:marker>
                  <c:symbol val="none"/>
                </c:marker>
                <c:cat>
                  <c:strRef>
                    <c:extLst>
                      <c:ext uri="{02D57815-91ED-43cb-92C2-25804820EDAC}">
                        <c15:formulaRef>
                          <c15:sqref>'Core_Non-Core'!$B$1:$AF$1</c15:sqref>
                        </c15:formulaRef>
                      </c:ext>
                    </c:extLst>
                    <c:strCache>
                      <c:ptCount val="31"/>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pt idx="23">
                        <c:v>2015</c:v>
                      </c:pt>
                      <c:pt idx="24">
                        <c:v>2016</c:v>
                      </c:pt>
                      <c:pt idx="25">
                        <c:v>2017</c:v>
                      </c:pt>
                      <c:pt idx="26">
                        <c:v>2018</c:v>
                      </c:pt>
                      <c:pt idx="27">
                        <c:v>2019</c:v>
                      </c:pt>
                      <c:pt idx="28">
                        <c:v>2020</c:v>
                      </c:pt>
                      <c:pt idx="29">
                        <c:v>2021</c:v>
                      </c:pt>
                      <c:pt idx="30">
                        <c:v>2022</c:v>
                      </c:pt>
                    </c:strCache>
                  </c:strRef>
                </c:cat>
                <c:val>
                  <c:numRef>
                    <c:extLst>
                      <c:ext uri="{02D57815-91ED-43cb-92C2-25804820EDAC}">
                        <c15:formulaRef>
                          <c15:sqref>'Core_Non-Core'!$B$3:$AF$3</c15:sqref>
                        </c15:formulaRef>
                      </c:ext>
                    </c:extLst>
                    <c:numCache>
                      <c:formatCode>_(* #,##0.00_);_(* \(#,##0.00\);_(* "-"??_);_(@_)</c:formatCode>
                      <c:ptCount val="31"/>
                      <c:pt idx="0">
                        <c:v>420.71581186000003</c:v>
                      </c:pt>
                      <c:pt idx="1">
                        <c:v>447.346249</c:v>
                      </c:pt>
                      <c:pt idx="2">
                        <c:v>860.65001700000005</c:v>
                      </c:pt>
                      <c:pt idx="3">
                        <c:v>823.99005199999999</c:v>
                      </c:pt>
                      <c:pt idx="4">
                        <c:v>1092.14905</c:v>
                      </c:pt>
                      <c:pt idx="5">
                        <c:v>1187.562518</c:v>
                      </c:pt>
                      <c:pt idx="6">
                        <c:v>1544.9728962600002</c:v>
                      </c:pt>
                      <c:pt idx="7">
                        <c:v>1504.86619735</c:v>
                      </c:pt>
                      <c:pt idx="8">
                        <c:v>1502.9670592199998</c:v>
                      </c:pt>
                      <c:pt idx="9">
                        <c:v>1760.59320245</c:v>
                      </c:pt>
                      <c:pt idx="10">
                        <c:v>1975.5171521399996</c:v>
                      </c:pt>
                      <c:pt idx="11">
                        <c:v>2207.49931483</c:v>
                      </c:pt>
                      <c:pt idx="12">
                        <c:v>2972.36</c:v>
                      </c:pt>
                      <c:pt idx="13">
                        <c:v>3608.77</c:v>
                      </c:pt>
                      <c:pt idx="14">
                        <c:v>3513.92</c:v>
                      </c:pt>
                      <c:pt idx="15">
                        <c:v>3563.4</c:v>
                      </c:pt>
                      <c:pt idx="16">
                        <c:v>3632.36</c:v>
                      </c:pt>
                      <c:pt idx="17">
                        <c:v>3645.07</c:v>
                      </c:pt>
                      <c:pt idx="18">
                        <c:v>4040.06</c:v>
                      </c:pt>
                      <c:pt idx="19">
                        <c:v>3848.85</c:v>
                      </c:pt>
                      <c:pt idx="20">
                        <c:v>3692.88</c:v>
                      </c:pt>
                      <c:pt idx="21">
                        <c:v>3794.8631693399993</c:v>
                      </c:pt>
                      <c:pt idx="22">
                        <c:v>3831.7187778399993</c:v>
                      </c:pt>
                      <c:pt idx="23">
                        <c:v>3781.78</c:v>
                      </c:pt>
                      <c:pt idx="24">
                        <c:v>4247</c:v>
                      </c:pt>
                      <c:pt idx="25">
                        <c:v>4303.3999999999996</c:v>
                      </c:pt>
                      <c:pt idx="26">
                        <c:v>4579.17</c:v>
                      </c:pt>
                      <c:pt idx="27">
                        <c:v>4319.3</c:v>
                      </c:pt>
                      <c:pt idx="28" formatCode="0.00">
                        <c:v>4804</c:v>
                      </c:pt>
                      <c:pt idx="29" formatCode="0.00">
                        <c:v>4652</c:v>
                      </c:pt>
                      <c:pt idx="30" formatCode="0.00">
                        <c:v>4309</c:v>
                      </c:pt>
                    </c:numCache>
                  </c:numRef>
                </c:val>
                <c:smooth val="0"/>
                <c:extLst>
                  <c:ext xmlns:c16="http://schemas.microsoft.com/office/drawing/2014/chart" uri="{C3380CC4-5D6E-409C-BE32-E72D297353CC}">
                    <c16:uniqueId val="{00000001-C85F-4F5C-848B-EC9ED1FB3F62}"/>
                  </c:ext>
                </c:extLst>
              </c15:ser>
            </c15:filteredLineSeries>
          </c:ext>
        </c:extLst>
      </c:lineChart>
      <c:catAx>
        <c:axId val="1560861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560866592"/>
        <c:crosses val="autoZero"/>
        <c:auto val="1"/>
        <c:lblAlgn val="ctr"/>
        <c:lblOffset val="100"/>
        <c:noMultiLvlLbl val="0"/>
      </c:catAx>
      <c:valAx>
        <c:axId val="1560866592"/>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08616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31C54-42E3-4B71-92BC-A107F8165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4834</Words>
  <Characters>27558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2023-07-18T19:06:00Z</dcterms:created>
  <dcterms:modified xsi:type="dcterms:W3CDTF">2023-07-19T16:29:00Z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1bb22a78900c8e33e8a6eefc641a40963cca30cf909176fc47a1e75bbea021bf</vt:lpwstr>
  </property>
</Properties>
</file>